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DFCCE" w14:textId="77777777" w:rsidR="00801356" w:rsidRDefault="00801356">
      <w:pPr>
        <w:spacing w:before="2000"/>
      </w:pPr>
    </w:p>
    <w:p w14:paraId="49A71481" w14:textId="77777777" w:rsidR="00B002D6" w:rsidRDefault="00B002D6">
      <w:pPr>
        <w:spacing w:after="160"/>
        <w:jc w:val="center"/>
        <w:rPr>
          <w:rFonts w:ascii="Arial" w:eastAsia="Arial" w:hAnsi="Arial" w:cs="Arial"/>
          <w:b/>
          <w:bCs/>
          <w:sz w:val="28"/>
          <w:szCs w:val="28"/>
        </w:rPr>
      </w:pPr>
    </w:p>
    <w:p w14:paraId="56C46560" w14:textId="77777777" w:rsidR="00B002D6" w:rsidRDefault="00B002D6">
      <w:pPr>
        <w:spacing w:after="160"/>
        <w:jc w:val="center"/>
        <w:rPr>
          <w:rFonts w:ascii="Arial" w:eastAsia="Arial" w:hAnsi="Arial" w:cs="Arial"/>
          <w:b/>
          <w:bCs/>
          <w:sz w:val="28"/>
          <w:szCs w:val="28"/>
        </w:rPr>
      </w:pPr>
    </w:p>
    <w:p w14:paraId="53D8407A" w14:textId="59BFFA41" w:rsidR="00801356" w:rsidRDefault="00172E8B">
      <w:pPr>
        <w:spacing w:after="160"/>
        <w:jc w:val="center"/>
      </w:pPr>
      <w:r>
        <w:rPr>
          <w:rFonts w:ascii="Arial" w:eastAsia="Arial" w:hAnsi="Arial" w:cs="Arial"/>
          <w:b/>
          <w:bCs/>
          <w:sz w:val="28"/>
          <w:szCs w:val="28"/>
        </w:rPr>
        <w:t xml:space="preserve">Esther Okunuga </w:t>
      </w:r>
    </w:p>
    <w:p w14:paraId="2A2E79C3" w14:textId="0A3A8894" w:rsidR="00801356" w:rsidRDefault="00172E8B">
      <w:pPr>
        <w:spacing w:after="160"/>
        <w:jc w:val="center"/>
      </w:pPr>
      <w:r>
        <w:rPr>
          <w:rFonts w:ascii="Arial" w:eastAsia="Arial" w:hAnsi="Arial" w:cs="Arial"/>
          <w:sz w:val="22"/>
          <w:szCs w:val="22"/>
        </w:rPr>
        <w:t>Student Number: 2509873</w:t>
      </w:r>
    </w:p>
    <w:p w14:paraId="540207D4" w14:textId="77777777" w:rsidR="00801356" w:rsidRDefault="0014026D">
      <w:pPr>
        <w:spacing w:after="160"/>
        <w:jc w:val="center"/>
      </w:pPr>
      <w:r>
        <w:rPr>
          <w:rFonts w:ascii="Arial" w:eastAsia="Arial" w:hAnsi="Arial" w:cs="Arial"/>
          <w:sz w:val="22"/>
          <w:szCs w:val="22"/>
        </w:rPr>
        <w:t>Module Code and Title: LCHS4010 – Psychology in Health and Social Care</w:t>
      </w:r>
    </w:p>
    <w:p w14:paraId="6CF32F9F" w14:textId="3B69F738" w:rsidR="00801356" w:rsidRDefault="00172E8B">
      <w:pPr>
        <w:spacing w:after="160"/>
        <w:jc w:val="center"/>
      </w:pPr>
      <w:r>
        <w:rPr>
          <w:rFonts w:ascii="Arial" w:eastAsia="Arial" w:hAnsi="Arial" w:cs="Arial"/>
          <w:sz w:val="22"/>
          <w:szCs w:val="22"/>
        </w:rPr>
        <w:t>Lecturer: Brian Mashumba</w:t>
      </w:r>
    </w:p>
    <w:p w14:paraId="4876DE46" w14:textId="77777777" w:rsidR="00801356" w:rsidRDefault="0014026D">
      <w:pPr>
        <w:spacing w:after="600"/>
        <w:jc w:val="center"/>
      </w:pPr>
      <w:r>
        <w:rPr>
          <w:rFonts w:ascii="Arial" w:eastAsia="Arial" w:hAnsi="Arial" w:cs="Arial"/>
          <w:sz w:val="22"/>
          <w:szCs w:val="22"/>
        </w:rPr>
        <w:t>University of Wales Trinity Saint David</w:t>
      </w:r>
    </w:p>
    <w:p w14:paraId="1339F27B" w14:textId="77777777" w:rsidR="00801356" w:rsidRDefault="0014026D">
      <w:pPr>
        <w:spacing w:after="120"/>
        <w:jc w:val="center"/>
      </w:pPr>
      <w:r>
        <w:rPr>
          <w:rFonts w:ascii="Arial" w:eastAsia="Arial" w:hAnsi="Arial" w:cs="Arial"/>
          <w:b/>
          <w:bCs/>
          <w:sz w:val="22"/>
          <w:szCs w:val="22"/>
        </w:rPr>
        <w:t>Assignment Title:</w:t>
      </w:r>
    </w:p>
    <w:p w14:paraId="3118245D" w14:textId="77777777" w:rsidR="00801356" w:rsidRDefault="0014026D">
      <w:pPr>
        <w:spacing w:after="120"/>
        <w:jc w:val="center"/>
      </w:pPr>
      <w:r>
        <w:rPr>
          <w:rFonts w:ascii="Arial" w:eastAsia="Arial" w:hAnsi="Arial" w:cs="Arial"/>
          <w:b/>
          <w:bCs/>
          <w:sz w:val="26"/>
          <w:szCs w:val="26"/>
        </w:rPr>
        <w:t>Discuss the impact of social media on mental health in adolescence</w:t>
      </w:r>
    </w:p>
    <w:p w14:paraId="251EF8C0" w14:textId="77777777" w:rsidR="00801356" w:rsidRDefault="0014026D">
      <w:r>
        <w:br w:type="page"/>
      </w:r>
    </w:p>
    <w:p w14:paraId="13487376" w14:textId="77777777" w:rsidR="00A54F14" w:rsidRDefault="00A54F14" w:rsidP="00A54F14">
      <w:pPr>
        <w:spacing w:after="200" w:line="360" w:lineRule="auto"/>
        <w:jc w:val="both"/>
      </w:pPr>
      <w:r>
        <w:rPr>
          <w:sz w:val="24"/>
          <w:szCs w:val="24"/>
        </w:rPr>
        <w:lastRenderedPageBreak/>
        <w:t>Adolescence is a period of rapid change in how young people see themselves, relate to others, and manage their emotions, and it is precisely at this point in life that most young people become active social media users (Agyapong-Opoku et al., 2025). This essay examines how social media shapes adolescent mental health, drawing on two well-established lifespan theories: Erikson's (1968) theory of psychosocial development and Bowlby's (1969) attachment theory. Its central argument is that social media's effects are not uniform. Instead, they depend on how particular platforms interact with the developmental tasks adolescents are working through at this stage, namely forming a coherent identity and maintaining secure attachments. Framing the debate this way moves the question past whether social media is simply "good" or "bad" and towards which adolescents are affected, and why. The essay then turns a critical eye on both theories, considers the biological factors they largely leave out, and closes by outlining what this means for practice in health and social care.</w:t>
      </w:r>
    </w:p>
    <w:p w14:paraId="5D822871" w14:textId="77777777" w:rsidR="00A54F14" w:rsidRDefault="00A54F14" w:rsidP="00A54F14">
      <w:pPr>
        <w:spacing w:after="200" w:line="360" w:lineRule="auto"/>
        <w:jc w:val="both"/>
      </w:pPr>
      <w:r>
        <w:rPr>
          <w:sz w:val="24"/>
          <w:szCs w:val="24"/>
        </w:rPr>
        <w:t>The research picture is more mixed than headlines often suggest. Umbrella reviews find that the links between social media use and depression, anxiety and life satisfaction tend to be small and inconsistent overall, even though individual studies sometimes report much larger effects (Valkenburg et al., 2022). A meta-analysis of dose-response studies found that each additional hour of daily use was associated with a small but statistically significant rise in depression risk, and that this effect was stronger for girls than boys (Liu et al., 2022) - a pattern echoed in earlier meta-analyses combining longitudinal and cross-sectional research (Ivie et al., 2020; Cunningham et al., 2021). Yet averages like these can be misleading. Experience-sampling research captured a very different story: across 2,155 real-time measurements, 44% of adolescents reported no change in mood after passive use, 46% felt better, and only 10% felt worse (</w:t>
      </w:r>
      <w:proofErr w:type="spellStart"/>
      <w:r>
        <w:rPr>
          <w:sz w:val="24"/>
          <w:szCs w:val="24"/>
        </w:rPr>
        <w:t>Beyens</w:t>
      </w:r>
      <w:proofErr w:type="spellEnd"/>
      <w:r>
        <w:rPr>
          <w:sz w:val="24"/>
          <w:szCs w:val="24"/>
        </w:rPr>
        <w:t xml:space="preserve"> et al., 2020). In other words, the "average" negative effect widely reported in headlines masks enormous variation between individuals - most come away unaffected or better off, while a smaller minority are genuinely struggling.</w:t>
      </w:r>
    </w:p>
    <w:p w14:paraId="65566831" w14:textId="77777777" w:rsidR="00A54F14" w:rsidRDefault="00A54F14" w:rsidP="00A54F14">
      <w:pPr>
        <w:spacing w:after="200" w:line="360" w:lineRule="auto"/>
        <w:jc w:val="both"/>
      </w:pPr>
      <w:r>
        <w:rPr>
          <w:sz w:val="24"/>
          <w:szCs w:val="24"/>
        </w:rPr>
        <w:t xml:space="preserve">Several mechanisms help explain where harm does occur. Appearance-based social comparison is linked to body dissatisfaction and lower self-esteem, particularly among girls exposed to idealised images (Mahon and Hevey, 2021; </w:t>
      </w:r>
      <w:proofErr w:type="spellStart"/>
      <w:r>
        <w:rPr>
          <w:sz w:val="24"/>
          <w:szCs w:val="24"/>
        </w:rPr>
        <w:t>Jiotsa</w:t>
      </w:r>
      <w:proofErr w:type="spellEnd"/>
      <w:r>
        <w:rPr>
          <w:sz w:val="24"/>
          <w:szCs w:val="24"/>
        </w:rPr>
        <w:t xml:space="preserve"> et al., 2021). Periods of intensified use, such as during the COVID-19 pandemic, have also been associated with disrupted sleep and heightened anxiety, even as some adolescents drew genuine social support from being online (Marciano et al., 2022). A UK longitudinal study similarly found that wellbeing tended to decline as use increased, though the authors were careful to note that this association does not establish causation (Plackett, Sheringham and </w:t>
      </w:r>
      <w:proofErr w:type="spellStart"/>
      <w:r>
        <w:rPr>
          <w:sz w:val="24"/>
          <w:szCs w:val="24"/>
        </w:rPr>
        <w:t>Dykxhoorn</w:t>
      </w:r>
      <w:proofErr w:type="spellEnd"/>
      <w:r>
        <w:rPr>
          <w:sz w:val="24"/>
          <w:szCs w:val="24"/>
        </w:rPr>
        <w:t xml:space="preserve">, 2023). Taken </w:t>
      </w:r>
      <w:r>
        <w:rPr>
          <w:sz w:val="24"/>
          <w:szCs w:val="24"/>
        </w:rPr>
        <w:lastRenderedPageBreak/>
        <w:t>as a whole, this evidence points less to a single universal effect and more to overlapping risk and protective mechanisms, which is why developmental theory is useful here: it asks not just how much time adolescents spend online, but what psychological work that time is doing for them.</w:t>
      </w:r>
    </w:p>
    <w:p w14:paraId="3EE80448" w14:textId="77777777" w:rsidR="00A54F14" w:rsidRDefault="00A54F14" w:rsidP="00A54F14">
      <w:pPr>
        <w:spacing w:after="200" w:line="360" w:lineRule="auto"/>
        <w:jc w:val="both"/>
      </w:pPr>
      <w:r>
        <w:rPr>
          <w:rFonts w:ascii="Arial" w:eastAsia="Arial" w:hAnsi="Arial" w:cs="Arial"/>
          <w:sz w:val="22"/>
          <w:szCs w:val="22"/>
        </w:rPr>
        <w:t xml:space="preserve">Erikson’s (1968) theory of psychosocial development </w:t>
      </w:r>
      <w:r>
        <w:rPr>
          <w:sz w:val="24"/>
          <w:szCs w:val="24"/>
        </w:rPr>
        <w:t>places adolescence as the fifth of eight lifespan stages, centred on the crisis of identity versus role confusion. During this stage, young people try out and gradually commit to values, roles and beliefs as they build a coherent sense of self. Social media has become one of the main arenas where this work happens: platforms allow adolescents to present themselves, compare themselves with others, follow role models, and communicate with an audience that is, in effect, always switched on. This maps closely onto the identity-exploration process Erikson describes, as Agyapong-Opoku et al. (2025) note. Used constructively, this exploration can support healthy development, and researchers have observed positive identity outcomes among adolescents who experiment with self-presentation or engage in prosocial behaviour online (Branje et al., 2021). Seen through Erikson's lens, the endless scroll of curated profiles and shared content is not just noise around identity development but part of the raw material it is built from.</w:t>
      </w:r>
    </w:p>
    <w:p w14:paraId="65F907E2" w14:textId="77777777" w:rsidR="00A54F14" w:rsidRDefault="00A54F14" w:rsidP="00A54F14">
      <w:pPr>
        <w:spacing w:after="200" w:line="360" w:lineRule="auto"/>
        <w:jc w:val="both"/>
      </w:pPr>
      <w:r>
        <w:rPr>
          <w:sz w:val="24"/>
          <w:szCs w:val="24"/>
        </w:rPr>
        <w:t>That said, Erikson's framework has clear limits when applied to digital life. It was formulated decades before social media existed and assumes a relatively linear path towards a single, unified identity - an assumption that researchers increasingly question, given that identity now seems to be continuously negotiated across multiple, sometimes conflicting, online and offline selves rather than settled once and for all during adolescence (Branje et al., 2021). The theory also struggles to explain why the same online experience can support identity growth in one adolescent while causing distress in another; the individual-level findings noted earlier only partly address this gap (</w:t>
      </w:r>
      <w:proofErr w:type="spellStart"/>
      <w:r>
        <w:rPr>
          <w:sz w:val="24"/>
          <w:szCs w:val="24"/>
        </w:rPr>
        <w:t>Beyens</w:t>
      </w:r>
      <w:proofErr w:type="spellEnd"/>
      <w:r>
        <w:rPr>
          <w:sz w:val="24"/>
          <w:szCs w:val="24"/>
        </w:rPr>
        <w:t xml:space="preserve"> et al., 2020). More broadly, critics argue that Erikson's model reflects Western, individualistic assumptions about identity that sit awkwardly with collectivist cultural contexts or non-binary gender experiences, which limits how well it can account for the genuinely diverse population of adolescents now using global platforms. A theory built for a pre-digital adolescence can describe the shape of the identity task without fully explaining why the same platform is experienced so differently depending on who is using it and where.</w:t>
      </w:r>
    </w:p>
    <w:p w14:paraId="1DB05F1E" w14:textId="77777777" w:rsidR="00A54F14" w:rsidRDefault="00A54F14" w:rsidP="00A54F14">
      <w:pPr>
        <w:spacing w:after="200" w:line="360" w:lineRule="auto"/>
        <w:jc w:val="both"/>
      </w:pPr>
      <w:r>
        <w:rPr>
          <w:sz w:val="24"/>
          <w:szCs w:val="24"/>
        </w:rPr>
        <w:t xml:space="preserve">Where Erikson focuses on identity, Bowlby's attachment theory offers a complementary lens centred on adolescents' need for security and emotional regulation. Bowlby (1969) proposed that early caregiving relationships give rise to internal working models - mental templates that </w:t>
      </w:r>
      <w:r>
        <w:rPr>
          <w:sz w:val="24"/>
          <w:szCs w:val="24"/>
        </w:rPr>
        <w:lastRenderedPageBreak/>
        <w:t>shape how people seek closeness and manage distress across the whole lifespan. Although these models form in infancy, they continue to influence the quality of peer relationships in adolescence: securely attached adolescents tend to build higher-quality, more trusting relationships, whereas insecurely or anxiously attached adolescents are more likely to lean on relationships, including online ones, to cope with anxiety (Delgado et al., 2022). Applied to social media, this suggests that anxiously attached adolescents may be especially prone to problematic use, since checking notifications, chasing likes, and monitoring peers can function as a form of proximity- or reassurance-seeking when a young person feels insecure. This idea is supported by systematic evidence linking compulsive, problematic social media use to higher depression, anxiety and stress (Shannon et al., 2022). Conversely, adolescents with a secure base may find that social media simply extends, rather than replaces, their existing supportive relationships, offering an additional source of comfort during difficult moments. On this account, the crucial variable is not the platform but the working model the adolescent brings to it: the same notification can feel like a welcome connection to one young person and an anxious prompt to check again for another.</w:t>
      </w:r>
    </w:p>
    <w:p w14:paraId="123DB899" w14:textId="77777777" w:rsidR="00A54F14" w:rsidRDefault="00A54F14" w:rsidP="00A54F14">
      <w:pPr>
        <w:spacing w:after="200" w:line="360" w:lineRule="auto"/>
        <w:jc w:val="both"/>
      </w:pPr>
      <w:r>
        <w:rPr>
          <w:sz w:val="24"/>
          <w:szCs w:val="24"/>
        </w:rPr>
        <w:t>Attachment theory, too, has explanatory gaps here. It was developed to describe the infant-caregiver bond, and extending it to adolescent online behaviour rests largely on conceptual similarity rather than direct longitudinal evidence connecting specific attachment styles to specific patterns of social media use (Delgado et al., 2022). The theory also tends to assume that attachment style is fairly stable, yet adolescence is exactly the period when attachment representations can shift as peers take on a growing role as attachment figures. This makes it difficult to apply a framework built around childhood caregiving directly to a digital peer environment Bowlby could not have anticipated, and it means claims linking a given adolescent's attachment style to their social media habits remain a plausible hypothesis rather than an established fact.</w:t>
      </w:r>
    </w:p>
    <w:p w14:paraId="64DF8FFC" w14:textId="77777777" w:rsidR="00A54F14" w:rsidRDefault="00A54F14" w:rsidP="00A54F14">
      <w:pPr>
        <w:spacing w:after="200" w:line="360" w:lineRule="auto"/>
        <w:jc w:val="both"/>
      </w:pPr>
      <w:r>
        <w:rPr>
          <w:sz w:val="24"/>
          <w:szCs w:val="24"/>
        </w:rPr>
        <w:t xml:space="preserve">Both theories are essentially psychosocial and say relatively little about the biological changes that make adolescence a period of heightened sensitivity to social media — a factor the assessment brief flags as important alongside environmental influences. Neurodevelopmental research shows that adolescence involves substantial changes in brain regions governing reward processing and social evaluation, making adolescents more attuned to peer approval and rejection than either children or adults. A large UK cohort study, drawing on data from more than 84,000 participants, supports this picture, showing that sensitivity to social media is not constant across adolescence but instead peaks within age- and sex-specific windows — </w:t>
      </w:r>
      <w:r>
        <w:rPr>
          <w:sz w:val="24"/>
          <w:szCs w:val="24"/>
        </w:rPr>
        <w:lastRenderedPageBreak/>
        <w:t>around ages 11 to 13 for girls and 14 to 15 for boys (Orben et al., 2022). This suggests that timing matters as much as content: the same platform, or even the same feature, may carry different weight depending on where an adolescent sits within this biological window, something neither Erikson's nor Bowlby's theory was designed to capture.</w:t>
      </w:r>
    </w:p>
    <w:p w14:paraId="73063F31" w14:textId="77777777" w:rsidR="00A54F14" w:rsidRDefault="00A54F14" w:rsidP="00A54F14">
      <w:pPr>
        <w:spacing w:after="200" w:line="360" w:lineRule="auto"/>
        <w:jc w:val="both"/>
      </w:pPr>
      <w:r>
        <w:rPr>
          <w:sz w:val="24"/>
          <w:szCs w:val="24"/>
        </w:rPr>
        <w:t>These theoretical debates are increasingly shaping UK policy, including in London. The Online Safety Act 2023 already requires platforms to carry out children's risk assessments and introduce age assurance measures; since these duties came into force in July 2025, Ofcom has opened dozens of investigations and issued its first fines against non-compliant platforms (Osborne Clarke, 2026). More recently, the Children's Wellbeing and Schools Act 2026 gave the Secretary of State powers to restrict children's access to social media, and in June 2026 the Government confirmed plans to ban platforms such as Instagram, TikTok, Snapchat and YouTube for under-16s, alongside new restrictions on livestreaming and contact from strangers, with the ban expected to take effect by spring 2027 (Department for Science, Innovation and Technology, 2026; House of Commons Library, 2026).</w:t>
      </w:r>
    </w:p>
    <w:p w14:paraId="51B32F04" w14:textId="77777777" w:rsidR="00A54F14" w:rsidRDefault="00A54F14" w:rsidP="00A54F14">
      <w:pPr>
        <w:spacing w:after="200" w:line="360" w:lineRule="auto"/>
        <w:jc w:val="both"/>
      </w:pPr>
      <w:r>
        <w:rPr>
          <w:sz w:val="24"/>
          <w:szCs w:val="24"/>
        </w:rPr>
        <w:t>This national direction is mirrored locally in London. The Mayor, Sadiq Khan, has committed £810,000 to a Mental Health in Schools programme run with the charity Anna Freud, reaching around 15,000 young people across secondary schools in nine boroughs through wellbeing weeks, peer-support groups and staff training, rather than relying on access restrictions alone (Greater London Authority, 2025). Several London boroughs have moved ahead of national legislation on their own initiative: more than 100 schools in Barnet and a group of seventeen secondary schools in Southwark have introduced smartphone-free policies during the school day, and the Mayor's office has indicated it is monitoring how these local approaches are working out (Barnet Post, 2025). Read together, these measures suggest policy is moving in the same direction as the theory and evidence above: towards a mix of regulation, restriction where appropriate, and relational and educational support, rather than any single lever alone.</w:t>
      </w:r>
    </w:p>
    <w:p w14:paraId="621F7BCD" w14:textId="77777777" w:rsidR="00A54F14" w:rsidRDefault="00A54F14" w:rsidP="00A54F14">
      <w:pPr>
        <w:spacing w:after="200" w:line="360" w:lineRule="auto"/>
        <w:jc w:val="both"/>
      </w:pPr>
      <w:r>
        <w:rPr>
          <w:sz w:val="24"/>
          <w:szCs w:val="24"/>
        </w:rPr>
        <w:t xml:space="preserve">These findings carry several implications for practice. Digital literacy and identity-focused psychoeducation could be built into the pastoral and therapeutic support offered by schools and Child and Adolescent Mental Health Services (CAMHS), helping adolescents interpret social comparison more critically rather than simply internalising it (Agyapong-Opoku et al., 2025). Given the role attachment insecurity appears to play in problematic use, social workers and family therapists supporting vulnerable young people may benefit from attending to the quality of family attachment alongside digital habits; interventions that strengthen family relationships </w:t>
      </w:r>
      <w:r>
        <w:rPr>
          <w:sz w:val="24"/>
          <w:szCs w:val="24"/>
        </w:rPr>
        <w:lastRenderedPageBreak/>
        <w:t>could do more to reduce a young person's reliance on social media for reassurance than access restrictions alone (Delgado et al., 2022; Shannon et al., 2022). Practitioners should also stay attentive to the developmental windows identified in neurodevelopmental research, directing support towards the age groups shown to be most vulnerable (Orben et al., 2022). Overall, practice needs to move away from blanket screen-time restrictions and towards support that is developmentally timed, relationally informed, and embedded across education, health and social care. In practice, this might mean a school pastoral team treating a pupil's heavy posting or constant checking as a starting point for conversation about identity or attachment, rather than simply a behaviour to curtail.</w:t>
      </w:r>
    </w:p>
    <w:p w14:paraId="6CDD4F05" w14:textId="77777777" w:rsidR="00A54F14" w:rsidRDefault="00A54F14" w:rsidP="00A54F14">
      <w:pPr>
        <w:spacing w:after="200" w:line="360" w:lineRule="auto"/>
        <w:jc w:val="both"/>
      </w:pPr>
      <w:r>
        <w:rPr>
          <w:sz w:val="24"/>
          <w:szCs w:val="24"/>
        </w:rPr>
        <w:t>Taken together, the evidence suggests that social media's effect on adolescent mental health resists any simple verdict of harm or benefit. Erikson's theory helps explain how social media has become entangled with identity formation, offering adolescents avenues for exploration and social comparison alongside the risk of role confusion, while Bowlby's attachment theory shows how existing attachment security shapes online reassurance-seeking and the risk of problematic use. Both frameworks, however, predate the digital environments they are now being used to explain, and neither fully captures the biological sensitivities that neurodevelopmental research is beginning to uncover. Reducing the harms of social media therefore calls for less reliance on any single theory, or on blanket bans, and more investment in developmentally timed, relationally informed support across schools, CAMHS and family services — support that remains sensitive to identity, attachment and biological vulnerability alike. Understood this way, the question worth asking is rarely whether social media is harmful in general, but which adolescent, at which developmental moment, is using which platform, and for what underlying need.</w:t>
      </w:r>
    </w:p>
    <w:p w14:paraId="0DCAED47" w14:textId="77777777" w:rsidR="00801356" w:rsidRDefault="0014026D">
      <w:r>
        <w:br w:type="page"/>
      </w:r>
    </w:p>
    <w:p w14:paraId="3CFD804E" w14:textId="0B3080D9" w:rsidR="00801356" w:rsidRDefault="0014026D" w:rsidP="00E55CD2">
      <w:pPr>
        <w:spacing w:after="240"/>
        <w:jc w:val="both"/>
      </w:pPr>
      <w:r>
        <w:rPr>
          <w:rFonts w:ascii="Arial" w:eastAsia="Arial" w:hAnsi="Arial" w:cs="Arial"/>
          <w:b/>
          <w:bCs/>
          <w:sz w:val="26"/>
          <w:szCs w:val="26"/>
        </w:rPr>
        <w:lastRenderedPageBreak/>
        <w:t>References</w:t>
      </w:r>
    </w:p>
    <w:p w14:paraId="7CEB5E11"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Agyapong-Opoku, N., Agyapong-Opoku, F. and Greenshaw, A.J. (2025) Effects of social media use on youth and adolescent mental health: a scoping review of reviews. </w:t>
      </w:r>
      <w:proofErr w:type="spellStart"/>
      <w:r>
        <w:rPr>
          <w:rFonts w:ascii="Arial" w:hAnsi="Arial" w:cs="Arial"/>
          <w:i/>
          <w:iCs/>
          <w:sz w:val="22"/>
          <w:szCs w:val="22"/>
        </w:rPr>
        <w:t>Behavioral</w:t>
      </w:r>
      <w:proofErr w:type="spellEnd"/>
      <w:r>
        <w:rPr>
          <w:rFonts w:ascii="Arial" w:hAnsi="Arial" w:cs="Arial"/>
          <w:i/>
          <w:iCs/>
          <w:sz w:val="22"/>
          <w:szCs w:val="22"/>
        </w:rPr>
        <w:t xml:space="preserve"> Sciences</w:t>
      </w:r>
      <w:r>
        <w:rPr>
          <w:rFonts w:ascii="Arial" w:hAnsi="Arial" w:cs="Arial"/>
          <w:sz w:val="22"/>
          <w:szCs w:val="22"/>
        </w:rPr>
        <w:t xml:space="preserve">, 15(5), p. 574. </w:t>
      </w:r>
      <w:hyperlink r:id="rId7" w:tgtFrame="_new" w:history="1">
        <w:r>
          <w:rPr>
            <w:rStyle w:val="Hyperlink"/>
            <w:rFonts w:ascii="Arial" w:hAnsi="Arial" w:cs="Arial"/>
            <w:sz w:val="22"/>
            <w:szCs w:val="22"/>
          </w:rPr>
          <w:t>https://doi.org/10.3390/bs15050574</w:t>
        </w:r>
      </w:hyperlink>
      <w:r>
        <w:rPr>
          <w:rFonts w:ascii="Arial" w:hAnsi="Arial" w:cs="Arial"/>
          <w:sz w:val="22"/>
          <w:szCs w:val="22"/>
        </w:rPr>
        <w:t xml:space="preserve"> (Accessed: 17 July 2026).</w:t>
      </w:r>
    </w:p>
    <w:p w14:paraId="10000001"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Barnet Post (2025) Primary schools in Barnet agree to go 'smartphone free'. Available at: </w:t>
      </w:r>
      <w:hyperlink r:id="rId8" w:tgtFrame="_new" w:history="1">
        <w:r>
          <w:rPr>
            <w:rStyle w:val="Hyperlink"/>
            <w:rFonts w:ascii="Arial" w:hAnsi="Arial" w:cs="Arial"/>
            <w:sz w:val="22"/>
            <w:szCs w:val="22"/>
          </w:rPr>
          <w:t>https://barnetpost.co.uk/2025/02/18/schools-in-barnet-agree-to-go-smartphone-free/</w:t>
        </w:r>
      </w:hyperlink>
      <w:r>
        <w:rPr>
          <w:rFonts w:ascii="Arial" w:hAnsi="Arial" w:cs="Arial"/>
          <w:sz w:val="22"/>
          <w:szCs w:val="22"/>
        </w:rPr>
        <w:t xml:space="preserve"> (Accessed: 4 August 2026).</w:t>
      </w:r>
    </w:p>
    <w:p w14:paraId="6C84B958"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Beyens</w:t>
      </w:r>
      <w:proofErr w:type="spellEnd"/>
      <w:r>
        <w:rPr>
          <w:rFonts w:ascii="Arial" w:hAnsi="Arial" w:cs="Arial"/>
          <w:sz w:val="22"/>
          <w:szCs w:val="22"/>
        </w:rPr>
        <w:t xml:space="preserve">, I., </w:t>
      </w:r>
      <w:proofErr w:type="spellStart"/>
      <w:r>
        <w:rPr>
          <w:rFonts w:ascii="Arial" w:hAnsi="Arial" w:cs="Arial"/>
          <w:sz w:val="22"/>
          <w:szCs w:val="22"/>
        </w:rPr>
        <w:t>Pouwels</w:t>
      </w:r>
      <w:proofErr w:type="spellEnd"/>
      <w:r>
        <w:rPr>
          <w:rFonts w:ascii="Arial" w:hAnsi="Arial" w:cs="Arial"/>
          <w:sz w:val="22"/>
          <w:szCs w:val="22"/>
        </w:rPr>
        <w:t xml:space="preserve">, J.L., van Driel, I.I., </w:t>
      </w:r>
      <w:proofErr w:type="spellStart"/>
      <w:r>
        <w:rPr>
          <w:rFonts w:ascii="Arial" w:hAnsi="Arial" w:cs="Arial"/>
          <w:sz w:val="22"/>
          <w:szCs w:val="22"/>
        </w:rPr>
        <w:t>Keijsers</w:t>
      </w:r>
      <w:proofErr w:type="spellEnd"/>
      <w:r>
        <w:rPr>
          <w:rFonts w:ascii="Arial" w:hAnsi="Arial" w:cs="Arial"/>
          <w:sz w:val="22"/>
          <w:szCs w:val="22"/>
        </w:rPr>
        <w:t xml:space="preserve">, L. and Valkenburg, P.M. (2020) The effect of social media on well-being differs from adolescent to adolescent. </w:t>
      </w:r>
      <w:r>
        <w:rPr>
          <w:rFonts w:ascii="Arial" w:hAnsi="Arial" w:cs="Arial"/>
          <w:i/>
          <w:iCs/>
          <w:sz w:val="22"/>
          <w:szCs w:val="22"/>
        </w:rPr>
        <w:t>Scientific Reports</w:t>
      </w:r>
      <w:r>
        <w:rPr>
          <w:rFonts w:ascii="Arial" w:hAnsi="Arial" w:cs="Arial"/>
          <w:sz w:val="22"/>
          <w:szCs w:val="22"/>
        </w:rPr>
        <w:t xml:space="preserve">, 10(1), p. 10763. </w:t>
      </w:r>
      <w:hyperlink r:id="rId9" w:tgtFrame="_new" w:history="1">
        <w:r>
          <w:rPr>
            <w:rStyle w:val="Hyperlink"/>
            <w:rFonts w:ascii="Arial" w:hAnsi="Arial" w:cs="Arial"/>
            <w:sz w:val="22"/>
            <w:szCs w:val="22"/>
          </w:rPr>
          <w:t>https://doi.org/10.1038/s41598-020-67727-7</w:t>
        </w:r>
      </w:hyperlink>
      <w:r>
        <w:rPr>
          <w:rFonts w:ascii="Arial" w:hAnsi="Arial" w:cs="Arial"/>
          <w:sz w:val="22"/>
          <w:szCs w:val="22"/>
        </w:rPr>
        <w:t xml:space="preserve"> (Accessed: 17 July 2026).</w:t>
      </w:r>
    </w:p>
    <w:p w14:paraId="3AC758E2"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Bowlby, J. (1969) </w:t>
      </w:r>
      <w:r>
        <w:rPr>
          <w:rFonts w:ascii="Arial" w:hAnsi="Arial" w:cs="Arial"/>
          <w:i/>
          <w:iCs/>
          <w:sz w:val="22"/>
          <w:szCs w:val="22"/>
        </w:rPr>
        <w:t>Attachment and Loss. Vol. 1: Attachment</w:t>
      </w:r>
      <w:r>
        <w:rPr>
          <w:rFonts w:ascii="Arial" w:hAnsi="Arial" w:cs="Arial"/>
          <w:sz w:val="22"/>
          <w:szCs w:val="22"/>
        </w:rPr>
        <w:t>. London: Hogarth Press.</w:t>
      </w:r>
    </w:p>
    <w:p w14:paraId="0CA9AFF2"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Branje, S., de Moor, E.L., Spitzer, J. and Becht, A.I. (2021) Dynamics of identity development in adolescence: a decade in review. </w:t>
      </w:r>
      <w:r>
        <w:rPr>
          <w:rFonts w:ascii="Arial" w:hAnsi="Arial" w:cs="Arial"/>
          <w:i/>
          <w:iCs/>
          <w:sz w:val="22"/>
          <w:szCs w:val="22"/>
        </w:rPr>
        <w:t>Journal of Research on Adolescence</w:t>
      </w:r>
      <w:r>
        <w:rPr>
          <w:rFonts w:ascii="Arial" w:hAnsi="Arial" w:cs="Arial"/>
          <w:sz w:val="22"/>
          <w:szCs w:val="22"/>
        </w:rPr>
        <w:t xml:space="preserve">, 31(4), pp. 908–927. </w:t>
      </w:r>
      <w:hyperlink r:id="rId10" w:tgtFrame="_new" w:history="1">
        <w:r>
          <w:rPr>
            <w:rStyle w:val="Hyperlink"/>
            <w:rFonts w:ascii="Arial" w:hAnsi="Arial" w:cs="Arial"/>
            <w:sz w:val="22"/>
            <w:szCs w:val="22"/>
          </w:rPr>
          <w:t>https://doi.org/10.1111/jora.12678</w:t>
        </w:r>
      </w:hyperlink>
      <w:r>
        <w:rPr>
          <w:rFonts w:ascii="Arial" w:hAnsi="Arial" w:cs="Arial"/>
          <w:sz w:val="22"/>
          <w:szCs w:val="22"/>
        </w:rPr>
        <w:t xml:space="preserve"> (Accessed: 17 July 2026).</w:t>
      </w:r>
    </w:p>
    <w:p w14:paraId="64CF8238"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Cunningham, S., Hudson, C.C. and Harkness, K. (2021) Social media and depression symptoms: a meta-analysis. </w:t>
      </w:r>
      <w:r>
        <w:rPr>
          <w:rFonts w:ascii="Arial" w:hAnsi="Arial" w:cs="Arial"/>
          <w:i/>
          <w:iCs/>
          <w:sz w:val="22"/>
          <w:szCs w:val="22"/>
        </w:rPr>
        <w:t>Research on Child and Adolescent Psychopathology</w:t>
      </w:r>
      <w:r>
        <w:rPr>
          <w:rFonts w:ascii="Arial" w:hAnsi="Arial" w:cs="Arial"/>
          <w:sz w:val="22"/>
          <w:szCs w:val="22"/>
        </w:rPr>
        <w:t xml:space="preserve">, 49(2), pp. 241–253. </w:t>
      </w:r>
      <w:hyperlink r:id="rId11" w:tgtFrame="_new" w:history="1">
        <w:r>
          <w:rPr>
            <w:rStyle w:val="Hyperlink"/>
            <w:rFonts w:ascii="Arial" w:hAnsi="Arial" w:cs="Arial"/>
            <w:sz w:val="22"/>
            <w:szCs w:val="22"/>
          </w:rPr>
          <w:t>https://doi.org/10.1007/s10802-020-00715-7</w:t>
        </w:r>
      </w:hyperlink>
      <w:r>
        <w:rPr>
          <w:rFonts w:ascii="Arial" w:hAnsi="Arial" w:cs="Arial"/>
          <w:sz w:val="22"/>
          <w:szCs w:val="22"/>
        </w:rPr>
        <w:t xml:space="preserve"> (Accessed: 17 July 2026).</w:t>
      </w:r>
    </w:p>
    <w:p w14:paraId="07C39E1A"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Delgado, E., Serna, C., Martínez, I. and Cruise, E. (2022) Parental attachment and peer relationships in adolescence: a systematic review. </w:t>
      </w:r>
      <w:r>
        <w:rPr>
          <w:rFonts w:ascii="Arial" w:hAnsi="Arial" w:cs="Arial"/>
          <w:i/>
          <w:iCs/>
          <w:sz w:val="22"/>
          <w:szCs w:val="22"/>
        </w:rPr>
        <w:t>International Journal of Environmental Research and Public Health</w:t>
      </w:r>
      <w:r>
        <w:rPr>
          <w:rFonts w:ascii="Arial" w:hAnsi="Arial" w:cs="Arial"/>
          <w:sz w:val="22"/>
          <w:szCs w:val="22"/>
        </w:rPr>
        <w:t xml:space="preserve">, 19(3), p. 1064. </w:t>
      </w:r>
      <w:hyperlink r:id="rId12" w:tgtFrame="_new" w:history="1">
        <w:r>
          <w:rPr>
            <w:rStyle w:val="Hyperlink"/>
            <w:rFonts w:ascii="Arial" w:hAnsi="Arial" w:cs="Arial"/>
            <w:sz w:val="22"/>
            <w:szCs w:val="22"/>
          </w:rPr>
          <w:t>https://doi.org/10.3390/ijerph19031064</w:t>
        </w:r>
      </w:hyperlink>
      <w:r>
        <w:rPr>
          <w:rFonts w:ascii="Arial" w:hAnsi="Arial" w:cs="Arial"/>
          <w:sz w:val="22"/>
          <w:szCs w:val="22"/>
        </w:rPr>
        <w:t xml:space="preserve"> (Accessed: 17 July 2026).</w:t>
      </w:r>
    </w:p>
    <w:p w14:paraId="10000002"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Department for Science, Innovation and Technology (2026) Fact sheet: new rules to protect children online. GOV.UK. Available at: </w:t>
      </w:r>
      <w:hyperlink r:id="rId13" w:tgtFrame="_new" w:history="1">
        <w:r>
          <w:rPr>
            <w:rStyle w:val="Hyperlink"/>
            <w:rFonts w:ascii="Arial" w:hAnsi="Arial" w:cs="Arial"/>
            <w:sz w:val="22"/>
            <w:szCs w:val="22"/>
          </w:rPr>
          <w:t>https://www.gov.uk/government/publications/fact-sheet-new-rules-to-protect-children-online/fact-sheet-new-rules-to-protect-children-online</w:t>
        </w:r>
      </w:hyperlink>
      <w:r>
        <w:rPr>
          <w:rFonts w:ascii="Arial" w:hAnsi="Arial" w:cs="Arial"/>
          <w:sz w:val="22"/>
          <w:szCs w:val="22"/>
        </w:rPr>
        <w:t xml:space="preserve"> (Accessed: 4 August 2026).</w:t>
      </w:r>
    </w:p>
    <w:p w14:paraId="7694F34E"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Erikson, E.H. (1968) </w:t>
      </w:r>
      <w:r>
        <w:rPr>
          <w:rFonts w:ascii="Arial" w:hAnsi="Arial" w:cs="Arial"/>
          <w:i/>
          <w:iCs/>
          <w:sz w:val="22"/>
          <w:szCs w:val="22"/>
        </w:rPr>
        <w:t>Identity: Youth and Crisis</w:t>
      </w:r>
      <w:r>
        <w:rPr>
          <w:rFonts w:ascii="Arial" w:hAnsi="Arial" w:cs="Arial"/>
          <w:sz w:val="22"/>
          <w:szCs w:val="22"/>
        </w:rPr>
        <w:t>. New York: W.W. Norton.</w:t>
      </w:r>
    </w:p>
    <w:p w14:paraId="10000003"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Greater London Authority (2025) Pioneering London leads the way as Mayor invests new £810,000 to boost mental health support in schools. London City Hall. Available at: </w:t>
      </w:r>
      <w:hyperlink r:id="rId14" w:tgtFrame="_new" w:history="1">
        <w:r>
          <w:rPr>
            <w:rStyle w:val="Hyperlink"/>
            <w:rFonts w:ascii="Arial" w:hAnsi="Arial" w:cs="Arial"/>
            <w:sz w:val="22"/>
            <w:szCs w:val="22"/>
          </w:rPr>
          <w:t>https://www.london.gov.uk/media-centre/mayors-press-releases/pioneering-london-leads-way-mayor-invests-new-ps810000-boost-mental-health-support-schools</w:t>
        </w:r>
      </w:hyperlink>
      <w:r>
        <w:rPr>
          <w:rFonts w:ascii="Arial" w:hAnsi="Arial" w:cs="Arial"/>
          <w:sz w:val="22"/>
          <w:szCs w:val="22"/>
        </w:rPr>
        <w:t xml:space="preserve"> (Accessed: 4 August 2026).</w:t>
      </w:r>
    </w:p>
    <w:p w14:paraId="10000004"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lastRenderedPageBreak/>
        <w:t xml:space="preserve">House of Commons Library (2026) Proposals to ban social media for children. Available at: </w:t>
      </w:r>
      <w:hyperlink r:id="rId15" w:tgtFrame="_new" w:history="1">
        <w:r>
          <w:rPr>
            <w:rStyle w:val="Hyperlink"/>
            <w:rFonts w:ascii="Arial" w:hAnsi="Arial" w:cs="Arial"/>
            <w:sz w:val="22"/>
            <w:szCs w:val="22"/>
          </w:rPr>
          <w:t>https://commonslibrary.parliament.uk/research-briefings/cbp-10468/</w:t>
        </w:r>
      </w:hyperlink>
      <w:r>
        <w:rPr>
          <w:rFonts w:ascii="Arial" w:hAnsi="Arial" w:cs="Arial"/>
          <w:sz w:val="22"/>
          <w:szCs w:val="22"/>
        </w:rPr>
        <w:t xml:space="preserve"> (Accessed: 4 August 2026).</w:t>
      </w:r>
    </w:p>
    <w:p w14:paraId="4B46E974"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Ivie, E.J., Pettitt, A., Moses, L.J. and Allen, N.B. (2020) A meta-analysis of the association between adolescent social media use and depressive symptoms. </w:t>
      </w:r>
      <w:r>
        <w:rPr>
          <w:rFonts w:ascii="Arial" w:hAnsi="Arial" w:cs="Arial"/>
          <w:i/>
          <w:iCs/>
          <w:sz w:val="22"/>
          <w:szCs w:val="22"/>
        </w:rPr>
        <w:t>Journal of Affective Disorders</w:t>
      </w:r>
      <w:r>
        <w:rPr>
          <w:rFonts w:ascii="Arial" w:hAnsi="Arial" w:cs="Arial"/>
          <w:sz w:val="22"/>
          <w:szCs w:val="22"/>
        </w:rPr>
        <w:t xml:space="preserve">, 275, pp. 165–174. </w:t>
      </w:r>
      <w:hyperlink r:id="rId16" w:tgtFrame="_new" w:history="1">
        <w:r>
          <w:rPr>
            <w:rStyle w:val="Hyperlink"/>
            <w:rFonts w:ascii="Arial" w:hAnsi="Arial" w:cs="Arial"/>
            <w:sz w:val="22"/>
            <w:szCs w:val="22"/>
          </w:rPr>
          <w:t>https://doi.org/10.1016/j.jad.2020.06.014</w:t>
        </w:r>
      </w:hyperlink>
      <w:r>
        <w:rPr>
          <w:rFonts w:ascii="Arial" w:hAnsi="Arial" w:cs="Arial"/>
          <w:sz w:val="22"/>
          <w:szCs w:val="22"/>
        </w:rPr>
        <w:t xml:space="preserve"> (Accessed: 17 July 2026).</w:t>
      </w:r>
    </w:p>
    <w:p w14:paraId="7A76D331" w14:textId="77777777" w:rsidR="00517D57" w:rsidRPr="00517D57" w:rsidRDefault="00517D57" w:rsidP="00E55CD2">
      <w:pPr>
        <w:spacing w:before="240" w:line="360" w:lineRule="auto"/>
        <w:jc w:val="both"/>
        <w:rPr>
          <w:rFonts w:ascii="Arial" w:hAnsi="Arial" w:cs="Arial"/>
          <w:sz w:val="22"/>
          <w:szCs w:val="22"/>
        </w:rPr>
      </w:pPr>
      <w:proofErr w:type="spellStart"/>
      <w:r>
        <w:rPr>
          <w:rFonts w:ascii="Arial" w:hAnsi="Arial" w:cs="Arial"/>
          <w:sz w:val="22"/>
          <w:szCs w:val="22"/>
        </w:rPr>
        <w:t>Jiotsa</w:t>
      </w:r>
      <w:proofErr w:type="spellEnd"/>
      <w:r>
        <w:rPr>
          <w:rFonts w:ascii="Arial" w:hAnsi="Arial" w:cs="Arial"/>
          <w:sz w:val="22"/>
          <w:szCs w:val="22"/>
        </w:rPr>
        <w:t>, B., Naccache, B., Duval, M., Rocher, B. and Grall-</w:t>
      </w:r>
      <w:proofErr w:type="spellStart"/>
      <w:r>
        <w:rPr>
          <w:rFonts w:ascii="Arial" w:hAnsi="Arial" w:cs="Arial"/>
          <w:sz w:val="22"/>
          <w:szCs w:val="22"/>
        </w:rPr>
        <w:t>Bronnec</w:t>
      </w:r>
      <w:proofErr w:type="spellEnd"/>
      <w:r>
        <w:rPr>
          <w:rFonts w:ascii="Arial" w:hAnsi="Arial" w:cs="Arial"/>
          <w:sz w:val="22"/>
          <w:szCs w:val="22"/>
        </w:rPr>
        <w:t xml:space="preserve">, M. (2021) Social media use and body image disorders: association between frequency of comparing one's own physical appearance to that of people being followed on social media and body dissatisfaction and drive for thinness. </w:t>
      </w:r>
      <w:r>
        <w:rPr>
          <w:rFonts w:ascii="Arial" w:hAnsi="Arial" w:cs="Arial"/>
          <w:i/>
          <w:iCs/>
          <w:sz w:val="22"/>
          <w:szCs w:val="22"/>
        </w:rPr>
        <w:t>International Journal of Environmental Research and Public Health</w:t>
      </w:r>
      <w:r>
        <w:rPr>
          <w:rFonts w:ascii="Arial" w:hAnsi="Arial" w:cs="Arial"/>
          <w:sz w:val="22"/>
          <w:szCs w:val="22"/>
        </w:rPr>
        <w:t xml:space="preserve">, 18(6), p. 2880. </w:t>
      </w:r>
      <w:hyperlink r:id="rId17" w:tgtFrame="_new" w:history="1">
        <w:r>
          <w:rPr>
            <w:rStyle w:val="Hyperlink"/>
            <w:rFonts w:ascii="Arial" w:hAnsi="Arial" w:cs="Arial"/>
            <w:sz w:val="22"/>
            <w:szCs w:val="22"/>
          </w:rPr>
          <w:t>https://doi.org/10.3390/ijerph18062880</w:t>
        </w:r>
      </w:hyperlink>
      <w:r>
        <w:rPr>
          <w:rFonts w:ascii="Arial" w:hAnsi="Arial" w:cs="Arial"/>
          <w:sz w:val="22"/>
          <w:szCs w:val="22"/>
        </w:rPr>
        <w:t xml:space="preserve"> (Accessed: 17 July 2026).</w:t>
      </w:r>
    </w:p>
    <w:p w14:paraId="3B90E6A7"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Keles, B., McCrae, N. and Grealish, A. (2020) A systematic review: the influence of social media on depression, anxiety and psychological distress in adolescents. </w:t>
      </w:r>
      <w:r>
        <w:rPr>
          <w:rFonts w:ascii="Arial" w:hAnsi="Arial" w:cs="Arial"/>
          <w:i/>
          <w:iCs/>
          <w:sz w:val="22"/>
          <w:szCs w:val="22"/>
        </w:rPr>
        <w:t>International Journal of Adolescence and Youth</w:t>
      </w:r>
      <w:r>
        <w:rPr>
          <w:rFonts w:ascii="Arial" w:hAnsi="Arial" w:cs="Arial"/>
          <w:sz w:val="22"/>
          <w:szCs w:val="22"/>
        </w:rPr>
        <w:t xml:space="preserve">, 25(1), pp. 79–93. </w:t>
      </w:r>
      <w:hyperlink r:id="rId18" w:tgtFrame="_new" w:history="1">
        <w:r>
          <w:rPr>
            <w:rStyle w:val="Hyperlink"/>
            <w:rFonts w:ascii="Arial" w:hAnsi="Arial" w:cs="Arial"/>
            <w:sz w:val="22"/>
            <w:szCs w:val="22"/>
          </w:rPr>
          <w:t>https://doi.org/10.1080/02673843.2019.1590851</w:t>
        </w:r>
      </w:hyperlink>
      <w:r>
        <w:rPr>
          <w:rFonts w:ascii="Arial" w:hAnsi="Arial" w:cs="Arial"/>
          <w:sz w:val="22"/>
          <w:szCs w:val="22"/>
        </w:rPr>
        <w:t xml:space="preserve"> (Accessed: 17 July 2026).</w:t>
      </w:r>
    </w:p>
    <w:p w14:paraId="40ED6537"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Liu, M., Kamper-DeMarco, K.E., Zhang, J., Xiao, J., Dong, D. and Xue, P. (2022) Time spent on social media and risk of depression in adolescents: a dose-response meta-analysis. </w:t>
      </w:r>
      <w:r>
        <w:rPr>
          <w:rFonts w:ascii="Arial" w:hAnsi="Arial" w:cs="Arial"/>
          <w:i/>
          <w:iCs/>
          <w:sz w:val="22"/>
          <w:szCs w:val="22"/>
        </w:rPr>
        <w:t>International Journal of Environmental Research and Public Health</w:t>
      </w:r>
      <w:r>
        <w:rPr>
          <w:rFonts w:ascii="Arial" w:hAnsi="Arial" w:cs="Arial"/>
          <w:sz w:val="22"/>
          <w:szCs w:val="22"/>
        </w:rPr>
        <w:t xml:space="preserve">, 19(9), p. 5164. </w:t>
      </w:r>
      <w:hyperlink r:id="rId19" w:tgtFrame="_new" w:history="1">
        <w:r>
          <w:rPr>
            <w:rStyle w:val="Hyperlink"/>
            <w:rFonts w:ascii="Arial" w:hAnsi="Arial" w:cs="Arial"/>
            <w:sz w:val="22"/>
            <w:szCs w:val="22"/>
          </w:rPr>
          <w:t>https://doi.org/10.3390/ijerph19095164</w:t>
        </w:r>
      </w:hyperlink>
      <w:r>
        <w:rPr>
          <w:rFonts w:ascii="Arial" w:hAnsi="Arial" w:cs="Arial"/>
          <w:sz w:val="22"/>
          <w:szCs w:val="22"/>
        </w:rPr>
        <w:t xml:space="preserve"> (Accessed: 17 July 2026).</w:t>
      </w:r>
    </w:p>
    <w:p w14:paraId="6E50D2EF"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Mahon, C. and Hevey, D. (2021) Processing body image on social media: gender differences in adolescent boys' and girls' agency and active coping. </w:t>
      </w:r>
      <w:r>
        <w:rPr>
          <w:rFonts w:ascii="Arial" w:hAnsi="Arial" w:cs="Arial"/>
          <w:i/>
          <w:iCs/>
          <w:sz w:val="22"/>
          <w:szCs w:val="22"/>
        </w:rPr>
        <w:t>Frontiers in Psychology</w:t>
      </w:r>
      <w:r>
        <w:rPr>
          <w:rFonts w:ascii="Arial" w:hAnsi="Arial" w:cs="Arial"/>
          <w:sz w:val="22"/>
          <w:szCs w:val="22"/>
        </w:rPr>
        <w:t xml:space="preserve">, 12, p. 626763. </w:t>
      </w:r>
      <w:hyperlink r:id="rId20" w:tgtFrame="_new" w:history="1">
        <w:r>
          <w:rPr>
            <w:rStyle w:val="Hyperlink"/>
            <w:rFonts w:ascii="Arial" w:hAnsi="Arial" w:cs="Arial"/>
            <w:sz w:val="22"/>
            <w:szCs w:val="22"/>
          </w:rPr>
          <w:t>https://doi.org/10.3389/fpsyg.2021.626763</w:t>
        </w:r>
      </w:hyperlink>
      <w:r>
        <w:rPr>
          <w:rFonts w:ascii="Arial" w:hAnsi="Arial" w:cs="Arial"/>
          <w:sz w:val="22"/>
          <w:szCs w:val="22"/>
        </w:rPr>
        <w:t xml:space="preserve"> (Accessed: 17 July 2026).</w:t>
      </w:r>
    </w:p>
    <w:p w14:paraId="2DB90081"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Marciano, L., </w:t>
      </w:r>
      <w:proofErr w:type="spellStart"/>
      <w:r>
        <w:rPr>
          <w:rFonts w:ascii="Arial" w:hAnsi="Arial" w:cs="Arial"/>
          <w:sz w:val="22"/>
          <w:szCs w:val="22"/>
        </w:rPr>
        <w:t>Ostroumova</w:t>
      </w:r>
      <w:proofErr w:type="spellEnd"/>
      <w:r>
        <w:rPr>
          <w:rFonts w:ascii="Arial" w:hAnsi="Arial" w:cs="Arial"/>
          <w:sz w:val="22"/>
          <w:szCs w:val="22"/>
        </w:rPr>
        <w:t xml:space="preserve">, M., Schulz, P.J. and </w:t>
      </w:r>
      <w:proofErr w:type="spellStart"/>
      <w:r>
        <w:rPr>
          <w:rFonts w:ascii="Arial" w:hAnsi="Arial" w:cs="Arial"/>
          <w:sz w:val="22"/>
          <w:szCs w:val="22"/>
        </w:rPr>
        <w:t>Camerini</w:t>
      </w:r>
      <w:proofErr w:type="spellEnd"/>
      <w:r>
        <w:rPr>
          <w:rFonts w:ascii="Arial" w:hAnsi="Arial" w:cs="Arial"/>
          <w:sz w:val="22"/>
          <w:szCs w:val="22"/>
        </w:rPr>
        <w:t xml:space="preserve">, A.-L. (2022) Digital media use and adolescents' mental health during the COVID-19 pandemic: a systematic review and meta-analysis. </w:t>
      </w:r>
      <w:r>
        <w:rPr>
          <w:rFonts w:ascii="Arial" w:hAnsi="Arial" w:cs="Arial"/>
          <w:i/>
          <w:iCs/>
          <w:sz w:val="22"/>
          <w:szCs w:val="22"/>
        </w:rPr>
        <w:t>Frontiers in Public Health</w:t>
      </w:r>
      <w:r>
        <w:rPr>
          <w:rFonts w:ascii="Arial" w:hAnsi="Arial" w:cs="Arial"/>
          <w:sz w:val="22"/>
          <w:szCs w:val="22"/>
        </w:rPr>
        <w:t xml:space="preserve">, 9, p. 793868. </w:t>
      </w:r>
      <w:hyperlink r:id="rId21" w:tgtFrame="_new" w:history="1">
        <w:r>
          <w:rPr>
            <w:rStyle w:val="Hyperlink"/>
            <w:rFonts w:ascii="Arial" w:hAnsi="Arial" w:cs="Arial"/>
            <w:sz w:val="22"/>
            <w:szCs w:val="22"/>
          </w:rPr>
          <w:t>https://doi.org/10.3389/fpubh.2021.793868</w:t>
        </w:r>
      </w:hyperlink>
      <w:r>
        <w:rPr>
          <w:rFonts w:ascii="Arial" w:hAnsi="Arial" w:cs="Arial"/>
          <w:sz w:val="22"/>
          <w:szCs w:val="22"/>
        </w:rPr>
        <w:t xml:space="preserve"> (Accessed: 17 July 2026).</w:t>
      </w:r>
    </w:p>
    <w:p w14:paraId="2D551B13"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McCrory, A., Best, P. and Maddock, A. (2020) The relationship between highly visual social media and young people's mental health: a scoping review. </w:t>
      </w:r>
      <w:r>
        <w:rPr>
          <w:rFonts w:ascii="Arial" w:hAnsi="Arial" w:cs="Arial"/>
          <w:i/>
          <w:iCs/>
          <w:sz w:val="22"/>
          <w:szCs w:val="22"/>
        </w:rPr>
        <w:t>Children and Youth Services Review</w:t>
      </w:r>
      <w:r>
        <w:rPr>
          <w:rFonts w:ascii="Arial" w:hAnsi="Arial" w:cs="Arial"/>
          <w:sz w:val="22"/>
          <w:szCs w:val="22"/>
        </w:rPr>
        <w:t xml:space="preserve">, 115, p. 105053. </w:t>
      </w:r>
      <w:hyperlink r:id="rId22" w:tgtFrame="_new" w:history="1">
        <w:r>
          <w:rPr>
            <w:rStyle w:val="Hyperlink"/>
            <w:rFonts w:ascii="Arial" w:hAnsi="Arial" w:cs="Arial"/>
            <w:sz w:val="22"/>
            <w:szCs w:val="22"/>
          </w:rPr>
          <w:t>https://doi.org/10.1016/j.childyouth.2020.105053</w:t>
        </w:r>
      </w:hyperlink>
      <w:r>
        <w:rPr>
          <w:rFonts w:ascii="Arial" w:hAnsi="Arial" w:cs="Arial"/>
          <w:sz w:val="22"/>
          <w:szCs w:val="22"/>
        </w:rPr>
        <w:t xml:space="preserve"> (Accessed: 17 July 2026).</w:t>
      </w:r>
    </w:p>
    <w:p w14:paraId="34FC62F2"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lastRenderedPageBreak/>
        <w:t xml:space="preserve">Orben, A., Przybylski, A.K., Blakemore, S.-J. and Kievit, R.A. (2022) Windows of developmental sensitivity to social media. </w:t>
      </w:r>
      <w:r>
        <w:rPr>
          <w:rFonts w:ascii="Arial" w:hAnsi="Arial" w:cs="Arial"/>
          <w:i/>
          <w:iCs/>
          <w:sz w:val="22"/>
          <w:szCs w:val="22"/>
        </w:rPr>
        <w:t>Nature Communications</w:t>
      </w:r>
      <w:r>
        <w:rPr>
          <w:rFonts w:ascii="Arial" w:hAnsi="Arial" w:cs="Arial"/>
          <w:sz w:val="22"/>
          <w:szCs w:val="22"/>
        </w:rPr>
        <w:t xml:space="preserve">, 13(1), p. 1649. </w:t>
      </w:r>
      <w:hyperlink r:id="rId23" w:tgtFrame="_new" w:history="1">
        <w:r>
          <w:rPr>
            <w:rStyle w:val="Hyperlink"/>
            <w:rFonts w:ascii="Arial" w:hAnsi="Arial" w:cs="Arial"/>
            <w:sz w:val="22"/>
            <w:szCs w:val="22"/>
          </w:rPr>
          <w:t>https://doi.org/10.1038/s41467-022-29296-3</w:t>
        </w:r>
      </w:hyperlink>
      <w:r>
        <w:rPr>
          <w:rFonts w:ascii="Arial" w:hAnsi="Arial" w:cs="Arial"/>
          <w:sz w:val="22"/>
          <w:szCs w:val="22"/>
        </w:rPr>
        <w:t xml:space="preserve"> (Accessed: 17 July 2026).</w:t>
      </w:r>
    </w:p>
    <w:p w14:paraId="10000005" w14:textId="77777777" w:rsidR="00060E18" w:rsidRPr="00060E18" w:rsidRDefault="00060E18" w:rsidP="00E55CD2">
      <w:pPr>
        <w:spacing w:before="240" w:line="360" w:lineRule="auto"/>
        <w:jc w:val="both"/>
        <w:rPr>
          <w:rFonts w:ascii="Arial" w:hAnsi="Arial" w:cs="Arial"/>
          <w:sz w:val="22"/>
          <w:szCs w:val="22"/>
        </w:rPr>
      </w:pPr>
      <w:r>
        <w:rPr>
          <w:rFonts w:ascii="Arial" w:hAnsi="Arial" w:cs="Arial"/>
          <w:sz w:val="22"/>
          <w:szCs w:val="22"/>
        </w:rPr>
        <w:t xml:space="preserve">Osborne Clarke (2026) Digital regulation. UK Regulatory Outlook February 2026. Available at: </w:t>
      </w:r>
      <w:hyperlink r:id="rId24" w:tgtFrame="_new" w:history="1">
        <w:r>
          <w:rPr>
            <w:rStyle w:val="Hyperlink"/>
            <w:rFonts w:ascii="Arial" w:hAnsi="Arial" w:cs="Arial"/>
            <w:sz w:val="22"/>
            <w:szCs w:val="22"/>
          </w:rPr>
          <w:t>https://www.osborneclarke.com/insights/regulatory-outlook-february-2026-digital-regulation</w:t>
        </w:r>
      </w:hyperlink>
      <w:r>
        <w:rPr>
          <w:rFonts w:ascii="Arial" w:hAnsi="Arial" w:cs="Arial"/>
          <w:sz w:val="22"/>
          <w:szCs w:val="22"/>
        </w:rPr>
        <w:t xml:space="preserve"> (Accessed: 4 August 2026).</w:t>
      </w:r>
    </w:p>
    <w:p w14:paraId="516CBCD9"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Plackett, R., Sheringham, J. and </w:t>
      </w:r>
      <w:proofErr w:type="spellStart"/>
      <w:r>
        <w:rPr>
          <w:rFonts w:ascii="Arial" w:hAnsi="Arial" w:cs="Arial"/>
          <w:sz w:val="22"/>
          <w:szCs w:val="22"/>
        </w:rPr>
        <w:t>Dykxhoorn</w:t>
      </w:r>
      <w:proofErr w:type="spellEnd"/>
      <w:r>
        <w:rPr>
          <w:rFonts w:ascii="Arial" w:hAnsi="Arial" w:cs="Arial"/>
          <w:sz w:val="22"/>
          <w:szCs w:val="22"/>
        </w:rPr>
        <w:t xml:space="preserve">, J. (2023) The longitudinal impact of social media use on UK adolescents' mental health: longitudinal observational study. </w:t>
      </w:r>
      <w:r>
        <w:rPr>
          <w:rFonts w:ascii="Arial" w:hAnsi="Arial" w:cs="Arial"/>
          <w:i/>
          <w:iCs/>
          <w:sz w:val="22"/>
          <w:szCs w:val="22"/>
        </w:rPr>
        <w:t>Journal of Medical Internet Research</w:t>
      </w:r>
      <w:r>
        <w:rPr>
          <w:rFonts w:ascii="Arial" w:hAnsi="Arial" w:cs="Arial"/>
          <w:sz w:val="22"/>
          <w:szCs w:val="22"/>
        </w:rPr>
        <w:t xml:space="preserve">, 25, e43213. </w:t>
      </w:r>
      <w:hyperlink r:id="rId25" w:tgtFrame="_new" w:history="1">
        <w:r>
          <w:rPr>
            <w:rStyle w:val="Hyperlink"/>
            <w:rFonts w:ascii="Arial" w:hAnsi="Arial" w:cs="Arial"/>
            <w:sz w:val="22"/>
            <w:szCs w:val="22"/>
          </w:rPr>
          <w:t>https://doi.org/10.2196/43213</w:t>
        </w:r>
      </w:hyperlink>
      <w:r>
        <w:rPr>
          <w:rFonts w:ascii="Arial" w:hAnsi="Arial" w:cs="Arial"/>
          <w:sz w:val="22"/>
          <w:szCs w:val="22"/>
        </w:rPr>
        <w:t xml:space="preserve"> (Accessed: 17 July 2026).</w:t>
      </w:r>
    </w:p>
    <w:p w14:paraId="5395AFFD"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Shannon, H., Bush, K., Villeneuve, P.J., </w:t>
      </w:r>
      <w:proofErr w:type="spellStart"/>
      <w:r>
        <w:rPr>
          <w:rFonts w:ascii="Arial" w:hAnsi="Arial" w:cs="Arial"/>
          <w:sz w:val="22"/>
          <w:szCs w:val="22"/>
        </w:rPr>
        <w:t>Hellemans</w:t>
      </w:r>
      <w:proofErr w:type="spellEnd"/>
      <w:r>
        <w:rPr>
          <w:rFonts w:ascii="Arial" w:hAnsi="Arial" w:cs="Arial"/>
          <w:sz w:val="22"/>
          <w:szCs w:val="22"/>
        </w:rPr>
        <w:t xml:space="preserve">, K.G.C. and Guimond, S. (2022) Problematic social media use in adolescents and young adults: systematic review and meta-analysis. </w:t>
      </w:r>
      <w:r>
        <w:rPr>
          <w:rFonts w:ascii="Arial" w:hAnsi="Arial" w:cs="Arial"/>
          <w:i/>
          <w:iCs/>
          <w:sz w:val="22"/>
          <w:szCs w:val="22"/>
        </w:rPr>
        <w:t>JMIR Mental Health</w:t>
      </w:r>
      <w:r>
        <w:rPr>
          <w:rFonts w:ascii="Arial" w:hAnsi="Arial" w:cs="Arial"/>
          <w:sz w:val="22"/>
          <w:szCs w:val="22"/>
        </w:rPr>
        <w:t xml:space="preserve">, 9(4), e33450. </w:t>
      </w:r>
      <w:hyperlink r:id="rId26" w:tgtFrame="_new" w:history="1">
        <w:r>
          <w:rPr>
            <w:rStyle w:val="Hyperlink"/>
            <w:rFonts w:ascii="Arial" w:hAnsi="Arial" w:cs="Arial"/>
            <w:sz w:val="22"/>
            <w:szCs w:val="22"/>
          </w:rPr>
          <w:t>https://doi.org/10.2196/33450</w:t>
        </w:r>
      </w:hyperlink>
      <w:r>
        <w:rPr>
          <w:rFonts w:ascii="Arial" w:hAnsi="Arial" w:cs="Arial"/>
          <w:sz w:val="22"/>
          <w:szCs w:val="22"/>
        </w:rPr>
        <w:t xml:space="preserve"> (Accessed: 17 July 2026).</w:t>
      </w:r>
    </w:p>
    <w:p w14:paraId="308D70FA" w14:textId="77777777" w:rsidR="00517D57" w:rsidRPr="00517D57" w:rsidRDefault="00517D57" w:rsidP="00E55CD2">
      <w:pPr>
        <w:spacing w:before="240" w:line="360" w:lineRule="auto"/>
        <w:jc w:val="both"/>
        <w:rPr>
          <w:rFonts w:ascii="Arial" w:hAnsi="Arial" w:cs="Arial"/>
          <w:sz w:val="22"/>
          <w:szCs w:val="22"/>
        </w:rPr>
      </w:pPr>
      <w:r>
        <w:rPr>
          <w:rFonts w:ascii="Arial" w:hAnsi="Arial" w:cs="Arial"/>
          <w:sz w:val="22"/>
          <w:szCs w:val="22"/>
        </w:rPr>
        <w:t xml:space="preserve">Valkenburg, P.M., Meier, A. and </w:t>
      </w:r>
      <w:proofErr w:type="spellStart"/>
      <w:r>
        <w:rPr>
          <w:rFonts w:ascii="Arial" w:hAnsi="Arial" w:cs="Arial"/>
          <w:sz w:val="22"/>
          <w:szCs w:val="22"/>
        </w:rPr>
        <w:t>Beyens</w:t>
      </w:r>
      <w:proofErr w:type="spellEnd"/>
      <w:r>
        <w:rPr>
          <w:rFonts w:ascii="Arial" w:hAnsi="Arial" w:cs="Arial"/>
          <w:sz w:val="22"/>
          <w:szCs w:val="22"/>
        </w:rPr>
        <w:t xml:space="preserve">, I. (2022) Social media use and its impact on adolescent mental health: an umbrella review of the evidence. </w:t>
      </w:r>
      <w:r>
        <w:rPr>
          <w:rFonts w:ascii="Arial" w:hAnsi="Arial" w:cs="Arial"/>
          <w:i/>
          <w:iCs/>
          <w:sz w:val="22"/>
          <w:szCs w:val="22"/>
        </w:rPr>
        <w:t>Current Opinion in Psychology</w:t>
      </w:r>
      <w:r>
        <w:rPr>
          <w:rFonts w:ascii="Arial" w:hAnsi="Arial" w:cs="Arial"/>
          <w:sz w:val="22"/>
          <w:szCs w:val="22"/>
        </w:rPr>
        <w:t xml:space="preserve">, 44, pp. 58–68. </w:t>
      </w:r>
      <w:hyperlink r:id="rId27" w:tgtFrame="_new" w:history="1">
        <w:r>
          <w:rPr>
            <w:rStyle w:val="Hyperlink"/>
            <w:rFonts w:ascii="Arial" w:hAnsi="Arial" w:cs="Arial"/>
            <w:sz w:val="22"/>
            <w:szCs w:val="22"/>
          </w:rPr>
          <w:t>https://doi.org/10.1016/j.copsyc.2021.08.017</w:t>
        </w:r>
      </w:hyperlink>
      <w:r>
        <w:rPr>
          <w:rFonts w:ascii="Arial" w:hAnsi="Arial" w:cs="Arial"/>
          <w:sz w:val="22"/>
          <w:szCs w:val="22"/>
        </w:rPr>
        <w:t xml:space="preserve"> (Accessed: 17 July 2026).</w:t>
      </w:r>
    </w:p>
    <w:p w14:paraId="1C63A59F" w14:textId="5ECBB5C3" w:rsidR="00801356" w:rsidRPr="00517D57" w:rsidRDefault="00801356" w:rsidP="00517D57">
      <w:pPr>
        <w:spacing w:before="240"/>
        <w:rPr>
          <w:rFonts w:ascii="Arial" w:hAnsi="Arial" w:cs="Arial"/>
          <w:sz w:val="22"/>
          <w:szCs w:val="22"/>
        </w:rPr>
      </w:pPr>
    </w:p>
    <w:sectPr w:rsidR="00801356" w:rsidRPr="00517D57">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13DF7" w14:textId="77777777" w:rsidR="003B6181" w:rsidRDefault="003B6181">
      <w:r>
        <w:separator/>
      </w:r>
    </w:p>
  </w:endnote>
  <w:endnote w:type="continuationSeparator" w:id="0">
    <w:p w14:paraId="61B8ABD5" w14:textId="77777777" w:rsidR="003B6181" w:rsidRDefault="003B61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CE650" w14:textId="77777777" w:rsidR="00801356" w:rsidRDefault="0014026D">
    <w:pPr>
      <w:jc w:val="cente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sidR="00A54F14">
      <w:rPr>
        <w:rFonts w:ascii="Arial" w:eastAsia="Arial" w:hAnsi="Arial" w:cs="Arial"/>
        <w:noProof/>
        <w:sz w:val="22"/>
        <w:szCs w:val="22"/>
      </w:rPr>
      <w:t>7</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C7436" w14:textId="77777777" w:rsidR="003B6181" w:rsidRDefault="003B6181">
      <w:r>
        <w:separator/>
      </w:r>
    </w:p>
  </w:footnote>
  <w:footnote w:type="continuationSeparator" w:id="0">
    <w:p w14:paraId="122C08BE" w14:textId="77777777" w:rsidR="003B6181" w:rsidRDefault="003B61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310B4" w14:textId="77777777" w:rsidR="00801356" w:rsidRDefault="0080135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015315"/>
    <w:multiLevelType w:val="hybridMultilevel"/>
    <w:tmpl w:val="381E6888"/>
    <w:lvl w:ilvl="0" w:tplc="9064BC1E">
      <w:start w:val="1"/>
      <w:numFmt w:val="bullet"/>
      <w:lvlText w:val="●"/>
      <w:lvlJc w:val="left"/>
      <w:pPr>
        <w:ind w:left="720" w:hanging="360"/>
      </w:pPr>
    </w:lvl>
    <w:lvl w:ilvl="1" w:tplc="6B6EEE96">
      <w:start w:val="1"/>
      <w:numFmt w:val="bullet"/>
      <w:lvlText w:val="○"/>
      <w:lvlJc w:val="left"/>
      <w:pPr>
        <w:ind w:left="1440" w:hanging="360"/>
      </w:pPr>
    </w:lvl>
    <w:lvl w:ilvl="2" w:tplc="A5264276">
      <w:start w:val="1"/>
      <w:numFmt w:val="bullet"/>
      <w:lvlText w:val="■"/>
      <w:lvlJc w:val="left"/>
      <w:pPr>
        <w:ind w:left="2160" w:hanging="360"/>
      </w:pPr>
    </w:lvl>
    <w:lvl w:ilvl="3" w:tplc="290E82B4">
      <w:start w:val="1"/>
      <w:numFmt w:val="bullet"/>
      <w:lvlText w:val="●"/>
      <w:lvlJc w:val="left"/>
      <w:pPr>
        <w:ind w:left="2880" w:hanging="360"/>
      </w:pPr>
    </w:lvl>
    <w:lvl w:ilvl="4" w:tplc="AB4E826E">
      <w:start w:val="1"/>
      <w:numFmt w:val="bullet"/>
      <w:lvlText w:val="○"/>
      <w:lvlJc w:val="left"/>
      <w:pPr>
        <w:ind w:left="3600" w:hanging="360"/>
      </w:pPr>
    </w:lvl>
    <w:lvl w:ilvl="5" w:tplc="56D0C6F8">
      <w:start w:val="1"/>
      <w:numFmt w:val="bullet"/>
      <w:lvlText w:val="■"/>
      <w:lvlJc w:val="left"/>
      <w:pPr>
        <w:ind w:left="4320" w:hanging="360"/>
      </w:pPr>
    </w:lvl>
    <w:lvl w:ilvl="6" w:tplc="8FAE81EA">
      <w:start w:val="1"/>
      <w:numFmt w:val="bullet"/>
      <w:lvlText w:val="●"/>
      <w:lvlJc w:val="left"/>
      <w:pPr>
        <w:ind w:left="5040" w:hanging="360"/>
      </w:pPr>
    </w:lvl>
    <w:lvl w:ilvl="7" w:tplc="5464E718">
      <w:start w:val="1"/>
      <w:numFmt w:val="bullet"/>
      <w:lvlText w:val="●"/>
      <w:lvlJc w:val="left"/>
      <w:pPr>
        <w:ind w:left="5760" w:hanging="360"/>
      </w:pPr>
    </w:lvl>
    <w:lvl w:ilvl="8" w:tplc="2C482776">
      <w:start w:val="1"/>
      <w:numFmt w:val="bullet"/>
      <w:lvlText w:val="●"/>
      <w:lvlJc w:val="left"/>
      <w:pPr>
        <w:ind w:left="6480" w:hanging="360"/>
      </w:pPr>
    </w:lvl>
  </w:abstractNum>
  <w:num w:numId="1" w16cid:durableId="20583126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356"/>
    <w:rsid w:val="00060E18"/>
    <w:rsid w:val="0014026D"/>
    <w:rsid w:val="00172E8B"/>
    <w:rsid w:val="0017722F"/>
    <w:rsid w:val="001908AF"/>
    <w:rsid w:val="00241B7F"/>
    <w:rsid w:val="002964D7"/>
    <w:rsid w:val="003B6181"/>
    <w:rsid w:val="003E783A"/>
    <w:rsid w:val="004C4920"/>
    <w:rsid w:val="00517D57"/>
    <w:rsid w:val="005F0D28"/>
    <w:rsid w:val="007A4BE4"/>
    <w:rsid w:val="00801356"/>
    <w:rsid w:val="008E72E2"/>
    <w:rsid w:val="00A52B9A"/>
    <w:rsid w:val="00A54F14"/>
    <w:rsid w:val="00AE0894"/>
    <w:rsid w:val="00B002D6"/>
    <w:rsid w:val="00B1434C"/>
    <w:rsid w:val="00CD6DE2"/>
    <w:rsid w:val="00DE2BAB"/>
    <w:rsid w:val="00DE5FCE"/>
    <w:rsid w:val="00E2068A"/>
    <w:rsid w:val="00E55CD2"/>
    <w:rsid w:val="00F216B9"/>
    <w:rsid w:val="00F24E52"/>
    <w:rsid w:val="00F35717"/>
    <w:rsid w:val="00FD3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C7B99"/>
  <w15:docId w15:val="{DE998234-0B31-43BB-A730-868C28F80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UnresolvedMention1">
    <w:name w:val="Unresolved Mention1"/>
    <w:basedOn w:val="DefaultParagraphFont"/>
    <w:uiPriority w:val="99"/>
    <w:semiHidden/>
    <w:unhideWhenUsed/>
    <w:rsid w:val="00517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arnetpost.co.uk/2025/02/18/schools-in-barnet-agree-to-go-smartphone-free/" TargetMode="External"/><Relationship Id="rId13" Type="http://schemas.openxmlformats.org/officeDocument/2006/relationships/hyperlink" Target="https://www.gov.uk/government/publications/fact-sheet-new-rules-to-protect-children-online/fact-sheet-new-rules-to-protect-children-online" TargetMode="External"/><Relationship Id="rId18" Type="http://schemas.openxmlformats.org/officeDocument/2006/relationships/hyperlink" Target="https://doi.org/10.1080/02673843.2019.1590851" TargetMode="External"/><Relationship Id="rId26" Type="http://schemas.openxmlformats.org/officeDocument/2006/relationships/hyperlink" Target="https://doi.org/10.2196/33450" TargetMode="External"/><Relationship Id="rId3" Type="http://schemas.openxmlformats.org/officeDocument/2006/relationships/settings" Target="settings.xml"/><Relationship Id="rId21" Type="http://schemas.openxmlformats.org/officeDocument/2006/relationships/hyperlink" Target="https://doi.org/10.3389/fpubh.2021.793868" TargetMode="External"/><Relationship Id="rId7" Type="http://schemas.openxmlformats.org/officeDocument/2006/relationships/hyperlink" Target="https://doi.org/10.3390/bs15050574" TargetMode="External"/><Relationship Id="rId12" Type="http://schemas.openxmlformats.org/officeDocument/2006/relationships/hyperlink" Target="https://doi.org/10.3390/ijerph19031064" TargetMode="External"/><Relationship Id="rId17" Type="http://schemas.openxmlformats.org/officeDocument/2006/relationships/hyperlink" Target="https://doi.org/10.3390/ijerph18062880" TargetMode="External"/><Relationship Id="rId25" Type="http://schemas.openxmlformats.org/officeDocument/2006/relationships/hyperlink" Target="https://doi.org/10.2196/43213" TargetMode="External"/><Relationship Id="rId2" Type="http://schemas.openxmlformats.org/officeDocument/2006/relationships/styles" Target="styles.xml"/><Relationship Id="rId16" Type="http://schemas.openxmlformats.org/officeDocument/2006/relationships/hyperlink" Target="https://doi.org/10.1016/j.jad.2020.06.014" TargetMode="External"/><Relationship Id="rId20" Type="http://schemas.openxmlformats.org/officeDocument/2006/relationships/hyperlink" Target="https://doi.org/10.3389/fpsyg.2021.626763"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0802-020-00715-7" TargetMode="External"/><Relationship Id="rId24" Type="http://schemas.openxmlformats.org/officeDocument/2006/relationships/hyperlink" Target="https://www.osborneclarke.com/insights/regulatory-outlook-february-2026-digital-regulation" TargetMode="External"/><Relationship Id="rId5" Type="http://schemas.openxmlformats.org/officeDocument/2006/relationships/footnotes" Target="footnotes.xml"/><Relationship Id="rId15" Type="http://schemas.openxmlformats.org/officeDocument/2006/relationships/hyperlink" Target="https://commonslibrary.parliament.uk/research-briefings/cbp-10468/" TargetMode="External"/><Relationship Id="rId23" Type="http://schemas.openxmlformats.org/officeDocument/2006/relationships/hyperlink" Target="https://doi.org/10.1038/s41467-022-29296-3" TargetMode="External"/><Relationship Id="rId28" Type="http://schemas.openxmlformats.org/officeDocument/2006/relationships/header" Target="header1.xml"/><Relationship Id="rId10" Type="http://schemas.openxmlformats.org/officeDocument/2006/relationships/hyperlink" Target="https://doi.org/10.1111/jora.12678" TargetMode="External"/><Relationship Id="rId19" Type="http://schemas.openxmlformats.org/officeDocument/2006/relationships/hyperlink" Target="https://doi.org/10.3390/ijerph1909516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8/s41598-020-67727-7" TargetMode="External"/><Relationship Id="rId14" Type="http://schemas.openxmlformats.org/officeDocument/2006/relationships/hyperlink" Target="https://www.london.gov.uk/media-centre/mayors-press-releases/pioneering-london-leads-way-mayor-invests-new-ps810000-boost-mental-health-support-schools" TargetMode="External"/><Relationship Id="rId22" Type="http://schemas.openxmlformats.org/officeDocument/2006/relationships/hyperlink" Target="https://doi.org/10.1016/j.childyouth.2020.105053" TargetMode="External"/><Relationship Id="rId27" Type="http://schemas.openxmlformats.org/officeDocument/2006/relationships/hyperlink" Target="https://doi.org/10.1016/j.copsyc.2021.08.01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3217</Words>
  <Characters>18340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Kwame</dc:creator>
  <cp:lastModifiedBy>Esther Okunuga (2509873)</cp:lastModifiedBy>
  <cp:revision>2</cp:revision>
  <dcterms:created xsi:type="dcterms:W3CDTF">2026-08-17T09:11:00Z</dcterms:created>
  <dcterms:modified xsi:type="dcterms:W3CDTF">2026-08-17T09:11:00Z</dcterms:modified>
</cp:coreProperties>
</file>