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A74DA" w14:textId="77777777" w:rsidR="001A49BD" w:rsidRDefault="001A49BD">
      <w:pPr>
        <w:pStyle w:val="Heading1"/>
      </w:pPr>
    </w:p>
    <w:p w14:paraId="728BA5AA" w14:textId="77777777" w:rsidR="001A49BD" w:rsidRDefault="001A49BD">
      <w:pPr>
        <w:pStyle w:val="Heading1"/>
      </w:pPr>
    </w:p>
    <w:p w14:paraId="7E924F7E" w14:textId="77777777" w:rsidR="001A49BD" w:rsidRPr="001A49BD" w:rsidRDefault="001A49BD" w:rsidP="001A49BD">
      <w:pPr>
        <w:pStyle w:val="Heading1"/>
        <w:rPr>
          <w:color w:val="000000" w:themeColor="text1"/>
        </w:rPr>
      </w:pPr>
      <w:r w:rsidRPr="66B701DF">
        <w:rPr>
          <w:color w:val="000000" w:themeColor="text1"/>
        </w:rPr>
        <w:t>BSc Health and Social Care</w:t>
      </w:r>
    </w:p>
    <w:p w14:paraId="4E0096C6" w14:textId="77777777" w:rsidR="001A49BD" w:rsidRPr="001A49BD" w:rsidRDefault="001A49BD" w:rsidP="001A49BD">
      <w:pPr>
        <w:pStyle w:val="Heading1"/>
        <w:rPr>
          <w:rFonts w:cs="Arial"/>
          <w:color w:val="000000" w:themeColor="text1"/>
          <w:sz w:val="27"/>
          <w:szCs w:val="27"/>
          <w:lang w:eastAsia="en-GB"/>
        </w:rPr>
      </w:pPr>
    </w:p>
    <w:p w14:paraId="07A50978" w14:textId="77777777" w:rsidR="001A49BD" w:rsidRPr="001A49BD" w:rsidRDefault="001A49BD" w:rsidP="001A49BD">
      <w:pPr>
        <w:pStyle w:val="Heading1"/>
        <w:rPr>
          <w:rFonts w:ascii="-webkit-standard" w:hAnsi="-webkit-standard" w:cs="Times New Roman" w:hint="eastAsia"/>
          <w:color w:val="000000" w:themeColor="text1"/>
          <w:sz w:val="27"/>
          <w:szCs w:val="27"/>
          <w:lang w:eastAsia="en-GB"/>
        </w:rPr>
      </w:pPr>
      <w:r w:rsidRPr="66B701DF">
        <w:rPr>
          <w:rFonts w:cs="Arial"/>
          <w:color w:val="000000" w:themeColor="text1"/>
          <w:sz w:val="27"/>
          <w:szCs w:val="27"/>
        </w:rPr>
        <w:t>Module: Principles of Health and Social Care Practice</w:t>
      </w:r>
    </w:p>
    <w:p w14:paraId="6168E468" w14:textId="77777777" w:rsidR="001A49BD" w:rsidRPr="001A49BD" w:rsidRDefault="001A49BD" w:rsidP="001A49BD">
      <w:pPr>
        <w:pStyle w:val="Heading1"/>
        <w:rPr>
          <w:rFonts w:ascii="-webkit-standard" w:hAnsi="-webkit-standard" w:cs="Times New Roman" w:hint="eastAsia"/>
          <w:color w:val="000000" w:themeColor="text1"/>
          <w:sz w:val="27"/>
          <w:szCs w:val="27"/>
          <w:lang w:eastAsia="en-GB"/>
        </w:rPr>
      </w:pPr>
      <w:r w:rsidRPr="66B701DF">
        <w:rPr>
          <w:rFonts w:cs="Arial"/>
          <w:color w:val="000000" w:themeColor="text1"/>
          <w:sz w:val="27"/>
          <w:szCs w:val="27"/>
        </w:rPr>
        <w:t>Module Code: BMHP5016</w:t>
      </w:r>
    </w:p>
    <w:p w14:paraId="100F633E" w14:textId="77777777" w:rsidR="001A49BD" w:rsidRPr="001A49BD" w:rsidRDefault="001A49BD" w:rsidP="001A49BD">
      <w:pPr>
        <w:pStyle w:val="Heading1"/>
        <w:rPr>
          <w:rFonts w:ascii="-webkit-standard" w:hAnsi="-webkit-standard" w:cs="Times New Roman" w:hint="eastAsia"/>
          <w:color w:val="000000" w:themeColor="text1"/>
          <w:sz w:val="27"/>
          <w:szCs w:val="27"/>
          <w:lang w:eastAsia="en-GB"/>
        </w:rPr>
      </w:pPr>
      <w:r w:rsidRPr="66B701DF">
        <w:rPr>
          <w:rFonts w:cs="Arial"/>
          <w:color w:val="000000" w:themeColor="text1"/>
          <w:sz w:val="27"/>
          <w:szCs w:val="27"/>
        </w:rPr>
        <w:t>Assignment Title: Component 2: Written Report – Person-Centred Care and Partnership Working</w:t>
      </w:r>
    </w:p>
    <w:p w14:paraId="395F05DC" w14:textId="77777777" w:rsidR="001A49BD" w:rsidRPr="001A49BD" w:rsidRDefault="001A49BD" w:rsidP="001A49BD">
      <w:pPr>
        <w:pStyle w:val="Heading1"/>
        <w:rPr>
          <w:rFonts w:ascii="-webkit-standard" w:hAnsi="-webkit-standard" w:cs="Times New Roman" w:hint="eastAsia"/>
          <w:color w:val="000000" w:themeColor="text1"/>
          <w:sz w:val="27"/>
          <w:szCs w:val="27"/>
          <w:lang w:eastAsia="en-GB"/>
        </w:rPr>
      </w:pPr>
      <w:r w:rsidRPr="66B701DF">
        <w:rPr>
          <w:rFonts w:cs="Arial"/>
          <w:color w:val="000000" w:themeColor="text1"/>
          <w:sz w:val="27"/>
          <w:szCs w:val="27"/>
        </w:rPr>
        <w:t>Student Name: Sofia Hameed Rafaqat</w:t>
      </w:r>
    </w:p>
    <w:p w14:paraId="0D709594" w14:textId="77777777" w:rsidR="001A49BD" w:rsidRPr="001A49BD" w:rsidRDefault="001A49BD" w:rsidP="001A49BD">
      <w:pPr>
        <w:pStyle w:val="Heading1"/>
        <w:rPr>
          <w:rFonts w:ascii="-webkit-standard" w:hAnsi="-webkit-standard" w:cs="Times New Roman" w:hint="eastAsia"/>
          <w:color w:val="000000" w:themeColor="text1"/>
          <w:sz w:val="27"/>
          <w:szCs w:val="27"/>
          <w:lang w:eastAsia="en-GB"/>
        </w:rPr>
      </w:pPr>
      <w:r w:rsidRPr="66B701DF">
        <w:rPr>
          <w:rFonts w:cs="Arial"/>
          <w:color w:val="000000" w:themeColor="text1"/>
          <w:sz w:val="27"/>
          <w:szCs w:val="27"/>
        </w:rPr>
        <w:t>Student Number: 2131225</w:t>
      </w:r>
    </w:p>
    <w:p w14:paraId="3326FB46" w14:textId="519ED6DD" w:rsidR="001A49BD" w:rsidRPr="001A49BD" w:rsidRDefault="001A49BD" w:rsidP="001A49BD">
      <w:pPr>
        <w:pStyle w:val="Heading1"/>
        <w:rPr>
          <w:rFonts w:ascii="-webkit-standard" w:hAnsi="-webkit-standard" w:cs="Times New Roman" w:hint="eastAsia"/>
          <w:color w:val="000000" w:themeColor="text1"/>
          <w:sz w:val="27"/>
          <w:szCs w:val="27"/>
          <w:lang w:eastAsia="en-GB"/>
        </w:rPr>
      </w:pPr>
      <w:r w:rsidRPr="66B701DF">
        <w:rPr>
          <w:rFonts w:cs="Arial"/>
          <w:color w:val="000000" w:themeColor="text1"/>
          <w:sz w:val="27"/>
          <w:szCs w:val="27"/>
        </w:rPr>
        <w:t xml:space="preserve">Word Count: </w:t>
      </w:r>
      <w:r w:rsidR="00184097" w:rsidRPr="66B701DF">
        <w:rPr>
          <w:rFonts w:cs="Arial"/>
          <w:color w:val="000000" w:themeColor="text1"/>
          <w:sz w:val="27"/>
          <w:szCs w:val="27"/>
        </w:rPr>
        <w:t>2,030</w:t>
      </w:r>
    </w:p>
    <w:p w14:paraId="79828238" w14:textId="77777777" w:rsidR="001A49BD" w:rsidRPr="001A49BD" w:rsidRDefault="001A49BD" w:rsidP="001A49BD">
      <w:pPr>
        <w:pStyle w:val="Heading1"/>
        <w:rPr>
          <w:rFonts w:cs="Arial"/>
          <w:color w:val="000000" w:themeColor="text1"/>
          <w:sz w:val="27"/>
          <w:szCs w:val="27"/>
          <w:lang w:eastAsia="en-GB"/>
        </w:rPr>
      </w:pPr>
      <w:r w:rsidRPr="66B701DF">
        <w:rPr>
          <w:rFonts w:cs="Arial"/>
          <w:color w:val="000000" w:themeColor="text1"/>
          <w:sz w:val="27"/>
          <w:szCs w:val="27"/>
        </w:rPr>
        <w:t xml:space="preserve"> Date: 17th November 2025</w:t>
      </w:r>
    </w:p>
    <w:p w14:paraId="1ECA9DB9" w14:textId="77777777" w:rsidR="001A49BD" w:rsidRPr="001A49BD" w:rsidRDefault="001A49BD" w:rsidP="001A49BD">
      <w:pPr>
        <w:pStyle w:val="Heading1"/>
        <w:rPr>
          <w:rFonts w:cs="Arial"/>
          <w:color w:val="000000" w:themeColor="text1"/>
          <w:sz w:val="27"/>
          <w:szCs w:val="27"/>
          <w:lang w:eastAsia="en-GB"/>
        </w:rPr>
      </w:pPr>
      <w:r w:rsidRPr="66B701DF">
        <w:rPr>
          <w:rFonts w:cs="Arial"/>
          <w:color w:val="000000" w:themeColor="text1"/>
          <w:sz w:val="27"/>
          <w:szCs w:val="27"/>
        </w:rPr>
        <w:t xml:space="preserve"> Lecturer: Farah Islam</w:t>
      </w:r>
    </w:p>
    <w:p w14:paraId="60400634" w14:textId="3A539166" w:rsidR="3F7B033E" w:rsidRDefault="3F7B033E" w:rsidP="3F7B033E">
      <w:pPr>
        <w:pStyle w:val="Heading1"/>
        <w:rPr>
          <w:rFonts w:ascii="Calibri" w:hAnsi="Calibri" w:cs="Times New Roman"/>
          <w:color w:val="000000" w:themeColor="text1"/>
          <w:sz w:val="32"/>
          <w:szCs w:val="32"/>
        </w:rPr>
      </w:pPr>
    </w:p>
    <w:p w14:paraId="011F4D09" w14:textId="66519C57" w:rsidR="15BE9F35" w:rsidRDefault="15BE9F35" w:rsidP="15BE9F35">
      <w:pPr>
        <w:pStyle w:val="Heading1"/>
        <w:rPr>
          <w:rFonts w:ascii="Calibri" w:hAnsi="Calibri" w:cs="Times New Roman"/>
          <w:color w:val="000000" w:themeColor="text1"/>
          <w:sz w:val="32"/>
          <w:szCs w:val="32"/>
        </w:rPr>
      </w:pPr>
    </w:p>
    <w:p w14:paraId="5E1193F4" w14:textId="77777777" w:rsidR="001A49BD" w:rsidRPr="001A49BD" w:rsidRDefault="001A49BD" w:rsidP="001A49BD">
      <w:pPr>
        <w:pStyle w:val="Heading1"/>
        <w:rPr>
          <w:rFonts w:ascii="-webkit-standard" w:hAnsi="-webkit-standard" w:cs="Times New Roman" w:hint="eastAsia"/>
          <w:color w:val="000000" w:themeColor="text1"/>
          <w:sz w:val="27"/>
          <w:szCs w:val="27"/>
          <w:lang w:eastAsia="en-GB"/>
        </w:rPr>
      </w:pPr>
      <w:r w:rsidRPr="66B701DF">
        <w:rPr>
          <w:rFonts w:ascii="Calibri" w:hAnsi="Calibri" w:cs="Times New Roman"/>
          <w:color w:val="000000" w:themeColor="text1"/>
          <w:sz w:val="32"/>
          <w:szCs w:val="32"/>
        </w:rPr>
        <w:t>Contents</w:t>
      </w:r>
    </w:p>
    <w:p w14:paraId="6365D7FF"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1. </w:t>
      </w:r>
      <w:r w:rsidRPr="66B701DF">
        <w:rPr>
          <w:rFonts w:eastAsia="Times New Roman" w:cs="Arial"/>
          <w:color w:val="000000" w:themeColor="text1"/>
          <w:sz w:val="27"/>
          <w:szCs w:val="27"/>
        </w:rPr>
        <w:t>1. Abstract</w:t>
      </w:r>
    </w:p>
    <w:p w14:paraId="551C421A"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2. </w:t>
      </w:r>
      <w:r w:rsidRPr="66B701DF">
        <w:rPr>
          <w:rFonts w:eastAsia="Times New Roman" w:cs="Arial"/>
          <w:color w:val="000000" w:themeColor="text1"/>
          <w:sz w:val="27"/>
          <w:szCs w:val="27"/>
        </w:rPr>
        <w:t>2. Introduction</w:t>
      </w:r>
    </w:p>
    <w:p w14:paraId="3820D1F0"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3. </w:t>
      </w:r>
      <w:r w:rsidRPr="66B701DF">
        <w:rPr>
          <w:rFonts w:eastAsia="Times New Roman" w:cs="Arial"/>
          <w:color w:val="000000" w:themeColor="text1"/>
          <w:sz w:val="27"/>
          <w:szCs w:val="27"/>
        </w:rPr>
        <w:t>3. Person-Centred Care: Definition, Benefits and Limitations</w:t>
      </w:r>
    </w:p>
    <w:p w14:paraId="5E22ACA4" w14:textId="77777777" w:rsidR="001A49BD" w:rsidRPr="001A49BD" w:rsidRDefault="001A49BD" w:rsidP="001A49BD">
      <w:pPr>
        <w:pStyle w:val="Heading1"/>
        <w:rPr>
          <w:rFonts w:eastAsia="Times New Roman" w:cs="Arial"/>
          <w:color w:val="000000" w:themeColor="text1"/>
          <w:sz w:val="27"/>
          <w:szCs w:val="27"/>
          <w:lang w:eastAsia="en-GB"/>
        </w:rPr>
      </w:pPr>
      <w:r w:rsidRPr="66B701DF">
        <w:rPr>
          <w:rFonts w:eastAsia="Times New Roman" w:cs="Arial"/>
          <w:color w:val="000000" w:themeColor="text1"/>
          <w:sz w:val="18"/>
          <w:szCs w:val="18"/>
        </w:rPr>
        <w:t> </w:t>
      </w:r>
      <w:r w:rsidRPr="66B701DF">
        <w:rPr>
          <w:rFonts w:eastAsia="Times New Roman" w:cs="Arial"/>
          <w:color w:val="000000" w:themeColor="text1"/>
          <w:sz w:val="27"/>
          <w:szCs w:val="27"/>
        </w:rPr>
        <w:t>4. Theoretical Model of Care Underpinning Person-Centred Practice</w:t>
      </w:r>
    </w:p>
    <w:p w14:paraId="73460237"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 </w:t>
      </w:r>
      <w:r w:rsidRPr="66B701DF">
        <w:rPr>
          <w:rFonts w:eastAsia="Times New Roman" w:cs="Arial"/>
          <w:color w:val="000000" w:themeColor="text1"/>
          <w:sz w:val="27"/>
          <w:szCs w:val="27"/>
        </w:rPr>
        <w:t>5. Ethical Fundamentals in Health and Social Care</w:t>
      </w:r>
    </w:p>
    <w:p w14:paraId="5FCFF4BC"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 </w:t>
      </w:r>
      <w:r w:rsidRPr="66B701DF">
        <w:rPr>
          <w:rFonts w:eastAsia="Times New Roman" w:cs="Arial"/>
          <w:color w:val="000000" w:themeColor="text1"/>
          <w:sz w:val="27"/>
          <w:szCs w:val="27"/>
        </w:rPr>
        <w:t>6. Partnership Working in Health and Social Care</w:t>
      </w:r>
    </w:p>
    <w:p w14:paraId="47ECBAC5"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 </w:t>
      </w:r>
      <w:r w:rsidRPr="66B701DF">
        <w:rPr>
          <w:rFonts w:eastAsia="Times New Roman" w:cs="Arial"/>
          <w:color w:val="000000" w:themeColor="text1"/>
          <w:sz w:val="27"/>
          <w:szCs w:val="27"/>
        </w:rPr>
        <w:t>7. Policy and Legislation in Health and Social Care</w:t>
      </w:r>
    </w:p>
    <w:p w14:paraId="5FC5F5AD" w14:textId="77777777" w:rsidR="001A49BD" w:rsidRPr="001A49BD" w:rsidRDefault="001A49BD" w:rsidP="001A49BD">
      <w:pPr>
        <w:pStyle w:val="Heading1"/>
        <w:rPr>
          <w:rFonts w:eastAsia="Times New Roman" w:cs="Arial"/>
          <w:color w:val="000000" w:themeColor="text1"/>
          <w:sz w:val="27"/>
          <w:szCs w:val="27"/>
          <w:lang w:eastAsia="en-GB"/>
        </w:rPr>
      </w:pPr>
      <w:r w:rsidRPr="66B701DF">
        <w:rPr>
          <w:rFonts w:eastAsia="Times New Roman" w:cs="Arial"/>
          <w:color w:val="000000" w:themeColor="text1"/>
          <w:sz w:val="18"/>
          <w:szCs w:val="18"/>
        </w:rPr>
        <w:t> </w:t>
      </w:r>
      <w:r w:rsidRPr="66B701DF">
        <w:rPr>
          <w:rFonts w:eastAsia="Times New Roman" w:cs="Arial"/>
          <w:color w:val="000000" w:themeColor="text1"/>
          <w:sz w:val="27"/>
          <w:szCs w:val="27"/>
        </w:rPr>
        <w:t>8. Recommendations for Future Development</w:t>
      </w:r>
    </w:p>
    <w:p w14:paraId="486ECD15"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 </w:t>
      </w:r>
      <w:r w:rsidRPr="66B701DF">
        <w:rPr>
          <w:rFonts w:eastAsia="Times New Roman" w:cs="Arial"/>
          <w:color w:val="000000" w:themeColor="text1"/>
          <w:sz w:val="27"/>
          <w:szCs w:val="27"/>
        </w:rPr>
        <w:t>9. Conclusion</w:t>
      </w:r>
    </w:p>
    <w:p w14:paraId="5DBE734C" w14:textId="77777777" w:rsidR="001A49BD" w:rsidRPr="001A49BD" w:rsidRDefault="001A49BD" w:rsidP="001A49BD">
      <w:pPr>
        <w:pStyle w:val="Heading1"/>
        <w:rPr>
          <w:rFonts w:ascii="-webkit-standard" w:eastAsia="Times New Roman" w:hAnsi="-webkit-standard" w:cs="Times New Roman"/>
          <w:color w:val="000000" w:themeColor="text1"/>
          <w:sz w:val="27"/>
          <w:szCs w:val="27"/>
          <w:lang w:eastAsia="en-GB"/>
        </w:rPr>
      </w:pPr>
      <w:r w:rsidRPr="66B701DF">
        <w:rPr>
          <w:rFonts w:eastAsia="Times New Roman" w:cs="Arial"/>
          <w:color w:val="000000" w:themeColor="text1"/>
          <w:sz w:val="18"/>
          <w:szCs w:val="18"/>
        </w:rPr>
        <w:t> </w:t>
      </w:r>
      <w:r w:rsidRPr="66B701DF">
        <w:rPr>
          <w:rFonts w:eastAsia="Times New Roman" w:cs="Arial"/>
          <w:color w:val="000000" w:themeColor="text1"/>
          <w:sz w:val="27"/>
          <w:szCs w:val="27"/>
        </w:rPr>
        <w:t>10. Reference List</w:t>
      </w:r>
    </w:p>
    <w:p w14:paraId="6E5A0E30" w14:textId="77777777" w:rsidR="001A49BD" w:rsidRPr="001A49BD" w:rsidRDefault="001A49BD" w:rsidP="001A49BD">
      <w:pPr>
        <w:pStyle w:val="Heading1"/>
        <w:rPr>
          <w:color w:val="000000" w:themeColor="text1"/>
        </w:rPr>
      </w:pPr>
    </w:p>
    <w:p w14:paraId="51CAEEC9" w14:textId="77777777" w:rsidR="001A49BD" w:rsidRDefault="001A49BD">
      <w:pPr>
        <w:pStyle w:val="Heading1"/>
      </w:pPr>
    </w:p>
    <w:p w14:paraId="78036FD0" w14:textId="77777777" w:rsidR="001A49BD" w:rsidRDefault="001A49BD">
      <w:pPr>
        <w:pStyle w:val="Heading1"/>
      </w:pPr>
    </w:p>
    <w:p w14:paraId="1412C2AF" w14:textId="6AB5C76D" w:rsidR="66B701DF" w:rsidRDefault="66B701DF" w:rsidP="66B701DF">
      <w:pPr>
        <w:pStyle w:val="Heading2"/>
        <w:rPr>
          <w:color w:val="000000" w:themeColor="text1"/>
        </w:rPr>
      </w:pPr>
    </w:p>
    <w:p w14:paraId="1CDF660E" w14:textId="1C78C2BC" w:rsidR="66B701DF" w:rsidRDefault="66B701DF" w:rsidP="66B701DF">
      <w:pPr>
        <w:pStyle w:val="Heading2"/>
        <w:rPr>
          <w:color w:val="000000" w:themeColor="text1"/>
        </w:rPr>
      </w:pPr>
    </w:p>
    <w:p w14:paraId="63B48DA8" w14:textId="0D813424" w:rsidR="66B701DF" w:rsidRDefault="66B701DF" w:rsidP="66B701DF">
      <w:pPr>
        <w:pStyle w:val="Heading2"/>
        <w:rPr>
          <w:color w:val="000000" w:themeColor="text1"/>
        </w:rPr>
      </w:pPr>
    </w:p>
    <w:p w14:paraId="3C0DD5A3" w14:textId="6BA9F5EF" w:rsidR="66B701DF" w:rsidRDefault="66B701DF" w:rsidP="66B701DF">
      <w:pPr>
        <w:pStyle w:val="Heading2"/>
        <w:rPr>
          <w:color w:val="000000" w:themeColor="text1"/>
        </w:rPr>
      </w:pPr>
    </w:p>
    <w:p w14:paraId="10BCC23B" w14:textId="77777777" w:rsidR="00EB58B7" w:rsidRPr="00932865" w:rsidRDefault="00FB6FD0">
      <w:pPr>
        <w:pStyle w:val="Heading2"/>
        <w:rPr>
          <w:color w:val="000000" w:themeColor="text1"/>
        </w:rPr>
      </w:pPr>
      <w:r w:rsidRPr="66B701DF">
        <w:rPr>
          <w:color w:val="000000" w:themeColor="text1"/>
        </w:rPr>
        <w:t>Abstract</w:t>
      </w:r>
    </w:p>
    <w:p w14:paraId="34740AD4" w14:textId="4B7DD740" w:rsidR="00EB58B7" w:rsidRDefault="00FB6FD0" w:rsidP="5A5B455D">
      <w:pPr>
        <w:spacing w:line="360" w:lineRule="auto"/>
        <w:rPr>
          <w:sz w:val="22"/>
          <w:szCs w:val="22"/>
        </w:rPr>
      </w:pPr>
      <w:r w:rsidRPr="50B5D242">
        <w:rPr>
          <w:sz w:val="22"/>
          <w:szCs w:val="22"/>
        </w:rPr>
        <w:t>Person-centred care (PCC) and partnership working (PW) are essential approaches in modern health and social care. PCC emphasises individual preferences, dignity, and autonomy, while PW focuses on collaboration between professionals, service users, and organisations. This essay explores how both approaches promote safe, effective, and compassionate support. It analyses relevant theoretical models, ethical principles, and policy frameworks that shape these practices within UK health and social care. The discussion highlights how PCC and PW contribute to better communication, shared decision-making, and improved outcomes for individuals.</w:t>
      </w:r>
    </w:p>
    <w:p w14:paraId="62D04619" w14:textId="77777777" w:rsidR="00EB58B7" w:rsidRDefault="00FB6FD0">
      <w:pPr>
        <w:pStyle w:val="Heading2"/>
      </w:pPr>
      <w:r w:rsidRPr="00932865">
        <w:rPr>
          <w:color w:val="000000" w:themeColor="text1"/>
        </w:rPr>
        <w:t>Introduction</w:t>
      </w:r>
    </w:p>
    <w:p w14:paraId="6B1E1A2D" w14:textId="77777777" w:rsidR="00EB58B7" w:rsidRDefault="00FB6FD0" w:rsidP="56D8F1E3">
      <w:pPr>
        <w:spacing w:line="360" w:lineRule="auto"/>
        <w:rPr>
          <w:sz w:val="22"/>
          <w:szCs w:val="22"/>
        </w:rPr>
      </w:pPr>
      <w:r w:rsidRPr="53DCCCC6">
        <w:rPr>
          <w:sz w:val="22"/>
          <w:szCs w:val="22"/>
        </w:rPr>
        <w:t>Health and social care practice in the United Kingdom is increasingly centred around principles that prioritise individuals’ rights, needs, and participation in their own care. PCC aims to deliver care that values the person beyond their diagnosis or condition, ensuring their choices and experiences guide decision-making. In parallel, PW brings together different professionals, agencies, and service users to coordinate care effectively and holistically. These approaches align with national frameworks that encourage inclusion, respect, and equality. This essay critically examines the core concepts, theories, and legislative frameworks underpinning PCC and PW. It considers their ethical and practical significance, evaluates challenges in implementation, and suggests recommendations for improving integrated, person-centred services.</w:t>
      </w:r>
    </w:p>
    <w:p w14:paraId="7CDF1C2B" w14:textId="77777777" w:rsidR="00EB58B7" w:rsidRDefault="00FB6FD0" w:rsidP="56D8F1E3">
      <w:pPr>
        <w:spacing w:line="360" w:lineRule="auto"/>
        <w:rPr>
          <w:sz w:val="22"/>
          <w:szCs w:val="22"/>
        </w:rPr>
      </w:pPr>
      <w:r w:rsidRPr="53DCCCC6">
        <w:rPr>
          <w:sz w:val="22"/>
          <w:szCs w:val="22"/>
        </w:rPr>
        <w:t>In today’s health and social care environment, professionals are expected to manage increasing complexity, cultural diversity, and public expectations for quality care. Embedding PCC and PW approaches supports these demands by ensuring individuals’ needs remain central despite systemic pressures. The growing complexity of public health challenges, workforce shortages, and the need for integrated digital systems have reinforced the importance of PCC and PW. National NHS reforms now focus on personalised care and population health management, meaning practitioners must adopt collaborative, adaptive approaches to meet diverse needs and maintain service quality under increasing demand. This approach not only enhances safety and satisfaction but also contributes to the sustainability of care services.</w:t>
      </w:r>
    </w:p>
    <w:p w14:paraId="16488626" w14:textId="77777777" w:rsidR="00EB58B7" w:rsidRPr="007D4799" w:rsidRDefault="00FB6FD0">
      <w:pPr>
        <w:pStyle w:val="Heading2"/>
        <w:rPr>
          <w:color w:val="000000" w:themeColor="text1"/>
        </w:rPr>
      </w:pPr>
      <w:r w:rsidRPr="66B701DF">
        <w:rPr>
          <w:color w:val="000000" w:themeColor="text1"/>
        </w:rPr>
        <w:t>Person-Centred Care: Definition, Benefits and Limitations</w:t>
      </w:r>
    </w:p>
    <w:p w14:paraId="774F2243" w14:textId="77777777" w:rsidR="00EB58B7" w:rsidRDefault="00FB6FD0" w:rsidP="4E893894">
      <w:pPr>
        <w:spacing w:line="360" w:lineRule="auto"/>
        <w:rPr>
          <w:sz w:val="22"/>
          <w:szCs w:val="22"/>
        </w:rPr>
      </w:pPr>
      <w:r w:rsidRPr="2CA609A6">
        <w:rPr>
          <w:sz w:val="22"/>
          <w:szCs w:val="22"/>
        </w:rPr>
        <w:t>PCC recognises that individuals are active partners in their care rather than passive recipients of services. It values respect, dignity, empathy, and communication, allowing care to be adapted to each person’s circumstances (McCormack and McCance, 2017). When professionals engage individuals in planning and reviewing their care, they encourage empowerment, trust, and accountability. The benefits of PCC are well documented. It improves satisfaction, strengthens therapeutic relationships, and enhances adherence to treatment or support plans (Skills for Care, 2024). Moreover, it aligns with legal and ethical duties to respect autonomy and uphold equality. However, implementing PCC consistently across settings can be challenging. Time pressures, heavy workloads, and limited resources may restrict opportunities for meaningful engagement with service users. Differences in professional training or communication styles can also create inconsistencies in applying person-centred principles.</w:t>
      </w:r>
    </w:p>
    <w:p w14:paraId="31E268F7" w14:textId="79A50A02" w:rsidR="00EB58B7" w:rsidRDefault="00FB6FD0" w:rsidP="4E893894">
      <w:pPr>
        <w:spacing w:line="360" w:lineRule="auto"/>
        <w:rPr>
          <w:sz w:val="22"/>
          <w:szCs w:val="22"/>
        </w:rPr>
      </w:pPr>
      <w:r w:rsidRPr="2CA609A6">
        <w:rPr>
          <w:sz w:val="22"/>
          <w:szCs w:val="22"/>
        </w:rPr>
        <w:t>Research within UK care settings has shown that adopting PCC principles reduces complaints, improves staff morale, and fosters better relationships between service users and professionals. It aligns with quality frameworks such as the CQC’s standards for safety, effectiveness, and responsiveness, which emphasise respect and individuality. When PCC is consistently embedded in practice, it promotes trust and long-term engagement with health services. Despite these limitations, PCC remains fundamental to delivering high-quality, safe, and compassionate care. It requires not only practical skills but also a professional culture that values empathy, reflection, and partnership with individuals and families.</w:t>
      </w:r>
    </w:p>
    <w:p w14:paraId="55E19289" w14:textId="77777777" w:rsidR="00EB58B7" w:rsidRPr="007D4799" w:rsidRDefault="00FB6FD0">
      <w:pPr>
        <w:pStyle w:val="Heading2"/>
        <w:rPr>
          <w:color w:val="000000" w:themeColor="text1"/>
        </w:rPr>
      </w:pPr>
      <w:r w:rsidRPr="66B701DF">
        <w:rPr>
          <w:color w:val="000000" w:themeColor="text1"/>
        </w:rPr>
        <w:t>Theoretical Model of Care Underpinning Person-Centred Practice</w:t>
      </w:r>
    </w:p>
    <w:p w14:paraId="49BF848F" w14:textId="77777777" w:rsidR="00EB58B7" w:rsidRDefault="00FB6FD0" w:rsidP="57E7DA02">
      <w:pPr>
        <w:spacing w:line="360" w:lineRule="auto"/>
        <w:rPr>
          <w:sz w:val="22"/>
          <w:szCs w:val="22"/>
        </w:rPr>
      </w:pPr>
      <w:r w:rsidRPr="61987DD7">
        <w:rPr>
          <w:sz w:val="22"/>
          <w:szCs w:val="22"/>
        </w:rPr>
        <w:t>The foundations of PCC lie in Carl Rogers’ (1951) Humanistic Theory, which emphasises empathy, unconditional positive regard, and congruence. Rogers proposed that people have an inherent drive toward growth and fulfilment when supported within a caring, accepting environment. In health and social care, this translates into listening actively, valuing service users’ perspectives, and encouraging their involvement in decisions about their care.</w:t>
      </w:r>
    </w:p>
    <w:p w14:paraId="534D4647" w14:textId="77777777" w:rsidR="00EB58B7" w:rsidRDefault="00FB6FD0" w:rsidP="57E7DA02">
      <w:pPr>
        <w:spacing w:line="360" w:lineRule="auto"/>
        <w:rPr>
          <w:sz w:val="22"/>
          <w:szCs w:val="22"/>
        </w:rPr>
      </w:pPr>
      <w:r w:rsidRPr="61987DD7">
        <w:rPr>
          <w:sz w:val="22"/>
          <w:szCs w:val="22"/>
        </w:rPr>
        <w:t>Building on Rogers’ principles, McCormack and McCance (2017) developed the Person-Centred Practice Framework. This model integrates values, the care environment, and professional competence. It suggests that effective PCC depends on creating supportive environments where staff are empowered, communication is open, and relationships are built on mutual respect. Applying Rogers’ and McCormack’s models in daily practice helps bridge the gap between theory and evidence-based care. Practitioners who integrate reflective practice and emotional intelligence are better equipped to understand service users’ perspectives. This theoretical grounding supports a culture of compassion, self-awareness, and critical thinking that strengthens multidisciplinary collaboration. While organisational pressures may limit the full application of such models, they provide valuable guidance for ethical and reflective practice. Using these frameworks enables professionals to balance technical competence with emotional intelligence and compassion—key components of quality care (Skills for Care, 2024).</w:t>
      </w:r>
    </w:p>
    <w:p w14:paraId="568DF3F3" w14:textId="77777777" w:rsidR="00EB58B7" w:rsidRPr="00E73A72" w:rsidRDefault="00FB6FD0">
      <w:pPr>
        <w:pStyle w:val="Heading2"/>
        <w:rPr>
          <w:color w:val="000000" w:themeColor="text1"/>
        </w:rPr>
      </w:pPr>
      <w:r w:rsidRPr="66B701DF">
        <w:rPr>
          <w:color w:val="000000" w:themeColor="text1"/>
        </w:rPr>
        <w:t>Ethical Fundamentals in Health and Social Care</w:t>
      </w:r>
    </w:p>
    <w:p w14:paraId="1ED4892C" w14:textId="77777777" w:rsidR="00EB58B7" w:rsidRDefault="00FB6FD0" w:rsidP="05CA4A70">
      <w:pPr>
        <w:spacing w:line="360" w:lineRule="auto"/>
        <w:rPr>
          <w:sz w:val="22"/>
          <w:szCs w:val="22"/>
        </w:rPr>
      </w:pPr>
      <w:r w:rsidRPr="4EF4635A">
        <w:rPr>
          <w:sz w:val="22"/>
          <w:szCs w:val="22"/>
        </w:rPr>
        <w:t>Ethical practice underpins PCC and PW by promoting fairness, respect, and accountability. Central ethical principles include autonomy, beneficence, non-maleficence, justice, and confidentiality (NMC, 2018). Respecting autonomy means recognising individuals’ rights to make informed choices about their care, even when their decisions differ from professional opinions. Beneficence and non-maleficence require practitioners to act in ways that promote wellbeing while avoiding harm. Confidentiality, guided by the Data Protection Act 2018 and NHS standards (NHS, 2024), protects individuals’ private information and builds trust between professionals and service users. The NMC Code (2018) and HCPC Standards (2023) reinforce the need for transparency, compassion, and accountability in professional conduct.</w:t>
      </w:r>
    </w:p>
    <w:p w14:paraId="5A9F12EE" w14:textId="77777777" w:rsidR="00EB58B7" w:rsidRDefault="00FB6FD0" w:rsidP="05CA4A70">
      <w:pPr>
        <w:spacing w:line="360" w:lineRule="auto"/>
        <w:rPr>
          <w:sz w:val="22"/>
          <w:szCs w:val="22"/>
        </w:rPr>
      </w:pPr>
      <w:r w:rsidRPr="4EF4635A">
        <w:rPr>
          <w:sz w:val="22"/>
          <w:szCs w:val="22"/>
        </w:rPr>
        <w:t>Ethical reasoning also plays a vital role in safeguarding vulnerable individuals. Professionals must balance autonomy with duty of care, particularly where mental capacity is reduced. Following NICE (2023) guidance ensures that decision-making processes remain transparent and inclusive. Regular ethical supervision and interprofessional dialogue help reduce bias and promote equitable care delivery, reflecting the values of justice and equality at the heart of health and social care. Continuous ethics education and reflective supervision help practitioners manage moral distress and complex decision-making. Encouraging teams to discuss ethical dilemmas openly strengthens transparency and trust. These reflective spaces align with the NMC (2018) and HCPC (2023) emphasis on lifelong learning and professional accountability. Upholding ethical standards also supports interdisciplinary cooperation. When all professionals follow consistent moral and legal frameworks, communication and trust across teams improve, which in turn benefits the individual receiving care.</w:t>
      </w:r>
    </w:p>
    <w:p w14:paraId="23A62C46" w14:textId="77777777" w:rsidR="00EB58B7" w:rsidRPr="00E73A72" w:rsidRDefault="00FB6FD0">
      <w:pPr>
        <w:pStyle w:val="Heading2"/>
        <w:rPr>
          <w:color w:val="000000" w:themeColor="text1"/>
        </w:rPr>
      </w:pPr>
      <w:r w:rsidRPr="66B701DF">
        <w:rPr>
          <w:color w:val="000000" w:themeColor="text1"/>
        </w:rPr>
        <w:t>Partnership Working in Health and Social Care</w:t>
      </w:r>
    </w:p>
    <w:p w14:paraId="38FD3DEA" w14:textId="77777777" w:rsidR="00EB58B7" w:rsidRDefault="00FB6FD0" w:rsidP="6DDD8250">
      <w:pPr>
        <w:spacing w:line="360" w:lineRule="auto"/>
        <w:rPr>
          <w:sz w:val="22"/>
          <w:szCs w:val="22"/>
        </w:rPr>
      </w:pPr>
      <w:r w:rsidRPr="1D701105">
        <w:rPr>
          <w:sz w:val="22"/>
          <w:szCs w:val="22"/>
        </w:rPr>
        <w:t>PW involves collaboration between professionals, organisations, and service users to achieve shared goals in health and wellbeing. It encourages integrated approaches where communication, respect, and mutual understanding drive effective outcomes (NHS, 2024). Successful PW relies on clear role boundaries, shared accountability, and respect for different areas of expertise. For example, social workers, nurses, and therapists may collaborate to design a coordinated care plan for an individual with complex needs. When such teamwork functions well, it reduces duplication, prevents errors, and enhances continuity of care.</w:t>
      </w:r>
    </w:p>
    <w:p w14:paraId="663D1498" w14:textId="77777777" w:rsidR="00EB58B7" w:rsidRDefault="00FB6FD0" w:rsidP="6DDD8250">
      <w:pPr>
        <w:spacing w:line="360" w:lineRule="auto"/>
        <w:rPr>
          <w:sz w:val="22"/>
          <w:szCs w:val="22"/>
        </w:rPr>
      </w:pPr>
      <w:r w:rsidRPr="1D701105">
        <w:rPr>
          <w:sz w:val="22"/>
          <w:szCs w:val="22"/>
        </w:rPr>
        <w:t>Effective partnership working also depends on the use of integrated communication systems such as shared digital records, multidisciplinary meetings, and joint training programmes. These tools reduce fragmentation and ensure that all professionals have a shared understanding of an individual’s care plan. For example, integrated care boards (ICBs) in England now bring together NHS bodies and local authorities to plan services collaboratively, improving continuity and reducing duplication of assessments. Furthermore, successful partnership working also depends on establishing a culture of mutual respect and psychological safety among professionals. When individuals feel confident to share opinions, raise concerns, and challenge poor practice, team learning and patient safety improve. The NHS (2024) emphasises that open communication and shared accountability are vital for continuous improvement across multidisciplinary teams. National frameworks such as the Health and Social Care Act 2012, the Care Act 2014, and the NHS Long Term Plan (2019) promote joint working across sectors. They encourage integrated systems that enable people to receive consistent, safe, and equitable support regardless of where they access services (NHS England, 2019). Nevertheless, PW can face obstacles such as unclear communication channels, organisational hierarchies, or limited information-sharing. Professionals may hold different priorities or face conflicting pressures from their respective organisations. Regular multidisciplinary meetings, shared digital systems, and leadership commitment are key strategies to overcome these barriers.</w:t>
      </w:r>
    </w:p>
    <w:p w14:paraId="504BFC36" w14:textId="77777777" w:rsidR="00EB58B7" w:rsidRPr="009D753F" w:rsidRDefault="00FB6FD0">
      <w:pPr>
        <w:pStyle w:val="Heading2"/>
        <w:rPr>
          <w:color w:val="000000" w:themeColor="text1"/>
        </w:rPr>
      </w:pPr>
      <w:r w:rsidRPr="66B701DF">
        <w:rPr>
          <w:color w:val="000000" w:themeColor="text1"/>
        </w:rPr>
        <w:t>Policy and Legislation in Health and Social Care</w:t>
      </w:r>
    </w:p>
    <w:p w14:paraId="0E177A2A" w14:textId="77777777" w:rsidR="00EB58B7" w:rsidRDefault="00FB6FD0" w:rsidP="0F455926">
      <w:pPr>
        <w:spacing w:line="360" w:lineRule="auto"/>
        <w:rPr>
          <w:sz w:val="22"/>
          <w:szCs w:val="22"/>
        </w:rPr>
      </w:pPr>
      <w:r w:rsidRPr="27B4D435">
        <w:rPr>
          <w:sz w:val="22"/>
          <w:szCs w:val="22"/>
        </w:rPr>
        <w:t>Legislation provides the structural basis for PCC and PW in the UK. The Health and Social Care Act 2012 emphasises integrated care, patient choice, and accountability among providers (Department of Health and Social Care, 2012). The Care Act 2014 places the individual at the centre of assessment and support planning, requiring services to consider personal outcomes and preferences. Similarly, the NHS Long Term Plan (2019) calls for stronger collaboration between health, social care, and voluntary sectors to deliver coordinated support. NICE (2023) guidelines further promote person-centred decision-making by ensuring individuals with limited capacity are supported to participate as fully as possible in their care.</w:t>
      </w:r>
    </w:p>
    <w:p w14:paraId="35B648DE" w14:textId="77777777" w:rsidR="00EB58B7" w:rsidRDefault="00FB6FD0" w:rsidP="0F455926">
      <w:pPr>
        <w:spacing w:line="360" w:lineRule="auto"/>
        <w:rPr>
          <w:sz w:val="22"/>
          <w:szCs w:val="22"/>
        </w:rPr>
      </w:pPr>
      <w:r w:rsidRPr="27B4D435">
        <w:rPr>
          <w:sz w:val="22"/>
          <w:szCs w:val="22"/>
        </w:rPr>
        <w:t>National legislation is continuously updated to reflect emerging health priorities and social challenges. The increasing focus on equality, diversity, and inclusion across all services reinforces the need for personalised, accessible, and culturally sensitive care. As population demographics evolve, such policy development ensures that PCC and PW remain responsive and equitable in addressing complex health inequalities. Ethical and professional codes, including the NMC Code (2018) and HCPC Standards (2023), complement these legal duties by reinforcing accountability, professional integrity, and respect for diversity. Collectively, these frameworks create a legal and moral foundation for PCC and PW across the health and social care landscape.</w:t>
      </w:r>
    </w:p>
    <w:p w14:paraId="2D163B8D" w14:textId="77777777" w:rsidR="00EB58B7" w:rsidRPr="009D753F" w:rsidRDefault="00FB6FD0">
      <w:pPr>
        <w:pStyle w:val="Heading2"/>
        <w:rPr>
          <w:color w:val="000000" w:themeColor="text1"/>
        </w:rPr>
      </w:pPr>
      <w:r w:rsidRPr="66B701DF">
        <w:rPr>
          <w:color w:val="000000" w:themeColor="text1"/>
        </w:rPr>
        <w:t>Recommendations for Future Development</w:t>
      </w:r>
    </w:p>
    <w:p w14:paraId="48F74DF7" w14:textId="77777777" w:rsidR="00EB58B7" w:rsidRDefault="00FB6FD0" w:rsidP="4C4DC6B8">
      <w:pPr>
        <w:spacing w:line="360" w:lineRule="auto"/>
        <w:rPr>
          <w:sz w:val="22"/>
          <w:szCs w:val="22"/>
        </w:rPr>
      </w:pPr>
      <w:r w:rsidRPr="3DF2039C">
        <w:rPr>
          <w:sz w:val="22"/>
          <w:szCs w:val="22"/>
        </w:rPr>
        <w:t xml:space="preserve">To strengthen PCC and PW, organisations should prioritise the following strategies: </w:t>
      </w:r>
      <w:r>
        <w:br/>
      </w:r>
      <w:r w:rsidRPr="3DF2039C">
        <w:rPr>
          <w:sz w:val="22"/>
          <w:szCs w:val="22"/>
        </w:rPr>
        <w:t>1. Staff training and reflection – Continuous professional development that enhances communication, empathy, and cultural competence (Skills for Care, 2024).</w:t>
      </w:r>
      <w:r>
        <w:br/>
      </w:r>
      <w:r w:rsidRPr="3DF2039C">
        <w:rPr>
          <w:sz w:val="22"/>
          <w:szCs w:val="22"/>
        </w:rPr>
        <w:t>2. Effective leadership – Leaders should model collaborative and inclusive behaviour, encouraging shared decision-making among staff.</w:t>
      </w:r>
      <w:r>
        <w:br/>
      </w:r>
      <w:r w:rsidRPr="3DF2039C">
        <w:rPr>
          <w:sz w:val="22"/>
          <w:szCs w:val="22"/>
        </w:rPr>
        <w:t>3. Inter-agency communication – Develop secure, interoperable systems to ensure consistent information sharing across services.</w:t>
      </w:r>
      <w:r>
        <w:br/>
      </w:r>
      <w:r w:rsidRPr="3DF2039C">
        <w:rPr>
          <w:sz w:val="22"/>
          <w:szCs w:val="22"/>
        </w:rPr>
        <w:t>4. Empowering service users – Involve individuals and carers in designing care plans and evaluating service quality.</w:t>
      </w:r>
      <w:r>
        <w:br/>
      </w:r>
      <w:r w:rsidRPr="3DF2039C">
        <w:rPr>
          <w:sz w:val="22"/>
          <w:szCs w:val="22"/>
        </w:rPr>
        <w:t>5. Evaluating outcomes – Use feedback and performance data to measure the effectiveness of PCC and PW initiatives.</w:t>
      </w:r>
      <w:r>
        <w:br/>
      </w:r>
      <w:r w:rsidRPr="3DF2039C">
        <w:rPr>
          <w:sz w:val="22"/>
          <w:szCs w:val="22"/>
        </w:rPr>
        <w:t>Leadership accountability should be embedded within all levels of care provision to ensure that PCC and PW strategies are not only implemented but regularly evaluated. Transparent reporting and outcome-based reviews encourage continuous improvement and sustain staff motivation. Collaborative leadership promotes a shared vision that values feedback from both service users and professionals, contributing to long-term service development. Measuring the effectiveness of PCC and PW is essential to ensure that improvements are sustained. Regular service audits, patient feedback, and reflective supervision can be used to monitor outcomes and identify gaps in communication or resource allocation. Tools such as the Friends and Family Test and NHS Quality Indicators offer valuable insight into service users’ experiences and perceptions of care. Continuous evaluation also encourages transparency, enabling organisations to adjust policies and training in response to real-world evidence. Embedding these review systems within everyday practice promotes accountability and ensures that the principles of PCC and PW translate into consistent, measurable improvements across all levels of care delivery.</w:t>
      </w:r>
    </w:p>
    <w:p w14:paraId="5276C9FB" w14:textId="77777777" w:rsidR="00EB58B7" w:rsidRDefault="00FB6FD0">
      <w:pPr>
        <w:pStyle w:val="Heading2"/>
      </w:pPr>
      <w:r w:rsidRPr="009D753F">
        <w:rPr>
          <w:color w:val="000000" w:themeColor="text1"/>
        </w:rPr>
        <w:t>Conclusion</w:t>
      </w:r>
    </w:p>
    <w:p w14:paraId="6D597A15" w14:textId="7E703E46" w:rsidR="00EB58B7" w:rsidRPr="009D753F" w:rsidRDefault="00FB6FD0" w:rsidP="24973856">
      <w:pPr>
        <w:spacing w:line="360" w:lineRule="auto"/>
        <w:rPr>
          <w:sz w:val="22"/>
          <w:szCs w:val="22"/>
        </w:rPr>
      </w:pPr>
      <w:r w:rsidRPr="27CEEC89">
        <w:rPr>
          <w:sz w:val="22"/>
          <w:szCs w:val="22"/>
        </w:rPr>
        <w:t>PCC and PW are essential to modern health and social care delivery. They ensure that individuals are treated with dignity, respect, and compassion, while also promoting coordinated, efficient, and accountable services. Theoretical perspectives from Rogers (1951) and McCormack and McCance (2017) demonstrate how empathy and human connection remain at the heart of effective practice. Although challenges such as limited resources, communication barriers, and organisational pressures persist, continuous reflection, leadership commitment, and adherence to national frameworks can help overcome them. Overall, the principles of PCC and PW contribute to a compassionate, inclusive, and sustainable health and social care system. They demand ongoing collaboration between policymakers, educators, and frontline practitioners to ensure practice stays evidence-based and responsive. Embedding these values at every level of service delivery helps shape a workforce that is both technically competent and emotionally intelligent. From a professional perspective, adopting PCC and PW principles fosters personal growth, empathy, and cultural awareness. Reflective practice enables professionals to recognise their strengths and areas for improvement, ensuring lifelong learning. Looking ahead, greater investment in interprofessional education and community engagement will help embed these values more deeply into health and social care systems. By prioritising compassion and collaboration, future practitioners can continue to improve outcomes while maintaining the dignity and individuality of every service user. In the future, ongoing investment in professional development, digital innovation, and integrated governance structures will be crucial in sustaining PCC and PW. Reflective practice remains essential for ensuring that professionals not only deliver evidence-based care but also uphold empathy and respect. By maintaining these values, health and social care practitioners can meet the challenges of a diverse population while improving outcomes for all individuals who rely on their care</w:t>
      </w:r>
      <w:r w:rsidR="4691C7C9" w:rsidRPr="27CEEC89">
        <w:rPr>
          <w:sz w:val="22"/>
          <w:szCs w:val="22"/>
        </w:rPr>
        <w:t>.</w:t>
      </w:r>
    </w:p>
    <w:p w14:paraId="5E1E1AB9" w14:textId="0EB3872B" w:rsidR="00EB58B7" w:rsidRPr="009D753F" w:rsidRDefault="00EB58B7" w:rsidP="66B701DF">
      <w:pPr>
        <w:rPr>
          <w:color w:val="000000" w:themeColor="text1"/>
        </w:rPr>
      </w:pPr>
    </w:p>
    <w:p w14:paraId="644551E0" w14:textId="69417DEE" w:rsidR="00EB58B7" w:rsidRPr="009D753F" w:rsidRDefault="00FB6FD0" w:rsidP="66B701DF">
      <w:pPr>
        <w:rPr>
          <w:b/>
          <w:bCs/>
          <w:color w:val="000000" w:themeColor="text1"/>
        </w:rPr>
      </w:pPr>
      <w:r w:rsidRPr="44AD4E46">
        <w:rPr>
          <w:b/>
          <w:bCs/>
          <w:color w:val="000000" w:themeColor="text1"/>
        </w:rPr>
        <w:t>Reference List</w:t>
      </w:r>
    </w:p>
    <w:p w14:paraId="5262DA63" w14:textId="77777777" w:rsidR="00EB58B7" w:rsidRDefault="00FB6FD0">
      <w:r>
        <w:t>Care Act 2014. Department of Health and Social Care.</w:t>
      </w:r>
    </w:p>
    <w:p w14:paraId="3560E3E7" w14:textId="77777777" w:rsidR="00EB58B7" w:rsidRDefault="00FB6FD0">
      <w:r>
        <w:t>Health and Care Professions Council (HCPC) (2023) Standards of Conduct, Performance and Ethics.</w:t>
      </w:r>
    </w:p>
    <w:p w14:paraId="6113E9E3" w14:textId="77777777" w:rsidR="00EB58B7" w:rsidRDefault="00FB6FD0">
      <w:r>
        <w:t>Health and Social Care Act 2012. Department of Health and Social Care.</w:t>
      </w:r>
    </w:p>
    <w:p w14:paraId="5400828E" w14:textId="77777777" w:rsidR="00EB58B7" w:rsidRDefault="00FB6FD0">
      <w:r>
        <w:t>McCormack, B. and McCance, T. (2017) Person-Centred Practice in Nursing and Health Care: Theory and Practice. 2nd edn. Oxford: Wiley Blackwell.</w:t>
      </w:r>
    </w:p>
    <w:p w14:paraId="329D5A4D" w14:textId="77777777" w:rsidR="00EB58B7" w:rsidRDefault="00FB6FD0">
      <w:r>
        <w:t>National Institute for Health and Care Excellence (NICE) (2023) NG108: Decision-Making and Mental Capacity. London: NICE.</w:t>
      </w:r>
    </w:p>
    <w:p w14:paraId="599E1835" w14:textId="77777777" w:rsidR="00EB58B7" w:rsidRDefault="00FB6FD0">
      <w:r>
        <w:t>NHS (2024) Principles for Integrated Care and Partnership Working. London: NHS.</w:t>
      </w:r>
    </w:p>
    <w:p w14:paraId="21139A19" w14:textId="77777777" w:rsidR="00EB58B7" w:rsidRDefault="00FB6FD0">
      <w:r>
        <w:t>NHS England (2019) The NHS Long Term Plan. London: NHS England.</w:t>
      </w:r>
    </w:p>
    <w:p w14:paraId="080B79B1" w14:textId="77777777" w:rsidR="00EB58B7" w:rsidRDefault="00FB6FD0">
      <w:r>
        <w:t>Nursing and Midwifery Council (NMC) (2018) The Code: Professional Standards of Practice and Behaviour for Nurses, Midwives and Nursing Associates. London: NMC.</w:t>
      </w:r>
    </w:p>
    <w:p w14:paraId="3B482F27" w14:textId="77777777" w:rsidR="00EB58B7" w:rsidRDefault="00FB6FD0">
      <w:r>
        <w:t>Rogers, C. (1951) Client-Centred Therapy: Its Current Practice, Implications and Theory. Boston: Houghton Mifflin.</w:t>
      </w:r>
    </w:p>
    <w:p w14:paraId="5B45B951" w14:textId="77777777" w:rsidR="00EB58B7" w:rsidRDefault="00FB6FD0">
      <w:r>
        <w:t>Skills for Care (2024) Core Skills Framework for Person-Centred Care. Leeds: Skills for Care.</w:t>
      </w:r>
    </w:p>
    <w:sectPr w:rsidR="00EB58B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webkit-standard">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52071931">
    <w:abstractNumId w:val="1"/>
  </w:num>
  <w:num w:numId="2" w16cid:durableId="1098407572">
    <w:abstractNumId w:val="0"/>
  </w:num>
  <w:num w:numId="3" w16cid:durableId="142045462">
    <w:abstractNumId w:val="2"/>
  </w:num>
  <w:num w:numId="4" w16cid:durableId="1564489721">
    <w:abstractNumId w:val="5"/>
  </w:num>
  <w:num w:numId="5" w16cid:durableId="1924677059">
    <w:abstractNumId w:val="7"/>
  </w:num>
  <w:num w:numId="6" w16cid:durableId="1952471337">
    <w:abstractNumId w:val="8"/>
  </w:num>
  <w:num w:numId="7" w16cid:durableId="746609707">
    <w:abstractNumId w:val="3"/>
  </w:num>
  <w:num w:numId="8" w16cid:durableId="797332555">
    <w:abstractNumId w:val="6"/>
  </w:num>
  <w:num w:numId="9" w16cid:durableId="8627865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387E"/>
    <w:rsid w:val="00130D4F"/>
    <w:rsid w:val="00141E38"/>
    <w:rsid w:val="0015074B"/>
    <w:rsid w:val="00184097"/>
    <w:rsid w:val="001A49BD"/>
    <w:rsid w:val="001C087B"/>
    <w:rsid w:val="00272D28"/>
    <w:rsid w:val="0029639D"/>
    <w:rsid w:val="00326F90"/>
    <w:rsid w:val="0038111D"/>
    <w:rsid w:val="00390025"/>
    <w:rsid w:val="003B3EC2"/>
    <w:rsid w:val="003D0E4C"/>
    <w:rsid w:val="0045216B"/>
    <w:rsid w:val="00477623"/>
    <w:rsid w:val="004B71D3"/>
    <w:rsid w:val="00537D7D"/>
    <w:rsid w:val="00587CFF"/>
    <w:rsid w:val="00595113"/>
    <w:rsid w:val="007061D8"/>
    <w:rsid w:val="007D4799"/>
    <w:rsid w:val="008459A4"/>
    <w:rsid w:val="00870B19"/>
    <w:rsid w:val="008B3459"/>
    <w:rsid w:val="00932865"/>
    <w:rsid w:val="00932D45"/>
    <w:rsid w:val="009971E8"/>
    <w:rsid w:val="009D753F"/>
    <w:rsid w:val="00A50497"/>
    <w:rsid w:val="00A64558"/>
    <w:rsid w:val="00A936C8"/>
    <w:rsid w:val="00AA1D8D"/>
    <w:rsid w:val="00AB0866"/>
    <w:rsid w:val="00B47730"/>
    <w:rsid w:val="00B83603"/>
    <w:rsid w:val="00BBD898"/>
    <w:rsid w:val="00BF7FB3"/>
    <w:rsid w:val="00C50C3C"/>
    <w:rsid w:val="00CA792D"/>
    <w:rsid w:val="00CB0664"/>
    <w:rsid w:val="00DD301C"/>
    <w:rsid w:val="00E73A72"/>
    <w:rsid w:val="00EB58B7"/>
    <w:rsid w:val="00ED39D9"/>
    <w:rsid w:val="00F46984"/>
    <w:rsid w:val="00FB6FD0"/>
    <w:rsid w:val="00FC693F"/>
    <w:rsid w:val="05CA4A70"/>
    <w:rsid w:val="0F455926"/>
    <w:rsid w:val="0F6A8C00"/>
    <w:rsid w:val="15BE9F35"/>
    <w:rsid w:val="199AC046"/>
    <w:rsid w:val="1D701105"/>
    <w:rsid w:val="2343FD03"/>
    <w:rsid w:val="245CBEE4"/>
    <w:rsid w:val="24973856"/>
    <w:rsid w:val="27B4D435"/>
    <w:rsid w:val="27CEEC89"/>
    <w:rsid w:val="2CA609A6"/>
    <w:rsid w:val="3DF2039C"/>
    <w:rsid w:val="3F7B033E"/>
    <w:rsid w:val="40B81CE8"/>
    <w:rsid w:val="44AD4E46"/>
    <w:rsid w:val="4691C7C9"/>
    <w:rsid w:val="4C4DC6B8"/>
    <w:rsid w:val="4E893894"/>
    <w:rsid w:val="4EF4635A"/>
    <w:rsid w:val="50B5D242"/>
    <w:rsid w:val="53DCCCC6"/>
    <w:rsid w:val="56D8F1E3"/>
    <w:rsid w:val="57E7DA02"/>
    <w:rsid w:val="5A5B455D"/>
    <w:rsid w:val="61987DD7"/>
    <w:rsid w:val="66B701DF"/>
    <w:rsid w:val="6C203141"/>
    <w:rsid w:val="6DDD82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E79490"/>
  <w14:defaultImageDpi w14:val="300"/>
  <w15:docId w15:val="{17045FEF-8C10-46F8-AE80-8AF58A6FB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6B701DF"/>
    <w:rPr>
      <w:rFonts w:ascii="Arial" w:hAnsi="Arial"/>
      <w:sz w:val="24"/>
      <w:szCs w:val="24"/>
      <w:lang w:val="en-GB"/>
    </w:rPr>
  </w:style>
  <w:style w:type="paragraph" w:styleId="Heading1">
    <w:name w:val="heading 1"/>
    <w:basedOn w:val="Normal"/>
    <w:next w:val="Normal"/>
    <w:link w:val="Heading1Char"/>
    <w:uiPriority w:val="9"/>
    <w:qFormat/>
    <w:rsid w:val="66B701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66B701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66B701D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66B701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66B701DF"/>
    <w:pPr>
      <w:keepNext/>
      <w:keepLines/>
      <w:spacing w:before="200" w:after="0"/>
      <w:outlineLvl w:val="4"/>
    </w:pPr>
    <w:rPr>
      <w:rFonts w:asciiTheme="majorHAnsi" w:eastAsiaTheme="majorEastAsia" w:hAnsiTheme="majorHAnsi" w:cstheme="majorBidi"/>
      <w:color w:val="243F60"/>
    </w:rPr>
  </w:style>
  <w:style w:type="paragraph" w:styleId="Heading6">
    <w:name w:val="heading 6"/>
    <w:basedOn w:val="Normal"/>
    <w:next w:val="Normal"/>
    <w:link w:val="Heading6Char"/>
    <w:uiPriority w:val="9"/>
    <w:semiHidden/>
    <w:unhideWhenUsed/>
    <w:qFormat/>
    <w:rsid w:val="66B701DF"/>
    <w:pPr>
      <w:keepNext/>
      <w:keepLines/>
      <w:spacing w:before="200" w:after="0"/>
      <w:outlineLvl w:val="5"/>
    </w:pPr>
    <w:rPr>
      <w:rFonts w:asciiTheme="majorHAnsi" w:eastAsiaTheme="majorEastAsia" w:hAnsiTheme="majorHAnsi" w:cstheme="majorBidi"/>
      <w:i/>
      <w:iCs/>
      <w:color w:val="243F60"/>
    </w:rPr>
  </w:style>
  <w:style w:type="paragraph" w:styleId="Heading7">
    <w:name w:val="heading 7"/>
    <w:basedOn w:val="Normal"/>
    <w:next w:val="Normal"/>
    <w:link w:val="Heading7Char"/>
    <w:uiPriority w:val="9"/>
    <w:semiHidden/>
    <w:unhideWhenUsed/>
    <w:qFormat/>
    <w:rsid w:val="66B701D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66B701D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66B701D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66B701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66B701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66B701D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66B701DF"/>
    <w:rPr>
      <w:rFonts w:asciiTheme="majorHAnsi" w:eastAsiaTheme="majorEastAsia" w:hAnsiTheme="majorHAnsi" w:cstheme="majorBidi"/>
      <w:i/>
      <w:iCs/>
      <w:color w:val="4F81BD" w:themeColor="accent1"/>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66B701DF"/>
    <w:pPr>
      <w:ind w:left="720"/>
      <w:contextualSpacing/>
    </w:pPr>
  </w:style>
  <w:style w:type="paragraph" w:styleId="BodyText">
    <w:name w:val="Body Text"/>
    <w:basedOn w:val="Normal"/>
    <w:link w:val="BodyTextChar"/>
    <w:uiPriority w:val="99"/>
    <w:unhideWhenUsed/>
    <w:rsid w:val="66B701DF"/>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66B701DF"/>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66B701DF"/>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66B701DF"/>
    <w:pPr>
      <w:ind w:left="360" w:hanging="360"/>
      <w:contextualSpacing/>
    </w:pPr>
  </w:style>
  <w:style w:type="paragraph" w:styleId="List2">
    <w:name w:val="List 2"/>
    <w:basedOn w:val="Normal"/>
    <w:uiPriority w:val="99"/>
    <w:unhideWhenUsed/>
    <w:rsid w:val="66B701DF"/>
    <w:pPr>
      <w:ind w:left="720" w:hanging="360"/>
      <w:contextualSpacing/>
    </w:pPr>
  </w:style>
  <w:style w:type="paragraph" w:styleId="List3">
    <w:name w:val="List 3"/>
    <w:basedOn w:val="Normal"/>
    <w:uiPriority w:val="99"/>
    <w:unhideWhenUsed/>
    <w:rsid w:val="66B701DF"/>
    <w:pPr>
      <w:ind w:left="1080" w:hanging="360"/>
      <w:contextualSpacing/>
    </w:pPr>
  </w:style>
  <w:style w:type="paragraph" w:styleId="ListBullet">
    <w:name w:val="List Bullet"/>
    <w:basedOn w:val="Normal"/>
    <w:uiPriority w:val="99"/>
    <w:unhideWhenUsed/>
    <w:rsid w:val="66B701DF"/>
    <w:pPr>
      <w:numPr>
        <w:numId w:val="6"/>
      </w:numPr>
      <w:contextualSpacing/>
    </w:pPr>
  </w:style>
  <w:style w:type="paragraph" w:styleId="ListBullet2">
    <w:name w:val="List Bullet 2"/>
    <w:basedOn w:val="Normal"/>
    <w:uiPriority w:val="99"/>
    <w:unhideWhenUsed/>
    <w:rsid w:val="66B701DF"/>
    <w:pPr>
      <w:numPr>
        <w:numId w:val="8"/>
      </w:numPr>
      <w:contextualSpacing/>
    </w:pPr>
  </w:style>
  <w:style w:type="paragraph" w:styleId="ListBullet3">
    <w:name w:val="List Bullet 3"/>
    <w:basedOn w:val="Normal"/>
    <w:uiPriority w:val="99"/>
    <w:unhideWhenUsed/>
    <w:rsid w:val="66B701DF"/>
    <w:pPr>
      <w:numPr>
        <w:numId w:val="4"/>
      </w:numPr>
      <w:contextualSpacing/>
    </w:pPr>
  </w:style>
  <w:style w:type="paragraph" w:styleId="ListNumber">
    <w:name w:val="List Number"/>
    <w:basedOn w:val="Normal"/>
    <w:uiPriority w:val="99"/>
    <w:unhideWhenUsed/>
    <w:rsid w:val="66B701DF"/>
    <w:pPr>
      <w:numPr>
        <w:numId w:val="5"/>
      </w:numPr>
      <w:contextualSpacing/>
    </w:pPr>
  </w:style>
  <w:style w:type="paragraph" w:styleId="ListNumber2">
    <w:name w:val="List Number 2"/>
    <w:basedOn w:val="Normal"/>
    <w:uiPriority w:val="99"/>
    <w:unhideWhenUsed/>
    <w:rsid w:val="66B701DF"/>
    <w:pPr>
      <w:numPr>
        <w:numId w:val="7"/>
      </w:numPr>
      <w:contextualSpacing/>
    </w:pPr>
  </w:style>
  <w:style w:type="paragraph" w:styleId="ListNumber3">
    <w:name w:val="List Number 3"/>
    <w:basedOn w:val="Normal"/>
    <w:uiPriority w:val="99"/>
    <w:unhideWhenUsed/>
    <w:rsid w:val="66B701DF"/>
    <w:pPr>
      <w:numPr>
        <w:numId w:val="3"/>
      </w:numPr>
      <w:contextualSpacing/>
    </w:pPr>
  </w:style>
  <w:style w:type="paragraph" w:styleId="ListContinue">
    <w:name w:val="List Continue"/>
    <w:basedOn w:val="Normal"/>
    <w:uiPriority w:val="99"/>
    <w:unhideWhenUsed/>
    <w:rsid w:val="66B701DF"/>
    <w:pPr>
      <w:spacing w:after="120"/>
      <w:ind w:left="360"/>
      <w:contextualSpacing/>
    </w:pPr>
  </w:style>
  <w:style w:type="paragraph" w:styleId="ListContinue2">
    <w:name w:val="List Continue 2"/>
    <w:basedOn w:val="Normal"/>
    <w:uiPriority w:val="99"/>
    <w:unhideWhenUsed/>
    <w:rsid w:val="66B701DF"/>
    <w:pPr>
      <w:spacing w:after="120"/>
      <w:ind w:left="720"/>
      <w:contextualSpacing/>
    </w:pPr>
  </w:style>
  <w:style w:type="paragraph" w:styleId="ListContinue3">
    <w:name w:val="List Continue 3"/>
    <w:basedOn w:val="Normal"/>
    <w:uiPriority w:val="99"/>
    <w:unhideWhenUsed/>
    <w:rsid w:val="66B701DF"/>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66B701D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66B701D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66B701D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Sofia Hameed Rafaqat (2131225)</cp:lastModifiedBy>
  <cp:revision>11</cp:revision>
  <dcterms:created xsi:type="dcterms:W3CDTF">2025-11-08T15:23:00Z</dcterms:created>
  <dcterms:modified xsi:type="dcterms:W3CDTF">2025-11-10T23:53:00Z</dcterms:modified>
  <cp:category/>
</cp:coreProperties>
</file>