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06B" w:rsidRDefault="008A706B" w:rsidP="008A706B">
      <w:pPr>
        <w:pStyle w:val="Heading1"/>
        <w:numPr>
          <w:ilvl w:val="0"/>
          <w:numId w:val="1"/>
        </w:numPr>
        <w:rPr>
          <w:rStyle w:val="Strong"/>
          <w:rFonts w:ascii="Calibri" w:hAnsi="Calibri"/>
          <w:b/>
          <w:bCs w:val="0"/>
          <w:sz w:val="32"/>
        </w:rPr>
      </w:pPr>
      <w:r w:rsidRPr="009D1CFC">
        <w:rPr>
          <w:rStyle w:val="Strong"/>
          <w:rFonts w:ascii="Calibri" w:hAnsi="Calibri"/>
          <w:b/>
          <w:bCs w:val="0"/>
          <w:sz w:val="32"/>
        </w:rPr>
        <w:t>Executive Summary of International Business Plan</w:t>
      </w:r>
    </w:p>
    <w:p w:rsidR="00E90A7C" w:rsidRDefault="00E90A7C" w:rsidP="00E90A7C">
      <w:pPr>
        <w:pStyle w:val="Heading2"/>
      </w:pPr>
      <w:r>
        <w:t>What we want to do</w:t>
      </w:r>
    </w:p>
    <w:p w:rsidR="00E90A7C" w:rsidRDefault="00E90A7C" w:rsidP="00E90A7C">
      <w:pPr>
        <w:pStyle w:val="Heading2"/>
      </w:pPr>
      <w:r>
        <w:t>Why we want to do it</w:t>
      </w:r>
    </w:p>
    <w:p w:rsidR="00E90A7C" w:rsidRDefault="00E90A7C" w:rsidP="00E90A7C">
      <w:pPr>
        <w:pStyle w:val="Heading2"/>
      </w:pPr>
      <w:r>
        <w:t>How we are going to do it</w:t>
      </w:r>
    </w:p>
    <w:p w:rsidR="00E90A7C" w:rsidRPr="00E90A7C" w:rsidRDefault="00E90A7C" w:rsidP="00E90A7C">
      <w:pPr>
        <w:pStyle w:val="Heading2"/>
      </w:pPr>
      <w:r>
        <w:t>What resource it will take to deliver</w:t>
      </w:r>
    </w:p>
    <w:p w:rsidR="00990B0C" w:rsidRPr="00990B0C" w:rsidRDefault="008A706B" w:rsidP="00990B0C">
      <w:pPr>
        <w:pStyle w:val="Heading1"/>
        <w:numPr>
          <w:ilvl w:val="0"/>
          <w:numId w:val="1"/>
        </w:numPr>
      </w:pPr>
      <w:r w:rsidRPr="009D1CFC">
        <w:rPr>
          <w:rStyle w:val="Strong"/>
          <w:rFonts w:ascii="Calibri" w:hAnsi="Calibri"/>
          <w:b/>
          <w:bCs w:val="0"/>
          <w:sz w:val="32"/>
        </w:rPr>
        <w:t>Corporate Global Vision and Goals</w:t>
      </w:r>
    </w:p>
    <w:p w:rsidR="00E45CF7" w:rsidRDefault="00E45CF7" w:rsidP="008A706B">
      <w:r>
        <w:t>Our Goal is to grow the business and the brand, to become a major player in the snacking industry, the leading healthy snack brand, and a leading organisation for ethical and sustainable practices. Our success in the UK and US markets has given us a foothold, however in order to drive our next phase of growth we must look outside, to new markets, and to capture the very best of new tech and practices.</w:t>
      </w:r>
    </w:p>
    <w:p w:rsidR="000F5B45" w:rsidRDefault="002803C5" w:rsidP="008A706B">
      <w:r>
        <w:t xml:space="preserve">In our primary report we presented a short </w:t>
      </w:r>
      <w:proofErr w:type="spellStart"/>
      <w:r>
        <w:t>powerpoint</w:t>
      </w:r>
      <w:proofErr w:type="spellEnd"/>
      <w:r>
        <w:t xml:space="preserve"> synopsis of primary investigations into this expansion opportunity, and in this board report we will describe the plans more fully including findings of our detailed foreign market research. </w:t>
      </w:r>
    </w:p>
    <w:p w:rsidR="008A706B" w:rsidRPr="008A706B" w:rsidRDefault="00354858" w:rsidP="008A706B">
      <w:r>
        <w:t xml:space="preserve">In the sections below we will </w:t>
      </w:r>
      <w:r w:rsidR="000F5B45">
        <w:t>state</w:t>
      </w:r>
      <w:r>
        <w:t xml:space="preserve"> our vision and strategic goals followed by our operational structure and delivery plans.</w:t>
      </w:r>
    </w:p>
    <w:p w:rsidR="008A706B" w:rsidRDefault="008A706B" w:rsidP="008A706B">
      <w:pPr>
        <w:pStyle w:val="Heading2"/>
        <w:numPr>
          <w:ilvl w:val="1"/>
          <w:numId w:val="1"/>
        </w:numPr>
      </w:pPr>
      <w:r>
        <w:t>Vision</w:t>
      </w:r>
    </w:p>
    <w:p w:rsidR="00354858" w:rsidRDefault="008918EB" w:rsidP="008918EB">
      <w:pPr>
        <w:jc w:val="center"/>
      </w:pPr>
      <w:r>
        <w:t>‘</w:t>
      </w:r>
      <w:r w:rsidR="002803C5">
        <w:t>To be the number one healthy snack brand</w:t>
      </w:r>
      <w:r w:rsidR="00354858">
        <w:t>’</w:t>
      </w:r>
    </w:p>
    <w:p w:rsidR="002803C5" w:rsidRDefault="00354858" w:rsidP="002803C5">
      <w:r>
        <w:t>Expansion into The Netherlands will be an enabler to achieving our company vision</w:t>
      </w:r>
      <w:r w:rsidR="008918EB">
        <w:t>, with access to new markets and technologies, but also capturing the synergies of Dutch culture</w:t>
      </w:r>
      <w:r w:rsidR="008918EB" w:rsidRPr="008918EB">
        <w:t xml:space="preserve"> </w:t>
      </w:r>
      <w:r w:rsidR="008918EB">
        <w:t>which are</w:t>
      </w:r>
      <w:r w:rsidR="008918EB">
        <w:t xml:space="preserve"> aligned values </w:t>
      </w:r>
      <w:r w:rsidR="008918EB">
        <w:t xml:space="preserve">such as accessible healthy eating, snacking as part of a healthy diet, sustainable production and infrastructure, and appropriate contributions to Corporate Social Responsibility (CSR). </w:t>
      </w:r>
    </w:p>
    <w:p w:rsidR="00533516" w:rsidRPr="002803C5" w:rsidRDefault="00533516" w:rsidP="002803C5">
      <w:r>
        <w:t xml:space="preserve">Outlined below are </w:t>
      </w:r>
      <w:r w:rsidR="00535C45">
        <w:t xml:space="preserve">5 </w:t>
      </w:r>
      <w:r>
        <w:t xml:space="preserve">strategic goals that will </w:t>
      </w:r>
      <w:r w:rsidR="003031E8">
        <w:t>act as primary drivers</w:t>
      </w:r>
      <w:r w:rsidR="00443092">
        <w:t xml:space="preserve"> to realising our vision:</w:t>
      </w:r>
    </w:p>
    <w:p w:rsidR="008A706B" w:rsidRDefault="008A706B" w:rsidP="008A706B">
      <w:pPr>
        <w:pStyle w:val="Heading2"/>
        <w:numPr>
          <w:ilvl w:val="1"/>
          <w:numId w:val="1"/>
        </w:numPr>
      </w:pPr>
      <w:r>
        <w:t>Goals</w:t>
      </w:r>
    </w:p>
    <w:p w:rsidR="008A706B" w:rsidRDefault="00443092" w:rsidP="00533516">
      <w:pPr>
        <w:pStyle w:val="Heading3"/>
      </w:pPr>
      <w:r>
        <w:t>Grow our business</w:t>
      </w:r>
    </w:p>
    <w:p w:rsidR="008A706B" w:rsidRDefault="00CC31AB" w:rsidP="008A706B">
      <w:r>
        <w:t>Accessing a marketplace with 170 million consumers within 24 hours of us. Our industry leading data, choice, tech, and responsiveness will bring Europeans a choice of healthy snack not widely available before. Learning from our US expansion, we have adopted technology and practices that allow us to be agile, bringing our customers what they want at a rate nobody else can match.</w:t>
      </w:r>
    </w:p>
    <w:p w:rsidR="00533516" w:rsidRDefault="00443092" w:rsidP="00533516">
      <w:pPr>
        <w:pStyle w:val="Heading3"/>
      </w:pPr>
      <w:r>
        <w:t>Di</w:t>
      </w:r>
      <w:r>
        <w:t>versify our market</w:t>
      </w:r>
    </w:p>
    <w:p w:rsidR="008A706B" w:rsidRDefault="008943C5" w:rsidP="008A706B">
      <w:r>
        <w:t xml:space="preserve">Using the </w:t>
      </w:r>
      <w:r w:rsidR="008A706B">
        <w:t xml:space="preserve">multichannel operational </w:t>
      </w:r>
      <w:proofErr w:type="gramStart"/>
      <w:r w:rsidR="008A706B">
        <w:t>model</w:t>
      </w:r>
      <w:proofErr w:type="gramEnd"/>
      <w:r>
        <w:t xml:space="preserve"> we can expand our</w:t>
      </w:r>
      <w:r w:rsidR="008A706B">
        <w:t xml:space="preserve"> customer base</w:t>
      </w:r>
      <w:r>
        <w:t xml:space="preserve"> rapidly from our new location in The Netherlands, capturing the best of the leading logistics framework and bring healthy snacking to a new, captive audience. Using our experience from the US expansion, we can expect a minimum 70,000 new customers within the first 6 months</w:t>
      </w:r>
      <w:r w:rsidR="00217AAF">
        <w:t xml:space="preserve">, bringing in c£14million of turnover in the first year </w:t>
      </w:r>
      <w:sdt>
        <w:sdtPr>
          <w:id w:val="-677349460"/>
          <w:citation/>
        </w:sdtPr>
        <w:sdtContent>
          <w:r w:rsidR="00217AAF">
            <w:fldChar w:fldCharType="begin"/>
          </w:r>
          <w:r w:rsidR="00217AAF">
            <w:instrText xml:space="preserve"> CITATION Foo15 \l 2057 </w:instrText>
          </w:r>
          <w:r w:rsidR="00217AAF">
            <w:fldChar w:fldCharType="separate"/>
          </w:r>
          <w:r w:rsidR="00217AAF" w:rsidRPr="00217AAF">
            <w:rPr>
              <w:noProof/>
            </w:rPr>
            <w:t>(Foodmanufacture, 2015)</w:t>
          </w:r>
          <w:r w:rsidR="00217AAF">
            <w:fldChar w:fldCharType="end"/>
          </w:r>
        </w:sdtContent>
      </w:sdt>
      <w:r w:rsidR="00217AAF">
        <w:t>.</w:t>
      </w:r>
    </w:p>
    <w:p w:rsidR="00533516" w:rsidRDefault="00443092" w:rsidP="00533516">
      <w:pPr>
        <w:pStyle w:val="Heading3"/>
      </w:pPr>
      <w:r>
        <w:lastRenderedPageBreak/>
        <w:t>Maximise our profitability</w:t>
      </w:r>
    </w:p>
    <w:p w:rsidR="008A706B" w:rsidRDefault="00D6517A" w:rsidP="008A706B">
      <w:r>
        <w:t xml:space="preserve">Taking advantage of the strengths of our multichannel business delivery model we must seek to find new, better ways of capitalising on developments in </w:t>
      </w:r>
      <w:r>
        <w:t>tech</w:t>
      </w:r>
      <w:r>
        <w:t xml:space="preserve"> and </w:t>
      </w:r>
      <w:proofErr w:type="spellStart"/>
      <w:r>
        <w:t>agrifood</w:t>
      </w:r>
      <w:proofErr w:type="spellEnd"/>
      <w:r>
        <w:t xml:space="preserve"> production, as well as maximise the opportunity the Dutch logistics system opens up for us </w:t>
      </w:r>
      <w:sdt>
        <w:sdtPr>
          <w:id w:val="-930653023"/>
          <w:citation/>
        </w:sdtPr>
        <w:sdtContent>
          <w:r>
            <w:fldChar w:fldCharType="begin"/>
          </w:r>
          <w:r>
            <w:instrText xml:space="preserve"> CITATION PWC19 \l 2057 </w:instrText>
          </w:r>
          <w:r>
            <w:fldChar w:fldCharType="separate"/>
          </w:r>
          <w:r w:rsidRPr="00D6517A">
            <w:rPr>
              <w:noProof/>
            </w:rPr>
            <w:t>(PWC, 2019)</w:t>
          </w:r>
          <w:r>
            <w:fldChar w:fldCharType="end"/>
          </w:r>
        </w:sdtContent>
      </w:sdt>
      <w:r>
        <w:t>.</w:t>
      </w:r>
    </w:p>
    <w:p w:rsidR="00533516" w:rsidRDefault="00443092" w:rsidP="00533516">
      <w:pPr>
        <w:pStyle w:val="Heading3"/>
      </w:pPr>
      <w:r>
        <w:t>Strengthen our brand</w:t>
      </w:r>
      <w:r w:rsidR="00535C45">
        <w:t xml:space="preserve"> as an ethical, green, sustainable company</w:t>
      </w:r>
    </w:p>
    <w:p w:rsidR="008A706B" w:rsidRDefault="00D44685" w:rsidP="008A706B">
      <w:r>
        <w:t xml:space="preserve">Dutch culture shares our values around good, healthy, nutritious food, and the role of snacking in daily energy intake also. The Netherlands are a nation leading the way in pursuit of better, cleaner, greener methods of food production, distribution, and doing business. </w:t>
      </w:r>
      <w:r w:rsidR="00535C45">
        <w:t xml:space="preserve">The opportunity to </w:t>
      </w:r>
      <w:proofErr w:type="gramStart"/>
      <w:r w:rsidR="00535C45">
        <w:t>make a contribution</w:t>
      </w:r>
      <w:proofErr w:type="gramEnd"/>
      <w:r w:rsidR="00535C45">
        <w:t xml:space="preserve"> to developing better ways of doing our business and being seen to do business the right way will help us meet our obligations under CSR, as well as provide excellent marketing material – potentially drawing us a greater market share along the way.</w:t>
      </w:r>
    </w:p>
    <w:p w:rsidR="00533516" w:rsidRDefault="00443092" w:rsidP="00533516">
      <w:pPr>
        <w:pStyle w:val="Heading3"/>
      </w:pPr>
      <w:r>
        <w:t>Make Healthy snacking the easy option</w:t>
      </w:r>
    </w:p>
    <w:p w:rsidR="008A706B" w:rsidRPr="00E65C4E" w:rsidRDefault="00BA4D07" w:rsidP="008A706B">
      <w:r>
        <w:t>We want to help c</w:t>
      </w:r>
      <w:r>
        <w:t>hange the eating habits of Europeans,</w:t>
      </w:r>
      <w:r>
        <w:t xml:space="preserve"> </w:t>
      </w:r>
      <w:r w:rsidR="008A706B">
        <w:t>making healthy snac</w:t>
      </w:r>
      <w:r>
        <w:t>ks accessible, tasty, and the easy choice</w:t>
      </w:r>
      <w:r w:rsidR="00E936B4">
        <w:t xml:space="preserve">. Our multichannel business model provides choice for the consumer but also allows us to collect data and launch new products to market within 24 hours, giving us the agility and responsiveness to adapt </w:t>
      </w:r>
      <w:r w:rsidR="00E936B4">
        <w:t>rapidly</w:t>
      </w:r>
      <w:r w:rsidR="00E936B4">
        <w:t xml:space="preserve"> to new market conditions.</w:t>
      </w:r>
      <w:r w:rsidR="00E85F6A">
        <w:t xml:space="preserve"> Our subscription and ordering platform acknowledge customer preferences and give us opportunity to be bold, developing new, healthy recipes and getting rapid feedback from our customer base </w:t>
      </w:r>
      <w:sdt>
        <w:sdtPr>
          <w:id w:val="-2087064903"/>
          <w:citation/>
        </w:sdtPr>
        <w:sdtContent>
          <w:r w:rsidR="00E85F6A">
            <w:fldChar w:fldCharType="begin"/>
          </w:r>
          <w:r w:rsidR="00E85F6A">
            <w:instrText xml:space="preserve"> CITATION Gra182 \l 2057 </w:instrText>
          </w:r>
          <w:r w:rsidR="00E85F6A">
            <w:fldChar w:fldCharType="separate"/>
          </w:r>
          <w:r w:rsidR="00E85F6A" w:rsidRPr="00E85F6A">
            <w:rPr>
              <w:noProof/>
            </w:rPr>
            <w:t>(Graze.com, 2018)</w:t>
          </w:r>
          <w:r w:rsidR="00E85F6A">
            <w:fldChar w:fldCharType="end"/>
          </w:r>
        </w:sdtContent>
      </w:sdt>
      <w:r w:rsidR="00E85F6A">
        <w:t>.</w:t>
      </w:r>
    </w:p>
    <w:p w:rsidR="008A706B" w:rsidRDefault="008A706B" w:rsidP="008A706B">
      <w:pPr>
        <w:pStyle w:val="Heading1"/>
        <w:numPr>
          <w:ilvl w:val="0"/>
          <w:numId w:val="1"/>
        </w:numPr>
        <w:rPr>
          <w:rStyle w:val="Strong"/>
          <w:rFonts w:ascii="Calibri" w:hAnsi="Calibri"/>
          <w:b/>
          <w:bCs w:val="0"/>
          <w:sz w:val="32"/>
        </w:rPr>
      </w:pPr>
      <w:r w:rsidRPr="009D1CFC">
        <w:rPr>
          <w:rStyle w:val="Strong"/>
          <w:rFonts w:ascii="Calibri" w:hAnsi="Calibri"/>
          <w:b/>
          <w:bCs w:val="0"/>
          <w:sz w:val="32"/>
        </w:rPr>
        <w:t>International Business/ Organisational Structure</w:t>
      </w:r>
    </w:p>
    <w:p w:rsidR="00A97B76" w:rsidRDefault="00A97B76" w:rsidP="00A97B76">
      <w:r>
        <w:t xml:space="preserve">Organisational structures have been broadly categorised into </w:t>
      </w:r>
      <w:r w:rsidR="00122977">
        <w:t xml:space="preserve">4 groups: </w:t>
      </w:r>
      <w:r w:rsidR="00122977" w:rsidRPr="00122977">
        <w:t xml:space="preserve">divisional, </w:t>
      </w:r>
      <w:r w:rsidR="00122977">
        <w:t xml:space="preserve">flat, </w:t>
      </w:r>
      <w:r w:rsidR="00122977" w:rsidRPr="00122977">
        <w:t xml:space="preserve">functional, </w:t>
      </w:r>
      <w:r w:rsidR="00122977">
        <w:t xml:space="preserve">and </w:t>
      </w:r>
      <w:r w:rsidR="00122977" w:rsidRPr="00122977">
        <w:t xml:space="preserve">matrix </w:t>
      </w:r>
      <w:sdt>
        <w:sdtPr>
          <w:id w:val="-540360305"/>
          <w:citation/>
        </w:sdtPr>
        <w:sdtContent>
          <w:r w:rsidR="00122977">
            <w:fldChar w:fldCharType="begin"/>
          </w:r>
          <w:r w:rsidR="00122977">
            <w:instrText xml:space="preserve"> CITATION Dav91 \l 2057 </w:instrText>
          </w:r>
          <w:r w:rsidR="00122977">
            <w:fldChar w:fldCharType="separate"/>
          </w:r>
          <w:r w:rsidR="00122977" w:rsidRPr="00122977">
            <w:rPr>
              <w:noProof/>
            </w:rPr>
            <w:t>(Davis Browing, 1991)</w:t>
          </w:r>
          <w:r w:rsidR="00122977">
            <w:fldChar w:fldCharType="end"/>
          </w:r>
        </w:sdtContent>
      </w:sdt>
      <w:r w:rsidR="00122977">
        <w:t xml:space="preserve">, </w:t>
      </w:r>
      <w:sdt>
        <w:sdtPr>
          <w:id w:val="-2104867542"/>
          <w:citation/>
        </w:sdtPr>
        <w:sdtContent>
          <w:r w:rsidR="00122977">
            <w:fldChar w:fldCharType="begin"/>
          </w:r>
          <w:r w:rsidR="00122977">
            <w:instrText xml:space="preserve"> CITATION Ash04 \l 2057 </w:instrText>
          </w:r>
          <w:r w:rsidR="00122977">
            <w:fldChar w:fldCharType="separate"/>
          </w:r>
          <w:r w:rsidR="00122977" w:rsidRPr="00122977">
            <w:rPr>
              <w:noProof/>
            </w:rPr>
            <w:t>(Ashton, 2004)</w:t>
          </w:r>
          <w:r w:rsidR="00122977">
            <w:fldChar w:fldCharType="end"/>
          </w:r>
        </w:sdtContent>
      </w:sdt>
      <w:r w:rsidR="00122977">
        <w:t xml:space="preserve">, </w:t>
      </w:r>
      <w:sdt>
        <w:sdtPr>
          <w:id w:val="-1512379181"/>
          <w:citation/>
        </w:sdtPr>
        <w:sdtContent>
          <w:r w:rsidR="00122977">
            <w:fldChar w:fldCharType="begin"/>
          </w:r>
          <w:r w:rsidR="00122977">
            <w:instrText xml:space="preserve"> CITATION Mor15 \l 2057 </w:instrText>
          </w:r>
          <w:r w:rsidR="00122977">
            <w:fldChar w:fldCharType="separate"/>
          </w:r>
          <w:r w:rsidR="00122977" w:rsidRPr="00122977">
            <w:rPr>
              <w:noProof/>
            </w:rPr>
            <w:t>(Morschett, et al., 2015)</w:t>
          </w:r>
          <w:r w:rsidR="00122977">
            <w:fldChar w:fldCharType="end"/>
          </w:r>
        </w:sdtContent>
      </w:sdt>
      <w:r w:rsidR="0097079F">
        <w:t>, with consensus stating a defined structure supports more effective business than one that is too fluid, or poorly defined.</w:t>
      </w:r>
    </w:p>
    <w:p w:rsidR="008A706B" w:rsidRDefault="008A706B" w:rsidP="008A706B">
      <w:pPr>
        <w:pStyle w:val="Heading1"/>
        <w:numPr>
          <w:ilvl w:val="0"/>
          <w:numId w:val="1"/>
        </w:numPr>
        <w:rPr>
          <w:rStyle w:val="Strong"/>
          <w:rFonts w:ascii="Calibri" w:hAnsi="Calibri"/>
          <w:b/>
          <w:bCs w:val="0"/>
          <w:sz w:val="32"/>
        </w:rPr>
      </w:pPr>
      <w:bookmarkStart w:id="0" w:name="_GoBack"/>
      <w:bookmarkEnd w:id="0"/>
      <w:r w:rsidRPr="009D1CFC">
        <w:rPr>
          <w:rStyle w:val="Strong"/>
          <w:rFonts w:ascii="Calibri" w:hAnsi="Calibri"/>
          <w:b/>
          <w:bCs w:val="0"/>
          <w:sz w:val="32"/>
        </w:rPr>
        <w:t>Foreign Market Research</w:t>
      </w:r>
    </w:p>
    <w:p w:rsidR="008A706B" w:rsidRPr="001E32A7" w:rsidRDefault="008A706B" w:rsidP="008A706B">
      <w:pPr>
        <w:pStyle w:val="Heading2"/>
        <w:numPr>
          <w:ilvl w:val="1"/>
          <w:numId w:val="1"/>
        </w:numPr>
      </w:pPr>
      <w:r>
        <w:t>PESTLE analysis</w:t>
      </w:r>
    </w:p>
    <w:p w:rsidR="008A706B" w:rsidRDefault="008A706B" w:rsidP="008A706B">
      <w:pPr>
        <w:pStyle w:val="Heading3"/>
        <w:numPr>
          <w:ilvl w:val="2"/>
          <w:numId w:val="1"/>
        </w:numPr>
        <w:ind w:left="2160"/>
      </w:pPr>
      <w:r>
        <w:t>Political</w:t>
      </w:r>
    </w:p>
    <w:p w:rsidR="008A706B" w:rsidRPr="00002A05" w:rsidRDefault="008A706B" w:rsidP="008A706B">
      <w:pPr>
        <w:rPr>
          <w:color w:val="70AD47" w:themeColor="accent6"/>
        </w:rPr>
      </w:pPr>
      <w:r>
        <w:t>The Netherlands ranks amongst the most stable countries in the world across a number of key indicators in the 2018 World Bank governance report, ranking highest European nation for voice &amp; accountability</w:t>
      </w:r>
      <w:r w:rsidRPr="00E9637C">
        <w:t xml:space="preserve"> </w:t>
      </w:r>
      <w:r>
        <w:t>(top 3) and Regulatory Quality (4</w:t>
      </w:r>
      <w:r w:rsidRPr="00E9637C">
        <w:rPr>
          <w:vertAlign w:val="superscript"/>
        </w:rPr>
        <w:t>th</w:t>
      </w:r>
      <w:r>
        <w:t xml:space="preserve">), and top 10 for Rule of Law, Government Effectiveness, and Control of Corruption </w:t>
      </w:r>
      <w:sdt>
        <w:sdtPr>
          <w:id w:val="-1028025772"/>
          <w:citation/>
        </w:sdtPr>
        <w:sdtContent>
          <w:r>
            <w:fldChar w:fldCharType="begin"/>
          </w:r>
          <w:r>
            <w:instrText xml:space="preserve"> CITATION WGI19 \l 2057 </w:instrText>
          </w:r>
          <w:r>
            <w:fldChar w:fldCharType="separate"/>
          </w:r>
          <w:r w:rsidRPr="008E69A2">
            <w:rPr>
              <w:noProof/>
            </w:rPr>
            <w:t>(WGI Project, 2019)</w:t>
          </w:r>
          <w:r>
            <w:fldChar w:fldCharType="end"/>
          </w:r>
        </w:sdtContent>
      </w:sdt>
      <w:r>
        <w:t xml:space="preserve">. </w:t>
      </w:r>
    </w:p>
    <w:p w:rsidR="008A706B" w:rsidRDefault="008A706B" w:rsidP="008A706B">
      <w:r>
        <w:t>As a highly prominent member state in the European union, The Netherlands is viewed as the 4</w:t>
      </w:r>
      <w:r w:rsidRPr="008E69A2">
        <w:rPr>
          <w:vertAlign w:val="superscript"/>
        </w:rPr>
        <w:t>th</w:t>
      </w:r>
      <w:r>
        <w:t xml:space="preserve"> most relevant and influential of the 28 member states, despite ranking 8</w:t>
      </w:r>
      <w:r w:rsidRPr="008E69A2">
        <w:rPr>
          <w:vertAlign w:val="superscript"/>
        </w:rPr>
        <w:t>th</w:t>
      </w:r>
      <w:r>
        <w:t xml:space="preserve"> for population size and 6</w:t>
      </w:r>
      <w:r w:rsidRPr="00AF0825">
        <w:rPr>
          <w:vertAlign w:val="superscript"/>
        </w:rPr>
        <w:t>th</w:t>
      </w:r>
      <w:r>
        <w:t xml:space="preserve"> for economy size </w:t>
      </w:r>
      <w:sdt>
        <w:sdtPr>
          <w:id w:val="506719105"/>
          <w:citation/>
        </w:sdtPr>
        <w:sdtContent>
          <w:r>
            <w:fldChar w:fldCharType="begin"/>
          </w:r>
          <w:r>
            <w:instrText xml:space="preserve"> CITATION ECF18 \l 2057 </w:instrText>
          </w:r>
          <w:r>
            <w:fldChar w:fldCharType="separate"/>
          </w:r>
          <w:r w:rsidRPr="008E69A2">
            <w:rPr>
              <w:noProof/>
            </w:rPr>
            <w:t>(ECFR, 2018)</w:t>
          </w:r>
          <w:r>
            <w:fldChar w:fldCharType="end"/>
          </w:r>
        </w:sdtContent>
      </w:sdt>
      <w:r>
        <w:t>. Therefore, Dutch perspective and philosophy is likely to contribute significantly in relation to EU policy direction in coming years.</w:t>
      </w:r>
    </w:p>
    <w:p w:rsidR="008A706B" w:rsidRDefault="008A706B" w:rsidP="008A706B">
      <w:r>
        <w:t xml:space="preserve">The Netherlands is considered to have a sympathetic view towards Entrepreneurship, Innovation, and Business development. It has developed a corporate tax infrastructure designed to encourage foreign investment, business development, and R&amp;D. Analysis of the Dutch tax system by PWC </w:t>
      </w:r>
      <w:r>
        <w:lastRenderedPageBreak/>
        <w:t>highlight its 6 most attractive features</w:t>
      </w:r>
      <w:sdt>
        <w:sdtPr>
          <w:id w:val="-1630550475"/>
          <w:citation/>
        </w:sdtPr>
        <w:sdtContent>
          <w:r>
            <w:fldChar w:fldCharType="begin"/>
          </w:r>
          <w:r>
            <w:instrText xml:space="preserve">CITATION PWC19 \p 20 \n  \y  \l 2057 </w:instrText>
          </w:r>
          <w:r>
            <w:fldChar w:fldCharType="separate"/>
          </w:r>
          <w:r>
            <w:rPr>
              <w:noProof/>
            </w:rPr>
            <w:t xml:space="preserve"> </w:t>
          </w:r>
          <w:r w:rsidRPr="008A6A2A">
            <w:rPr>
              <w:noProof/>
            </w:rPr>
            <w:t>(p. 20)</w:t>
          </w:r>
          <w:r>
            <w:fldChar w:fldCharType="end"/>
          </w:r>
        </w:sdtContent>
      </w:sdt>
      <w:r>
        <w:t xml:space="preserve">, and concludes that the Dutch position in Europe is highly competitive in comparison to European competitors </w:t>
      </w:r>
      <w:sdt>
        <w:sdtPr>
          <w:id w:val="380068264"/>
          <w:citation/>
        </w:sdtPr>
        <w:sdtContent>
          <w:r>
            <w:fldChar w:fldCharType="begin"/>
          </w:r>
          <w:r>
            <w:instrText xml:space="preserve">CITATION PWC19 \n  \l 2057 </w:instrText>
          </w:r>
          <w:r>
            <w:fldChar w:fldCharType="separate"/>
          </w:r>
          <w:r w:rsidRPr="008A6A2A">
            <w:rPr>
              <w:noProof/>
            </w:rPr>
            <w:t>(2019)</w:t>
          </w:r>
          <w:r>
            <w:fldChar w:fldCharType="end"/>
          </w:r>
        </w:sdtContent>
      </w:sdt>
      <w:r>
        <w:t>.</w:t>
      </w:r>
    </w:p>
    <w:p w:rsidR="008A706B" w:rsidRDefault="008A706B" w:rsidP="008A706B">
      <w:r>
        <w:t xml:space="preserve">From a legislative perspective, and despite the instability throughout Europe, Pan-Asia, and across the Atlantic the Dutch position remains pro-business and innovation. Unemployment is amongst the lowest in Europe at just over 3%, and the economy continues to benefit from supportive Fiscal policy </w:t>
      </w:r>
      <w:sdt>
        <w:sdtPr>
          <w:id w:val="-345404339"/>
          <w:citation/>
        </w:sdtPr>
        <w:sdtContent>
          <w:r>
            <w:fldChar w:fldCharType="begin"/>
          </w:r>
          <w:r>
            <w:instrText xml:space="preserve"> CITATION Sta19 \l 2057 </w:instrText>
          </w:r>
          <w:r>
            <w:fldChar w:fldCharType="separate"/>
          </w:r>
          <w:r w:rsidRPr="00F15614">
            <w:rPr>
              <w:noProof/>
            </w:rPr>
            <w:t>(Statista, 2019)</w:t>
          </w:r>
          <w:r>
            <w:fldChar w:fldCharType="end"/>
          </w:r>
        </w:sdtContent>
      </w:sdt>
      <w:r>
        <w:t xml:space="preserve">. </w:t>
      </w:r>
    </w:p>
    <w:p w:rsidR="008A706B" w:rsidRDefault="008A706B" w:rsidP="008A706B">
      <w:r>
        <w:t>Summary:</w:t>
      </w:r>
    </w:p>
    <w:p w:rsidR="008A706B" w:rsidRDefault="008A706B" w:rsidP="008A706B">
      <w:r>
        <w:t xml:space="preserve">In spite of a murky European and international political picture with its significant and unprecedented challenges (Brexit, US/China trade dispute </w:t>
      </w:r>
      <w:sdt>
        <w:sdtPr>
          <w:id w:val="2018347397"/>
          <w:citation/>
        </w:sdtPr>
        <w:sdtContent>
          <w:r>
            <w:fldChar w:fldCharType="begin"/>
          </w:r>
          <w:r>
            <w:instrText xml:space="preserve"> CITATION FTc19 \l 2057 </w:instrText>
          </w:r>
          <w:r>
            <w:fldChar w:fldCharType="separate"/>
          </w:r>
          <w:r w:rsidRPr="00333EB4">
            <w:rPr>
              <w:noProof/>
            </w:rPr>
            <w:t>(FT.com, 2019)</w:t>
          </w:r>
          <w:r>
            <w:fldChar w:fldCharType="end"/>
          </w:r>
        </w:sdtContent>
      </w:sdt>
      <w:r>
        <w:t>), the stability and pro-business approach of the Dutch political system makes for an attractive investment proposition. Favourable fiscal policy and a strong position as a key influencer in Europe means The Netherlands is likely to be a driver of policy rather than a passive recipient, subsequently business is likely to benefit from strong market positions.</w:t>
      </w:r>
    </w:p>
    <w:p w:rsidR="008A706B" w:rsidRDefault="008A706B" w:rsidP="008A706B">
      <w:pPr>
        <w:pStyle w:val="Heading3"/>
        <w:numPr>
          <w:ilvl w:val="2"/>
          <w:numId w:val="1"/>
        </w:numPr>
        <w:ind w:left="2160"/>
      </w:pPr>
      <w:r>
        <w:t>Economic</w:t>
      </w:r>
    </w:p>
    <w:p w:rsidR="008A706B" w:rsidRPr="00AF0825" w:rsidRDefault="008A706B" w:rsidP="008A706B">
      <w:r>
        <w:t>The Netherlands is considered by the World Bank to be a productive and high-income nation, with national GDP at $918Billion for 2018, also ranking number 1 in Europe for Human Capital Index (HCI)</w:t>
      </w:r>
      <w:r w:rsidRPr="00AF0825">
        <w:t xml:space="preserve"> </w:t>
      </w:r>
      <w:sdt>
        <w:sdtPr>
          <w:id w:val="925225186"/>
          <w:citation/>
        </w:sdtPr>
        <w:sdtContent>
          <w:r>
            <w:fldChar w:fldCharType="begin"/>
          </w:r>
          <w:r>
            <w:instrText xml:space="preserve">CITATION Wor19 \n  \l 2057 </w:instrText>
          </w:r>
          <w:r>
            <w:fldChar w:fldCharType="separate"/>
          </w:r>
          <w:r w:rsidRPr="00CF4566">
            <w:rPr>
              <w:noProof/>
            </w:rPr>
            <w:t>(2019)</w:t>
          </w:r>
          <w:r>
            <w:fldChar w:fldCharType="end"/>
          </w:r>
        </w:sdtContent>
      </w:sdt>
      <w:r>
        <w:t xml:space="preserve">. Labour Productivity per hour is amongst the highest levels in Europe </w:t>
      </w:r>
      <w:sdt>
        <w:sdtPr>
          <w:id w:val="-1313411897"/>
          <w:citation/>
        </w:sdtPr>
        <w:sdtContent>
          <w:r>
            <w:fldChar w:fldCharType="begin"/>
          </w:r>
          <w:r>
            <w:instrText xml:space="preserve"> CITATION OEC18 \l 2057 </w:instrText>
          </w:r>
          <w:r>
            <w:fldChar w:fldCharType="separate"/>
          </w:r>
          <w:r w:rsidRPr="00CF4566">
            <w:rPr>
              <w:noProof/>
            </w:rPr>
            <w:t>(OECD, 2018)</w:t>
          </w:r>
          <w:r>
            <w:fldChar w:fldCharType="end"/>
          </w:r>
        </w:sdtContent>
      </w:sdt>
      <w:r>
        <w:t xml:space="preserve">. GDP per capita in 2019 is c$59,000, and The Netherlands has seen a 30% growth in GDP pc since 2010 with OECD describing the economic outlook as ‘vibrant and growth expected to remain robust’ </w:t>
      </w:r>
      <w:sdt>
        <w:sdtPr>
          <w:id w:val="1492829269"/>
          <w:citation/>
        </w:sdtPr>
        <w:sdtContent>
          <w:r>
            <w:fldChar w:fldCharType="begin"/>
          </w:r>
          <w:r>
            <w:instrText xml:space="preserve">CITATION OEC18 \n  \l 2057 </w:instrText>
          </w:r>
          <w:r>
            <w:fldChar w:fldCharType="separate"/>
          </w:r>
          <w:r w:rsidRPr="00CF4566">
            <w:rPr>
              <w:noProof/>
            </w:rPr>
            <w:t>(2018)</w:t>
          </w:r>
          <w:r>
            <w:fldChar w:fldCharType="end"/>
          </w:r>
        </w:sdtContent>
      </w:sdt>
      <w:r>
        <w:t>.</w:t>
      </w:r>
    </w:p>
    <w:p w:rsidR="008A706B" w:rsidRDefault="008A706B" w:rsidP="008A706B">
      <w:r>
        <w:t xml:space="preserve">Labour costs are likely to be a significant consideration as The Netherlands has amongst the highest labour costs in the EU 19 nations, although this cost is in line with other high earning European neighbours such as Norway and Germany </w:t>
      </w:r>
      <w:sdt>
        <w:sdtPr>
          <w:id w:val="-165327614"/>
          <w:citation/>
        </w:sdtPr>
        <w:sdtContent>
          <w:r>
            <w:fldChar w:fldCharType="begin"/>
          </w:r>
          <w:r>
            <w:instrText xml:space="preserve"> CITATION Eur19 \l 2057 </w:instrText>
          </w:r>
          <w:r>
            <w:fldChar w:fldCharType="separate"/>
          </w:r>
          <w:r w:rsidRPr="00663CFD">
            <w:rPr>
              <w:noProof/>
            </w:rPr>
            <w:t>(European Commission, 2019)</w:t>
          </w:r>
          <w:r>
            <w:fldChar w:fldCharType="end"/>
          </w:r>
        </w:sdtContent>
      </w:sdt>
      <w:r>
        <w:t xml:space="preserve">. Costs in The Netherlands are higher in comparison to the UK by approximately 28%, however analysis of productivity per hour compared with G7 and EU19 countries seems to suggest this is easily offset </w:t>
      </w:r>
      <w:sdt>
        <w:sdtPr>
          <w:id w:val="382606242"/>
          <w:citation/>
        </w:sdtPr>
        <w:sdtContent>
          <w:r>
            <w:fldChar w:fldCharType="begin"/>
          </w:r>
          <w:r>
            <w:instrText xml:space="preserve"> CITATION ONS182 \l 2057 </w:instrText>
          </w:r>
          <w:r>
            <w:fldChar w:fldCharType="separate"/>
          </w:r>
          <w:r w:rsidRPr="00663CFD">
            <w:rPr>
              <w:noProof/>
            </w:rPr>
            <w:t>(ONS, 2018)</w:t>
          </w:r>
          <w:r>
            <w:fldChar w:fldCharType="end"/>
          </w:r>
        </w:sdtContent>
      </w:sdt>
      <w:r>
        <w:t>.</w:t>
      </w:r>
    </w:p>
    <w:p w:rsidR="008A706B" w:rsidRDefault="008A706B" w:rsidP="008A706B">
      <w:r>
        <w:t xml:space="preserve">The Netherlands are a founding member of the European Union and have adopted the Euro as currency since its inception in 1999. Subsequently transactions within The Netherlands and across European borders within the Eurozone should benefit from increased price transparency, lower transaction costs, increased trade, reduced processing time for transactions, and elimination of exchange rate uncertainty </w:t>
      </w:r>
      <w:sdt>
        <w:sdtPr>
          <w:id w:val="6030298"/>
          <w:citation/>
        </w:sdtPr>
        <w:sdtContent>
          <w:r>
            <w:fldChar w:fldCharType="begin"/>
          </w:r>
          <w:r>
            <w:instrText xml:space="preserve"> CITATION Eurnd \l 2057 </w:instrText>
          </w:r>
          <w:r>
            <w:fldChar w:fldCharType="separate"/>
          </w:r>
          <w:r w:rsidRPr="00D93900">
            <w:rPr>
              <w:noProof/>
            </w:rPr>
            <w:t>(European Commission, n.d.)</w:t>
          </w:r>
          <w:r>
            <w:fldChar w:fldCharType="end"/>
          </w:r>
        </w:sdtContent>
      </w:sdt>
      <w:r>
        <w:t>.</w:t>
      </w:r>
    </w:p>
    <w:p w:rsidR="008A706B" w:rsidRDefault="008A706B" w:rsidP="008A706B">
      <w:r>
        <w:t>Summary:</w:t>
      </w:r>
    </w:p>
    <w:p w:rsidR="008A706B" w:rsidRDefault="008A706B" w:rsidP="008A706B">
      <w:r>
        <w:t xml:space="preserve">The Netherlands has a stable political climate, strong fiscal policy, and an approach to encourage Entrepreneurship, Business Development, and Investment. Consequently, this is a country of individual and collective wealth amongst the highest in Europe. There are significant factors such as increased labour costs, however our research suggests these can be offset by some of the highest productivity per hour rates in Europe. As an investment proposition, the culture and climate would seem to have a good fit with our brand. </w:t>
      </w:r>
    </w:p>
    <w:p w:rsidR="008A706B" w:rsidRDefault="008A706B" w:rsidP="008A706B">
      <w:r>
        <w:t xml:space="preserve">Levels of disposable income in The Netherlands are greater than (or at least match that of) the UK </w:t>
      </w:r>
      <w:sdt>
        <w:sdtPr>
          <w:id w:val="629134352"/>
          <w:citation/>
        </w:sdtPr>
        <w:sdtContent>
          <w:r>
            <w:fldChar w:fldCharType="begin"/>
          </w:r>
          <w:r>
            <w:instrText xml:space="preserve"> CITATION Eur191 \l 2057 </w:instrText>
          </w:r>
          <w:r>
            <w:fldChar w:fldCharType="separate"/>
          </w:r>
          <w:r w:rsidRPr="007D2BF0">
            <w:rPr>
              <w:noProof/>
            </w:rPr>
            <w:t>(Eurostat.EU, 2019)</w:t>
          </w:r>
          <w:r>
            <w:fldChar w:fldCharType="end"/>
          </w:r>
        </w:sdtContent>
      </w:sdt>
      <w:r>
        <w:t xml:space="preserve"> and are amongst the highest in Europe, therefore there is an advantage to investing in The Netherlands (12% higher than EU average) over countries where disposable income </w:t>
      </w:r>
      <w:r>
        <w:lastRenderedPageBreak/>
        <w:t xml:space="preserve">is less than European average. Our supply chain management should benefit as a result of our presence in The Netherlands and its full membership of the EU and Eurozone. </w:t>
      </w:r>
    </w:p>
    <w:p w:rsidR="008A706B" w:rsidRDefault="008A706B" w:rsidP="008A706B">
      <w:pPr>
        <w:pStyle w:val="Heading3"/>
        <w:numPr>
          <w:ilvl w:val="2"/>
          <w:numId w:val="1"/>
        </w:numPr>
        <w:ind w:left="2160"/>
      </w:pPr>
      <w:r>
        <w:t>Social</w:t>
      </w:r>
    </w:p>
    <w:p w:rsidR="008A706B" w:rsidRPr="00B93A55" w:rsidRDefault="008A706B" w:rsidP="008A706B">
      <w:r>
        <w:t>Strong social and cultural similarities exist between the UK and The Netherlands, especially i</w:t>
      </w:r>
      <w:r w:rsidRPr="00B93A55">
        <w:t xml:space="preserve">mportant </w:t>
      </w:r>
      <w:r>
        <w:t xml:space="preserve">in relation to language. English </w:t>
      </w:r>
      <w:proofErr w:type="gramStart"/>
      <w:r>
        <w:t>is considered to be</w:t>
      </w:r>
      <w:proofErr w:type="gramEnd"/>
      <w:r>
        <w:t xml:space="preserve"> the language of global business, as well as the predominant tongue of the internet and pop culture </w:t>
      </w:r>
      <w:sdt>
        <w:sdtPr>
          <w:id w:val="461779636"/>
          <w:citation/>
        </w:sdtPr>
        <w:sdtContent>
          <w:r>
            <w:fldChar w:fldCharType="begin"/>
          </w:r>
          <w:r>
            <w:instrText xml:space="preserve"> CITATION HBR12 \l 2057 </w:instrText>
          </w:r>
          <w:r>
            <w:fldChar w:fldCharType="separate"/>
          </w:r>
          <w:r w:rsidRPr="00D65328">
            <w:rPr>
              <w:noProof/>
            </w:rPr>
            <w:t>(HBR, 2012)</w:t>
          </w:r>
          <w:r>
            <w:fldChar w:fldCharType="end"/>
          </w:r>
        </w:sdtContent>
      </w:sdt>
      <w:r>
        <w:t xml:space="preserve">. High proficiency and broad spread of a common language across a new market will enable smoother transactions, marketing, and interfacing at all levels. The Netherlands </w:t>
      </w:r>
      <w:proofErr w:type="gramStart"/>
      <w:r>
        <w:t>is considered to be</w:t>
      </w:r>
      <w:proofErr w:type="gramEnd"/>
      <w:r>
        <w:t xml:space="preserve"> very highly proficient in use of the English language. In the most recent EF English Proficiency Index the Netherlands is ranked second out of 88 countries in the 2018 edition </w:t>
      </w:r>
      <w:sdt>
        <w:sdtPr>
          <w:id w:val="-787893291"/>
          <w:citation/>
        </w:sdtPr>
        <w:sdtContent>
          <w:r>
            <w:fldChar w:fldCharType="begin"/>
          </w:r>
          <w:r>
            <w:instrText xml:space="preserve"> CITATION EF18 \l 2057 </w:instrText>
          </w:r>
          <w:r>
            <w:fldChar w:fldCharType="separate"/>
          </w:r>
          <w:r w:rsidRPr="001979C2">
            <w:rPr>
              <w:noProof/>
            </w:rPr>
            <w:t>(EF, 2018)</w:t>
          </w:r>
          <w:r>
            <w:fldChar w:fldCharType="end"/>
          </w:r>
        </w:sdtContent>
      </w:sdt>
      <w:r>
        <w:t xml:space="preserve">. </w:t>
      </w:r>
    </w:p>
    <w:p w:rsidR="008A706B" w:rsidRDefault="008A706B" w:rsidP="008A706B">
      <w:r>
        <w:t xml:space="preserve">In addition to the familiarity and aptitude with language, the UK and Netherlands are strongly aligned in 5 out of 6 dimensions during an analysis using Hofstede’s 6d model </w:t>
      </w:r>
      <w:sdt>
        <w:sdtPr>
          <w:id w:val="267120509"/>
          <w:citation/>
        </w:sdtPr>
        <w:sdtContent>
          <w:r>
            <w:fldChar w:fldCharType="begin"/>
          </w:r>
          <w:r>
            <w:instrText xml:space="preserve"> CITATION Hof80 \l 2057 </w:instrText>
          </w:r>
          <w:r>
            <w:fldChar w:fldCharType="separate"/>
          </w:r>
          <w:r w:rsidRPr="00B93A55">
            <w:rPr>
              <w:noProof/>
            </w:rPr>
            <w:t>(Hofstede, 1980)</w:t>
          </w:r>
          <w:r>
            <w:fldChar w:fldCharType="end"/>
          </w:r>
        </w:sdtContent>
      </w:sdt>
      <w:r>
        <w:t xml:space="preserve">. </w:t>
      </w:r>
      <w:proofErr w:type="gramStart"/>
      <w:r>
        <w:t>Similarly</w:t>
      </w:r>
      <w:proofErr w:type="gramEnd"/>
      <w:r>
        <w:t xml:space="preserve"> to the UK, The Netherlands is consistently considered as one of the best countries in Europe to live, with upper quartile responses in quality of life, satisfaction, and happiness in regular cross Europe surveys </w:t>
      </w:r>
      <w:sdt>
        <w:sdtPr>
          <w:id w:val="-1337446187"/>
          <w:citation/>
        </w:sdtPr>
        <w:sdtContent>
          <w:r>
            <w:fldChar w:fldCharType="begin"/>
          </w:r>
          <w:r>
            <w:instrText xml:space="preserve"> CITATION Eur16 \l 2057 </w:instrText>
          </w:r>
          <w:r>
            <w:fldChar w:fldCharType="separate"/>
          </w:r>
          <w:r w:rsidRPr="00650640">
            <w:rPr>
              <w:noProof/>
            </w:rPr>
            <w:t>(Eurofound, 2016)</w:t>
          </w:r>
          <w:r>
            <w:fldChar w:fldCharType="end"/>
          </w:r>
        </w:sdtContent>
      </w:sdt>
      <w:r>
        <w:t xml:space="preserve">. Given the strong alignment observed, consumer trends, attitudes, and beliefs can be expected to be broadly </w:t>
      </w:r>
      <w:proofErr w:type="gramStart"/>
      <w:r>
        <w:t>similar to</w:t>
      </w:r>
      <w:proofErr w:type="gramEnd"/>
      <w:r>
        <w:t xml:space="preserve"> UK market as a minimum.</w:t>
      </w:r>
    </w:p>
    <w:p w:rsidR="008A706B" w:rsidRDefault="008A706B" w:rsidP="008A706B">
      <w:r>
        <w:t xml:space="preserve">Attitudes to health, fitness, exercise, and nutrition are amongst the most positive in Europe, with prevalence of physical activity amongst the highest in developed nations and reports of physical </w:t>
      </w:r>
      <w:r w:rsidRPr="00325300">
        <w:rPr>
          <w:i/>
        </w:rPr>
        <w:t>in</w:t>
      </w:r>
      <w:r>
        <w:t xml:space="preserve">activity the lowest in Europe </w:t>
      </w:r>
      <w:sdt>
        <w:sdtPr>
          <w:id w:val="-1200076817"/>
          <w:citation/>
        </w:sdtPr>
        <w:sdtContent>
          <w:r>
            <w:fldChar w:fldCharType="begin"/>
          </w:r>
          <w:r>
            <w:instrText xml:space="preserve">CITATION EUSnd \l 2057 </w:instrText>
          </w:r>
          <w:r>
            <w:fldChar w:fldCharType="separate"/>
          </w:r>
          <w:r w:rsidRPr="00325300">
            <w:rPr>
              <w:noProof/>
            </w:rPr>
            <w:t>(EU Science Hub, n.d.)</w:t>
          </w:r>
          <w:r>
            <w:fldChar w:fldCharType="end"/>
          </w:r>
        </w:sdtContent>
      </w:sdt>
      <w:r>
        <w:t xml:space="preserve">. The Netherlands has moderate performance in relation to Healthy Eating as there is a correlation with wealthier nations and increasing spend on unhealthy foods (so called ‘Western Diet Pattern’ </w:t>
      </w:r>
      <w:sdt>
        <w:sdtPr>
          <w:id w:val="1104995747"/>
          <w:citation/>
        </w:sdtPr>
        <w:sdtContent>
          <w:r>
            <w:fldChar w:fldCharType="begin"/>
          </w:r>
          <w:r>
            <w:instrText xml:space="preserve"> CITATION Pop12 \l 2057 </w:instrText>
          </w:r>
          <w:r>
            <w:fldChar w:fldCharType="separate"/>
          </w:r>
          <w:r w:rsidRPr="00745D63">
            <w:rPr>
              <w:noProof/>
            </w:rPr>
            <w:t>(Popkin, et al., 2012)</w:t>
          </w:r>
          <w:r>
            <w:fldChar w:fldCharType="end"/>
          </w:r>
        </w:sdtContent>
      </w:sdt>
      <w:r>
        <w:t xml:space="preserve">), however despite increased intakes of salt and fat, has amongst the highest intakes of vegetables (top 4), fibre, and whole grains (top 2) in Europe </w:t>
      </w:r>
      <w:sdt>
        <w:sdtPr>
          <w:id w:val="-614442142"/>
          <w:citation/>
        </w:sdtPr>
        <w:sdtContent>
          <w:r>
            <w:fldChar w:fldCharType="begin"/>
          </w:r>
          <w:r>
            <w:instrText xml:space="preserve">CITATION EUSnd \l 2057 </w:instrText>
          </w:r>
          <w:r>
            <w:fldChar w:fldCharType="separate"/>
          </w:r>
          <w:r w:rsidRPr="00325300">
            <w:rPr>
              <w:noProof/>
            </w:rPr>
            <w:t>(EU Science Hub, n.d.)</w:t>
          </w:r>
          <w:r>
            <w:fldChar w:fldCharType="end"/>
          </w:r>
        </w:sdtContent>
      </w:sdt>
      <w:r>
        <w:t>.</w:t>
      </w:r>
    </w:p>
    <w:p w:rsidR="008A706B" w:rsidRDefault="008A706B" w:rsidP="008A706B">
      <w:r>
        <w:t>Summary:</w:t>
      </w:r>
    </w:p>
    <w:p w:rsidR="008A706B" w:rsidRDefault="008A706B" w:rsidP="008A706B">
      <w:r>
        <w:t xml:space="preserve">There are strong similarities in social contexts between UK and The Netherlands </w:t>
      </w:r>
      <w:sdt>
        <w:sdtPr>
          <w:id w:val="396175291"/>
          <w:citation/>
        </w:sdtPr>
        <w:sdtContent>
          <w:r>
            <w:fldChar w:fldCharType="begin"/>
          </w:r>
          <w:r>
            <w:instrText xml:space="preserve"> CITATION Gov152 \l 2057 </w:instrText>
          </w:r>
          <w:r>
            <w:fldChar w:fldCharType="separate"/>
          </w:r>
          <w:r w:rsidRPr="00756087">
            <w:rPr>
              <w:noProof/>
            </w:rPr>
            <w:t>(Gov.uk, 2015)</w:t>
          </w:r>
          <w:r>
            <w:fldChar w:fldCharType="end"/>
          </w:r>
        </w:sdtContent>
      </w:sdt>
      <w:r>
        <w:t>, and areas of divergence are more closely aligned with our company beliefs, values and goals so this should be positive. A good example is food habits: the Dutch are the 2</w:t>
      </w:r>
      <w:r w:rsidRPr="00B02F79">
        <w:rPr>
          <w:vertAlign w:val="superscript"/>
        </w:rPr>
        <w:t>nd</w:t>
      </w:r>
      <w:r>
        <w:t xml:space="preserve"> highest growers</w:t>
      </w:r>
      <w:r w:rsidRPr="00B02F79">
        <w:t xml:space="preserve"> </w:t>
      </w:r>
      <w:sdt>
        <w:sdtPr>
          <w:id w:val="1340266602"/>
          <w:citation/>
        </w:sdtPr>
        <w:sdtContent>
          <w:r>
            <w:fldChar w:fldCharType="begin"/>
          </w:r>
          <w:r>
            <w:instrText xml:space="preserve"> CITATION Eur19 \l 2057 </w:instrText>
          </w:r>
          <w:r>
            <w:fldChar w:fldCharType="separate"/>
          </w:r>
          <w:r w:rsidRPr="00B02F79">
            <w:rPr>
              <w:noProof/>
            </w:rPr>
            <w:t>(European Commission, 2019)</w:t>
          </w:r>
          <w:r>
            <w:fldChar w:fldCharType="end"/>
          </w:r>
        </w:sdtContent>
      </w:sdt>
      <w:r>
        <w:t>, exporters</w:t>
      </w:r>
      <w:r w:rsidRPr="00B02F79">
        <w:t xml:space="preserve"> </w:t>
      </w:r>
      <w:sdt>
        <w:sdtPr>
          <w:id w:val="-109056565"/>
          <w:citation/>
        </w:sdtPr>
        <w:sdtContent>
          <w:r>
            <w:fldChar w:fldCharType="begin"/>
          </w:r>
          <w:r>
            <w:instrText xml:space="preserve"> CITATION PWC19 \l 2057 </w:instrText>
          </w:r>
          <w:r>
            <w:fldChar w:fldCharType="separate"/>
          </w:r>
          <w:r w:rsidRPr="00B02F79">
            <w:rPr>
              <w:noProof/>
            </w:rPr>
            <w:t>(PWC, 2019)</w:t>
          </w:r>
          <w:r>
            <w:fldChar w:fldCharType="end"/>
          </w:r>
        </w:sdtContent>
      </w:sdt>
      <w:r>
        <w:t>, and consumers of whole grain, vegetables, and seeds in Europe; given the vision and goals of our snacking brand there should be excellent synergy for us in this new market</w:t>
      </w:r>
      <w:r w:rsidRPr="0082695E">
        <w:t xml:space="preserve"> </w:t>
      </w:r>
      <w:r>
        <w:t>from a social perspective.</w:t>
      </w:r>
    </w:p>
    <w:p w:rsidR="008A706B" w:rsidRDefault="008A706B" w:rsidP="008A706B">
      <w:pPr>
        <w:pStyle w:val="Heading3"/>
        <w:numPr>
          <w:ilvl w:val="2"/>
          <w:numId w:val="1"/>
        </w:numPr>
        <w:ind w:left="2160"/>
      </w:pPr>
      <w:r>
        <w:t>Technological</w:t>
      </w:r>
    </w:p>
    <w:p w:rsidR="008A706B" w:rsidRDefault="008A706B" w:rsidP="008A706B">
      <w:r>
        <w:t xml:space="preserve">Our business and customer experience </w:t>
      </w:r>
      <w:proofErr w:type="gramStart"/>
      <w:r>
        <w:t>is</w:t>
      </w:r>
      <w:proofErr w:type="gramEnd"/>
      <w:r>
        <w:t xml:space="preserve"> based on technological platforms being the gateway to our products, as well as our product representing our values around organic processes and sustainability. There is great use of technology to drive access to renewables, waste-to-energy, electric vehicles, cutting edge agriculture techniques, and training particularly in ICT disciplines which strengthens our talent management opportunities </w:t>
      </w:r>
      <w:sdt>
        <w:sdtPr>
          <w:id w:val="1364797334"/>
          <w:citation/>
        </w:sdtPr>
        <w:sdtContent>
          <w:r>
            <w:fldChar w:fldCharType="begin"/>
          </w:r>
          <w:r>
            <w:instrText xml:space="preserve"> CITATION Mar11 \l 2057 </w:instrText>
          </w:r>
          <w:r>
            <w:fldChar w:fldCharType="separate"/>
          </w:r>
          <w:r w:rsidRPr="004C3D90">
            <w:rPr>
              <w:noProof/>
            </w:rPr>
            <w:t>(MarketLine, 2011)</w:t>
          </w:r>
          <w:r>
            <w:fldChar w:fldCharType="end"/>
          </w:r>
        </w:sdtContent>
      </w:sdt>
      <w:r>
        <w:t xml:space="preserve">, </w:t>
      </w:r>
      <w:sdt>
        <w:sdtPr>
          <w:id w:val="-1835443177"/>
          <w:citation/>
        </w:sdtPr>
        <w:sdtContent>
          <w:r>
            <w:fldChar w:fldCharType="begin"/>
          </w:r>
          <w:r>
            <w:instrText xml:space="preserve"> CITATION PWC19 \l 2057 </w:instrText>
          </w:r>
          <w:r>
            <w:fldChar w:fldCharType="separate"/>
          </w:r>
          <w:r w:rsidRPr="00B13BAE">
            <w:rPr>
              <w:noProof/>
            </w:rPr>
            <w:t>(PWC, 2019)</w:t>
          </w:r>
          <w:r>
            <w:fldChar w:fldCharType="end"/>
          </w:r>
        </w:sdtContent>
      </w:sdt>
      <w:r>
        <w:t>.</w:t>
      </w:r>
    </w:p>
    <w:p w:rsidR="008A706B" w:rsidRDefault="008A706B" w:rsidP="008A706B">
      <w:r>
        <w:t xml:space="preserve">Creatives and marketing talent will be at the forefront of our success in The Netherlands, and the education infrastructure to develop that talent, as well as the basis of </w:t>
      </w:r>
      <w:proofErr w:type="gramStart"/>
      <w:r>
        <w:t>a number of</w:t>
      </w:r>
      <w:proofErr w:type="gramEnd"/>
      <w:r>
        <w:t xml:space="preserve"> leading firms in this area is a strength of this proposal. </w:t>
      </w:r>
    </w:p>
    <w:p w:rsidR="008A706B" w:rsidRDefault="008A706B" w:rsidP="008A706B">
      <w:r>
        <w:lastRenderedPageBreak/>
        <w:t>Summary:</w:t>
      </w:r>
    </w:p>
    <w:p w:rsidR="008A706B" w:rsidRPr="00B13BAE" w:rsidRDefault="008A706B" w:rsidP="008A706B">
      <w:r>
        <w:t xml:space="preserve">Being based in the technology heartland of Europe gives us an excellent competitive advantage and increased likelihood of successful expansion into the European market. We will have excellent access to talent in important industries such as marketing &amp; creatives </w:t>
      </w:r>
      <w:sdt>
        <w:sdtPr>
          <w:id w:val="988977275"/>
          <w:citation/>
        </w:sdtPr>
        <w:sdtContent>
          <w:r>
            <w:fldChar w:fldCharType="begin"/>
          </w:r>
          <w:r>
            <w:instrText xml:space="preserve"> CITATION PWC19 \l 2057 </w:instrText>
          </w:r>
          <w:r>
            <w:fldChar w:fldCharType="separate"/>
          </w:r>
          <w:r w:rsidRPr="00606215">
            <w:rPr>
              <w:noProof/>
            </w:rPr>
            <w:t>(PWC, 2019)</w:t>
          </w:r>
          <w:r>
            <w:fldChar w:fldCharType="end"/>
          </w:r>
        </w:sdtContent>
      </w:sdt>
      <w:r>
        <w:t xml:space="preserve">, as well as benefit from the new advances in Information and Agricultural Technologies. Our access to sustainably produced raw materials will never have been greater and we have an opportunity to exploit green logistics and transportation infrastructure that our customers will consider </w:t>
      </w:r>
      <w:proofErr w:type="gramStart"/>
      <w:r>
        <w:t>to enhance</w:t>
      </w:r>
      <w:proofErr w:type="gramEnd"/>
      <w:r>
        <w:t xml:space="preserve"> our credentials around corporate social responsibility (CSR) and sustainability.</w:t>
      </w:r>
    </w:p>
    <w:p w:rsidR="008A706B" w:rsidRDefault="008A706B" w:rsidP="008A706B">
      <w:pPr>
        <w:pStyle w:val="Heading3"/>
        <w:numPr>
          <w:ilvl w:val="2"/>
          <w:numId w:val="1"/>
        </w:numPr>
        <w:ind w:left="2160"/>
      </w:pPr>
      <w:r>
        <w:t>Environmental</w:t>
      </w:r>
    </w:p>
    <w:p w:rsidR="008A706B" w:rsidRDefault="008A706B" w:rsidP="008A706B">
      <w:r>
        <w:t>Geographically the Netherlands is positioned well for us to gain access to over 170 million consumers within a 500km radius, and 95% of the most lucrative markets in Europe within 24hours of Rotterdam or Amsterdam. We can consider expansion into The Netherlands as a springboard into European markets</w:t>
      </w:r>
      <w:r w:rsidRPr="0017685D">
        <w:t xml:space="preserve"> </w:t>
      </w:r>
      <w:sdt>
        <w:sdtPr>
          <w:id w:val="1092050109"/>
          <w:citation/>
        </w:sdtPr>
        <w:sdtContent>
          <w:r>
            <w:fldChar w:fldCharType="begin"/>
          </w:r>
          <w:r>
            <w:instrText xml:space="preserve">CITATION PWC19 \p 7 \l 2057 </w:instrText>
          </w:r>
          <w:r>
            <w:fldChar w:fldCharType="separate"/>
          </w:r>
          <w:r w:rsidRPr="00662FD7">
            <w:rPr>
              <w:noProof/>
            </w:rPr>
            <w:t>(PWC, 2019, p. 7)</w:t>
          </w:r>
          <w:r>
            <w:fldChar w:fldCharType="end"/>
          </w:r>
        </w:sdtContent>
      </w:sdt>
      <w:r>
        <w:t xml:space="preserve">. </w:t>
      </w:r>
    </w:p>
    <w:p w:rsidR="008A706B" w:rsidRDefault="008A706B" w:rsidP="008A706B">
      <w:r>
        <w:t xml:space="preserve">Increasing awareness of the green agenda, and public focus on CSR has placed increasing expectation on companies to be compliant with challenging standards contained in guidelines such as OECD </w:t>
      </w:r>
      <w:r w:rsidRPr="004D0FAC">
        <w:t>Guidelines for Multinational Enterprises</w:t>
      </w:r>
      <w:r>
        <w:t xml:space="preserve"> </w:t>
      </w:r>
      <w:sdt>
        <w:sdtPr>
          <w:id w:val="1557969113"/>
          <w:citation/>
        </w:sdtPr>
        <w:sdtContent>
          <w:r>
            <w:fldChar w:fldCharType="begin"/>
          </w:r>
          <w:r>
            <w:instrText xml:space="preserve"> CITATION OEC11 \l 2057 </w:instrText>
          </w:r>
          <w:r>
            <w:fldChar w:fldCharType="separate"/>
          </w:r>
          <w:r w:rsidRPr="004D0FAC">
            <w:rPr>
              <w:noProof/>
            </w:rPr>
            <w:t>(OECD, 2011)</w:t>
          </w:r>
          <w:r>
            <w:fldChar w:fldCharType="end"/>
          </w:r>
        </w:sdtContent>
      </w:sdt>
      <w:r>
        <w:t xml:space="preserve">. The Dutch government has a stimulus package in place that could support our progression to CSR compliance </w:t>
      </w:r>
      <w:sdt>
        <w:sdtPr>
          <w:id w:val="2090577550"/>
          <w:citation/>
        </w:sdtPr>
        <w:sdtContent>
          <w:r>
            <w:fldChar w:fldCharType="begin"/>
          </w:r>
          <w:r>
            <w:instrText xml:space="preserve"> CITATION Govnd \l 2057 </w:instrText>
          </w:r>
          <w:r>
            <w:fldChar w:fldCharType="separate"/>
          </w:r>
          <w:r w:rsidRPr="003E5A8B">
            <w:rPr>
              <w:noProof/>
            </w:rPr>
            <w:t>(Government of the Netherlands, n.d.)</w:t>
          </w:r>
          <w:r>
            <w:fldChar w:fldCharType="end"/>
          </w:r>
        </w:sdtContent>
      </w:sdt>
      <w:r>
        <w:t xml:space="preserve"> as well as access to the green deals programme that could support our environmental aspirations </w:t>
      </w:r>
      <w:sdt>
        <w:sdtPr>
          <w:id w:val="2039159927"/>
          <w:citation/>
        </w:sdtPr>
        <w:sdtContent>
          <w:r>
            <w:fldChar w:fldCharType="begin"/>
          </w:r>
          <w:r>
            <w:instrText xml:space="preserve"> CITATION Grend \l 2057 </w:instrText>
          </w:r>
          <w:r>
            <w:fldChar w:fldCharType="separate"/>
          </w:r>
          <w:r w:rsidRPr="003E5A8B">
            <w:rPr>
              <w:noProof/>
            </w:rPr>
            <w:t>(Green Deal, n.d.)</w:t>
          </w:r>
          <w:r>
            <w:fldChar w:fldCharType="end"/>
          </w:r>
        </w:sdtContent>
      </w:sdt>
      <w:r>
        <w:t>.</w:t>
      </w:r>
    </w:p>
    <w:p w:rsidR="008A706B" w:rsidRDefault="008A706B" w:rsidP="008A706B">
      <w:r>
        <w:t xml:space="preserve">Placement in the heart of Europe’s technical development quarter will allow us to benefit from rapid access to newest green technologies, such as Hydrogen Fuel cells, improved renewables, and green packaging technologies and recycling. Our aspirations to reduce emissions year-on-year and become carbon neutral by 2040 will be more achievable because of this investment and our positioning in the Dutch market. This plan is in keeping with Dutch government policy to drive environmental improvement through </w:t>
      </w:r>
      <w:r w:rsidRPr="00A82628">
        <w:t>National Environmental Policy Plan</w:t>
      </w:r>
      <w:r>
        <w:t xml:space="preserve"> (NEPP) and make a sustainable environment within one lifetime </w:t>
      </w:r>
      <w:sdt>
        <w:sdtPr>
          <w:id w:val="1178088387"/>
          <w:citation/>
        </w:sdtPr>
        <w:sdtContent>
          <w:r>
            <w:fldChar w:fldCharType="begin"/>
          </w:r>
          <w:r>
            <w:instrText xml:space="preserve"> CITATION RRInd \l 2057 </w:instrText>
          </w:r>
          <w:r>
            <w:fldChar w:fldCharType="separate"/>
          </w:r>
          <w:r w:rsidRPr="00A82628">
            <w:rPr>
              <w:noProof/>
            </w:rPr>
            <w:t>(RRI.org, n.d.)</w:t>
          </w:r>
          <w:r>
            <w:fldChar w:fldCharType="end"/>
          </w:r>
        </w:sdtContent>
      </w:sdt>
      <w:r>
        <w:t xml:space="preserve">, </w:t>
      </w:r>
      <w:sdt>
        <w:sdtPr>
          <w:id w:val="867959124"/>
          <w:citation/>
        </w:sdtPr>
        <w:sdtContent>
          <w:r>
            <w:fldChar w:fldCharType="begin"/>
          </w:r>
          <w:r>
            <w:instrText xml:space="preserve"> CITATION Mar11 \l 2057 </w:instrText>
          </w:r>
          <w:r>
            <w:fldChar w:fldCharType="separate"/>
          </w:r>
          <w:r w:rsidRPr="00A82628">
            <w:rPr>
              <w:noProof/>
            </w:rPr>
            <w:t>(MarketLine, 2011)</w:t>
          </w:r>
          <w:r>
            <w:fldChar w:fldCharType="end"/>
          </w:r>
        </w:sdtContent>
      </w:sdt>
      <w:r>
        <w:t>.</w:t>
      </w:r>
    </w:p>
    <w:p w:rsidR="008A706B" w:rsidRDefault="008A706B" w:rsidP="008A706B">
      <w:r>
        <w:t>Summary:</w:t>
      </w:r>
    </w:p>
    <w:p w:rsidR="008A706B" w:rsidRDefault="008A706B" w:rsidP="008A706B">
      <w:r>
        <w:t xml:space="preserve">Location, infrastructure, and policy are all aligned to our goals as a green, sustainable, and responsible organisation. The opportunity to exploit world leading infrastructure such as the biggest port in Europe and high performing logistics networks, as well as capitalise on the world’s leading sustainable transport network is strong </w:t>
      </w:r>
      <w:sdt>
        <w:sdtPr>
          <w:id w:val="-1751572300"/>
          <w:citation/>
        </w:sdtPr>
        <w:sdtContent>
          <w:r>
            <w:fldChar w:fldCharType="begin"/>
          </w:r>
          <w:r>
            <w:instrText xml:space="preserve"> CITATION PWC19 \l 2057 </w:instrText>
          </w:r>
          <w:r>
            <w:fldChar w:fldCharType="separate"/>
          </w:r>
          <w:r w:rsidRPr="00C8398E">
            <w:rPr>
              <w:noProof/>
            </w:rPr>
            <w:t>(PWC, 2019)</w:t>
          </w:r>
          <w:r>
            <w:fldChar w:fldCharType="end"/>
          </w:r>
        </w:sdtContent>
      </w:sdt>
      <w:r>
        <w:t>. Aware of our responsibilities to contribute to a responsible and green society, there are additional taxes to support environmental issues that we should be aware of – such as the taxes on energy and mains water that may impact us in a small way. We should be prepared to share these costs as part of our commitment to CSR.</w:t>
      </w:r>
    </w:p>
    <w:p w:rsidR="008A706B" w:rsidRDefault="008A706B" w:rsidP="008A706B">
      <w:pPr>
        <w:pStyle w:val="Heading3"/>
        <w:numPr>
          <w:ilvl w:val="2"/>
          <w:numId w:val="1"/>
        </w:numPr>
        <w:ind w:left="2160"/>
      </w:pPr>
      <w:r>
        <w:t>Legal</w:t>
      </w:r>
    </w:p>
    <w:p w:rsidR="008A706B" w:rsidRDefault="008A706B" w:rsidP="008A706B">
      <w:r>
        <w:t xml:space="preserve">There are </w:t>
      </w:r>
      <w:proofErr w:type="gramStart"/>
      <w:r>
        <w:t>a number of</w:t>
      </w:r>
      <w:proofErr w:type="gramEnd"/>
      <w:r>
        <w:t xml:space="preserve"> similarities and differences to doing business in the UK and Netherlands, and UK government advice suggests specialist legal advice before entering an arrangement </w:t>
      </w:r>
      <w:sdt>
        <w:sdtPr>
          <w:id w:val="677393598"/>
          <w:citation/>
        </w:sdtPr>
        <w:sdtContent>
          <w:r>
            <w:fldChar w:fldCharType="begin"/>
          </w:r>
          <w:r>
            <w:instrText xml:space="preserve"> CITATION Gov152 \l 2057 </w:instrText>
          </w:r>
          <w:r>
            <w:fldChar w:fldCharType="separate"/>
          </w:r>
          <w:r w:rsidRPr="005717B1">
            <w:rPr>
              <w:rFonts w:eastAsiaTheme="minorHAnsi"/>
              <w:noProof/>
            </w:rPr>
            <w:t>(Gov.uk, 2015)</w:t>
          </w:r>
          <w:r>
            <w:fldChar w:fldCharType="end"/>
          </w:r>
        </w:sdtContent>
      </w:sdt>
    </w:p>
    <w:p w:rsidR="008A706B" w:rsidRDefault="008A706B" w:rsidP="008A706B">
      <w:r>
        <w:lastRenderedPageBreak/>
        <w:t xml:space="preserve">The Netherlands is a founding member of the European Union and insofar as trade agreements etc is bound under the rules governing the union, however free to set its own fiscal policy in relation to inward investment and corporate stimulus </w:t>
      </w:r>
      <w:sdt>
        <w:sdtPr>
          <w:id w:val="1272666488"/>
          <w:citation/>
        </w:sdtPr>
        <w:sdtContent>
          <w:r>
            <w:fldChar w:fldCharType="begin"/>
          </w:r>
          <w:r>
            <w:instrText xml:space="preserve"> CITATION Eurnd \l 2057 </w:instrText>
          </w:r>
          <w:r>
            <w:fldChar w:fldCharType="separate"/>
          </w:r>
          <w:r w:rsidRPr="006139F8">
            <w:rPr>
              <w:noProof/>
            </w:rPr>
            <w:t>(European Commission, n.d.)</w:t>
          </w:r>
          <w:r>
            <w:fldChar w:fldCharType="end"/>
          </w:r>
        </w:sdtContent>
      </w:sdt>
      <w:r>
        <w:t xml:space="preserve">, </w:t>
      </w:r>
      <w:sdt>
        <w:sdtPr>
          <w:id w:val="1002240922"/>
          <w:citation/>
        </w:sdtPr>
        <w:sdtContent>
          <w:r>
            <w:fldChar w:fldCharType="begin"/>
          </w:r>
          <w:r>
            <w:instrText xml:space="preserve"> CITATION Gov152 \l 2057 </w:instrText>
          </w:r>
          <w:r>
            <w:fldChar w:fldCharType="separate"/>
          </w:r>
          <w:r w:rsidRPr="005717B1">
            <w:rPr>
              <w:rFonts w:eastAsiaTheme="minorHAnsi"/>
              <w:noProof/>
            </w:rPr>
            <w:t>(Gov.uk, 2015)</w:t>
          </w:r>
          <w:r>
            <w:fldChar w:fldCharType="end"/>
          </w:r>
        </w:sdtContent>
      </w:sdt>
      <w:r>
        <w:t xml:space="preserve">. </w:t>
      </w:r>
    </w:p>
    <w:p w:rsidR="008A706B" w:rsidRPr="001E32A7" w:rsidRDefault="008A706B" w:rsidP="008A706B">
      <w:r>
        <w:t xml:space="preserve">The Netherlands has a clearly defined structure for organisational governance that differences somewhat from UK arrangements, however is no more complex </w:t>
      </w:r>
      <w:sdt>
        <w:sdtPr>
          <w:id w:val="-1671866589"/>
          <w:citation/>
        </w:sdtPr>
        <w:sdtContent>
          <w:r>
            <w:fldChar w:fldCharType="begin"/>
          </w:r>
          <w:r>
            <w:instrText xml:space="preserve"> CITATION Gov152 \l 2057 </w:instrText>
          </w:r>
          <w:r>
            <w:fldChar w:fldCharType="separate"/>
          </w:r>
          <w:r w:rsidRPr="008A4BD3">
            <w:rPr>
              <w:noProof/>
            </w:rPr>
            <w:t>(Gov.uk, 2015)</w:t>
          </w:r>
          <w:r>
            <w:fldChar w:fldCharType="end"/>
          </w:r>
        </w:sdtContent>
      </w:sdt>
      <w:r>
        <w:t xml:space="preserve">, </w:t>
      </w:r>
      <w:sdt>
        <w:sdtPr>
          <w:id w:val="-638346366"/>
          <w:citation/>
        </w:sdtPr>
        <w:sdtContent>
          <w:r>
            <w:fldChar w:fldCharType="begin"/>
          </w:r>
          <w:r>
            <w:instrText xml:space="preserve"> CITATION PWC19 \l 2057 </w:instrText>
          </w:r>
          <w:r>
            <w:fldChar w:fldCharType="separate"/>
          </w:r>
          <w:r w:rsidRPr="00756087">
            <w:rPr>
              <w:noProof/>
            </w:rPr>
            <w:t>(PWC, 2019)</w:t>
          </w:r>
          <w:r>
            <w:fldChar w:fldCharType="end"/>
          </w:r>
        </w:sdtContent>
      </w:sdt>
      <w:r>
        <w:t>. A decision at board level will need to be taken on the definition of our company as a business entity when approaching the market, and specialist advice should be taken to ensure the decision taken is suitable.</w:t>
      </w:r>
    </w:p>
    <w:p w:rsidR="008A706B" w:rsidRDefault="008A706B" w:rsidP="008A706B">
      <w:pPr>
        <w:pStyle w:val="Heading1"/>
        <w:numPr>
          <w:ilvl w:val="0"/>
          <w:numId w:val="1"/>
        </w:numPr>
        <w:rPr>
          <w:rStyle w:val="Strong"/>
          <w:rFonts w:ascii="Calibri" w:hAnsi="Calibri"/>
          <w:b/>
          <w:bCs w:val="0"/>
          <w:sz w:val="32"/>
        </w:rPr>
      </w:pPr>
      <w:r w:rsidRPr="009D1CFC">
        <w:rPr>
          <w:rStyle w:val="Strong"/>
          <w:rFonts w:ascii="Calibri" w:hAnsi="Calibri"/>
          <w:b/>
          <w:bCs w:val="0"/>
          <w:sz w:val="32"/>
        </w:rPr>
        <w:t>Risk Assessment</w:t>
      </w:r>
    </w:p>
    <w:p w:rsidR="00E04017" w:rsidRDefault="00E04017" w:rsidP="00E04017">
      <w:pPr>
        <w:pStyle w:val="Heading2"/>
      </w:pPr>
      <w:r>
        <w:t>Porter’s 5 forces</w:t>
      </w:r>
    </w:p>
    <w:p w:rsidR="00527E3D" w:rsidRDefault="00F96170" w:rsidP="00527E3D">
      <w:r>
        <w:t xml:space="preserve">Porter’s 5 forces model </w:t>
      </w:r>
      <w:sdt>
        <w:sdtPr>
          <w:id w:val="-1261986549"/>
          <w:citation/>
        </w:sdtPr>
        <w:sdtContent>
          <w:r>
            <w:fldChar w:fldCharType="begin"/>
          </w:r>
          <w:r>
            <w:instrText xml:space="preserve">CITATION Por85 \n  \l 2057 </w:instrText>
          </w:r>
          <w:r>
            <w:fldChar w:fldCharType="separate"/>
          </w:r>
          <w:r w:rsidRPr="00F96170">
            <w:rPr>
              <w:noProof/>
            </w:rPr>
            <w:t>(1985)</w:t>
          </w:r>
          <w:r>
            <w:fldChar w:fldCharType="end"/>
          </w:r>
        </w:sdtContent>
      </w:sdt>
      <w:r>
        <w:t xml:space="preserve"> is a tool </w:t>
      </w:r>
      <w:r w:rsidR="0010255A">
        <w:t xml:space="preserve">to support analysis of factors influencing competition within an industry </w:t>
      </w:r>
      <w:sdt>
        <w:sdtPr>
          <w:id w:val="828332920"/>
          <w:citation/>
        </w:sdtPr>
        <w:sdtContent>
          <w:r w:rsidR="00527E3D">
            <w:fldChar w:fldCharType="begin"/>
          </w:r>
          <w:r w:rsidR="00527E3D">
            <w:instrText xml:space="preserve"> CITATION HBSnd \l 2057 </w:instrText>
          </w:r>
          <w:r w:rsidR="00527E3D">
            <w:fldChar w:fldCharType="separate"/>
          </w:r>
          <w:r w:rsidR="00527E3D" w:rsidRPr="0010255A">
            <w:rPr>
              <w:noProof/>
            </w:rPr>
            <w:t>(HBS, n.d.)</w:t>
          </w:r>
          <w:r w:rsidR="00527E3D">
            <w:fldChar w:fldCharType="end"/>
          </w:r>
        </w:sdtContent>
      </w:sdt>
      <w:r w:rsidR="00527E3D">
        <w:t xml:space="preserve">, </w:t>
      </w:r>
      <w:sdt>
        <w:sdtPr>
          <w:id w:val="-144663334"/>
          <w:citation/>
        </w:sdtPr>
        <w:sdtContent>
          <w:r w:rsidR="00527E3D">
            <w:fldChar w:fldCharType="begin"/>
          </w:r>
          <w:r w:rsidR="00527E3D">
            <w:instrText xml:space="preserve"> CITATION Por08 \l 2057 </w:instrText>
          </w:r>
          <w:r w:rsidR="00527E3D">
            <w:fldChar w:fldCharType="separate"/>
          </w:r>
          <w:r w:rsidR="00527E3D" w:rsidRPr="0010255A">
            <w:rPr>
              <w:noProof/>
            </w:rPr>
            <w:t>(Porter, 2008)</w:t>
          </w:r>
          <w:r w:rsidR="00527E3D">
            <w:fldChar w:fldCharType="end"/>
          </w:r>
        </w:sdtContent>
      </w:sdt>
      <w:r w:rsidR="00527E3D">
        <w:t xml:space="preserve">. 5 forces analysis has been slated as saving time in executive decision making due to the presentation of information distilled into simple messages with only the most pertinent factors being </w:t>
      </w:r>
      <w:r w:rsidR="0051053C">
        <w:t>shared</w:t>
      </w:r>
      <w:r w:rsidR="00527E3D">
        <w:t xml:space="preserve"> </w:t>
      </w:r>
      <w:sdt>
        <w:sdtPr>
          <w:id w:val="-2141410924"/>
          <w:citation/>
        </w:sdtPr>
        <w:sdtContent>
          <w:r w:rsidR="00527E3D">
            <w:fldChar w:fldCharType="begin"/>
          </w:r>
          <w:r w:rsidR="00527E3D">
            <w:instrText xml:space="preserve"> CITATION Hel10 \l 2057 </w:instrText>
          </w:r>
          <w:r w:rsidR="00527E3D">
            <w:fldChar w:fldCharType="separate"/>
          </w:r>
          <w:r w:rsidR="00527E3D" w:rsidRPr="00527E3D">
            <w:rPr>
              <w:noProof/>
            </w:rPr>
            <w:t>(Helms &amp; Nixon, 2010)</w:t>
          </w:r>
          <w:r w:rsidR="00527E3D">
            <w:fldChar w:fldCharType="end"/>
          </w:r>
        </w:sdtContent>
      </w:sdt>
      <w:r w:rsidR="00527E3D">
        <w:t xml:space="preserve">, however many researchers now are describing the benefits of using the tool in combination with SWOT &amp; PESTLE analysis for a more complete picture </w:t>
      </w:r>
      <w:sdt>
        <w:sdtPr>
          <w:id w:val="-21400761"/>
          <w:citation/>
        </w:sdtPr>
        <w:sdtContent>
          <w:r w:rsidR="00527E3D">
            <w:fldChar w:fldCharType="begin"/>
          </w:r>
          <w:r w:rsidR="00527E3D">
            <w:instrText xml:space="preserve"> CITATION Gru06 \l 2057 </w:instrText>
          </w:r>
          <w:r w:rsidR="00527E3D">
            <w:fldChar w:fldCharType="separate"/>
          </w:r>
          <w:r w:rsidR="00527E3D" w:rsidRPr="00F96170">
            <w:rPr>
              <w:noProof/>
            </w:rPr>
            <w:t>(Grundy, 2006)</w:t>
          </w:r>
          <w:r w:rsidR="00527E3D">
            <w:fldChar w:fldCharType="end"/>
          </w:r>
        </w:sdtContent>
      </w:sdt>
      <w:r w:rsidR="00527E3D">
        <w:t xml:space="preserve">, </w:t>
      </w:r>
      <w:sdt>
        <w:sdtPr>
          <w:id w:val="544720680"/>
          <w:citation/>
        </w:sdtPr>
        <w:sdtContent>
          <w:r w:rsidR="00527E3D">
            <w:fldChar w:fldCharType="begin"/>
          </w:r>
          <w:r w:rsidR="00527E3D">
            <w:instrText xml:space="preserve"> CITATION Eva09 \l 2057 </w:instrText>
          </w:r>
          <w:r w:rsidR="00527E3D">
            <w:fldChar w:fldCharType="separate"/>
          </w:r>
          <w:r w:rsidR="00527E3D" w:rsidRPr="00527E3D">
            <w:rPr>
              <w:noProof/>
            </w:rPr>
            <w:t>(Evans &amp; Wright, 2009)</w:t>
          </w:r>
          <w:r w:rsidR="00527E3D">
            <w:fldChar w:fldCharType="end"/>
          </w:r>
        </w:sdtContent>
      </w:sdt>
      <w:r w:rsidR="00527E3D">
        <w:t xml:space="preserve">. </w:t>
      </w:r>
    </w:p>
    <w:p w:rsidR="0040326E" w:rsidRDefault="0040326E" w:rsidP="0040326E">
      <w:pPr>
        <w:keepNext/>
      </w:pPr>
      <w:bookmarkStart w:id="1" w:name="_Hlk19463859"/>
      <w:r w:rsidRPr="0040326E">
        <w:drawing>
          <wp:inline distT="0" distB="0" distL="0" distR="0">
            <wp:extent cx="4747846" cy="314874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8660" cy="3162553"/>
                    </a:xfrm>
                    <a:prstGeom prst="rect">
                      <a:avLst/>
                    </a:prstGeom>
                    <a:noFill/>
                    <a:ln>
                      <a:noFill/>
                    </a:ln>
                  </pic:spPr>
                </pic:pic>
              </a:graphicData>
            </a:graphic>
          </wp:inline>
        </w:drawing>
      </w:r>
    </w:p>
    <w:p w:rsidR="0040326E" w:rsidRDefault="0040326E" w:rsidP="0040326E">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analysis using </w:t>
      </w:r>
      <w:r>
        <w:t>5 forces</w:t>
      </w:r>
      <w:r>
        <w:t xml:space="preserve"> model</w:t>
      </w:r>
      <w:r>
        <w:t xml:space="preserve"> </w:t>
      </w:r>
      <w:r>
        <w:t>(Porter, 1985)</w:t>
      </w:r>
    </w:p>
    <w:bookmarkEnd w:id="1"/>
    <w:p w:rsidR="00EE0810" w:rsidRDefault="00EE0810" w:rsidP="00EE0810">
      <w:pPr>
        <w:pStyle w:val="Heading3"/>
      </w:pPr>
      <w:r w:rsidRPr="00EE0810">
        <w:t xml:space="preserve">Threat of New Market Entrants: </w:t>
      </w:r>
    </w:p>
    <w:p w:rsidR="002E2FE7" w:rsidRDefault="00EE0810" w:rsidP="002E2FE7">
      <w:pPr>
        <w:numPr>
          <w:ilvl w:val="0"/>
          <w:numId w:val="13"/>
        </w:numPr>
        <w:spacing w:after="0" w:line="240" w:lineRule="auto"/>
      </w:pPr>
      <w:r w:rsidRPr="00EE0810">
        <w:t>Low</w:t>
      </w:r>
      <w:r w:rsidR="002E2FE7" w:rsidRPr="002E2FE7">
        <w:t xml:space="preserve"> </w:t>
      </w:r>
    </w:p>
    <w:p w:rsidR="002E2FE7" w:rsidRDefault="002E2FE7" w:rsidP="002E2FE7">
      <w:pPr>
        <w:numPr>
          <w:ilvl w:val="0"/>
          <w:numId w:val="13"/>
        </w:numPr>
        <w:spacing w:after="0" w:line="240" w:lineRule="auto"/>
      </w:pPr>
      <w:r>
        <w:t>Routes to market rely on brand and consumer trust</w:t>
      </w:r>
    </w:p>
    <w:p w:rsidR="002E2FE7" w:rsidRPr="00EB2CC6" w:rsidRDefault="00C31100" w:rsidP="002E2FE7">
      <w:pPr>
        <w:numPr>
          <w:ilvl w:val="0"/>
          <w:numId w:val="13"/>
        </w:numPr>
        <w:spacing w:after="0" w:line="240" w:lineRule="auto"/>
      </w:pPr>
      <w:r>
        <w:t>M</w:t>
      </w:r>
      <w:r w:rsidR="002E2FE7" w:rsidRPr="00EB2CC6">
        <w:t>arket entry has some barriers and new entrants seem reluctant to challenge</w:t>
      </w:r>
    </w:p>
    <w:p w:rsidR="00EE0810" w:rsidRDefault="00EE0810" w:rsidP="00EE0810">
      <w:pPr>
        <w:pStyle w:val="Heading3"/>
      </w:pPr>
      <w:r w:rsidRPr="00EE0810">
        <w:t xml:space="preserve">Threat of substitute products or services: </w:t>
      </w:r>
    </w:p>
    <w:p w:rsidR="004E0BA7" w:rsidRDefault="004E0BA7" w:rsidP="004E0BA7">
      <w:pPr>
        <w:pStyle w:val="ListParagraph"/>
        <w:numPr>
          <w:ilvl w:val="0"/>
          <w:numId w:val="19"/>
        </w:numPr>
      </w:pPr>
      <w:r>
        <w:t>High</w:t>
      </w:r>
    </w:p>
    <w:p w:rsidR="004E0BA7" w:rsidRDefault="004E0BA7" w:rsidP="004E0BA7">
      <w:pPr>
        <w:pStyle w:val="ListParagraph"/>
        <w:numPr>
          <w:ilvl w:val="0"/>
          <w:numId w:val="19"/>
        </w:numPr>
      </w:pPr>
      <w:r>
        <w:t xml:space="preserve">Significant snack-food alternatives, however few competing </w:t>
      </w:r>
      <w:proofErr w:type="gramStart"/>
      <w:r>
        <w:t>on the basis of</w:t>
      </w:r>
      <w:proofErr w:type="gramEnd"/>
      <w:r>
        <w:t xml:space="preserve"> healthy snacking</w:t>
      </w:r>
    </w:p>
    <w:p w:rsidR="004E0BA7" w:rsidRPr="004E0BA7" w:rsidRDefault="004E0BA7" w:rsidP="004E0BA7">
      <w:pPr>
        <w:pStyle w:val="ListParagraph"/>
        <w:numPr>
          <w:ilvl w:val="0"/>
          <w:numId w:val="19"/>
        </w:numPr>
      </w:pPr>
      <w:r w:rsidRPr="00EB2CC6">
        <w:lastRenderedPageBreak/>
        <w:t>Strong reliance on continued customer focus on healthy eating</w:t>
      </w:r>
    </w:p>
    <w:p w:rsidR="00EE0810" w:rsidRDefault="00EE0810" w:rsidP="00EE0810">
      <w:pPr>
        <w:pStyle w:val="Heading3"/>
        <w:rPr>
          <w:bCs/>
        </w:rPr>
      </w:pPr>
      <w:r w:rsidRPr="00EE0810">
        <w:rPr>
          <w:bCs/>
        </w:rPr>
        <w:t xml:space="preserve">Bargaining Power of Buyers: </w:t>
      </w:r>
    </w:p>
    <w:p w:rsidR="004E0BA7" w:rsidRDefault="00EE0810" w:rsidP="004E0BA7">
      <w:pPr>
        <w:numPr>
          <w:ilvl w:val="0"/>
          <w:numId w:val="17"/>
        </w:numPr>
        <w:spacing w:after="0" w:line="240" w:lineRule="auto"/>
      </w:pPr>
      <w:r w:rsidRPr="00EE0810">
        <w:t xml:space="preserve">Moderate </w:t>
      </w:r>
      <w:r w:rsidRPr="00EE0810">
        <w:t>–</w:t>
      </w:r>
      <w:r w:rsidRPr="00EE0810">
        <w:t xml:space="preserve"> High</w:t>
      </w:r>
    </w:p>
    <w:p w:rsidR="004E0BA7" w:rsidRDefault="004E0BA7" w:rsidP="004E0BA7">
      <w:pPr>
        <w:numPr>
          <w:ilvl w:val="0"/>
          <w:numId w:val="17"/>
        </w:numPr>
        <w:spacing w:after="0" w:line="240" w:lineRule="auto"/>
      </w:pPr>
      <w:r>
        <w:t>Price premium for our product, therefore economic conditions could affect our turnover</w:t>
      </w:r>
    </w:p>
    <w:p w:rsidR="004E0BA7" w:rsidRPr="00EB2CC6" w:rsidRDefault="004E0BA7" w:rsidP="004E0BA7">
      <w:pPr>
        <w:numPr>
          <w:ilvl w:val="0"/>
          <w:numId w:val="17"/>
        </w:numPr>
        <w:spacing w:after="0" w:line="240" w:lineRule="auto"/>
      </w:pPr>
      <w:r>
        <w:t>Our multichannel model could take customers away from our subscription service</w:t>
      </w:r>
    </w:p>
    <w:p w:rsidR="00EE0810" w:rsidRDefault="00EE0810" w:rsidP="00EE0810">
      <w:pPr>
        <w:pStyle w:val="Heading3"/>
        <w:rPr>
          <w:bCs/>
        </w:rPr>
      </w:pPr>
      <w:r w:rsidRPr="00EE0810">
        <w:rPr>
          <w:bCs/>
        </w:rPr>
        <w:t xml:space="preserve">Bargaining Power of Suppliers: </w:t>
      </w:r>
    </w:p>
    <w:p w:rsidR="004E0BA7" w:rsidRDefault="00EE0810" w:rsidP="004E0BA7">
      <w:pPr>
        <w:numPr>
          <w:ilvl w:val="0"/>
          <w:numId w:val="14"/>
        </w:numPr>
        <w:spacing w:after="0" w:line="240" w:lineRule="auto"/>
      </w:pPr>
      <w:r w:rsidRPr="00EE0810">
        <w:t>Low</w:t>
      </w:r>
      <w:r w:rsidR="004E0BA7" w:rsidRPr="004E0BA7">
        <w:t xml:space="preserve"> </w:t>
      </w:r>
    </w:p>
    <w:p w:rsidR="004E0BA7" w:rsidRDefault="004E0BA7" w:rsidP="004E0BA7">
      <w:pPr>
        <w:numPr>
          <w:ilvl w:val="0"/>
          <w:numId w:val="14"/>
        </w:numPr>
        <w:spacing w:after="0" w:line="240" w:lineRule="auto"/>
      </w:pPr>
      <w:r w:rsidRPr="00EB2CC6">
        <w:t>New location enables us to be more involved in production</w:t>
      </w:r>
    </w:p>
    <w:p w:rsidR="00EE0810" w:rsidRPr="00EE0810" w:rsidRDefault="004E0BA7" w:rsidP="00ED2128">
      <w:pPr>
        <w:numPr>
          <w:ilvl w:val="0"/>
          <w:numId w:val="14"/>
        </w:numPr>
        <w:spacing w:after="0" w:line="240" w:lineRule="auto"/>
      </w:pPr>
      <w:r>
        <w:t>Limited reliance on external providers for majority of our supplies</w:t>
      </w:r>
    </w:p>
    <w:p w:rsidR="00EE0810" w:rsidRPr="00EE0810" w:rsidRDefault="00EE0810" w:rsidP="00EE0810">
      <w:pPr>
        <w:pStyle w:val="Heading3"/>
        <w:rPr>
          <w:bCs/>
        </w:rPr>
      </w:pPr>
      <w:r w:rsidRPr="00EE0810">
        <w:t xml:space="preserve">Rivalry amongst existing competitors: </w:t>
      </w:r>
    </w:p>
    <w:p w:rsidR="004E0BA7" w:rsidRDefault="00EE0810" w:rsidP="004E0BA7">
      <w:pPr>
        <w:pStyle w:val="ListParagraph"/>
        <w:numPr>
          <w:ilvl w:val="0"/>
          <w:numId w:val="16"/>
        </w:numPr>
      </w:pPr>
      <w:r w:rsidRPr="00EE0810">
        <w:t xml:space="preserve">Low </w:t>
      </w:r>
      <w:r w:rsidR="004E0BA7">
        <w:t>–</w:t>
      </w:r>
      <w:r w:rsidRPr="00EE0810">
        <w:t xml:space="preserve"> Moderate</w:t>
      </w:r>
      <w:r w:rsidR="004E0BA7" w:rsidRPr="004E0BA7">
        <w:t xml:space="preserve"> </w:t>
      </w:r>
    </w:p>
    <w:p w:rsidR="004E0BA7" w:rsidRPr="00EB2CC6" w:rsidRDefault="004E0BA7" w:rsidP="004E0BA7">
      <w:pPr>
        <w:pStyle w:val="ListParagraph"/>
        <w:numPr>
          <w:ilvl w:val="0"/>
          <w:numId w:val="16"/>
        </w:numPr>
      </w:pPr>
      <w:r w:rsidRPr="00EB2CC6">
        <w:t>Large number of firms, however some reluctance to challenge in the healthy snacking market</w:t>
      </w:r>
    </w:p>
    <w:p w:rsidR="004E0BA7" w:rsidRPr="00EB2CC6" w:rsidRDefault="004E0BA7" w:rsidP="004E0BA7">
      <w:pPr>
        <w:pStyle w:val="ListParagraph"/>
        <w:numPr>
          <w:ilvl w:val="0"/>
          <w:numId w:val="16"/>
        </w:numPr>
      </w:pPr>
      <w:r w:rsidRPr="00EB2CC6">
        <w:t>Reliance on healthy snacking taking a greater share of overall snack market</w:t>
      </w:r>
    </w:p>
    <w:p w:rsidR="00E04017" w:rsidRDefault="00E04017" w:rsidP="00E04017">
      <w:pPr>
        <w:pStyle w:val="Heading2"/>
      </w:pPr>
      <w:r>
        <w:t>SWOT</w:t>
      </w:r>
    </w:p>
    <w:tbl>
      <w:tblPr>
        <w:tblStyle w:val="TableGrid"/>
        <w:tblW w:w="10510" w:type="dxa"/>
        <w:tblInd w:w="-813" w:type="dxa"/>
        <w:tblLook w:val="04A0" w:firstRow="1" w:lastRow="0" w:firstColumn="1" w:lastColumn="0" w:noHBand="0" w:noVBand="1"/>
      </w:tblPr>
      <w:tblGrid>
        <w:gridCol w:w="538"/>
        <w:gridCol w:w="4523"/>
        <w:gridCol w:w="4951"/>
        <w:gridCol w:w="498"/>
      </w:tblGrid>
      <w:tr w:rsidR="00E04017" w:rsidTr="00145284">
        <w:trPr>
          <w:cantSplit/>
          <w:trHeight w:val="1848"/>
        </w:trPr>
        <w:tc>
          <w:tcPr>
            <w:tcW w:w="538" w:type="dxa"/>
            <w:textDirection w:val="btLr"/>
          </w:tcPr>
          <w:p w:rsidR="00E04017" w:rsidRPr="005A7D2C" w:rsidRDefault="00E04017" w:rsidP="00D15BCB">
            <w:pPr>
              <w:spacing w:after="0" w:line="240" w:lineRule="auto"/>
              <w:ind w:left="113" w:right="113"/>
              <w:rPr>
                <w:b/>
                <w:u w:val="single"/>
              </w:rPr>
            </w:pPr>
            <w:r>
              <w:rPr>
                <w:b/>
                <w:u w:val="single"/>
              </w:rPr>
              <w:t>Internal</w:t>
            </w:r>
          </w:p>
        </w:tc>
        <w:tc>
          <w:tcPr>
            <w:tcW w:w="4523" w:type="dxa"/>
          </w:tcPr>
          <w:p w:rsidR="00E04017" w:rsidRDefault="00E04017" w:rsidP="00D15BCB">
            <w:pPr>
              <w:spacing w:after="0"/>
              <w:rPr>
                <w:b/>
                <w:u w:val="single"/>
              </w:rPr>
            </w:pPr>
            <w:r w:rsidRPr="005A7D2C">
              <w:rPr>
                <w:b/>
                <w:u w:val="single"/>
              </w:rPr>
              <w:t>Strengths</w:t>
            </w:r>
          </w:p>
          <w:p w:rsidR="00020998" w:rsidRPr="00020998" w:rsidRDefault="00020998" w:rsidP="00020998">
            <w:pPr>
              <w:pStyle w:val="ListParagraph"/>
              <w:numPr>
                <w:ilvl w:val="0"/>
                <w:numId w:val="8"/>
              </w:numPr>
              <w:spacing w:after="0"/>
            </w:pPr>
            <w:r w:rsidRPr="00020998">
              <w:t>Established snack food market</w:t>
            </w:r>
          </w:p>
          <w:p w:rsidR="00020998" w:rsidRPr="00020998" w:rsidRDefault="00020998" w:rsidP="00020998">
            <w:pPr>
              <w:pStyle w:val="ListParagraph"/>
              <w:numPr>
                <w:ilvl w:val="0"/>
                <w:numId w:val="8"/>
              </w:numPr>
              <w:spacing w:after="0"/>
            </w:pPr>
            <w:r w:rsidRPr="00020998">
              <w:t>High compatibility with company values &amp; culture</w:t>
            </w:r>
          </w:p>
          <w:p w:rsidR="00020998" w:rsidRPr="00020998" w:rsidRDefault="00020998" w:rsidP="00020998">
            <w:pPr>
              <w:pStyle w:val="ListParagraph"/>
              <w:numPr>
                <w:ilvl w:val="0"/>
                <w:numId w:val="8"/>
              </w:numPr>
              <w:spacing w:after="0"/>
            </w:pPr>
            <w:r w:rsidRPr="00020998">
              <w:t xml:space="preserve">Demographics </w:t>
            </w:r>
            <w:r w:rsidR="00D72F3E">
              <w:t>fit</w:t>
            </w:r>
            <w:r w:rsidRPr="00020998">
              <w:t xml:space="preserve"> with target audience</w:t>
            </w:r>
          </w:p>
          <w:p w:rsidR="00020998" w:rsidRPr="00020998" w:rsidRDefault="00020998" w:rsidP="00020998">
            <w:pPr>
              <w:pStyle w:val="ListParagraph"/>
              <w:numPr>
                <w:ilvl w:val="0"/>
                <w:numId w:val="8"/>
              </w:numPr>
              <w:spacing w:after="0"/>
            </w:pPr>
            <w:r w:rsidRPr="00020998">
              <w:t>Strong synergy with 5/6 dimensions in the cultural comparison</w:t>
            </w:r>
          </w:p>
          <w:p w:rsidR="00020998" w:rsidRPr="00020998" w:rsidRDefault="00020998" w:rsidP="00020998">
            <w:pPr>
              <w:pStyle w:val="ListParagraph"/>
              <w:numPr>
                <w:ilvl w:val="0"/>
                <w:numId w:val="8"/>
              </w:numPr>
              <w:spacing w:after="0"/>
            </w:pPr>
            <w:r w:rsidRPr="00020998">
              <w:t>Strong track record of investment &amp; trading between UK &amp; Netherlands</w:t>
            </w:r>
          </w:p>
          <w:p w:rsidR="00020998" w:rsidRPr="00020998" w:rsidRDefault="00020998" w:rsidP="00020998">
            <w:pPr>
              <w:pStyle w:val="ListParagraph"/>
              <w:numPr>
                <w:ilvl w:val="0"/>
                <w:numId w:val="8"/>
              </w:numPr>
              <w:spacing w:after="0"/>
            </w:pPr>
            <w:r w:rsidRPr="00020998">
              <w:t xml:space="preserve">Infrastructure and distribution strengths </w:t>
            </w:r>
          </w:p>
          <w:p w:rsidR="00E04017" w:rsidRPr="002D1365" w:rsidRDefault="00020998" w:rsidP="00020998">
            <w:pPr>
              <w:pStyle w:val="ListParagraph"/>
              <w:numPr>
                <w:ilvl w:val="0"/>
                <w:numId w:val="8"/>
              </w:numPr>
              <w:spacing w:after="0"/>
            </w:pPr>
            <w:r w:rsidRPr="00020998">
              <w:t>Company compliant with consumer trends</w:t>
            </w:r>
          </w:p>
        </w:tc>
        <w:tc>
          <w:tcPr>
            <w:tcW w:w="4951" w:type="dxa"/>
          </w:tcPr>
          <w:p w:rsidR="00E04017" w:rsidRDefault="00E04017" w:rsidP="00D15BCB">
            <w:pPr>
              <w:spacing w:after="0"/>
              <w:rPr>
                <w:b/>
                <w:u w:val="single"/>
              </w:rPr>
            </w:pPr>
            <w:r w:rsidRPr="005A7D2C">
              <w:rPr>
                <w:b/>
                <w:u w:val="single"/>
              </w:rPr>
              <w:t>Weaknesses</w:t>
            </w:r>
          </w:p>
          <w:p w:rsidR="00020998" w:rsidRPr="00020998" w:rsidRDefault="00020998" w:rsidP="00020998">
            <w:pPr>
              <w:pStyle w:val="ListParagraph"/>
              <w:numPr>
                <w:ilvl w:val="0"/>
                <w:numId w:val="10"/>
              </w:numPr>
              <w:spacing w:after="0"/>
            </w:pPr>
            <w:r w:rsidRPr="00020998">
              <w:t>Potential resistance to new business model</w:t>
            </w:r>
          </w:p>
          <w:p w:rsidR="00020998" w:rsidRPr="00020998" w:rsidRDefault="00020998" w:rsidP="00020998">
            <w:pPr>
              <w:pStyle w:val="ListParagraph"/>
              <w:numPr>
                <w:ilvl w:val="0"/>
                <w:numId w:val="10"/>
              </w:numPr>
              <w:spacing w:after="0"/>
            </w:pPr>
            <w:r w:rsidRPr="00020998">
              <w:t>Identifying appropriate human resource</w:t>
            </w:r>
          </w:p>
          <w:p w:rsidR="00020998" w:rsidRPr="00020998" w:rsidRDefault="00020998" w:rsidP="00020998">
            <w:pPr>
              <w:pStyle w:val="ListParagraph"/>
              <w:numPr>
                <w:ilvl w:val="0"/>
                <w:numId w:val="10"/>
              </w:numPr>
              <w:spacing w:after="0"/>
            </w:pPr>
            <w:r w:rsidRPr="00020998">
              <w:t>Change in consumer demand</w:t>
            </w:r>
          </w:p>
          <w:p w:rsidR="00020998" w:rsidRPr="00020998" w:rsidRDefault="00020998" w:rsidP="00020998">
            <w:pPr>
              <w:pStyle w:val="ListParagraph"/>
              <w:numPr>
                <w:ilvl w:val="0"/>
                <w:numId w:val="10"/>
              </w:numPr>
              <w:spacing w:after="0"/>
            </w:pPr>
            <w:r w:rsidRPr="00020998">
              <w:t>Business model is repeatable and open to competition</w:t>
            </w:r>
          </w:p>
          <w:p w:rsidR="00E04017" w:rsidRPr="002D1365" w:rsidRDefault="00020998" w:rsidP="00020998">
            <w:pPr>
              <w:pStyle w:val="ListParagraph"/>
              <w:numPr>
                <w:ilvl w:val="0"/>
                <w:numId w:val="10"/>
              </w:numPr>
              <w:spacing w:after="0"/>
            </w:pPr>
            <w:r w:rsidRPr="00020998">
              <w:t xml:space="preserve">Return on Investment </w:t>
            </w:r>
            <w:proofErr w:type="gramStart"/>
            <w:r w:rsidRPr="00020998">
              <w:t>-</w:t>
            </w:r>
            <w:r>
              <w:t xml:space="preserve"> </w:t>
            </w:r>
            <w:r w:rsidRPr="00020998">
              <w:t>?</w:t>
            </w:r>
            <w:proofErr w:type="gramEnd"/>
            <w:r w:rsidR="00D610D4">
              <w:t xml:space="preserve"> </w:t>
            </w:r>
            <w:r w:rsidRPr="00020998">
              <w:t>greater economies of scale if expansion is across a greater number of markets</w:t>
            </w:r>
          </w:p>
        </w:tc>
        <w:tc>
          <w:tcPr>
            <w:tcW w:w="498" w:type="dxa"/>
            <w:textDirection w:val="tbRl"/>
          </w:tcPr>
          <w:p w:rsidR="00E04017" w:rsidRPr="005A7D2C" w:rsidRDefault="00E04017" w:rsidP="00D15BCB">
            <w:pPr>
              <w:spacing w:after="0" w:line="240" w:lineRule="auto"/>
              <w:ind w:left="113" w:right="113"/>
              <w:rPr>
                <w:b/>
                <w:u w:val="single"/>
              </w:rPr>
            </w:pPr>
            <w:r>
              <w:rPr>
                <w:b/>
                <w:u w:val="single"/>
              </w:rPr>
              <w:t>Internal</w:t>
            </w:r>
          </w:p>
        </w:tc>
      </w:tr>
      <w:tr w:rsidR="00E04017" w:rsidTr="00145284">
        <w:trPr>
          <w:cantSplit/>
          <w:trHeight w:val="1974"/>
        </w:trPr>
        <w:tc>
          <w:tcPr>
            <w:tcW w:w="538" w:type="dxa"/>
            <w:textDirection w:val="btLr"/>
          </w:tcPr>
          <w:p w:rsidR="00E04017" w:rsidRPr="005A7D2C" w:rsidRDefault="00E04017" w:rsidP="00D15BCB">
            <w:pPr>
              <w:spacing w:after="0" w:line="240" w:lineRule="auto"/>
              <w:ind w:left="113" w:right="113"/>
              <w:rPr>
                <w:b/>
                <w:u w:val="single"/>
              </w:rPr>
            </w:pPr>
            <w:r>
              <w:rPr>
                <w:b/>
                <w:u w:val="single"/>
              </w:rPr>
              <w:t>External</w:t>
            </w:r>
          </w:p>
        </w:tc>
        <w:tc>
          <w:tcPr>
            <w:tcW w:w="4523" w:type="dxa"/>
          </w:tcPr>
          <w:p w:rsidR="00E04017" w:rsidRDefault="00E04017" w:rsidP="00D15BCB">
            <w:pPr>
              <w:spacing w:after="0"/>
              <w:rPr>
                <w:b/>
                <w:u w:val="single"/>
              </w:rPr>
            </w:pPr>
            <w:r w:rsidRPr="005A7D2C">
              <w:rPr>
                <w:b/>
                <w:u w:val="single"/>
              </w:rPr>
              <w:t>Opportunities</w:t>
            </w:r>
          </w:p>
          <w:p w:rsidR="00020998" w:rsidRPr="00020998" w:rsidRDefault="00020998" w:rsidP="00020998">
            <w:pPr>
              <w:pStyle w:val="ListParagraph"/>
              <w:numPr>
                <w:ilvl w:val="0"/>
                <w:numId w:val="9"/>
              </w:numPr>
              <w:spacing w:after="0"/>
            </w:pPr>
            <w:r w:rsidRPr="00020998">
              <w:t xml:space="preserve">Exploiting opportunity from the cultural aspects already embedded </w:t>
            </w:r>
          </w:p>
          <w:p w:rsidR="00020998" w:rsidRPr="00020998" w:rsidRDefault="00020998" w:rsidP="00020998">
            <w:pPr>
              <w:pStyle w:val="ListParagraph"/>
              <w:numPr>
                <w:ilvl w:val="0"/>
                <w:numId w:val="9"/>
              </w:numPr>
              <w:spacing w:after="0"/>
            </w:pPr>
            <w:r w:rsidRPr="00020998">
              <w:t>Sound demographic position</w:t>
            </w:r>
          </w:p>
          <w:p w:rsidR="00020998" w:rsidRPr="00020998" w:rsidRDefault="00020998" w:rsidP="00020998">
            <w:pPr>
              <w:pStyle w:val="ListParagraph"/>
              <w:numPr>
                <w:ilvl w:val="0"/>
                <w:numId w:val="9"/>
              </w:numPr>
              <w:spacing w:after="0"/>
            </w:pPr>
            <w:r w:rsidRPr="00020998">
              <w:t>High degree of English speaking</w:t>
            </w:r>
          </w:p>
          <w:p w:rsidR="00020998" w:rsidRPr="00020998" w:rsidRDefault="00020998" w:rsidP="00020998">
            <w:pPr>
              <w:pStyle w:val="ListParagraph"/>
              <w:numPr>
                <w:ilvl w:val="0"/>
                <w:numId w:val="9"/>
              </w:numPr>
              <w:spacing w:after="0"/>
            </w:pPr>
            <w:r w:rsidRPr="00020998">
              <w:t>Agile, web-based technology (‘clicks’ over ‘bricks’)</w:t>
            </w:r>
          </w:p>
          <w:p w:rsidR="00E04017" w:rsidRDefault="00020998" w:rsidP="00020998">
            <w:pPr>
              <w:pStyle w:val="ListParagraph"/>
              <w:numPr>
                <w:ilvl w:val="0"/>
                <w:numId w:val="9"/>
              </w:numPr>
              <w:spacing w:after="0"/>
            </w:pPr>
            <w:r w:rsidRPr="00020998">
              <w:t>Strong history of trading relations between UK &amp; Netherlands</w:t>
            </w:r>
          </w:p>
          <w:p w:rsidR="00D610D4" w:rsidRDefault="00D610D4" w:rsidP="00020998">
            <w:pPr>
              <w:pStyle w:val="ListParagraph"/>
              <w:numPr>
                <w:ilvl w:val="0"/>
                <w:numId w:val="9"/>
              </w:numPr>
              <w:spacing w:after="0"/>
            </w:pPr>
            <w:r>
              <w:t>Excellent logistics network</w:t>
            </w:r>
          </w:p>
          <w:p w:rsidR="00D610D4" w:rsidRPr="002D1365" w:rsidRDefault="00D610D4" w:rsidP="00020998">
            <w:pPr>
              <w:pStyle w:val="ListParagraph"/>
              <w:numPr>
                <w:ilvl w:val="0"/>
                <w:numId w:val="9"/>
              </w:numPr>
              <w:spacing w:after="0"/>
            </w:pPr>
            <w:r>
              <w:t>Huge market potential</w:t>
            </w:r>
          </w:p>
        </w:tc>
        <w:tc>
          <w:tcPr>
            <w:tcW w:w="4951" w:type="dxa"/>
          </w:tcPr>
          <w:p w:rsidR="00E04017" w:rsidRDefault="00E04017" w:rsidP="00D15BCB">
            <w:pPr>
              <w:spacing w:after="0"/>
              <w:rPr>
                <w:b/>
                <w:u w:val="single"/>
              </w:rPr>
            </w:pPr>
            <w:r w:rsidRPr="005A7D2C">
              <w:rPr>
                <w:b/>
                <w:u w:val="single"/>
              </w:rPr>
              <w:t>Threats</w:t>
            </w:r>
          </w:p>
          <w:p w:rsidR="00020998" w:rsidRPr="00020998" w:rsidRDefault="00020998" w:rsidP="00020998">
            <w:pPr>
              <w:pStyle w:val="ListParagraph"/>
              <w:numPr>
                <w:ilvl w:val="0"/>
                <w:numId w:val="11"/>
              </w:numPr>
              <w:spacing w:after="0"/>
            </w:pPr>
            <w:r w:rsidRPr="00020998">
              <w:t>Uncertainty about how withdrawal effects trading relations</w:t>
            </w:r>
          </w:p>
          <w:p w:rsidR="00020998" w:rsidRPr="00020998" w:rsidRDefault="00020998" w:rsidP="00020998">
            <w:pPr>
              <w:pStyle w:val="ListParagraph"/>
              <w:numPr>
                <w:ilvl w:val="0"/>
                <w:numId w:val="11"/>
              </w:numPr>
              <w:spacing w:after="0"/>
            </w:pPr>
            <w:r w:rsidRPr="00020998">
              <w:t>Competitors:</w:t>
            </w:r>
          </w:p>
          <w:p w:rsidR="00020998" w:rsidRPr="00020998" w:rsidRDefault="00FA604E" w:rsidP="00FA604E">
            <w:pPr>
              <w:pStyle w:val="ListParagraph"/>
              <w:numPr>
                <w:ilvl w:val="2"/>
                <w:numId w:val="11"/>
              </w:numPr>
              <w:spacing w:after="0"/>
            </w:pPr>
            <w:hyperlink r:id="rId9" w:history="1">
              <w:r>
                <w:rPr>
                  <w:rStyle w:val="Hyperlink"/>
                </w:rPr>
                <w:t>Sourced Box</w:t>
              </w:r>
            </w:hyperlink>
          </w:p>
          <w:p w:rsidR="00020998" w:rsidRPr="00020998" w:rsidRDefault="00FA604E" w:rsidP="00FA604E">
            <w:pPr>
              <w:pStyle w:val="ListParagraph"/>
              <w:numPr>
                <w:ilvl w:val="2"/>
                <w:numId w:val="11"/>
              </w:numPr>
              <w:spacing w:after="0"/>
            </w:pPr>
            <w:hyperlink r:id="rId10" w:history="1">
              <w:r w:rsidRPr="00FA604E">
                <w:rPr>
                  <w:rStyle w:val="Hyperlink"/>
                </w:rPr>
                <w:t>Office Pantry</w:t>
              </w:r>
            </w:hyperlink>
          </w:p>
          <w:p w:rsidR="00020998" w:rsidRPr="00020998" w:rsidRDefault="00020998" w:rsidP="00020998">
            <w:pPr>
              <w:pStyle w:val="ListParagraph"/>
              <w:numPr>
                <w:ilvl w:val="0"/>
                <w:numId w:val="11"/>
              </w:numPr>
              <w:spacing w:after="0"/>
            </w:pPr>
            <w:r w:rsidRPr="00020998">
              <w:t>Cyber security</w:t>
            </w:r>
          </w:p>
          <w:p w:rsidR="00020998" w:rsidRPr="00020998" w:rsidRDefault="00020998" w:rsidP="00020998">
            <w:pPr>
              <w:pStyle w:val="ListParagraph"/>
              <w:numPr>
                <w:ilvl w:val="0"/>
                <w:numId w:val="11"/>
              </w:numPr>
              <w:spacing w:after="0"/>
            </w:pPr>
            <w:r w:rsidRPr="00020998">
              <w:t>Talent pool</w:t>
            </w:r>
          </w:p>
          <w:p w:rsidR="00E04017" w:rsidRPr="002D1365" w:rsidRDefault="00020998" w:rsidP="00020998">
            <w:pPr>
              <w:pStyle w:val="ListParagraph"/>
              <w:numPr>
                <w:ilvl w:val="0"/>
                <w:numId w:val="11"/>
              </w:numPr>
              <w:spacing w:after="0"/>
            </w:pPr>
            <w:r w:rsidRPr="00020998">
              <w:t>Cultural pushback</w:t>
            </w:r>
          </w:p>
        </w:tc>
        <w:tc>
          <w:tcPr>
            <w:tcW w:w="498" w:type="dxa"/>
            <w:textDirection w:val="tbRl"/>
          </w:tcPr>
          <w:p w:rsidR="00E04017" w:rsidRPr="005A7D2C" w:rsidRDefault="00E04017" w:rsidP="00D15BCB">
            <w:pPr>
              <w:spacing w:after="0" w:line="240" w:lineRule="auto"/>
              <w:ind w:left="113" w:right="113"/>
              <w:rPr>
                <w:b/>
                <w:u w:val="single"/>
              </w:rPr>
            </w:pPr>
            <w:r>
              <w:rPr>
                <w:b/>
                <w:u w:val="single"/>
              </w:rPr>
              <w:t>External</w:t>
            </w:r>
          </w:p>
        </w:tc>
      </w:tr>
    </w:tbl>
    <w:p w:rsidR="00E04017" w:rsidRPr="00E04017" w:rsidRDefault="00E04017" w:rsidP="00E04017"/>
    <w:p w:rsidR="008A706B" w:rsidRPr="009D1CFC" w:rsidRDefault="008A706B" w:rsidP="008A706B">
      <w:pPr>
        <w:pStyle w:val="Heading1"/>
        <w:numPr>
          <w:ilvl w:val="0"/>
          <w:numId w:val="1"/>
        </w:numPr>
        <w:rPr>
          <w:rStyle w:val="Strong"/>
          <w:rFonts w:ascii="Calibri" w:hAnsi="Calibri"/>
          <w:b/>
          <w:bCs w:val="0"/>
          <w:sz w:val="32"/>
        </w:rPr>
      </w:pPr>
      <w:r w:rsidRPr="009D1CFC">
        <w:rPr>
          <w:rStyle w:val="Strong"/>
          <w:rFonts w:ascii="Calibri" w:hAnsi="Calibri"/>
          <w:b/>
          <w:bCs w:val="0"/>
          <w:sz w:val="32"/>
        </w:rPr>
        <w:lastRenderedPageBreak/>
        <w:t xml:space="preserve">International Business Strategy (exporting, joint venture, FDI, franchising/ licensing, etc.) </w:t>
      </w:r>
    </w:p>
    <w:p w:rsidR="008A706B" w:rsidRDefault="008A706B" w:rsidP="008A706B">
      <w:pPr>
        <w:pStyle w:val="Heading1"/>
        <w:numPr>
          <w:ilvl w:val="0"/>
          <w:numId w:val="1"/>
        </w:numPr>
        <w:rPr>
          <w:rStyle w:val="Strong"/>
          <w:rFonts w:ascii="Calibri" w:hAnsi="Calibri"/>
          <w:b/>
          <w:bCs w:val="0"/>
          <w:sz w:val="32"/>
        </w:rPr>
      </w:pPr>
      <w:r w:rsidRPr="009D1CFC">
        <w:rPr>
          <w:rStyle w:val="Strong"/>
          <w:rFonts w:ascii="Calibri" w:hAnsi="Calibri"/>
          <w:b/>
          <w:bCs w:val="0"/>
          <w:sz w:val="32"/>
        </w:rPr>
        <w:t>International Marketing Plan</w:t>
      </w:r>
    </w:p>
    <w:p w:rsidR="00EB48F8" w:rsidRDefault="00EB48F8" w:rsidP="00E04017">
      <w:r>
        <w:t xml:space="preserve">2 paradigms </w:t>
      </w:r>
      <w:r w:rsidR="000C7618">
        <w:t>exist</w:t>
      </w:r>
      <w:r w:rsidR="000C7618">
        <w:t xml:space="preserve"> </w:t>
      </w:r>
      <w:r>
        <w:t>in International Marketing</w:t>
      </w:r>
      <w:r w:rsidR="000C7618">
        <w:t>:</w:t>
      </w:r>
      <w:r>
        <w:t xml:space="preserve"> Standardisation, and Adaptation</w:t>
      </w:r>
      <w:r w:rsidR="006F555A">
        <w:t xml:space="preserve"> </w:t>
      </w:r>
      <w:sdt>
        <w:sdtPr>
          <w:id w:val="-1350166462"/>
          <w:citation/>
        </w:sdtPr>
        <w:sdtContent>
          <w:r w:rsidR="006F555A">
            <w:fldChar w:fldCharType="begin"/>
          </w:r>
          <w:r w:rsidR="006F555A">
            <w:instrText xml:space="preserve"> CITATION Lev83 \l 2057 </w:instrText>
          </w:r>
          <w:r w:rsidR="006F555A">
            <w:fldChar w:fldCharType="separate"/>
          </w:r>
          <w:r w:rsidR="006F555A" w:rsidRPr="006F555A">
            <w:rPr>
              <w:noProof/>
            </w:rPr>
            <w:t>(Levitt, 1983)</w:t>
          </w:r>
          <w:r w:rsidR="006F555A">
            <w:fldChar w:fldCharType="end"/>
          </w:r>
        </w:sdtContent>
      </w:sdt>
      <w:r>
        <w:t xml:space="preserve"> </w:t>
      </w:r>
      <w:sdt>
        <w:sdtPr>
          <w:id w:val="-2122366410"/>
          <w:citation/>
        </w:sdtPr>
        <w:sdtContent>
          <w:r w:rsidR="000C7618">
            <w:fldChar w:fldCharType="begin"/>
          </w:r>
          <w:r w:rsidR="000C7618">
            <w:instrText xml:space="preserve"> CITATION Whi97 \l 2057 </w:instrText>
          </w:r>
          <w:r w:rsidR="000C7618">
            <w:fldChar w:fldCharType="separate"/>
          </w:r>
          <w:r w:rsidR="000C7618" w:rsidRPr="000C7618">
            <w:rPr>
              <w:noProof/>
            </w:rPr>
            <w:t>(Whitelock &amp; Pimblett, 1997)</w:t>
          </w:r>
          <w:r w:rsidR="000C7618">
            <w:fldChar w:fldCharType="end"/>
          </w:r>
        </w:sdtContent>
      </w:sdt>
      <w:r w:rsidR="000C7618">
        <w:t xml:space="preserve">,  </w:t>
      </w:r>
      <w:sdt>
        <w:sdtPr>
          <w:id w:val="1935943848"/>
          <w:citation/>
        </w:sdtPr>
        <w:sdtContent>
          <w:r w:rsidR="002F1837">
            <w:fldChar w:fldCharType="begin"/>
          </w:r>
          <w:r w:rsidR="002F1837">
            <w:instrText xml:space="preserve"> CITATION Vro09 \l 2057 </w:instrText>
          </w:r>
          <w:r w:rsidR="002F1837">
            <w:fldChar w:fldCharType="separate"/>
          </w:r>
          <w:r w:rsidR="002F1837" w:rsidRPr="002F1837">
            <w:rPr>
              <w:noProof/>
            </w:rPr>
            <w:t>(Vrontis, et al., 2009)</w:t>
          </w:r>
          <w:r w:rsidR="002F1837">
            <w:fldChar w:fldCharType="end"/>
          </w:r>
        </w:sdtContent>
      </w:sdt>
      <w:r w:rsidR="000C7618">
        <w:t>. They describe the extent to which a multinational business adopts standardisation and uniformity, versus responding to local conditions such as resource availability</w:t>
      </w:r>
      <w:r w:rsidR="000C7618" w:rsidRPr="000C7618">
        <w:t xml:space="preserve"> </w:t>
      </w:r>
      <w:sdt>
        <w:sdtPr>
          <w:id w:val="-1604107099"/>
          <w:citation/>
        </w:sdtPr>
        <w:sdtContent>
          <w:r w:rsidR="000C7618">
            <w:fldChar w:fldCharType="begin"/>
          </w:r>
          <w:r w:rsidR="000C7618">
            <w:instrText xml:space="preserve"> CITATION Cox07 \l 2057 </w:instrText>
          </w:r>
          <w:r w:rsidR="000C7618">
            <w:fldChar w:fldCharType="separate"/>
          </w:r>
          <w:r w:rsidR="000C7618" w:rsidRPr="000C7618">
            <w:rPr>
              <w:noProof/>
            </w:rPr>
            <w:t>(Cox &amp; Mason, 2007)</w:t>
          </w:r>
          <w:r w:rsidR="000C7618">
            <w:fldChar w:fldCharType="end"/>
          </w:r>
        </w:sdtContent>
      </w:sdt>
      <w:r w:rsidR="000C7618">
        <w:t xml:space="preserve">. Arguments pitting economies of scale </w:t>
      </w:r>
      <w:r w:rsidR="006F555A">
        <w:t xml:space="preserve">against responsiveness to local cultures and climate appear to hotly </w:t>
      </w:r>
      <w:proofErr w:type="gramStart"/>
      <w:r w:rsidR="006F555A">
        <w:t>contested</w:t>
      </w:r>
      <w:proofErr w:type="gramEnd"/>
      <w:r w:rsidR="006F555A">
        <w:t xml:space="preserve"> in literature since the beginnings of the analysis in the 1980s </w:t>
      </w:r>
      <w:sdt>
        <w:sdtPr>
          <w:id w:val="-1989390097"/>
          <w:citation/>
        </w:sdtPr>
        <w:sdtContent>
          <w:r w:rsidR="006F555A">
            <w:fldChar w:fldCharType="begin"/>
          </w:r>
          <w:r w:rsidR="006F555A">
            <w:instrText xml:space="preserve"> CITATION Rao17 \l 2057 </w:instrText>
          </w:r>
          <w:r w:rsidR="006F555A">
            <w:fldChar w:fldCharType="separate"/>
          </w:r>
          <w:r w:rsidR="006F555A" w:rsidRPr="006F555A">
            <w:rPr>
              <w:noProof/>
            </w:rPr>
            <w:t>(Rao-Nicholson &amp; Khan, 2017)</w:t>
          </w:r>
          <w:r w:rsidR="006F555A">
            <w:fldChar w:fldCharType="end"/>
          </w:r>
        </w:sdtContent>
      </w:sdt>
      <w:r w:rsidR="006F555A">
        <w:t>.</w:t>
      </w:r>
    </w:p>
    <w:p w:rsidR="00610E5D" w:rsidRDefault="006F555A" w:rsidP="00E04017">
      <w:r>
        <w:t xml:space="preserve">Standardisation can offer minimised costs in respect of time, people, and monetary, and are therefore increasingly favoured approach in multinational business </w:t>
      </w:r>
      <w:sdt>
        <w:sdtPr>
          <w:id w:val="-1947148746"/>
          <w:citation/>
        </w:sdtPr>
        <w:sdtContent>
          <w:r>
            <w:fldChar w:fldCharType="begin"/>
          </w:r>
          <w:r>
            <w:instrText xml:space="preserve"> CITATION Cox07 \l 2057 </w:instrText>
          </w:r>
          <w:r>
            <w:fldChar w:fldCharType="separate"/>
          </w:r>
          <w:r w:rsidRPr="006F555A">
            <w:rPr>
              <w:noProof/>
            </w:rPr>
            <w:t>(Cox &amp; Mason, 2007)</w:t>
          </w:r>
          <w:r>
            <w:fldChar w:fldCharType="end"/>
          </w:r>
        </w:sdtContent>
      </w:sdt>
      <w:r>
        <w:t>. For the purposes of this report, we should lean towards a standardised approach, taking advantage of our cultural and legislative similarities. We should therefore realise benefits of a swifter deployment, and subsequently a more rapid</w:t>
      </w:r>
      <w:r w:rsidR="006F417B">
        <w:t xml:space="preserve"> and effective bedding in process to the new market.</w:t>
      </w:r>
      <w:r w:rsidR="00610E5D">
        <w:t xml:space="preserve"> Below we will describe our marketing approach using the 4 p’s model </w:t>
      </w:r>
      <w:sdt>
        <w:sdtPr>
          <w:id w:val="2056269701"/>
          <w:citation/>
        </w:sdtPr>
        <w:sdtContent>
          <w:r w:rsidR="00610E5D">
            <w:fldChar w:fldCharType="begin"/>
          </w:r>
          <w:r w:rsidR="00610E5D">
            <w:instrText xml:space="preserve"> CITATION McC60 \l 2057 </w:instrText>
          </w:r>
          <w:r w:rsidR="00610E5D">
            <w:fldChar w:fldCharType="separate"/>
          </w:r>
          <w:r w:rsidR="00610E5D" w:rsidRPr="00610E5D">
            <w:rPr>
              <w:noProof/>
            </w:rPr>
            <w:t>(McCarthy &amp; Perreault Jr, 1960)</w:t>
          </w:r>
          <w:r w:rsidR="00610E5D">
            <w:fldChar w:fldCharType="end"/>
          </w:r>
        </w:sdtContent>
      </w:sdt>
      <w:r w:rsidR="00610E5D">
        <w:t xml:space="preserve"> and illustrating how our approach will be standardised with our UK operation.</w:t>
      </w:r>
    </w:p>
    <w:p w:rsidR="002620D5" w:rsidRDefault="002620D5" w:rsidP="002620D5">
      <w:pPr>
        <w:pStyle w:val="Heading2"/>
      </w:pPr>
      <w:r>
        <w:t>4 p’s</w:t>
      </w:r>
    </w:p>
    <w:p w:rsidR="002620D5" w:rsidRDefault="002620D5" w:rsidP="002620D5">
      <w:pPr>
        <w:pStyle w:val="Heading3"/>
        <w:rPr>
          <w:shd w:val="clear" w:color="auto" w:fill="FFFFFF"/>
        </w:rPr>
      </w:pPr>
      <w:r>
        <w:rPr>
          <w:shd w:val="clear" w:color="auto" w:fill="FFFFFF"/>
        </w:rPr>
        <w:t>Product</w:t>
      </w:r>
    </w:p>
    <w:p w:rsidR="002620D5" w:rsidRPr="002620D5" w:rsidRDefault="002620D5" w:rsidP="002620D5">
      <w:r>
        <w:t>We are suppliers of the best tasting healthy snacks</w:t>
      </w:r>
      <w:r w:rsidR="005D59F6">
        <w:rPr>
          <w:rStyle w:val="FootnoteReference"/>
        </w:rPr>
        <w:footnoteReference w:id="1"/>
      </w:r>
      <w:r>
        <w:t xml:space="preserve"> in the most imaginative of flavours.</w:t>
      </w:r>
      <w:r w:rsidR="00703A9E">
        <w:t xml:space="preserve"> Over 100</w:t>
      </w:r>
      <w:r w:rsidR="005D59F6">
        <w:t>0</w:t>
      </w:r>
      <w:r w:rsidR="00703A9E">
        <w:t xml:space="preserve"> flavour </w:t>
      </w:r>
      <w:r w:rsidR="005D59F6">
        <w:t>ideas have been</w:t>
      </w:r>
      <w:r w:rsidR="00703A9E">
        <w:t xml:space="preserve"> available </w:t>
      </w:r>
      <w:sdt>
        <w:sdtPr>
          <w:id w:val="-517314527"/>
          <w:citation/>
        </w:sdtPr>
        <w:sdtContent>
          <w:r w:rsidR="00703A9E">
            <w:fldChar w:fldCharType="begin"/>
          </w:r>
          <w:r w:rsidR="00703A9E">
            <w:instrText xml:space="preserve"> CITATION Grand \l 2057 </w:instrText>
          </w:r>
          <w:r w:rsidR="00703A9E">
            <w:fldChar w:fldCharType="separate"/>
          </w:r>
          <w:r w:rsidR="00703A9E" w:rsidRPr="00703A9E">
            <w:rPr>
              <w:noProof/>
            </w:rPr>
            <w:t>(Graze.com, n.d.)</w:t>
          </w:r>
          <w:r w:rsidR="00703A9E">
            <w:fldChar w:fldCharType="end"/>
          </w:r>
        </w:sdtContent>
      </w:sdt>
      <w:r w:rsidR="00703A9E">
        <w:t xml:space="preserve"> combining our individual, personalised subscription boxes, our selection of bars and pre-packaged snacks – available direct from selected stores, and boxes of snacks approved by </w:t>
      </w:r>
      <w:r w:rsidR="00703A9E">
        <w:t>nutritionist</w:t>
      </w:r>
      <w:r w:rsidR="00703A9E">
        <w:t>s</w:t>
      </w:r>
      <w:r w:rsidR="00703A9E">
        <w:t xml:space="preserve"> </w:t>
      </w:r>
      <w:r w:rsidR="00703A9E">
        <w:t>direc</w:t>
      </w:r>
      <w:r w:rsidR="005D59F6">
        <w:t>tly available</w:t>
      </w:r>
      <w:r w:rsidR="00703A9E">
        <w:t xml:space="preserve"> to wholesale</w:t>
      </w:r>
      <w:r w:rsidR="005D59F6">
        <w:t xml:space="preserve"> </w:t>
      </w:r>
      <w:sdt>
        <w:sdtPr>
          <w:id w:val="-468049570"/>
          <w:citation/>
        </w:sdtPr>
        <w:sdtContent>
          <w:r w:rsidR="005D59F6">
            <w:fldChar w:fldCharType="begin"/>
          </w:r>
          <w:r w:rsidR="005D59F6">
            <w:instrText xml:space="preserve"> CITATION Grand1 \l 2057 </w:instrText>
          </w:r>
          <w:r w:rsidR="005D59F6">
            <w:fldChar w:fldCharType="separate"/>
          </w:r>
          <w:r w:rsidR="005D59F6" w:rsidRPr="005D59F6">
            <w:rPr>
              <w:noProof/>
            </w:rPr>
            <w:t>(Graze.com, n.d.)</w:t>
          </w:r>
          <w:r w:rsidR="005D59F6">
            <w:fldChar w:fldCharType="end"/>
          </w:r>
        </w:sdtContent>
      </w:sdt>
      <w:r w:rsidR="005D59F6">
        <w:t xml:space="preserve">. We enter new markets usually in a test and learn </w:t>
      </w:r>
      <w:r w:rsidR="00777D92">
        <w:t>approach but</w:t>
      </w:r>
      <w:r w:rsidR="005D59F6">
        <w:t xml:space="preserve"> have the capacity to rapidly change the offering through our back catalogue of flavour ideas and subscriber datasets.</w:t>
      </w:r>
    </w:p>
    <w:p w:rsidR="002620D5" w:rsidRDefault="002620D5" w:rsidP="002620D5">
      <w:pPr>
        <w:pStyle w:val="Heading3"/>
        <w:rPr>
          <w:shd w:val="clear" w:color="auto" w:fill="FFFFFF"/>
        </w:rPr>
      </w:pPr>
      <w:r>
        <w:rPr>
          <w:shd w:val="clear" w:color="auto" w:fill="FFFFFF"/>
        </w:rPr>
        <w:t xml:space="preserve">Price </w:t>
      </w:r>
    </w:p>
    <w:p w:rsidR="0003496C" w:rsidRPr="0003496C" w:rsidRDefault="0003496C" w:rsidP="0003496C">
      <w:r>
        <w:t xml:space="preserve">Our pricing structure is relatively simple, with </w:t>
      </w:r>
      <w:r w:rsidR="00EB48F8">
        <w:t>just 1 price point covering our subscription boxes, and 1 price for our pre-packaged in-store snacks. The psychological pricing strategy of the £4.49 and £2.49 price points should continue – however consideration of the exchange rate pricing in Euro should read €4.99 and €2.99 respectively (as of September 2019). Recognising our product is not an entry level price point we very much need to focus on its quality, flavours, and nutritious ingredients as opposed competing on price against our unhealthy snack competitors which are priced much more cheaply.</w:t>
      </w:r>
    </w:p>
    <w:p w:rsidR="002620D5" w:rsidRDefault="002620D5" w:rsidP="002620D5">
      <w:pPr>
        <w:pStyle w:val="Heading3"/>
        <w:rPr>
          <w:shd w:val="clear" w:color="auto" w:fill="FFFFFF"/>
        </w:rPr>
      </w:pPr>
      <w:r>
        <w:rPr>
          <w:shd w:val="clear" w:color="auto" w:fill="FFFFFF"/>
        </w:rPr>
        <w:t>Promotion</w:t>
      </w:r>
    </w:p>
    <w:p w:rsidR="00777D92" w:rsidRPr="00777D92" w:rsidRDefault="00777D92" w:rsidP="00777D92">
      <w:r>
        <w:t xml:space="preserve">Our imaginative and engaging advertising campaigns are a key source of promotion for our brand, with TV, and increasingly pay-per-click internet advertising being a strong source of enquiries for our website. Increasingly so we can look to take advantage of public relations – looking for opportunities to sell our message around health and sustainability, and our work in driving eco-friendly food </w:t>
      </w:r>
      <w:r>
        <w:lastRenderedPageBreak/>
        <w:t>production and distribution techniques. We have a longstanding promotion in the subscriber channel where 1</w:t>
      </w:r>
      <w:r w:rsidRPr="00777D92">
        <w:rPr>
          <w:vertAlign w:val="superscript"/>
        </w:rPr>
        <w:t>st</w:t>
      </w:r>
      <w:r>
        <w:t xml:space="preserve"> box is free or half price, and there is no reason this should not continue. Another opportunity to drive wholesale sales particularly would be direct marketing, where we could engage corporations and organisations, providing some catering for events, potentially driving sales in this domain.</w:t>
      </w:r>
    </w:p>
    <w:p w:rsidR="00381CCE" w:rsidRDefault="002620D5" w:rsidP="002620D5">
      <w:pPr>
        <w:pStyle w:val="Heading3"/>
        <w:rPr>
          <w:shd w:val="clear" w:color="auto" w:fill="FFFFFF"/>
        </w:rPr>
      </w:pPr>
      <w:r>
        <w:rPr>
          <w:shd w:val="clear" w:color="auto" w:fill="FFFFFF"/>
        </w:rPr>
        <w:t>Place</w:t>
      </w:r>
    </w:p>
    <w:p w:rsidR="00473A98" w:rsidRDefault="00473A98" w:rsidP="002620D5">
      <w:r>
        <w:t xml:space="preserve">Utilising our website, ap, subscription network to drive the wholesale and subscription arms, our products are also available in a network of specially selected stores and partner outlets </w:t>
      </w:r>
      <w:r w:rsidR="00777D92">
        <w:t>– offering our customers a huge choice of how they can get hold of our great, healthy flavours. Predominantly we expect our subscriber model to drive upwards of 80% of sales, however towards the end of year 2 and onwards it is likely our in-store offerings will be a primary source of income.</w:t>
      </w:r>
    </w:p>
    <w:p w:rsidR="008A706B" w:rsidRPr="009D1CFC" w:rsidRDefault="008A706B" w:rsidP="008A706B">
      <w:pPr>
        <w:pStyle w:val="Heading1"/>
        <w:numPr>
          <w:ilvl w:val="0"/>
          <w:numId w:val="1"/>
        </w:numPr>
        <w:rPr>
          <w:rStyle w:val="Strong"/>
          <w:rFonts w:ascii="Calibri" w:hAnsi="Calibri"/>
          <w:b/>
          <w:bCs w:val="0"/>
          <w:sz w:val="32"/>
        </w:rPr>
      </w:pPr>
      <w:r w:rsidRPr="009D1CFC">
        <w:rPr>
          <w:rStyle w:val="Strong"/>
          <w:rFonts w:ascii="Calibri" w:hAnsi="Calibri"/>
          <w:b/>
          <w:bCs w:val="0"/>
          <w:sz w:val="32"/>
        </w:rPr>
        <w:t>Recommendations</w:t>
      </w:r>
    </w:p>
    <w:p w:rsidR="00875BA7" w:rsidRDefault="00875BA7"/>
    <w:p w:rsidR="00FA604E" w:rsidRDefault="00FA604E"/>
    <w:p w:rsidR="00FA604E" w:rsidRPr="00FA604E" w:rsidRDefault="00FA604E" w:rsidP="00FA604E">
      <w:pPr>
        <w:numPr>
          <w:ilvl w:val="0"/>
          <w:numId w:val="12"/>
        </w:numPr>
        <w:spacing w:before="100" w:beforeAutospacing="1" w:after="100" w:afterAutospacing="1" w:line="240" w:lineRule="auto"/>
        <w:rPr>
          <w:rFonts w:ascii="Segoe UI" w:eastAsia="Times New Roman" w:hAnsi="Segoe UI" w:cs="Segoe UI"/>
          <w:color w:val="373A3C"/>
          <w:sz w:val="23"/>
          <w:szCs w:val="23"/>
          <w:lang w:eastAsia="en-GB"/>
        </w:rPr>
      </w:pPr>
      <w:hyperlink r:id="rId11" w:history="1">
        <w:r w:rsidRPr="00FA604E">
          <w:rPr>
            <w:rFonts w:ascii="Segoe UI" w:eastAsia="Times New Roman" w:hAnsi="Segoe UI" w:cs="Segoe UI"/>
            <w:color w:val="003E5A"/>
            <w:sz w:val="23"/>
            <w:szCs w:val="23"/>
            <w:u w:val="single"/>
            <w:lang w:eastAsia="en-GB"/>
          </w:rPr>
          <w:t>https://www.cia.gov/library/publications/resources/the-world-factbook/</w:t>
        </w:r>
      </w:hyperlink>
      <w:r w:rsidRPr="00FA604E">
        <w:rPr>
          <w:rFonts w:ascii="Segoe UI" w:eastAsia="Times New Roman" w:hAnsi="Segoe UI" w:cs="Segoe UI"/>
          <w:color w:val="373A3C"/>
          <w:sz w:val="23"/>
          <w:szCs w:val="23"/>
          <w:lang w:eastAsia="en-GB"/>
        </w:rPr>
        <w:t> - Central Intelligence Agency’s factbook. A useful tool giving a wealth of facts on nation’s business environments.</w:t>
      </w:r>
    </w:p>
    <w:p w:rsidR="00FA604E" w:rsidRPr="00FA604E" w:rsidRDefault="00FA604E" w:rsidP="00FA604E">
      <w:pPr>
        <w:numPr>
          <w:ilvl w:val="0"/>
          <w:numId w:val="12"/>
        </w:numPr>
        <w:spacing w:before="100" w:beforeAutospacing="1" w:after="100" w:afterAutospacing="1" w:line="240" w:lineRule="auto"/>
        <w:rPr>
          <w:rFonts w:ascii="Segoe UI" w:eastAsia="Times New Roman" w:hAnsi="Segoe UI" w:cs="Segoe UI"/>
          <w:color w:val="373A3C"/>
          <w:sz w:val="23"/>
          <w:szCs w:val="23"/>
          <w:lang w:eastAsia="en-GB"/>
        </w:rPr>
      </w:pPr>
      <w:hyperlink r:id="rId12" w:history="1">
        <w:r w:rsidRPr="00FA604E">
          <w:rPr>
            <w:rFonts w:ascii="Segoe UI" w:eastAsia="Times New Roman" w:hAnsi="Segoe UI" w:cs="Segoe UI"/>
            <w:color w:val="003E5A"/>
            <w:sz w:val="23"/>
            <w:szCs w:val="23"/>
            <w:u w:val="single"/>
            <w:lang w:eastAsia="en-GB"/>
          </w:rPr>
          <w:t>www.export.gov</w:t>
        </w:r>
      </w:hyperlink>
      <w:r w:rsidRPr="00FA604E">
        <w:rPr>
          <w:rFonts w:ascii="Segoe UI" w:eastAsia="Times New Roman" w:hAnsi="Segoe UI" w:cs="Segoe UI"/>
          <w:color w:val="373A3C"/>
          <w:sz w:val="23"/>
          <w:szCs w:val="23"/>
          <w:lang w:eastAsia="en-GB"/>
        </w:rPr>
        <w:t> – Trade Information Centre – provides details of product standards in many countries across the world.</w:t>
      </w:r>
    </w:p>
    <w:p w:rsidR="00FA604E" w:rsidRDefault="00FA604E"/>
    <w:sectPr w:rsidR="00FA60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4F0" w:rsidRDefault="00C024F0" w:rsidP="005D59F6">
      <w:pPr>
        <w:spacing w:after="0" w:line="240" w:lineRule="auto"/>
      </w:pPr>
      <w:r>
        <w:separator/>
      </w:r>
    </w:p>
  </w:endnote>
  <w:endnote w:type="continuationSeparator" w:id="0">
    <w:p w:rsidR="00C024F0" w:rsidRDefault="00C024F0" w:rsidP="005D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4F0" w:rsidRDefault="00C024F0" w:rsidP="005D59F6">
      <w:pPr>
        <w:spacing w:after="0" w:line="240" w:lineRule="auto"/>
      </w:pPr>
      <w:r>
        <w:separator/>
      </w:r>
    </w:p>
  </w:footnote>
  <w:footnote w:type="continuationSeparator" w:id="0">
    <w:p w:rsidR="00C024F0" w:rsidRDefault="00C024F0" w:rsidP="005D59F6">
      <w:pPr>
        <w:spacing w:after="0" w:line="240" w:lineRule="auto"/>
      </w:pPr>
      <w:r>
        <w:continuationSeparator/>
      </w:r>
    </w:p>
  </w:footnote>
  <w:footnote w:id="1">
    <w:p w:rsidR="005D59F6" w:rsidRDefault="005D59F6">
      <w:pPr>
        <w:pStyle w:val="FootnoteText"/>
      </w:pPr>
      <w:r>
        <w:rPr>
          <w:rStyle w:val="FootnoteReference"/>
        </w:rPr>
        <w:footnoteRef/>
      </w:r>
      <w:r>
        <w:t xml:space="preserve"> Food Manufacture Excellence Awards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2C04"/>
    <w:multiLevelType w:val="hybridMultilevel"/>
    <w:tmpl w:val="9EBE6FF8"/>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B50E6"/>
    <w:multiLevelType w:val="hybridMultilevel"/>
    <w:tmpl w:val="A8E841DE"/>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10ECF"/>
    <w:multiLevelType w:val="hybridMultilevel"/>
    <w:tmpl w:val="0908DDD4"/>
    <w:lvl w:ilvl="0" w:tplc="CE10CF6E">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3E45668"/>
    <w:multiLevelType w:val="hybridMultilevel"/>
    <w:tmpl w:val="2E2C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A6F5E"/>
    <w:multiLevelType w:val="hybridMultilevel"/>
    <w:tmpl w:val="55D41B96"/>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27C3F"/>
    <w:multiLevelType w:val="hybridMultilevel"/>
    <w:tmpl w:val="9B64D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D21AE5"/>
    <w:multiLevelType w:val="multilevel"/>
    <w:tmpl w:val="189C8B46"/>
    <w:lvl w:ilvl="0">
      <w:start w:val="1"/>
      <w:numFmt w:val="decimal"/>
      <w:pStyle w:val="Heading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82064A4"/>
    <w:multiLevelType w:val="multilevel"/>
    <w:tmpl w:val="E7CAB2C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6177D39"/>
    <w:multiLevelType w:val="hybridMultilevel"/>
    <w:tmpl w:val="80A4A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640EB6"/>
    <w:multiLevelType w:val="hybridMultilevel"/>
    <w:tmpl w:val="01768304"/>
    <w:lvl w:ilvl="0" w:tplc="B4D267C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503601"/>
    <w:multiLevelType w:val="multilevel"/>
    <w:tmpl w:val="1FBE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9111B2"/>
    <w:multiLevelType w:val="hybridMultilevel"/>
    <w:tmpl w:val="3C0AB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02E68"/>
    <w:multiLevelType w:val="hybridMultilevel"/>
    <w:tmpl w:val="31607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E037DF6"/>
    <w:multiLevelType w:val="hybridMultilevel"/>
    <w:tmpl w:val="4CF26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A25057"/>
    <w:multiLevelType w:val="hybridMultilevel"/>
    <w:tmpl w:val="B302B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7"/>
  </w:num>
  <w:num w:numId="3">
    <w:abstractNumId w:val="7"/>
  </w:num>
  <w:num w:numId="4">
    <w:abstractNumId w:val="7"/>
  </w:num>
  <w:num w:numId="5">
    <w:abstractNumId w:val="7"/>
  </w:num>
  <w:num w:numId="6">
    <w:abstractNumId w:val="2"/>
  </w:num>
  <w:num w:numId="7">
    <w:abstractNumId w:val="6"/>
  </w:num>
  <w:num w:numId="8">
    <w:abstractNumId w:val="4"/>
  </w:num>
  <w:num w:numId="9">
    <w:abstractNumId w:val="9"/>
  </w:num>
  <w:num w:numId="10">
    <w:abstractNumId w:val="1"/>
  </w:num>
  <w:num w:numId="11">
    <w:abstractNumId w:val="0"/>
  </w:num>
  <w:num w:numId="12">
    <w:abstractNumId w:val="10"/>
  </w:num>
  <w:num w:numId="13">
    <w:abstractNumId w:val="12"/>
  </w:num>
  <w:num w:numId="14">
    <w:abstractNumId w:val="5"/>
  </w:num>
  <w:num w:numId="15">
    <w:abstractNumId w:val="8"/>
  </w:num>
  <w:num w:numId="16">
    <w:abstractNumId w:val="3"/>
  </w:num>
  <w:num w:numId="17">
    <w:abstractNumId w:val="13"/>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6B"/>
    <w:rsid w:val="00020998"/>
    <w:rsid w:val="0003496C"/>
    <w:rsid w:val="000C7618"/>
    <w:rsid w:val="000F5B45"/>
    <w:rsid w:val="0010255A"/>
    <w:rsid w:val="00122977"/>
    <w:rsid w:val="00145284"/>
    <w:rsid w:val="0017766A"/>
    <w:rsid w:val="001C0335"/>
    <w:rsid w:val="00217AAF"/>
    <w:rsid w:val="002620D5"/>
    <w:rsid w:val="002771F4"/>
    <w:rsid w:val="002803C5"/>
    <w:rsid w:val="002E2FE7"/>
    <w:rsid w:val="002F1837"/>
    <w:rsid w:val="003031E8"/>
    <w:rsid w:val="00354858"/>
    <w:rsid w:val="00381CCE"/>
    <w:rsid w:val="00395318"/>
    <w:rsid w:val="003E5E46"/>
    <w:rsid w:val="0040326E"/>
    <w:rsid w:val="004264E7"/>
    <w:rsid w:val="00443092"/>
    <w:rsid w:val="00473A98"/>
    <w:rsid w:val="004E0BA7"/>
    <w:rsid w:val="0051053C"/>
    <w:rsid w:val="00527E3D"/>
    <w:rsid w:val="00533516"/>
    <w:rsid w:val="00535C45"/>
    <w:rsid w:val="005D59F6"/>
    <w:rsid w:val="00610E5D"/>
    <w:rsid w:val="00637129"/>
    <w:rsid w:val="006508BA"/>
    <w:rsid w:val="006832FC"/>
    <w:rsid w:val="006F417B"/>
    <w:rsid w:val="006F555A"/>
    <w:rsid w:val="00703A9E"/>
    <w:rsid w:val="00777D92"/>
    <w:rsid w:val="00875BA7"/>
    <w:rsid w:val="008918EB"/>
    <w:rsid w:val="008943C5"/>
    <w:rsid w:val="008A0D13"/>
    <w:rsid w:val="008A706B"/>
    <w:rsid w:val="0097079F"/>
    <w:rsid w:val="00990B0C"/>
    <w:rsid w:val="009D5AD5"/>
    <w:rsid w:val="00A05BBE"/>
    <w:rsid w:val="00A97B76"/>
    <w:rsid w:val="00AE6E5F"/>
    <w:rsid w:val="00BA4D07"/>
    <w:rsid w:val="00BD4FE5"/>
    <w:rsid w:val="00C024F0"/>
    <w:rsid w:val="00C31100"/>
    <w:rsid w:val="00C71F3D"/>
    <w:rsid w:val="00CC31AB"/>
    <w:rsid w:val="00D44685"/>
    <w:rsid w:val="00D610D4"/>
    <w:rsid w:val="00D6517A"/>
    <w:rsid w:val="00D70F93"/>
    <w:rsid w:val="00D72F3E"/>
    <w:rsid w:val="00E04017"/>
    <w:rsid w:val="00E3249A"/>
    <w:rsid w:val="00E45CF7"/>
    <w:rsid w:val="00E85F6A"/>
    <w:rsid w:val="00E90A7C"/>
    <w:rsid w:val="00E936B4"/>
    <w:rsid w:val="00EB48F8"/>
    <w:rsid w:val="00ED2128"/>
    <w:rsid w:val="00EE0810"/>
    <w:rsid w:val="00F43197"/>
    <w:rsid w:val="00F96170"/>
    <w:rsid w:val="00FA6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EB8D"/>
  <w15:chartTrackingRefBased/>
  <w15:docId w15:val="{9E77F8A0-6AA5-4FB2-A596-367F877AB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706B"/>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395318"/>
    <w:pPr>
      <w:keepNext/>
      <w:keepLines/>
      <w:numPr>
        <w:numId w:val="5"/>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95318"/>
    <w:pPr>
      <w:keepNext/>
      <w:keepLines/>
      <w:numPr>
        <w:ilvl w:val="1"/>
        <w:numId w:val="5"/>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95318"/>
    <w:pPr>
      <w:keepNext/>
      <w:keepLines/>
      <w:numPr>
        <w:ilvl w:val="2"/>
        <w:numId w:val="2"/>
      </w:numPr>
      <w:spacing w:before="40" w:after="0"/>
      <w:ind w:left="216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9D5AD5"/>
    <w:pPr>
      <w:keepNext/>
      <w:keepLines/>
      <w:numPr>
        <w:numId w:val="7"/>
      </w:numPr>
      <w:spacing w:before="40" w:after="0"/>
      <w:ind w:left="2160" w:hanging="36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318"/>
    <w:rPr>
      <w:rFonts w:eastAsiaTheme="majorEastAsia" w:cstheme="majorBidi"/>
      <w:b/>
      <w:sz w:val="32"/>
      <w:szCs w:val="32"/>
    </w:rPr>
  </w:style>
  <w:style w:type="character" w:customStyle="1" w:styleId="Heading2Char">
    <w:name w:val="Heading 2 Char"/>
    <w:basedOn w:val="DefaultParagraphFont"/>
    <w:link w:val="Heading2"/>
    <w:uiPriority w:val="9"/>
    <w:rsid w:val="00395318"/>
    <w:rPr>
      <w:rFonts w:eastAsiaTheme="majorEastAsia" w:cstheme="majorBidi"/>
      <w:b/>
      <w:sz w:val="28"/>
      <w:szCs w:val="26"/>
    </w:rPr>
  </w:style>
  <w:style w:type="paragraph" w:styleId="Title">
    <w:name w:val="Title"/>
    <w:basedOn w:val="Normal"/>
    <w:next w:val="Normal"/>
    <w:link w:val="TitleChar"/>
    <w:uiPriority w:val="10"/>
    <w:qFormat/>
    <w:rsid w:val="0039531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318"/>
    <w:rPr>
      <w:rFonts w:eastAsiaTheme="majorEastAsia" w:cstheme="majorBidi"/>
      <w:b/>
      <w:spacing w:val="-10"/>
      <w:kern w:val="28"/>
      <w:sz w:val="56"/>
      <w:szCs w:val="56"/>
    </w:rPr>
  </w:style>
  <w:style w:type="character" w:customStyle="1" w:styleId="Heading3Char">
    <w:name w:val="Heading 3 Char"/>
    <w:basedOn w:val="DefaultParagraphFont"/>
    <w:link w:val="Heading3"/>
    <w:uiPriority w:val="9"/>
    <w:rsid w:val="00395318"/>
    <w:rPr>
      <w:rFonts w:eastAsiaTheme="majorEastAsia" w:cstheme="majorBidi"/>
      <w:b/>
      <w:sz w:val="26"/>
      <w:szCs w:val="24"/>
    </w:rPr>
  </w:style>
  <w:style w:type="paragraph" w:styleId="Quote">
    <w:name w:val="Quote"/>
    <w:basedOn w:val="Normal"/>
    <w:next w:val="Normal"/>
    <w:link w:val="QuoteChar"/>
    <w:uiPriority w:val="29"/>
    <w:qFormat/>
    <w:rsid w:val="009D5AD5"/>
    <w:pPr>
      <w:spacing w:before="200"/>
      <w:ind w:left="864" w:right="864"/>
      <w:jc w:val="center"/>
    </w:pPr>
    <w:rPr>
      <w:rFonts w:cs="Times New Roman"/>
      <w:i/>
      <w:iCs/>
      <w:color w:val="4472C4" w:themeColor="accent1"/>
    </w:rPr>
  </w:style>
  <w:style w:type="character" w:customStyle="1" w:styleId="QuoteChar">
    <w:name w:val="Quote Char"/>
    <w:basedOn w:val="DefaultParagraphFont"/>
    <w:link w:val="Quote"/>
    <w:uiPriority w:val="29"/>
    <w:rsid w:val="009D5AD5"/>
    <w:rPr>
      <w:rFonts w:ascii="Calibri" w:eastAsia="Calibri" w:hAnsi="Calibri" w:cs="Times New Roman"/>
      <w:i/>
      <w:iCs/>
      <w:color w:val="4472C4" w:themeColor="accent1"/>
    </w:rPr>
  </w:style>
  <w:style w:type="character" w:styleId="Strong">
    <w:name w:val="Strong"/>
    <w:basedOn w:val="DefaultParagraphFont"/>
    <w:uiPriority w:val="22"/>
    <w:qFormat/>
    <w:rsid w:val="00395318"/>
    <w:rPr>
      <w:rFonts w:asciiTheme="minorHAnsi" w:hAnsiTheme="minorHAnsi"/>
      <w:b/>
      <w:bCs/>
      <w:color w:val="auto"/>
      <w:sz w:val="26"/>
    </w:rPr>
  </w:style>
  <w:style w:type="character" w:customStyle="1" w:styleId="Heading4Char">
    <w:name w:val="Heading 4 Char"/>
    <w:basedOn w:val="DefaultParagraphFont"/>
    <w:link w:val="Heading4"/>
    <w:uiPriority w:val="9"/>
    <w:rsid w:val="009D5AD5"/>
    <w:rPr>
      <w:rFonts w:eastAsiaTheme="majorEastAsia" w:cstheme="majorBidi"/>
      <w:b/>
      <w:iCs/>
      <w:color w:val="000000" w:themeColor="text1"/>
    </w:rPr>
  </w:style>
  <w:style w:type="paragraph" w:styleId="ListParagraph">
    <w:name w:val="List Paragraph"/>
    <w:basedOn w:val="Normal"/>
    <w:uiPriority w:val="34"/>
    <w:qFormat/>
    <w:rsid w:val="00E04017"/>
    <w:pPr>
      <w:ind w:left="720"/>
      <w:contextualSpacing/>
    </w:pPr>
  </w:style>
  <w:style w:type="table" w:styleId="TableGrid">
    <w:name w:val="Table Grid"/>
    <w:basedOn w:val="TableNormal"/>
    <w:uiPriority w:val="39"/>
    <w:rsid w:val="00E04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604E"/>
    <w:rPr>
      <w:color w:val="0000FF"/>
      <w:u w:val="single"/>
    </w:rPr>
  </w:style>
  <w:style w:type="character" w:styleId="UnresolvedMention">
    <w:name w:val="Unresolved Mention"/>
    <w:basedOn w:val="DefaultParagraphFont"/>
    <w:uiPriority w:val="99"/>
    <w:semiHidden/>
    <w:unhideWhenUsed/>
    <w:rsid w:val="00FA604E"/>
    <w:rPr>
      <w:color w:val="605E5C"/>
      <w:shd w:val="clear" w:color="auto" w:fill="E1DFDD"/>
    </w:rPr>
  </w:style>
  <w:style w:type="paragraph" w:styleId="BodyText">
    <w:name w:val="Body Text"/>
    <w:basedOn w:val="Normal"/>
    <w:link w:val="BodyTextChar"/>
    <w:semiHidden/>
    <w:rsid w:val="00EE0810"/>
    <w:pPr>
      <w:spacing w:after="0" w:line="240" w:lineRule="auto"/>
    </w:pPr>
    <w:rPr>
      <w:rFonts w:ascii="Tahoma" w:eastAsia="Times New Roman" w:hAnsi="Tahoma" w:cs="Times New Roman"/>
      <w:b/>
      <w:bCs/>
      <w:sz w:val="28"/>
      <w:szCs w:val="20"/>
    </w:rPr>
  </w:style>
  <w:style w:type="character" w:customStyle="1" w:styleId="BodyTextChar">
    <w:name w:val="Body Text Char"/>
    <w:basedOn w:val="DefaultParagraphFont"/>
    <w:link w:val="BodyText"/>
    <w:semiHidden/>
    <w:rsid w:val="00EE0810"/>
    <w:rPr>
      <w:rFonts w:ascii="Tahoma" w:eastAsia="Times New Roman" w:hAnsi="Tahoma" w:cs="Times New Roman"/>
      <w:b/>
      <w:bCs/>
      <w:sz w:val="28"/>
      <w:szCs w:val="20"/>
    </w:rPr>
  </w:style>
  <w:style w:type="paragraph" w:styleId="NoSpacing">
    <w:name w:val="No Spacing"/>
    <w:uiPriority w:val="1"/>
    <w:qFormat/>
    <w:rsid w:val="00EE0810"/>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4032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26E"/>
    <w:rPr>
      <w:rFonts w:ascii="Segoe UI" w:eastAsia="Calibri" w:hAnsi="Segoe UI" w:cs="Segoe UI"/>
      <w:sz w:val="18"/>
      <w:szCs w:val="18"/>
    </w:rPr>
  </w:style>
  <w:style w:type="paragraph" w:styleId="Caption">
    <w:name w:val="caption"/>
    <w:basedOn w:val="Normal"/>
    <w:next w:val="Normal"/>
    <w:uiPriority w:val="35"/>
    <w:unhideWhenUsed/>
    <w:qFormat/>
    <w:rsid w:val="0040326E"/>
    <w:pPr>
      <w:spacing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5D59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9F6"/>
    <w:rPr>
      <w:rFonts w:ascii="Calibri" w:eastAsia="Calibri" w:hAnsi="Calibri" w:cs="Calibri"/>
      <w:sz w:val="20"/>
      <w:szCs w:val="20"/>
    </w:rPr>
  </w:style>
  <w:style w:type="character" w:styleId="FootnoteReference">
    <w:name w:val="footnote reference"/>
    <w:basedOn w:val="DefaultParagraphFont"/>
    <w:uiPriority w:val="99"/>
    <w:semiHidden/>
    <w:unhideWhenUsed/>
    <w:rsid w:val="005D59F6"/>
    <w:rPr>
      <w:vertAlign w:val="superscript"/>
    </w:rPr>
  </w:style>
  <w:style w:type="character" w:customStyle="1" w:styleId="hlfld-contribauthor">
    <w:name w:val="hlfld-contribauthor"/>
    <w:basedOn w:val="DefaultParagraphFont"/>
    <w:rsid w:val="006F555A"/>
  </w:style>
  <w:style w:type="character" w:customStyle="1" w:styleId="nlmgiven-names">
    <w:name w:val="nlm_given-names"/>
    <w:basedOn w:val="DefaultParagraphFont"/>
    <w:rsid w:val="006F555A"/>
  </w:style>
  <w:style w:type="character" w:customStyle="1" w:styleId="nlmyear">
    <w:name w:val="nlm_year"/>
    <w:basedOn w:val="DefaultParagraphFont"/>
    <w:rsid w:val="006F555A"/>
  </w:style>
  <w:style w:type="character" w:customStyle="1" w:styleId="nlmarticle-title">
    <w:name w:val="nlm_article-title"/>
    <w:basedOn w:val="DefaultParagraphFont"/>
    <w:rsid w:val="006F555A"/>
  </w:style>
  <w:style w:type="character" w:customStyle="1" w:styleId="nlmmonth">
    <w:name w:val="nlm_month"/>
    <w:basedOn w:val="DefaultParagraphFont"/>
    <w:rsid w:val="006F555A"/>
  </w:style>
  <w:style w:type="character" w:customStyle="1" w:styleId="nlmfpage">
    <w:name w:val="nlm_fpage"/>
    <w:basedOn w:val="DefaultParagraphFont"/>
    <w:rsid w:val="006F555A"/>
  </w:style>
  <w:style w:type="character" w:customStyle="1" w:styleId="nlmlpage">
    <w:name w:val="nlm_lpage"/>
    <w:basedOn w:val="DefaultParagraphFont"/>
    <w:rsid w:val="006F555A"/>
  </w:style>
  <w:style w:type="character" w:customStyle="1" w:styleId="nlmpublisher-loc">
    <w:name w:val="nlm_publisher-loc"/>
    <w:basedOn w:val="DefaultParagraphFont"/>
    <w:rsid w:val="00610E5D"/>
  </w:style>
  <w:style w:type="character" w:customStyle="1" w:styleId="nlmpublisher-name">
    <w:name w:val="nlm_publisher-name"/>
    <w:basedOn w:val="DefaultParagraphFont"/>
    <w:rsid w:val="00610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3239">
      <w:bodyDiv w:val="1"/>
      <w:marLeft w:val="0"/>
      <w:marRight w:val="0"/>
      <w:marTop w:val="0"/>
      <w:marBottom w:val="0"/>
      <w:divBdr>
        <w:top w:val="none" w:sz="0" w:space="0" w:color="auto"/>
        <w:left w:val="none" w:sz="0" w:space="0" w:color="auto"/>
        <w:bottom w:val="none" w:sz="0" w:space="0" w:color="auto"/>
        <w:right w:val="none" w:sz="0" w:space="0" w:color="auto"/>
      </w:divBdr>
    </w:div>
    <w:div w:id="53965338">
      <w:bodyDiv w:val="1"/>
      <w:marLeft w:val="0"/>
      <w:marRight w:val="0"/>
      <w:marTop w:val="0"/>
      <w:marBottom w:val="0"/>
      <w:divBdr>
        <w:top w:val="none" w:sz="0" w:space="0" w:color="auto"/>
        <w:left w:val="none" w:sz="0" w:space="0" w:color="auto"/>
        <w:bottom w:val="none" w:sz="0" w:space="0" w:color="auto"/>
        <w:right w:val="none" w:sz="0" w:space="0" w:color="auto"/>
      </w:divBdr>
    </w:div>
    <w:div w:id="65230096">
      <w:bodyDiv w:val="1"/>
      <w:marLeft w:val="0"/>
      <w:marRight w:val="0"/>
      <w:marTop w:val="0"/>
      <w:marBottom w:val="0"/>
      <w:divBdr>
        <w:top w:val="none" w:sz="0" w:space="0" w:color="auto"/>
        <w:left w:val="none" w:sz="0" w:space="0" w:color="auto"/>
        <w:bottom w:val="none" w:sz="0" w:space="0" w:color="auto"/>
        <w:right w:val="none" w:sz="0" w:space="0" w:color="auto"/>
      </w:divBdr>
    </w:div>
    <w:div w:id="70782037">
      <w:bodyDiv w:val="1"/>
      <w:marLeft w:val="0"/>
      <w:marRight w:val="0"/>
      <w:marTop w:val="0"/>
      <w:marBottom w:val="0"/>
      <w:divBdr>
        <w:top w:val="none" w:sz="0" w:space="0" w:color="auto"/>
        <w:left w:val="none" w:sz="0" w:space="0" w:color="auto"/>
        <w:bottom w:val="none" w:sz="0" w:space="0" w:color="auto"/>
        <w:right w:val="none" w:sz="0" w:space="0" w:color="auto"/>
      </w:divBdr>
    </w:div>
    <w:div w:id="381443305">
      <w:bodyDiv w:val="1"/>
      <w:marLeft w:val="0"/>
      <w:marRight w:val="0"/>
      <w:marTop w:val="0"/>
      <w:marBottom w:val="0"/>
      <w:divBdr>
        <w:top w:val="none" w:sz="0" w:space="0" w:color="auto"/>
        <w:left w:val="none" w:sz="0" w:space="0" w:color="auto"/>
        <w:bottom w:val="none" w:sz="0" w:space="0" w:color="auto"/>
        <w:right w:val="none" w:sz="0" w:space="0" w:color="auto"/>
      </w:divBdr>
    </w:div>
    <w:div w:id="386534437">
      <w:bodyDiv w:val="1"/>
      <w:marLeft w:val="0"/>
      <w:marRight w:val="0"/>
      <w:marTop w:val="0"/>
      <w:marBottom w:val="0"/>
      <w:divBdr>
        <w:top w:val="none" w:sz="0" w:space="0" w:color="auto"/>
        <w:left w:val="none" w:sz="0" w:space="0" w:color="auto"/>
        <w:bottom w:val="none" w:sz="0" w:space="0" w:color="auto"/>
        <w:right w:val="none" w:sz="0" w:space="0" w:color="auto"/>
      </w:divBdr>
    </w:div>
    <w:div w:id="440498062">
      <w:bodyDiv w:val="1"/>
      <w:marLeft w:val="0"/>
      <w:marRight w:val="0"/>
      <w:marTop w:val="0"/>
      <w:marBottom w:val="0"/>
      <w:divBdr>
        <w:top w:val="none" w:sz="0" w:space="0" w:color="auto"/>
        <w:left w:val="none" w:sz="0" w:space="0" w:color="auto"/>
        <w:bottom w:val="none" w:sz="0" w:space="0" w:color="auto"/>
        <w:right w:val="none" w:sz="0" w:space="0" w:color="auto"/>
      </w:divBdr>
    </w:div>
    <w:div w:id="589316082">
      <w:bodyDiv w:val="1"/>
      <w:marLeft w:val="0"/>
      <w:marRight w:val="0"/>
      <w:marTop w:val="0"/>
      <w:marBottom w:val="0"/>
      <w:divBdr>
        <w:top w:val="none" w:sz="0" w:space="0" w:color="auto"/>
        <w:left w:val="none" w:sz="0" w:space="0" w:color="auto"/>
        <w:bottom w:val="none" w:sz="0" w:space="0" w:color="auto"/>
        <w:right w:val="none" w:sz="0" w:space="0" w:color="auto"/>
      </w:divBdr>
    </w:div>
    <w:div w:id="698705821">
      <w:bodyDiv w:val="1"/>
      <w:marLeft w:val="0"/>
      <w:marRight w:val="0"/>
      <w:marTop w:val="0"/>
      <w:marBottom w:val="0"/>
      <w:divBdr>
        <w:top w:val="none" w:sz="0" w:space="0" w:color="auto"/>
        <w:left w:val="none" w:sz="0" w:space="0" w:color="auto"/>
        <w:bottom w:val="none" w:sz="0" w:space="0" w:color="auto"/>
        <w:right w:val="none" w:sz="0" w:space="0" w:color="auto"/>
      </w:divBdr>
    </w:div>
    <w:div w:id="810096765">
      <w:bodyDiv w:val="1"/>
      <w:marLeft w:val="0"/>
      <w:marRight w:val="0"/>
      <w:marTop w:val="0"/>
      <w:marBottom w:val="0"/>
      <w:divBdr>
        <w:top w:val="none" w:sz="0" w:space="0" w:color="auto"/>
        <w:left w:val="none" w:sz="0" w:space="0" w:color="auto"/>
        <w:bottom w:val="none" w:sz="0" w:space="0" w:color="auto"/>
        <w:right w:val="none" w:sz="0" w:space="0" w:color="auto"/>
      </w:divBdr>
    </w:div>
    <w:div w:id="844830224">
      <w:bodyDiv w:val="1"/>
      <w:marLeft w:val="0"/>
      <w:marRight w:val="0"/>
      <w:marTop w:val="0"/>
      <w:marBottom w:val="0"/>
      <w:divBdr>
        <w:top w:val="none" w:sz="0" w:space="0" w:color="auto"/>
        <w:left w:val="none" w:sz="0" w:space="0" w:color="auto"/>
        <w:bottom w:val="none" w:sz="0" w:space="0" w:color="auto"/>
        <w:right w:val="none" w:sz="0" w:space="0" w:color="auto"/>
      </w:divBdr>
    </w:div>
    <w:div w:id="877353192">
      <w:bodyDiv w:val="1"/>
      <w:marLeft w:val="0"/>
      <w:marRight w:val="0"/>
      <w:marTop w:val="0"/>
      <w:marBottom w:val="0"/>
      <w:divBdr>
        <w:top w:val="none" w:sz="0" w:space="0" w:color="auto"/>
        <w:left w:val="none" w:sz="0" w:space="0" w:color="auto"/>
        <w:bottom w:val="none" w:sz="0" w:space="0" w:color="auto"/>
        <w:right w:val="none" w:sz="0" w:space="0" w:color="auto"/>
      </w:divBdr>
    </w:div>
    <w:div w:id="899513052">
      <w:bodyDiv w:val="1"/>
      <w:marLeft w:val="0"/>
      <w:marRight w:val="0"/>
      <w:marTop w:val="0"/>
      <w:marBottom w:val="0"/>
      <w:divBdr>
        <w:top w:val="none" w:sz="0" w:space="0" w:color="auto"/>
        <w:left w:val="none" w:sz="0" w:space="0" w:color="auto"/>
        <w:bottom w:val="none" w:sz="0" w:space="0" w:color="auto"/>
        <w:right w:val="none" w:sz="0" w:space="0" w:color="auto"/>
      </w:divBdr>
    </w:div>
    <w:div w:id="1014764767">
      <w:bodyDiv w:val="1"/>
      <w:marLeft w:val="0"/>
      <w:marRight w:val="0"/>
      <w:marTop w:val="0"/>
      <w:marBottom w:val="0"/>
      <w:divBdr>
        <w:top w:val="none" w:sz="0" w:space="0" w:color="auto"/>
        <w:left w:val="none" w:sz="0" w:space="0" w:color="auto"/>
        <w:bottom w:val="none" w:sz="0" w:space="0" w:color="auto"/>
        <w:right w:val="none" w:sz="0" w:space="0" w:color="auto"/>
      </w:divBdr>
    </w:div>
    <w:div w:id="1400636112">
      <w:bodyDiv w:val="1"/>
      <w:marLeft w:val="0"/>
      <w:marRight w:val="0"/>
      <w:marTop w:val="0"/>
      <w:marBottom w:val="0"/>
      <w:divBdr>
        <w:top w:val="none" w:sz="0" w:space="0" w:color="auto"/>
        <w:left w:val="none" w:sz="0" w:space="0" w:color="auto"/>
        <w:bottom w:val="none" w:sz="0" w:space="0" w:color="auto"/>
        <w:right w:val="none" w:sz="0" w:space="0" w:color="auto"/>
      </w:divBdr>
    </w:div>
    <w:div w:id="1459687105">
      <w:bodyDiv w:val="1"/>
      <w:marLeft w:val="0"/>
      <w:marRight w:val="0"/>
      <w:marTop w:val="0"/>
      <w:marBottom w:val="0"/>
      <w:divBdr>
        <w:top w:val="none" w:sz="0" w:space="0" w:color="auto"/>
        <w:left w:val="none" w:sz="0" w:space="0" w:color="auto"/>
        <w:bottom w:val="none" w:sz="0" w:space="0" w:color="auto"/>
        <w:right w:val="none" w:sz="0" w:space="0" w:color="auto"/>
      </w:divBdr>
    </w:div>
    <w:div w:id="1481726928">
      <w:bodyDiv w:val="1"/>
      <w:marLeft w:val="0"/>
      <w:marRight w:val="0"/>
      <w:marTop w:val="0"/>
      <w:marBottom w:val="0"/>
      <w:divBdr>
        <w:top w:val="none" w:sz="0" w:space="0" w:color="auto"/>
        <w:left w:val="none" w:sz="0" w:space="0" w:color="auto"/>
        <w:bottom w:val="none" w:sz="0" w:space="0" w:color="auto"/>
        <w:right w:val="none" w:sz="0" w:space="0" w:color="auto"/>
      </w:divBdr>
    </w:div>
    <w:div w:id="1548297976">
      <w:bodyDiv w:val="1"/>
      <w:marLeft w:val="0"/>
      <w:marRight w:val="0"/>
      <w:marTop w:val="0"/>
      <w:marBottom w:val="0"/>
      <w:divBdr>
        <w:top w:val="none" w:sz="0" w:space="0" w:color="auto"/>
        <w:left w:val="none" w:sz="0" w:space="0" w:color="auto"/>
        <w:bottom w:val="none" w:sz="0" w:space="0" w:color="auto"/>
        <w:right w:val="none" w:sz="0" w:space="0" w:color="auto"/>
      </w:divBdr>
    </w:div>
    <w:div w:id="1556578205">
      <w:bodyDiv w:val="1"/>
      <w:marLeft w:val="0"/>
      <w:marRight w:val="0"/>
      <w:marTop w:val="0"/>
      <w:marBottom w:val="0"/>
      <w:divBdr>
        <w:top w:val="none" w:sz="0" w:space="0" w:color="auto"/>
        <w:left w:val="none" w:sz="0" w:space="0" w:color="auto"/>
        <w:bottom w:val="none" w:sz="0" w:space="0" w:color="auto"/>
        <w:right w:val="none" w:sz="0" w:space="0" w:color="auto"/>
      </w:divBdr>
    </w:div>
    <w:div w:id="1667174701">
      <w:bodyDiv w:val="1"/>
      <w:marLeft w:val="0"/>
      <w:marRight w:val="0"/>
      <w:marTop w:val="0"/>
      <w:marBottom w:val="0"/>
      <w:divBdr>
        <w:top w:val="none" w:sz="0" w:space="0" w:color="auto"/>
        <w:left w:val="none" w:sz="0" w:space="0" w:color="auto"/>
        <w:bottom w:val="none" w:sz="0" w:space="0" w:color="auto"/>
        <w:right w:val="none" w:sz="0" w:space="0" w:color="auto"/>
      </w:divBdr>
    </w:div>
    <w:div w:id="1897470549">
      <w:bodyDiv w:val="1"/>
      <w:marLeft w:val="0"/>
      <w:marRight w:val="0"/>
      <w:marTop w:val="0"/>
      <w:marBottom w:val="0"/>
      <w:divBdr>
        <w:top w:val="none" w:sz="0" w:space="0" w:color="auto"/>
        <w:left w:val="none" w:sz="0" w:space="0" w:color="auto"/>
        <w:bottom w:val="none" w:sz="0" w:space="0" w:color="auto"/>
        <w:right w:val="none" w:sz="0" w:space="0" w:color="auto"/>
      </w:divBdr>
    </w:div>
    <w:div w:id="1919709311">
      <w:bodyDiv w:val="1"/>
      <w:marLeft w:val="0"/>
      <w:marRight w:val="0"/>
      <w:marTop w:val="0"/>
      <w:marBottom w:val="0"/>
      <w:divBdr>
        <w:top w:val="none" w:sz="0" w:space="0" w:color="auto"/>
        <w:left w:val="none" w:sz="0" w:space="0" w:color="auto"/>
        <w:bottom w:val="none" w:sz="0" w:space="0" w:color="auto"/>
        <w:right w:val="none" w:sz="0" w:space="0" w:color="auto"/>
      </w:divBdr>
    </w:div>
    <w:div w:id="2029328374">
      <w:bodyDiv w:val="1"/>
      <w:marLeft w:val="0"/>
      <w:marRight w:val="0"/>
      <w:marTop w:val="0"/>
      <w:marBottom w:val="0"/>
      <w:divBdr>
        <w:top w:val="none" w:sz="0" w:space="0" w:color="auto"/>
        <w:left w:val="none" w:sz="0" w:space="0" w:color="auto"/>
        <w:bottom w:val="none" w:sz="0" w:space="0" w:color="auto"/>
        <w:right w:val="none" w:sz="0" w:space="0" w:color="auto"/>
      </w:divBdr>
    </w:div>
    <w:div w:id="209416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xport.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a.gov/library/publications/resources/the-world-factbook/" TargetMode="External"/><Relationship Id="rId5" Type="http://schemas.openxmlformats.org/officeDocument/2006/relationships/webSettings" Target="webSettings.xml"/><Relationship Id="rId10" Type="http://schemas.openxmlformats.org/officeDocument/2006/relationships/hyperlink" Target="https://officepantry.co.uk/" TargetMode="External"/><Relationship Id="rId4" Type="http://schemas.openxmlformats.org/officeDocument/2006/relationships/settings" Target="settings.xml"/><Relationship Id="rId9" Type="http://schemas.openxmlformats.org/officeDocument/2006/relationships/hyperlink" Target="https://sourcedbox.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WGI19</b:Tag>
    <b:SourceType>InternetSite</b:SourceType>
    <b:Guid>{1C81B486-F431-4251-838D-14E1BAFB9C01}</b:Guid>
    <b:Author>
      <b:Author>
        <b:Corporate>WGI Project</b:Corporate>
      </b:Author>
    </b:Author>
    <b:Title>Worldwide Governance Indicators</b:Title>
    <b:Year>2019</b:Year>
    <b:YearAccessed>2019</b:YearAccessed>
    <b:MonthAccessed>September</b:MonthAccessed>
    <b:DayAccessed>13th</b:DayAccessed>
    <b:URL>https://info.worldbank.org/governance/wgi/#home</b:URL>
    <b:RefOrder>7</b:RefOrder>
  </b:Source>
  <b:Source>
    <b:Tag>ECF18</b:Tag>
    <b:SourceType>DocumentFromInternetSite</b:SourceType>
    <b:Guid>{D88342AE-85B3-4882-AED3-3B1CDBB65ACC}</b:Guid>
    <b:Title>EU Coalition Explorer</b:Title>
    <b:Year>2018</b:Year>
    <b:YearAccessed>2019</b:YearAccessed>
    <b:MonthAccessed>September</b:MonthAccessed>
    <b:DayAccessed>13th</b:DayAccessed>
    <b:URL>https://www.ecfr.eu/eucoalitionexplorer</b:URL>
    <b:Author>
      <b:Author>
        <b:Corporate>ECFR</b:Corporate>
      </b:Author>
    </b:Author>
    <b:Month>November</b:Month>
    <b:Day>13th</b:Day>
    <b:RefOrder>8</b:RefOrder>
  </b:Source>
  <b:Source>
    <b:Tag>PWC19</b:Tag>
    <b:SourceType>Report</b:SourceType>
    <b:Guid>{BF248559-81A7-4BA3-AB76-165470BE8178}</b:Guid>
    <b:Title>Doing Business in The Netherlands</b:Title>
    <b:Year>2019</b:Year>
    <b:Author>
      <b:Author>
        <b:Corporate>PWC</b:Corporate>
      </b:Author>
    </b:Author>
    <b:Publisher>PWC</b:Publisher>
    <b:City>London</b:City>
    <b:RefOrder>2</b:RefOrder>
  </b:Source>
  <b:Source>
    <b:Tag>Sta19</b:Tag>
    <b:SourceType>InternetSite</b:SourceType>
    <b:Guid>{081D5067-82A9-490F-B7EC-22A9CCC01111}</b:Guid>
    <b:Title>Unemplyment Rate in EU Countries</b:Title>
    <b:Year>2019</b:Year>
    <b:Author>
      <b:Author>
        <b:Corporate>Statista</b:Corporate>
      </b:Author>
    </b:Author>
    <b:YearAccessed>2019</b:YearAccessed>
    <b:MonthAccessed>September</b:MonthAccessed>
    <b:DayAccessed>13th</b:DayAccessed>
    <b:URL>https://www.statista.com/statistics/268830/unemployment-rate-in-eu-countries/</b:URL>
    <b:RefOrder>9</b:RefOrder>
  </b:Source>
  <b:Source>
    <b:Tag>FTc19</b:Tag>
    <b:SourceType>InternetSite</b:SourceType>
    <b:Guid>{1DD58ADC-8BDB-4E01-84F6-FAB66A18FDD4}</b:Guid>
    <b:Author>
      <b:Author>
        <b:Corporate>FT.com</b:Corporate>
      </b:Author>
    </b:Author>
    <b:Title>US-China Trade Dispute</b:Title>
    <b:Year>2019</b:Year>
    <b:YearAccessed>2019</b:YearAccessed>
    <b:MonthAccessed>September</b:MonthAccessed>
    <b:DayAccessed>13th</b:DayAccessed>
    <b:URL>https://www.ft.com/us-china-trade-dispute</b:URL>
    <b:RefOrder>10</b:RefOrder>
  </b:Source>
  <b:Source>
    <b:Tag>Wor19</b:Tag>
    <b:SourceType>InternetSite</b:SourceType>
    <b:Guid>{4F14F291-77CF-4CF5-80C0-9BC1F734492F}</b:Guid>
    <b:Author>
      <b:Author>
        <b:Corporate>World Bank</b:Corporate>
      </b:Author>
    </b:Author>
    <b:Title>Data</b:Title>
    <b:Year>2019</b:Year>
    <b:YearAccessed>2019</b:YearAccessed>
    <b:MonthAccessed>September</b:MonthAccessed>
    <b:DayAccessed>13th</b:DayAccessed>
    <b:URL>https://data.worldbank.org/</b:URL>
    <b:RefOrder>11</b:RefOrder>
  </b:Source>
  <b:Source>
    <b:Tag>OEC18</b:Tag>
    <b:SourceType>DocumentFromInternetSite</b:SourceType>
    <b:Guid>{A2E93744-9AC6-4A73-BE76-BAC1EDC96200}</b:Guid>
    <b:Title>Netherlands Economic Snapshot</b:Title>
    <b:Year>2018</b:Year>
    <b:Month>July</b:Month>
    <b:Day>7th</b:Day>
    <b:YearAccessed>2019</b:YearAccessed>
    <b:MonthAccessed>September</b:MonthAccessed>
    <b:DayAccessed>13th</b:DayAccessed>
    <b:URL>http://www.oecd.org/economy/netherlands-economic-snapshot/</b:URL>
    <b:Author>
      <b:Author>
        <b:Corporate>OECD</b:Corporate>
      </b:Author>
    </b:Author>
    <b:RefOrder>12</b:RefOrder>
  </b:Source>
  <b:Source>
    <b:Tag>Eur19</b:Tag>
    <b:SourceType>InternetSite</b:SourceType>
    <b:Guid>{B62FE433-AF46-4B64-9C5E-C776AB7B93EE}</b:Guid>
    <b:Author>
      <b:Author>
        <b:Corporate>European Commission</b:Corporate>
      </b:Author>
    </b:Author>
    <b:Title>EuroStat</b:Title>
    <b:Year>2019</b:Year>
    <b:YearAccessed>2019</b:YearAccessed>
    <b:MonthAccessed>September</b:MonthAccessed>
    <b:DayAccessed>13th</b:DayAccessed>
    <b:URL>https://ec.europa.eu/eurostat/web/labour-market/labour-costs/database</b:URL>
    <b:RefOrder>13</b:RefOrder>
  </b:Source>
  <b:Source>
    <b:Tag>ONS182</b:Tag>
    <b:SourceType>DocumentFromInternetSite</b:SourceType>
    <b:Guid>{4F122454-4EBD-449D-80AE-DAD2B9798657}</b:Guid>
    <b:Author>
      <b:Author>
        <b:Corporate>ONS</b:Corporate>
      </b:Author>
    </b:Author>
    <b:Title>ONS - Economy</b:Title>
    <b:Year>2018</b:Year>
    <b:YearAccessed>2019</b:YearAccessed>
    <b:MonthAccessed>September</b:MonthAccessed>
    <b:DayAccessed>13th</b:DayAccessed>
    <b:URL>https://www.ons.gov.uk/economy/economicoutputandproductivity/productivitymeasures/bulletins/internationalcomparisonsofproductivityfinalestimates/2016</b:URL>
    <b:Month>April</b:Month>
    <b:Day>6th</b:Day>
    <b:RefOrder>14</b:RefOrder>
  </b:Source>
  <b:Source>
    <b:Tag>Eurnd</b:Tag>
    <b:SourceType>InternetSite</b:SourceType>
    <b:Guid>{8CE911F7-C278-4A55-9366-2DED0EEEE1C7}</b:Guid>
    <b:Title>Business, Economy, Euro</b:Title>
    <b:Year>n.d.</b:Year>
    <b:YearAccessed>2019</b:YearAccessed>
    <b:MonthAccessed>September</b:MonthAccessed>
    <b:DayAccessed>13th</b:DayAccessed>
    <b:URL>https://ec.europa.eu/info/business-economy-euro/euro-area/benefits-euro_en</b:URL>
    <b:Author>
      <b:Author>
        <b:Corporate>European Commission</b:Corporate>
      </b:Author>
    </b:Author>
    <b:RefOrder>15</b:RefOrder>
  </b:Source>
  <b:Source>
    <b:Tag>Eur191</b:Tag>
    <b:SourceType>InternetSite</b:SourceType>
    <b:Guid>{C2ED4CA7-2BDF-4900-85E0-12C44EE66731}</b:Guid>
    <b:Author>
      <b:Author>
        <b:Corporate>Eurostat.EU</b:Corporate>
      </b:Author>
    </b:Author>
    <b:Title>Households</b:Title>
    <b:Year>2019</b:Year>
    <b:YearAccessed>2019</b:YearAccessed>
    <b:MonthAccessed>September</b:MonthAccessed>
    <b:DayAccessed>13th</b:DayAccessed>
    <b:URL>https://ec.europa.eu/eurostat/statistics-explained/index.php/Households_-_statistics_on_disposable_income,_saving_and_investment#Gross_household_adjusted_disposable_income</b:URL>
    <b:RefOrder>16</b:RefOrder>
  </b:Source>
  <b:Source>
    <b:Tag>HBR12</b:Tag>
    <b:SourceType>JournalArticle</b:SourceType>
    <b:Guid>{2C0BD50D-D953-4008-9783-4C0B66DF1A8D}</b:Guid>
    <b:Author>
      <b:Author>
        <b:Corporate>HBR</b:Corporate>
      </b:Author>
    </b:Author>
    <b:Title>Global Business Speaks English</b:Title>
    <b:JournalName>HBR</b:JournalName>
    <b:Year>2012</b:Year>
    <b:Pages>136</b:Pages>
    <b:Volume>05</b:Volume>
    <b:Issue>1</b:Issue>
    <b:RefOrder>17</b:RefOrder>
  </b:Source>
  <b:Source>
    <b:Tag>EF18</b:Tag>
    <b:SourceType>Report</b:SourceType>
    <b:Guid>{12E7E096-E13F-4FE0-A108-6C29B30EABAB}</b:Guid>
    <b:Author>
      <b:Author>
        <b:Corporate>EF</b:Corporate>
      </b:Author>
    </b:Author>
    <b:Title>EF English Proficiency Index</b:Title>
    <b:Year>2018</b:Year>
    <b:Publisher>Education First</b:Publisher>
    <b:City>London</b:City>
    <b:RefOrder>18</b:RefOrder>
  </b:Source>
  <b:Source>
    <b:Tag>Hof80</b:Tag>
    <b:SourceType>Book</b:SourceType>
    <b:Guid>{CAA1B1B7-BAF1-4D73-9BFA-9881606C38C5}</b:Guid>
    <b:Title>Culture's Consequences: International Differences in Work-Related Values</b:Title>
    <b:Year>1980</b:Year>
    <b:Author>
      <b:Author>
        <b:NameList>
          <b:Person>
            <b:Last>Hofstede</b:Last>
            <b:First>G.</b:First>
          </b:Person>
        </b:NameList>
      </b:Author>
    </b:Author>
    <b:City>Beverley Hills, CA</b:City>
    <b:Publisher>SAGE</b:Publisher>
    <b:Edition>1st</b:Edition>
    <b:RefOrder>19</b:RefOrder>
  </b:Source>
  <b:Source>
    <b:Tag>Eur16</b:Tag>
    <b:SourceType>InternetSite</b:SourceType>
    <b:Guid>{87033DB7-7021-43BC-8E3F-46533E8D959F}</b:Guid>
    <b:Title>European Quality of Life Survey 2016</b:Title>
    <b:Year>2016</b:Year>
    <b:Author>
      <b:Author>
        <b:Corporate>Eurofound</b:Corporate>
      </b:Author>
    </b:Author>
    <b:YearAccessed>2019</b:YearAccessed>
    <b:MonthAccessed>September</b:MonthAccessed>
    <b:DayAccessed>13th</b:DayAccessed>
    <b:URL>https://www.eurofound.europa.eu/eqls2016</b:URL>
    <b:RefOrder>20</b:RefOrder>
  </b:Source>
  <b:Source>
    <b:Tag>EUSnd</b:Tag>
    <b:SourceType>InternetSite</b:SourceType>
    <b:Guid>{B3FD5CA3-D715-44A2-83DB-AFE34D4BFFB9}</b:Guid>
    <b:Title>European Commission Science and Knowledge Hub</b:Title>
    <b:Year>n.d.</b:Year>
    <b:Author>
      <b:Author>
        <b:Corporate>EU Science Hub</b:Corporate>
      </b:Author>
    </b:Author>
    <b:YearAccessed>2019</b:YearAccessed>
    <b:MonthAccessed>September</b:MonthAccessed>
    <b:DayAccessed>13th</b:DayAccessed>
    <b:URL>https://ec.europa.eu/jrc/en/health-knowledge-gateway/promotion-prevention</b:URL>
    <b:RefOrder>21</b:RefOrder>
  </b:Source>
  <b:Source>
    <b:Tag>Pop12</b:Tag>
    <b:SourceType>JournalArticle</b:SourceType>
    <b:Guid>{AF522CC1-E49D-4149-ABB0-4765ECBD0634}</b:Guid>
    <b:Title>Global Nutrition Transition and the Pandemic of Obesity in Developing Countries</b:Title>
    <b:Year>2012</b:Year>
    <b:Author>
      <b:Author>
        <b:NameList>
          <b:Person>
            <b:Last>Popkin</b:Last>
            <b:First>B,M.</b:First>
          </b:Person>
          <b:Person>
            <b:Last>Adair</b:Last>
            <b:First>L,S.</b:First>
          </b:Person>
          <b:Person>
            <b:Last>Ng</b:Last>
            <b:First>S,W.</b:First>
          </b:Person>
        </b:NameList>
      </b:Author>
    </b:Author>
    <b:JournalName>Nutrition Reviews</b:JournalName>
    <b:Pages>3-21</b:Pages>
    <b:Volume>70</b:Volume>
    <b:Issue>1</b:Issue>
    <b:RefOrder>22</b:RefOrder>
  </b:Source>
  <b:Source>
    <b:Tag>Gov152</b:Tag>
    <b:SourceType>InternetSite</b:SourceType>
    <b:Guid>{764C8D2E-8D4E-42E7-845D-1A554B01BBA7}</b:Guid>
    <b:Author>
      <b:Author>
        <b:Corporate>Gov.uk</b:Corporate>
      </b:Author>
    </b:Author>
    <b:Title>Doing business in the Netherlands: Netherlands trade and export guide</b:Title>
    <b:Year>2015</b:Year>
    <b:YearAccessed>2019</b:YearAccessed>
    <b:MonthAccessed>September</b:MonthAccessed>
    <b:DayAccessed>13th</b:DayAccessed>
    <b:URL>https://www.gov.uk/government/publications/exporting-to-netherlands/exporting-to-the-netherlands</b:URL>
    <b:RefOrder>23</b:RefOrder>
  </b:Source>
  <b:Source>
    <b:Tag>Mar11</b:Tag>
    <b:SourceType>Report</b:SourceType>
    <b:Guid>{9DBA8670-82E6-4F28-83A8-037ECDFDD73C}</b:Guid>
    <b:Title>Country Profile Series - In Depth PESTLE Insights</b:Title>
    <b:Year>2011</b:Year>
    <b:Author>
      <b:Author>
        <b:Corporate>MarketLine</b:Corporate>
      </b:Author>
    </b:Author>
    <b:Publisher>MarketLine</b:Publisher>
    <b:City>London</b:City>
    <b:RefOrder>24</b:RefOrder>
  </b:Source>
  <b:Source>
    <b:Tag>OEC11</b:Tag>
    <b:SourceType>Report</b:SourceType>
    <b:Guid>{D94C7F72-E71F-48A1-B7C6-F26A9F9D11DE}</b:Guid>
    <b:Author>
      <b:Author>
        <b:Corporate>OECD</b:Corporate>
      </b:Author>
    </b:Author>
    <b:Title>Guidelines for Multinational Enterprises</b:Title>
    <b:Year>2011</b:Year>
    <b:Publisher>OECD Publishing</b:Publisher>
    <b:City>Paris</b:City>
    <b:RefOrder>25</b:RefOrder>
  </b:Source>
  <b:Source>
    <b:Tag>Govnd</b:Tag>
    <b:SourceType>InternetSite</b:SourceType>
    <b:Guid>{85B9CFBD-935B-4000-AA85-79B1E97F9A03}</b:Guid>
    <b:Title>Government Stimulus for Corporate Social Responsibiliity</b:Title>
    <b:Year>n.d.</b:Year>
    <b:Author>
      <b:Author>
        <b:Corporate>Government of the Netherlands</b:Corporate>
      </b:Author>
    </b:Author>
    <b:YearAccessed>2019</b:YearAccessed>
    <b:MonthAccessed>September</b:MonthAccessed>
    <b:DayAccessed>13th</b:DayAccessed>
    <b:URL>https://www.government.nl/topics/corporate-social-responsibility-csr/government-stimulus-for-corporate-social-responsibility-csr</b:URL>
    <b:RefOrder>26</b:RefOrder>
  </b:Source>
  <b:Source>
    <b:Tag>Grend</b:Tag>
    <b:SourceType>InternetSite</b:SourceType>
    <b:Guid>{28D52CCF-54DF-42BF-BE6A-0823C00006B7}</b:Guid>
    <b:Author>
      <b:Author>
        <b:Corporate>Green Deal</b:Corporate>
      </b:Author>
    </b:Author>
    <b:Title>Green Deals</b:Title>
    <b:Year>n.d.</b:Year>
    <b:YearAccessed>2019</b:YearAccessed>
    <b:MonthAccessed>September</b:MonthAccessed>
    <b:DayAccessed>13th</b:DayAccessed>
    <b:URL>https://www.greendeals.nl/english</b:URL>
    <b:RefOrder>27</b:RefOrder>
  </b:Source>
  <b:Source>
    <b:Tag>RRInd</b:Tag>
    <b:SourceType>InternetSite</b:SourceType>
    <b:Guid>{DF41E0AA-D30D-47C9-8075-0E0F39E2B00C}</b:Guid>
    <b:Author>
      <b:Author>
        <b:Corporate>RRI.org</b:Corporate>
      </b:Author>
    </b:Author>
    <b:Title>Netherlands Green Plan</b:Title>
    <b:Year>n.d.</b:Year>
    <b:YearAccessed>2019</b:YearAccessed>
    <b:MonthAccessed>September</b:MonthAccessed>
    <b:DayAccessed>13th</b:DayAccessed>
    <b:URL>http://www.rri.org/green-plans-netherlands.php</b:URL>
    <b:RefOrder>28</b:RefOrder>
  </b:Source>
  <b:Source>
    <b:Tag>Foo15</b:Tag>
    <b:SourceType>InternetSite</b:SourceType>
    <b:Guid>{222E535D-7B8D-4FBF-B4E5-BCC1B413B04A}</b:Guid>
    <b:Author>
      <b:Author>
        <b:Corporate>Foodmanufacture</b:Corporate>
      </b:Author>
    </b:Author>
    <b:Title>Food Manufacture</b:Title>
    <b:Year>2015</b:Year>
    <b:YearAccessed>2019</b:YearAccessed>
    <b:MonthAccessed>September</b:MonthAccessed>
    <b:DayAccessed>13th</b:DayAccessed>
    <b:URL>https://www.foodmanufacture.co.uk/Article/2015/09/10/Healthy-snack-firm-breaks-America</b:URL>
    <b:RefOrder>1</b:RefOrder>
  </b:Source>
  <b:Source>
    <b:Tag>Gra182</b:Tag>
    <b:SourceType>InternetSite</b:SourceType>
    <b:Guid>{50D85D96-D3B2-4528-AFA1-59B65AF09053}</b:Guid>
    <b:Author>
      <b:Author>
        <b:Corporate>Graze.com</b:Corporate>
      </b:Author>
    </b:Author>
    <b:Title>About Us</b:Title>
    <b:Year>2018</b:Year>
    <b:YearAccessed>2019</b:YearAccessed>
    <b:MonthAccessed>September</b:MonthAccessed>
    <b:DayAccessed>13th</b:DayAccessed>
    <b:URL>https://www.graze.com/uk/about</b:URL>
    <b:RefOrder>3</b:RefOrder>
  </b:Source>
  <b:Source>
    <b:Tag>Por85</b:Tag>
    <b:SourceType>Book</b:SourceType>
    <b:Guid>{64F48B75-73F9-4008-AAC1-44FBB7C564C6}</b:Guid>
    <b:Title>Competitve Advantage</b:Title>
    <b:Year>1985</b:Year>
    <b:Author>
      <b:Author>
        <b:NameList>
          <b:Person>
            <b:Last>Porter</b:Last>
            <b:First>E,M.</b:First>
          </b:Person>
        </b:NameList>
      </b:Author>
    </b:Author>
    <b:City>New York</b:City>
    <b:Publisher>The Free Press/Macmillan</b:Publisher>
    <b:Edition>1st</b:Edition>
    <b:RefOrder>29</b:RefOrder>
  </b:Source>
  <b:Source>
    <b:Tag>Gru06</b:Tag>
    <b:SourceType>JournalArticle</b:SourceType>
    <b:Guid>{CB6C5A1B-5D7C-4E34-8166-98E692FAB0DE}</b:Guid>
    <b:Title>Rethinking and reinventing Michael Porter's 5 forces model</b:Title>
    <b:Year>2006</b:Year>
    <b:Author>
      <b:Author>
        <b:NameList>
          <b:Person>
            <b:Last>Grundy</b:Last>
            <b:First>T.</b:First>
          </b:Person>
        </b:NameList>
      </b:Author>
    </b:Author>
    <b:JournalName>Strategic Change</b:JournalName>
    <b:Pages>213-229</b:Pages>
    <b:Volume>15</b:Volume>
    <b:RefOrder>33</b:RefOrder>
  </b:Source>
  <b:Source>
    <b:Tag>HBSnd</b:Tag>
    <b:SourceType>InternetSite</b:SourceType>
    <b:Guid>{63E329B5-D26B-4AE6-872B-D37D312B471D}</b:Guid>
    <b:Title>INSTITUTE FOR STRATEGY &amp; COMPETITIVENESS</b:Title>
    <b:Year>n.d.</b:Year>
    <b:Author>
      <b:Author>
        <b:Corporate>HBS</b:Corporate>
      </b:Author>
    </b:Author>
    <b:YearAccessed>2019</b:YearAccessed>
    <b:MonthAccessed>September</b:MonthAccessed>
    <b:DayAccessed>13th</b:DayAccessed>
    <b:URL>https://www.isc.hbs.edu/strategy/business-strategy/Pages/the-five-forces.aspx</b:URL>
    <b:RefOrder>30</b:RefOrder>
  </b:Source>
  <b:Source>
    <b:Tag>Por08</b:Tag>
    <b:SourceType>JournalArticle</b:SourceType>
    <b:Guid>{D53B6DA4-A695-4BE9-8D7D-E7A778B0EEE1}</b:Guid>
    <b:Title>The Five Competitive Forces That Shape Strategy</b:Title>
    <b:Year>2008</b:Year>
    <b:URL>https://hbr.org/2008/01/the-five-competitive-forces-that-shape-strategy</b:URL>
    <b:Author>
      <b:Author>
        <b:NameList>
          <b:Person>
            <b:Last>Porter</b:Last>
            <b:First>M.</b:First>
          </b:Person>
        </b:NameList>
      </b:Author>
    </b:Author>
    <b:JournalName>Harvard Business Review</b:JournalName>
    <b:Issue>Jan</b:Issue>
    <b:RefOrder>31</b:RefOrder>
  </b:Source>
  <b:Source>
    <b:Tag>Hel10</b:Tag>
    <b:SourceType>JournalArticle</b:SourceType>
    <b:Guid>{771359D1-2A69-4FA7-BAB2-5863EF8EBFCB}</b:Guid>
    <b:Author>
      <b:Author>
        <b:NameList>
          <b:Person>
            <b:Last>Helms</b:Last>
            <b:First>M,M.</b:First>
          </b:Person>
          <b:Person>
            <b:Last>Nixon</b:Last>
            <b:First>J.</b:First>
          </b:Person>
        </b:NameList>
      </b:Author>
    </b:Author>
    <b:Title>Exploring SWOT analysis - where are we now?: A review of academic research from the last decade</b:Title>
    <b:JournalName>Journal of Strategy and Management</b:JournalName>
    <b:Year>2010</b:Year>
    <b:Pages>215-251</b:Pages>
    <b:Volume>3</b:Volume>
    <b:Issue>3</b:Issue>
    <b:RefOrder>32</b:RefOrder>
  </b:Source>
  <b:Source>
    <b:Tag>Eva09</b:Tag>
    <b:SourceType>JournalArticle</b:SourceType>
    <b:Guid>{9B770060-CF80-4DCA-AD60-040B66D741D1}</b:Guid>
    <b:Author>
      <b:Author>
        <b:NameList>
          <b:Person>
            <b:Last>Evans</b:Last>
            <b:First>C.</b:First>
          </b:Person>
          <b:Person>
            <b:Last>Wright</b:Last>
            <b:First>A.</b:First>
          </b:Person>
        </b:NameList>
      </b:Author>
    </b:Author>
    <b:Title>How to conduct a SWOT analysis</b:Title>
    <b:JournalName>The British Journal of Administrative Management</b:JournalName>
    <b:Year>2009</b:Year>
    <b:Pages>10-34</b:Pages>
    <b:Volume>24</b:Volume>
    <b:RefOrder>34</b:RefOrder>
  </b:Source>
  <b:Source>
    <b:Tag>Grand</b:Tag>
    <b:SourceType>InternetSite</b:SourceType>
    <b:Guid>{52C5152B-82F9-4202-9F80-760D75769B6C}</b:Guid>
    <b:Title>Subscribe</b:Title>
    <b:Year>n.d.</b:Year>
    <b:Author>
      <b:Author>
        <b:Corporate>Graze.com</b:Corporate>
      </b:Author>
    </b:Author>
    <b:YearAccessed>2019</b:YearAccessed>
    <b:MonthAccessed>September</b:MonthAccessed>
    <b:DayAccessed>13th</b:DayAccessed>
    <b:URL>https://www.graze.com/uk</b:URL>
    <b:RefOrder>41</b:RefOrder>
  </b:Source>
  <b:Source>
    <b:Tag>Grand1</b:Tag>
    <b:SourceType>InternetSite</b:SourceType>
    <b:Guid>{B4CEF6D7-4B67-4928-8103-FC01AACDCBC6}</b:Guid>
    <b:Author>
      <b:Author>
        <b:Corporate>Graze.com</b:Corporate>
      </b:Author>
    </b:Author>
    <b:Title>Wholesale</b:Title>
    <b:Year>n.d.</b:Year>
    <b:YearAccessed>2019</b:YearAccessed>
    <b:MonthAccessed>September</b:MonthAccessed>
    <b:DayAccessed>14th</b:DayAccessed>
    <b:URL>https://www.graze.com/uk/wholesale</b:URL>
    <b:RefOrder>42</b:RefOrder>
  </b:Source>
  <b:Source>
    <b:Tag>Vro09</b:Tag>
    <b:SourceType>JournalArticle</b:SourceType>
    <b:Guid>{370D3483-9D12-4DC0-BBD6-B3D26AA3BF0E}</b:Guid>
    <b:Title>International marketing adaptation versus standardisation of multinational companies</b:Title>
    <b:Year>2009</b:Year>
    <b:Author>
      <b:Author>
        <b:NameList>
          <b:Person>
            <b:Last>Vrontis</b:Last>
            <b:First>D.</b:First>
          </b:Person>
          <b:Person>
            <b:Last>Thrassou</b:Last>
            <b:First>A.</b:First>
          </b:Person>
          <b:Person>
            <b:Last>Lamprianou</b:Last>
            <b:First>I.</b:First>
          </b:Person>
        </b:NameList>
      </b:Author>
    </b:Author>
    <b:JournalName>International Marketing Review</b:JournalName>
    <b:Pages>477-500</b:Pages>
    <b:Volume>26</b:Volume>
    <b:Issue>4</b:Issue>
    <b:RefOrder>37</b:RefOrder>
  </b:Source>
  <b:Source>
    <b:Tag>Whi97</b:Tag>
    <b:SourceType>JournalArticle</b:SourceType>
    <b:Guid>{7872D559-2495-415F-B11A-E72A0E292608}</b:Guid>
    <b:Author>
      <b:Author>
        <b:NameList>
          <b:Person>
            <b:Last>Whitelock</b:Last>
            <b:First>J.</b:First>
          </b:Person>
          <b:Person>
            <b:Last>Pimblett</b:Last>
            <b:First>C.</b:First>
          </b:Person>
        </b:NameList>
      </b:Author>
    </b:Author>
    <b:Title>The Standardisation Debate in International Marketing</b:Title>
    <b:JournalName>Journal of Global Marketing</b:JournalName>
    <b:Year>1997</b:Year>
    <b:Pages>45-66</b:Pages>
    <b:Volume>10</b:Volume>
    <b:Issue>3</b:Issue>
    <b:RefOrder>36</b:RefOrder>
  </b:Source>
  <b:Source>
    <b:Tag>Cox07</b:Tag>
    <b:SourceType>JournalArticle</b:SourceType>
    <b:Guid>{772FC63E-B045-4C45-ACCB-6BAABEA50CAF}</b:Guid>
    <b:Author>
      <b:Author>
        <b:NameList>
          <b:Person>
            <b:Last>Cox</b:Last>
            <b:First>J.</b:First>
          </b:Person>
          <b:Person>
            <b:Last>Mason</b:Last>
            <b:First>C.</b:First>
          </b:Person>
        </b:NameList>
      </b:Author>
    </b:Author>
    <b:Title>Standardisation versus adaptation: geographical pressures to deviate from franchise formats</b:Title>
    <b:JournalName>The Service Industries Journal</b:JournalName>
    <b:Year>2007</b:Year>
    <b:Pages>1053-1072</b:Pages>
    <b:Volume>27</b:Volume>
    <b:Issue>8</b:Issue>
    <b:RefOrder>38</b:RefOrder>
  </b:Source>
  <b:Source>
    <b:Tag>Lev83</b:Tag>
    <b:SourceType>JournalArticle</b:SourceType>
    <b:Guid>{50B34088-F44F-4D35-9956-E6464A7511AD}</b:Guid>
    <b:Author>
      <b:Author>
        <b:NameList>
          <b:Person>
            <b:Last>Levitt</b:Last>
            <b:First>T.</b:First>
          </b:Person>
        </b:NameList>
      </b:Author>
    </b:Author>
    <b:Title>The Globalisation of Markets</b:Title>
    <b:JournalName>Harvard Business Review</b:JournalName>
    <b:Year>1983</b:Year>
    <b:Pages>92-103</b:Pages>
    <b:Issue>May/June</b:Issue>
    <b:RefOrder>35</b:RefOrder>
  </b:Source>
  <b:Source>
    <b:Tag>Rao17</b:Tag>
    <b:SourceType>JournalArticle</b:SourceType>
    <b:Guid>{40B9C746-BFCF-49A2-952E-A829FE61D136}</b:Guid>
    <b:Author>
      <b:Author>
        <b:NameList>
          <b:Person>
            <b:Last>Rao-Nicholson</b:Last>
            <b:First>R.</b:First>
          </b:Person>
          <b:Person>
            <b:Last>Khan</b:Last>
            <b:First>Z.</b:First>
          </b:Person>
        </b:NameList>
      </b:Author>
    </b:Author>
    <b:Title>Standardization versus adaptation of global marketing strategies in emerging market cross-border acquisitions</b:Title>
    <b:JournalName>International Marketing Review</b:JournalName>
    <b:Year>2017</b:Year>
    <b:Pages>138-158</b:Pages>
    <b:Volume>34</b:Volume>
    <b:Issue>1</b:Issue>
    <b:RefOrder>39</b:RefOrder>
  </b:Source>
  <b:Source>
    <b:Tag>McC60</b:Tag>
    <b:SourceType>Book</b:SourceType>
    <b:Guid>{0B469E77-FC1F-4FCB-8F82-1F7339FA0B6C}</b:Guid>
    <b:Title>Basic Marketing: A Managerial Approach</b:Title>
    <b:Year>1960</b:Year>
    <b:Author>
      <b:Author>
        <b:NameList>
          <b:Person>
            <b:Last>McCarthy</b:Last>
            <b:First>E,</b:First>
            <b:Middle>J.</b:Middle>
          </b:Person>
          <b:Person>
            <b:Last>Perreault Jr</b:Last>
            <b:First>D,</b:First>
            <b:Middle>W.</b:Middle>
          </b:Person>
        </b:NameList>
      </b:Author>
    </b:Author>
    <b:City>Homewood, Il</b:City>
    <b:Publisher>Richard Irwin Inc</b:Publisher>
    <b:Edition>1st</b:Edition>
    <b:RefOrder>40</b:RefOrder>
  </b:Source>
  <b:Source>
    <b:Tag>Dav91</b:Tag>
    <b:SourceType>JournalArticle</b:SourceType>
    <b:Guid>{67171036-D86D-4802-BA1F-65CBDB9210DA}</b:Guid>
    <b:Title>Organisational Narratives and Organisational Structure</b:Title>
    <b:Year>1991</b:Year>
    <b:Author>
      <b:Author>
        <b:NameList>
          <b:Person>
            <b:Last>Davis Browing</b:Last>
            <b:First>L.</b:First>
          </b:Person>
        </b:NameList>
      </b:Author>
    </b:Author>
    <b:JournalName>Journal of Organizational Change</b:JournalName>
    <b:Pages>59-67</b:Pages>
    <b:Volume>4</b:Volume>
    <b:Issue>3</b:Issue>
    <b:RefOrder>4</b:RefOrder>
  </b:Source>
  <b:Source>
    <b:Tag>Ash04</b:Tag>
    <b:SourceType>JournalArticle</b:SourceType>
    <b:Guid>{E43BE3A2-71DF-4A52-9B01-CD3600994677}</b:Guid>
    <b:Author>
      <b:Author>
        <b:NameList>
          <b:Person>
            <b:Last>Ashton</b:Last>
            <b:First>D.N.</b:First>
          </b:Person>
        </b:NameList>
      </b:Author>
    </b:Author>
    <b:Title>The impact of organisational structure and practices on learning in the workplace</b:Title>
    <b:JournalName>International Journal of Training and Development</b:JournalName>
    <b:Year>2004</b:Year>
    <b:Pages>43-53</b:Pages>
    <b:Volume>8</b:Volume>
    <b:Issue>1</b:Issue>
    <b:RefOrder>5</b:RefOrder>
  </b:Source>
  <b:Source>
    <b:Tag>Mor15</b:Tag>
    <b:SourceType>Book</b:SourceType>
    <b:Guid>{C095E803-B620-4537-9D5E-DB96669DF341}</b:Guid>
    <b:Title>Strategic international management </b:Title>
    <b:Year>2015</b:Year>
    <b:Author>
      <b:Author>
        <b:NameList>
          <b:Person>
            <b:Last>Morschett</b:Last>
            <b:First>D.</b:First>
          </b:Person>
          <b:Person>
            <b:Last>Schramm-Klein</b:Last>
            <b:First>H.</b:First>
          </b:Person>
          <b:Person>
            <b:Last>Zentes</b:Last>
            <b:First>J.</b:First>
          </b:Person>
        </b:NameList>
      </b:Author>
    </b:Author>
    <b:Publisher>Springer</b:Publisher>
    <b:Edition>3rd</b:Edition>
    <b:RefOrder>6</b:RefOrder>
  </b:Source>
</b:Sources>
</file>

<file path=customXml/itemProps1.xml><?xml version="1.0" encoding="utf-8"?>
<ds:datastoreItem xmlns:ds="http://schemas.openxmlformats.org/officeDocument/2006/customXml" ds:itemID="{61635B12-B644-4420-96B0-CB3E21BA8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1981</TotalTime>
  <Pages>9</Pages>
  <Words>3638</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Taylor</dc:creator>
  <cp:keywords/>
  <dc:description/>
  <cp:lastModifiedBy>James Taylor</cp:lastModifiedBy>
  <cp:revision>51</cp:revision>
  <dcterms:created xsi:type="dcterms:W3CDTF">2019-09-14T10:39:00Z</dcterms:created>
  <dcterms:modified xsi:type="dcterms:W3CDTF">2019-09-15T20:15:00Z</dcterms:modified>
</cp:coreProperties>
</file>