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D2851" w14:textId="5D109537" w:rsidR="00054451" w:rsidRDefault="00E22758">
      <w:r>
        <w:t xml:space="preserve">Criminal law- </w:t>
      </w:r>
    </w:p>
    <w:p w14:paraId="60395990" w14:textId="7B45DCC7" w:rsidR="00E22758" w:rsidRDefault="00E22758">
      <w:proofErr w:type="spellStart"/>
      <w:r>
        <w:t>Nikol</w:t>
      </w:r>
      <w:proofErr w:type="spellEnd"/>
      <w:r>
        <w:t xml:space="preserve"> Ivanova </w:t>
      </w:r>
    </w:p>
    <w:p w14:paraId="2C08CB55" w14:textId="05E7584F" w:rsidR="00262861" w:rsidRPr="005A0F00" w:rsidRDefault="00E22758" w:rsidP="005A0F00">
      <w:r>
        <w:t>Student number- 2219702</w:t>
      </w:r>
    </w:p>
    <w:p w14:paraId="4DA35D56" w14:textId="17339429" w:rsidR="00262861" w:rsidRDefault="00262861" w:rsidP="00262861">
      <w:pPr>
        <w:pStyle w:val="NoSpacing"/>
        <w:jc w:val="both"/>
        <w:rPr>
          <w:rFonts w:asciiTheme="minorBidi" w:hAnsiTheme="minorBidi"/>
          <w:sz w:val="24"/>
          <w:szCs w:val="24"/>
        </w:rPr>
      </w:pPr>
    </w:p>
    <w:p w14:paraId="30C7AAFC" w14:textId="76F740F6" w:rsidR="005A0F00" w:rsidRDefault="005A0F00" w:rsidP="00262861">
      <w:pPr>
        <w:pStyle w:val="NoSpacing"/>
        <w:jc w:val="both"/>
        <w:rPr>
          <w:rFonts w:asciiTheme="minorBidi" w:hAnsiTheme="minorBidi"/>
          <w:sz w:val="24"/>
          <w:szCs w:val="24"/>
        </w:rPr>
      </w:pPr>
    </w:p>
    <w:p w14:paraId="06841F26" w14:textId="15AB98FF" w:rsidR="005A0F00" w:rsidRDefault="005A0F00" w:rsidP="00262861">
      <w:pPr>
        <w:pStyle w:val="NoSpacing"/>
        <w:jc w:val="both"/>
        <w:rPr>
          <w:rFonts w:asciiTheme="minorBidi" w:hAnsiTheme="minorBidi"/>
          <w:sz w:val="24"/>
          <w:szCs w:val="24"/>
        </w:rPr>
      </w:pPr>
    </w:p>
    <w:p w14:paraId="3AF73CD5" w14:textId="77777777" w:rsidR="005A0F00" w:rsidRDefault="005A0F00" w:rsidP="005A0F00">
      <w:r w:rsidRPr="00C83B8A">
        <w:t xml:space="preserve">After conducting research, Mr. Hadley's probable violations have been determined. If the required components are proven, Mr. Hadley will be found guilty of four offences. These crimes include arson, criminal </w:t>
      </w:r>
      <w:r>
        <w:t>damage</w:t>
      </w:r>
      <w:r w:rsidRPr="00C83B8A">
        <w:t>, burglary, and theft.</w:t>
      </w:r>
    </w:p>
    <w:p w14:paraId="39E59125" w14:textId="77777777" w:rsidR="005A0F00" w:rsidRDefault="005A0F00" w:rsidP="005A0F00">
      <w:r>
        <w:t xml:space="preserve">Section 9(1)(a) of the Theft Act of 1968 defines three distinct ways to commit the offence (entering with the intent to steal, commit severe bodily injury, or cause unlawful damage), each of which can be committed by entering a residence (a "domestic burglary") or another building. Because different punishment rules apply depending on whether the structure in question is a residence, section 9(1)(a) effectively establishes six separate </w:t>
      </w:r>
      <w:proofErr w:type="spellStart"/>
      <w:proofErr w:type="gramStart"/>
      <w:r>
        <w:t>offences.Each</w:t>
      </w:r>
      <w:proofErr w:type="spellEnd"/>
      <w:proofErr w:type="gramEnd"/>
      <w:r>
        <w:t xml:space="preserve"> of these crimes is committed once D enters the property as a trespasser with the requisite intent, regardless of whether he commits the intended theft, serious bodily harm, etc.</w:t>
      </w:r>
      <w:r w:rsidRPr="00C83B8A">
        <w:t xml:space="preserve"> </w:t>
      </w:r>
      <w:r>
        <w:t xml:space="preserve">Courts have frequently considered the same meaning of 'building' while interpreting numerous statutes. </w:t>
      </w:r>
      <w:proofErr w:type="spellStart"/>
      <w:r>
        <w:t>a</w:t>
      </w:r>
      <w:proofErr w:type="spellEnd"/>
      <w:r>
        <w:t xml:space="preserve"> </w:t>
      </w:r>
      <w:proofErr w:type="gramStart"/>
      <w:r>
        <w:t>The</w:t>
      </w:r>
      <w:proofErr w:type="gramEnd"/>
      <w:r>
        <w:t xml:space="preserve"> term's meaning varies depending on context. 5 and Ming </w:t>
      </w:r>
      <w:proofErr w:type="spellStart"/>
      <w:r>
        <w:t>Lias</w:t>
      </w:r>
      <w:proofErr w:type="spellEnd"/>
      <w:r>
        <w:t xml:space="preserve"> have been determined to be buildings with alternative functions. A common and accepted definition, according to Lord Fasher Mil, is a brick or stone structure covered by considered a building for purposes of the burglary offence, it is not necessary that the structure be made of brick or stone. Regardless, all dwellings are safeguarded. As a result of their building material, the Act expressly encompasses inhabited vehicles and vessels. For a structure to be considered a building, it must have some degree of permanency. It is commonly believed that a tent cannot be considered a building, even though it has occupied the same spot indefinitely. A structure may be a building despite its fragile construction.</w:t>
      </w:r>
    </w:p>
    <w:p w14:paraId="36FE0325" w14:textId="77777777" w:rsidR="005A0F00" w:rsidRPr="00370B02" w:rsidRDefault="005A0F00" w:rsidP="005A0F00">
      <w:r w:rsidRPr="00370B02">
        <w:t>Criminals can damage land, which cannot be stolen. When conduct destroys land, theft policies do not apply. D could commit a crime by turning 4s into a vegetable garden. Second, intangible property can now be stolen but not criminalised. We have not included immaterial goods in the category of property to which harm should constitute an offence because the existing legislation connotes physical damage in their commission. 39 Thus, easements, earnings, patents, and copyrights are not criminally liable. D need not have entered the building far enough to achieve his illegal goal. D breaks into V's fourth-floor apartment through the ground-floor window. Thus, entering is neither "effective" nor "substantial." It is intolerable that such a critical actus reus feature of a serious crime be evaluated by a jury. The best course of action would be to embrace the common law rule: any entry, no matter how small, should suffice.</w:t>
      </w:r>
    </w:p>
    <w:p w14:paraId="49CB7FF4" w14:textId="77777777" w:rsidR="005A0F00" w:rsidRDefault="005A0F00" w:rsidP="005A0F00">
      <w:r>
        <w:t xml:space="preserve">There is a separate offence for harming or damaging property </w:t>
      </w:r>
      <w:proofErr w:type="gramStart"/>
      <w:r>
        <w:t>through the use of</w:t>
      </w:r>
      <w:proofErr w:type="gramEnd"/>
      <w:r>
        <w:t xml:space="preserve"> fire.  Despite the Law Commission's conclusion that this was superfluous, Parliament favoured a specific offence in the Act. 194In accordance with Section 1(3) of the Act, a person is charged with arson if they commit an offence under this section by destroying or injuring property with fire. And according to section 4, it is punishable by life in jail. The retention of a separate offence may have been desirable in order to provide a more appropriate designation and express public concern over the offence. Particularly concerning is the prevalence of arson in certain property types, such as schools. The clause is mandatory: "shall be charged with arson." When D burns or damages property by fire, it seems appropriate to charge him with an offence under section 1. (3). 195 When there is also an </w:t>
      </w:r>
      <w:r>
        <w:lastRenderedPageBreak/>
        <w:t>accusation of endangerment, there should be distinct counts of arson with the intent to endanger life and arson with reckless disregard for the endangering of life.</w:t>
      </w:r>
    </w:p>
    <w:p w14:paraId="1EF8817E" w14:textId="77777777" w:rsidR="005A0F00" w:rsidRDefault="005A0F00" w:rsidP="005A0F00">
      <w:r w:rsidRPr="0015772E">
        <w:t xml:space="preserve">If it has been established that the defendant committed crimes and the actus reus and </w:t>
      </w:r>
      <w:proofErr w:type="spellStart"/>
      <w:r w:rsidRPr="0015772E">
        <w:t>mens</w:t>
      </w:r>
      <w:proofErr w:type="spellEnd"/>
      <w:r w:rsidRPr="0015772E">
        <w:t xml:space="preserve"> rea requirements have been met, the defendant's case may be reviewed in both the magistrate court and the high court, depending on the criminal damages. The sentencing that the defendant if proven guilty to all 4 </w:t>
      </w:r>
      <w:proofErr w:type="gramStart"/>
      <w:r w:rsidRPr="0015772E">
        <w:t>counts ,regarding</w:t>
      </w:r>
      <w:proofErr w:type="gramEnd"/>
      <w:r w:rsidRPr="0015772E">
        <w:t xml:space="preserve"> criminal damage the maximum punishment it is 10 years , in relation of theft the maximum penalty it is 7 years ,for domestic burglary, the law, as set by national assembly states that: The max penalty in the magistrates' courts is a £5,000 fine and/or 26 weeks' in prison. </w:t>
      </w:r>
      <w:r w:rsidRPr="0015772E">
        <w:rPr>
          <w:rFonts w:ascii="Segoe UI Symbol" w:hAnsi="Segoe UI Symbol" w:cs="Segoe UI Symbol"/>
        </w:rPr>
        <w:t>❖</w:t>
      </w:r>
      <w:r w:rsidRPr="0015772E">
        <w:t xml:space="preserve"> In the Crown Court, the maximum sentence is 14 years in prison. The sentencing guidelines vary from a community restitution order to six years in prison. Section 4 of the Crimes and Disorder Act of 1971 imposes a maximum sentence of life in prison for severe criminal damage and aggravated arson.</w:t>
      </w:r>
      <w:r>
        <w:t xml:space="preserve"> </w:t>
      </w:r>
    </w:p>
    <w:p w14:paraId="73193E35" w14:textId="2A7473B6" w:rsidR="005A0F00" w:rsidRDefault="005A0F00" w:rsidP="00262861">
      <w:pPr>
        <w:pStyle w:val="NoSpacing"/>
        <w:jc w:val="both"/>
        <w:rPr>
          <w:rFonts w:asciiTheme="minorBidi" w:hAnsiTheme="minorBidi"/>
          <w:sz w:val="24"/>
          <w:szCs w:val="24"/>
        </w:rPr>
      </w:pPr>
    </w:p>
    <w:p w14:paraId="5087DBB7" w14:textId="0704EA14" w:rsidR="005A0F00" w:rsidRDefault="005A0F00" w:rsidP="00262861">
      <w:pPr>
        <w:pStyle w:val="NoSpacing"/>
        <w:jc w:val="both"/>
        <w:rPr>
          <w:rFonts w:asciiTheme="minorBidi" w:hAnsiTheme="minorBidi"/>
          <w:sz w:val="24"/>
          <w:szCs w:val="24"/>
        </w:rPr>
      </w:pPr>
    </w:p>
    <w:p w14:paraId="6294B8A3" w14:textId="77777777" w:rsidR="005A0F00" w:rsidRDefault="005A0F00" w:rsidP="00262861">
      <w:pPr>
        <w:pStyle w:val="NoSpacing"/>
        <w:jc w:val="both"/>
        <w:rPr>
          <w:rFonts w:asciiTheme="minorBidi" w:hAnsiTheme="minorBidi"/>
          <w:sz w:val="24"/>
          <w:szCs w:val="24"/>
        </w:rPr>
      </w:pPr>
    </w:p>
    <w:p w14:paraId="4F109B2B" w14:textId="786F9323" w:rsidR="005A0F00" w:rsidRPr="005A0F00" w:rsidRDefault="00262861" w:rsidP="005A0F00">
      <w:pPr>
        <w:pStyle w:val="NoSpacing"/>
        <w:jc w:val="both"/>
        <w:rPr>
          <w:rFonts w:asciiTheme="minorBidi" w:hAnsiTheme="minorBidi"/>
          <w:sz w:val="24"/>
          <w:szCs w:val="24"/>
        </w:rPr>
      </w:pPr>
      <w:r w:rsidRPr="00B4699A">
        <w:rPr>
          <w:rFonts w:ascii="Arial" w:hAnsi="Arial" w:cs="Arial"/>
          <w:color w:val="000000" w:themeColor="text1"/>
          <w:sz w:val="20"/>
          <w:szCs w:val="20"/>
          <w:shd w:val="clear" w:color="auto" w:fill="FFFFFF"/>
        </w:rPr>
        <w:t>Under s. 47 of the 1861 Act, actual bodily harm (ABH) is defined as 'any assault occasioning actual bodily harm'. The actus reus is either assault or battery plus actual bodily harm.</w:t>
      </w:r>
      <w:r w:rsidR="00B4699A">
        <w:rPr>
          <w:rFonts w:ascii="Arial" w:hAnsi="Arial" w:cs="Arial"/>
          <w:color w:val="000000" w:themeColor="text1"/>
          <w:sz w:val="20"/>
          <w:szCs w:val="20"/>
          <w:shd w:val="clear" w:color="auto" w:fill="FFFFFF"/>
        </w:rPr>
        <w:t xml:space="preserve"> </w:t>
      </w:r>
      <w:r w:rsidR="00B4699A" w:rsidRPr="00B4699A">
        <w:rPr>
          <w:rFonts w:ascii="Arial" w:eastAsia="Times New Roman" w:hAnsi="Arial" w:cs="Arial"/>
          <w:color w:val="000000" w:themeColor="text1"/>
          <w:spacing w:val="3"/>
          <w:sz w:val="20"/>
          <w:szCs w:val="20"/>
          <w:lang w:eastAsia="en-GB"/>
        </w:rPr>
        <w:t>This offence is triable either way, being in the Magistrates Court, or the Crown Court.</w:t>
      </w:r>
      <w:r w:rsidR="00B4699A" w:rsidRPr="00B4699A">
        <w:rPr>
          <w:rFonts w:ascii="Arial" w:eastAsia="Times New Roman" w:hAnsi="Arial" w:cs="Arial"/>
          <w:color w:val="000000" w:themeColor="text1"/>
          <w:spacing w:val="3"/>
          <w:sz w:val="20"/>
          <w:szCs w:val="20"/>
          <w:lang w:eastAsia="en-GB"/>
        </w:rPr>
        <w:t xml:space="preserve"> ‘</w:t>
      </w:r>
      <w:r w:rsidR="00B4699A" w:rsidRPr="00B4699A">
        <w:rPr>
          <w:rFonts w:ascii="Arial" w:hAnsi="Arial" w:cs="Arial"/>
          <w:color w:val="000000" w:themeColor="text1"/>
          <w:sz w:val="20"/>
          <w:szCs w:val="20"/>
        </w:rPr>
        <w:t xml:space="preserve">Whosoever shall be convicted upon an indictment of any assault occasioning actual bodily harm shall be liable to imprisonment for not more than five </w:t>
      </w:r>
      <w:proofErr w:type="gramStart"/>
      <w:r w:rsidR="00B4699A" w:rsidRPr="00B4699A">
        <w:rPr>
          <w:rFonts w:ascii="Arial" w:hAnsi="Arial" w:cs="Arial"/>
          <w:color w:val="000000" w:themeColor="text1"/>
          <w:sz w:val="20"/>
          <w:szCs w:val="20"/>
        </w:rPr>
        <w:t>years’</w:t>
      </w:r>
      <w:proofErr w:type="gramEnd"/>
      <w:r w:rsidR="00B4699A" w:rsidRPr="00B4699A">
        <w:rPr>
          <w:rFonts w:ascii="Arial" w:hAnsi="Arial" w:cs="Arial"/>
          <w:color w:val="000000" w:themeColor="text1"/>
          <w:sz w:val="20"/>
          <w:szCs w:val="20"/>
        </w:rPr>
        <w:t>.</w:t>
      </w:r>
      <w:r w:rsidR="00B4699A" w:rsidRPr="00B4699A">
        <w:rPr>
          <w:rFonts w:ascii="Arial" w:hAnsi="Arial" w:cs="Arial"/>
          <w:color w:val="000000" w:themeColor="text1"/>
          <w:sz w:val="20"/>
          <w:szCs w:val="20"/>
        </w:rPr>
        <w:t xml:space="preserve"> </w:t>
      </w:r>
      <w:r w:rsidR="00B4699A" w:rsidRPr="00B4699A">
        <w:rPr>
          <w:rFonts w:ascii="Arial" w:eastAsia="Times New Roman" w:hAnsi="Arial" w:cs="Arial"/>
          <w:color w:val="000000" w:themeColor="text1"/>
          <w:spacing w:val="3"/>
          <w:sz w:val="20"/>
          <w:szCs w:val="20"/>
          <w:lang w:eastAsia="en-GB"/>
        </w:rPr>
        <w:t>Upon hearing the claimed facts, the Magistrates deliberate whether or not to accept jurisdiction for a trial in the Magistrates Court. Depending on the nature of the allegation, if the facts of the case are deemed to be so severe, the magistrates will reject jurisdiction and the case will be transferred to the crown court for trial.</w:t>
      </w:r>
      <w:r w:rsidR="00B4699A" w:rsidRPr="00B4699A">
        <w:rPr>
          <w:rFonts w:ascii="Arial" w:eastAsia="Times New Roman" w:hAnsi="Arial" w:cs="Arial"/>
          <w:color w:val="000000" w:themeColor="text1"/>
          <w:spacing w:val="3"/>
          <w:sz w:val="20"/>
          <w:szCs w:val="20"/>
          <w:lang w:eastAsia="en-GB"/>
        </w:rPr>
        <w:t xml:space="preserve"> </w:t>
      </w:r>
      <w:r w:rsidR="00925F8A" w:rsidRPr="00B4699A">
        <w:rPr>
          <w:rFonts w:ascii="Arial" w:hAnsi="Arial" w:cs="Arial"/>
          <w:color w:val="000000" w:themeColor="text1"/>
          <w:sz w:val="20"/>
          <w:szCs w:val="20"/>
        </w:rPr>
        <w:t>Where D satisfies the elements of section 47,20 or 18, she will nevertheless avoid liability if she has a specific defence of ‘consent’ or ‘belief in consent’. D may also avoid liability by relying on one of the general defences. Where D has caused ABH, the courts have been reluctant to allow a defence to simple assault or battery (the base offence) to undermine liability.</w:t>
      </w:r>
      <w:r w:rsidRPr="00B4699A">
        <w:rPr>
          <w:rFonts w:ascii="Arial" w:hAnsi="Arial" w:cs="Arial"/>
          <w:color w:val="000000" w:themeColor="text1"/>
          <w:sz w:val="20"/>
          <w:szCs w:val="20"/>
        </w:rPr>
        <w:t xml:space="preserve"> </w:t>
      </w:r>
      <w:r w:rsidRPr="00B4699A">
        <w:rPr>
          <w:rFonts w:ascii="Arial" w:hAnsi="Arial" w:cs="Arial"/>
          <w:color w:val="000000" w:themeColor="text1"/>
          <w:sz w:val="20"/>
          <w:szCs w:val="20"/>
        </w:rPr>
        <w:t>I</w:t>
      </w:r>
      <w:r w:rsidRPr="00B4699A">
        <w:rPr>
          <w:rFonts w:ascii="Arial" w:hAnsi="Arial" w:cs="Arial"/>
          <w:color w:val="000000" w:themeColor="text1"/>
          <w:sz w:val="20"/>
          <w:szCs w:val="20"/>
        </w:rPr>
        <w:t>n</w:t>
      </w:r>
      <w:r w:rsidRPr="00B4699A">
        <w:rPr>
          <w:rFonts w:ascii="Arial" w:hAnsi="Arial" w:cs="Arial"/>
          <w:color w:val="000000" w:themeColor="text1"/>
          <w:sz w:val="20"/>
          <w:szCs w:val="20"/>
        </w:rPr>
        <w:t xml:space="preserve"> these circumstances, a line of authority has emerged that prevents D from relying on what appears to be an effective defence to the underlying offence, if she anticipated the possibility of committing ABH. When D attempts to use a defence for the base offence, she will be restricted to the defences available for the more severe offences.</w:t>
      </w:r>
      <w:r w:rsidR="00B4699A">
        <w:rPr>
          <w:rFonts w:ascii="Arial" w:hAnsi="Arial" w:cs="Arial"/>
          <w:color w:val="000000" w:themeColor="text1"/>
          <w:sz w:val="20"/>
          <w:szCs w:val="20"/>
        </w:rPr>
        <w:t xml:space="preserve"> </w:t>
      </w:r>
      <w:r w:rsidR="00237C89" w:rsidRPr="00B4699A">
        <w:rPr>
          <w:rFonts w:ascii="Arial" w:hAnsi="Arial" w:cs="Arial"/>
          <w:color w:val="000000" w:themeColor="text1"/>
          <w:sz w:val="20"/>
          <w:szCs w:val="20"/>
        </w:rPr>
        <w:t xml:space="preserve"> As D does not foresee the chance of causing ABH or greater, V’s effective consent to assault or battery will prevent section 47 liability. V has consented to the assault or battery, and there is no reason (no further fault from D) that justifies treating that consent as invalid.</w:t>
      </w:r>
      <w:r w:rsidRPr="00B4699A">
        <w:rPr>
          <w:rFonts w:ascii="Arial" w:hAnsi="Arial" w:cs="Arial"/>
          <w:color w:val="000000" w:themeColor="text1"/>
          <w:sz w:val="20"/>
          <w:szCs w:val="20"/>
        </w:rPr>
        <w:t xml:space="preserve"> </w:t>
      </w:r>
      <w:r w:rsidRPr="00B4699A">
        <w:rPr>
          <w:rFonts w:ascii="Arial" w:hAnsi="Arial" w:cs="Arial"/>
          <w:color w:val="000000" w:themeColor="text1"/>
          <w:sz w:val="20"/>
          <w:szCs w:val="20"/>
        </w:rPr>
        <w:t>As D does not anticipate the possibility of causing ABH or greater, V's consent to assault or battery will exempt her from section 47 liability. V has consented to the assault or damage, and there is no reason (no further fault by D) to invalidate this consent.</w:t>
      </w:r>
      <w:r w:rsidRPr="00B4699A">
        <w:rPr>
          <w:rFonts w:ascii="Arial" w:hAnsi="Arial" w:cs="Arial"/>
          <w:color w:val="000000" w:themeColor="text1"/>
          <w:sz w:val="20"/>
          <w:szCs w:val="20"/>
        </w:rPr>
        <w:t xml:space="preserve"> </w:t>
      </w:r>
      <w:r w:rsidR="00237C89" w:rsidRPr="00B4699A">
        <w:rPr>
          <w:rFonts w:ascii="Arial" w:hAnsi="Arial" w:cs="Arial"/>
          <w:color w:val="000000" w:themeColor="text1"/>
          <w:sz w:val="20"/>
          <w:szCs w:val="20"/>
        </w:rPr>
        <w:t xml:space="preserve">This is confirmed in </w:t>
      </w:r>
      <w:proofErr w:type="spellStart"/>
      <w:r w:rsidR="00237C89" w:rsidRPr="00B4699A">
        <w:rPr>
          <w:rFonts w:ascii="Arial" w:hAnsi="Arial" w:cs="Arial"/>
          <w:color w:val="000000" w:themeColor="text1"/>
          <w:sz w:val="20"/>
          <w:szCs w:val="20"/>
        </w:rPr>
        <w:t>Meachen</w:t>
      </w:r>
      <w:proofErr w:type="spellEnd"/>
      <w:r w:rsidR="00237C89" w:rsidRPr="00B4699A">
        <w:rPr>
          <w:rFonts w:ascii="Arial" w:hAnsi="Arial" w:cs="Arial"/>
          <w:color w:val="000000" w:themeColor="text1"/>
          <w:sz w:val="20"/>
          <w:szCs w:val="20"/>
        </w:rPr>
        <w:t>.</w:t>
      </w:r>
      <w:r w:rsidR="005A0F00">
        <w:rPr>
          <w:rFonts w:ascii="Arial" w:hAnsi="Arial" w:cs="Arial"/>
          <w:color w:val="000000" w:themeColor="text1"/>
          <w:sz w:val="20"/>
          <w:szCs w:val="20"/>
        </w:rPr>
        <w:t xml:space="preserve"> </w:t>
      </w:r>
      <w:r w:rsidR="00B4699A">
        <w:rPr>
          <w:rFonts w:asciiTheme="minorBidi" w:hAnsiTheme="minorBidi"/>
          <w:sz w:val="24"/>
          <w:szCs w:val="24"/>
        </w:rPr>
        <w:t>There is an obvious and well-documented link between intoxication, particularly alcoholic intoxication, and crime. Intoxicants can lower inhibitions, warp moral and practical judgements, encourage unpredic</w:t>
      </w:r>
      <w:r w:rsidR="005A0F00">
        <w:rPr>
          <w:rFonts w:asciiTheme="minorBidi" w:hAnsiTheme="minorBidi"/>
          <w:sz w:val="24"/>
          <w:szCs w:val="24"/>
        </w:rPr>
        <w:t>table behaviour, and so on. In short, D’s conduct when intoxicated may not be a reflection of her character when sober. Being intoxicated is not, however, and never has been, a defence to criminal offences. D’s claim that ‘it was the drink’ may provide some moral mitigation, and may become relevant at sentencing, but it is not an answer to a criminal charge. If it were, there would be a lot more space in prisons!</w:t>
      </w:r>
      <w:r w:rsidR="005A0F00">
        <w:rPr>
          <w:rFonts w:ascii="Arial" w:hAnsi="Arial" w:cs="Arial"/>
          <w:color w:val="000000" w:themeColor="text1"/>
          <w:sz w:val="20"/>
          <w:szCs w:val="20"/>
        </w:rPr>
        <w:t xml:space="preserve"> </w:t>
      </w:r>
      <w:r w:rsidR="005A0F00">
        <w:rPr>
          <w:rFonts w:asciiTheme="minorBidi" w:hAnsiTheme="minorBidi"/>
          <w:sz w:val="24"/>
          <w:szCs w:val="24"/>
        </w:rPr>
        <w:t xml:space="preserve">The intoxication rules only become relevant where, as a result of intoxication at T1, D lacks the prescribed </w:t>
      </w:r>
      <w:proofErr w:type="spellStart"/>
      <w:r w:rsidR="005A0F00">
        <w:rPr>
          <w:rFonts w:asciiTheme="minorBidi" w:hAnsiTheme="minorBidi"/>
          <w:sz w:val="24"/>
          <w:szCs w:val="24"/>
        </w:rPr>
        <w:t>mens</w:t>
      </w:r>
      <w:proofErr w:type="spellEnd"/>
      <w:r w:rsidR="005A0F00">
        <w:rPr>
          <w:rFonts w:asciiTheme="minorBidi" w:hAnsiTheme="minorBidi"/>
          <w:sz w:val="24"/>
          <w:szCs w:val="24"/>
        </w:rPr>
        <w:t xml:space="preserve"> rea for the crime charged at T2. </w:t>
      </w:r>
      <w:r w:rsidR="005A0F00">
        <w:rPr>
          <w:rFonts w:ascii="Tahoma" w:hAnsi="Tahoma" w:cs="Tahoma"/>
          <w:color w:val="222222"/>
          <w:sz w:val="20"/>
          <w:szCs w:val="20"/>
          <w:shd w:val="clear" w:color="auto" w:fill="FFFFFF"/>
        </w:rPr>
        <w:t xml:space="preserve">A person is simply </w:t>
      </w:r>
      <w:proofErr w:type="spellStart"/>
      <w:r w:rsidR="005A0F00">
        <w:rPr>
          <w:rFonts w:ascii="Tahoma" w:hAnsi="Tahoma" w:cs="Tahoma"/>
          <w:color w:val="222222"/>
          <w:sz w:val="20"/>
          <w:szCs w:val="20"/>
          <w:shd w:val="clear" w:color="auto" w:fill="FFFFFF"/>
        </w:rPr>
        <w:t>willfully</w:t>
      </w:r>
      <w:proofErr w:type="spellEnd"/>
      <w:r w:rsidR="005A0F00">
        <w:rPr>
          <w:rFonts w:ascii="Tahoma" w:hAnsi="Tahoma" w:cs="Tahoma"/>
          <w:color w:val="222222"/>
          <w:sz w:val="20"/>
          <w:szCs w:val="20"/>
          <w:shd w:val="clear" w:color="auto" w:fill="FFFFFF"/>
        </w:rPr>
        <w:t xml:space="preserve"> intoxicated if he or she chooses to consume substances that he or she knows or should know are intoxicating. </w:t>
      </w:r>
      <w:proofErr w:type="gramStart"/>
      <w:r w:rsidR="005A0F00">
        <w:rPr>
          <w:rFonts w:ascii="Tahoma" w:hAnsi="Tahoma" w:cs="Tahoma"/>
          <w:color w:val="222222"/>
          <w:sz w:val="20"/>
          <w:szCs w:val="20"/>
          <w:shd w:val="clear" w:color="auto" w:fill="FFFFFF"/>
        </w:rPr>
        <w:t>In reality, the</w:t>
      </w:r>
      <w:proofErr w:type="gramEnd"/>
      <w:r w:rsidR="005A0F00">
        <w:rPr>
          <w:rFonts w:ascii="Tahoma" w:hAnsi="Tahoma" w:cs="Tahoma"/>
          <w:color w:val="222222"/>
          <w:sz w:val="20"/>
          <w:szCs w:val="20"/>
          <w:shd w:val="clear" w:color="auto" w:fill="FFFFFF"/>
        </w:rPr>
        <w:t xml:space="preserve"> situation is a bit more convoluted. It is vital to differentiate cases in which the defendant has consumed alcohol or illegal drugs from those in which the defendant has consumed legal substances, such as prescribed medications.</w:t>
      </w:r>
      <w:r w:rsidR="005A0F00">
        <w:rPr>
          <w:rFonts w:ascii="Tahoma" w:hAnsi="Tahoma" w:cs="Tahoma"/>
          <w:color w:val="222222"/>
          <w:sz w:val="20"/>
          <w:szCs w:val="20"/>
          <w:shd w:val="clear" w:color="auto" w:fill="FFFFFF"/>
        </w:rPr>
        <w:t xml:space="preserve"> </w:t>
      </w:r>
      <w:r w:rsidR="005A0F00">
        <w:rPr>
          <w:rFonts w:ascii="Tahoma" w:hAnsi="Tahoma" w:cs="Tahoma"/>
          <w:color w:val="222222"/>
          <w:sz w:val="20"/>
          <w:szCs w:val="20"/>
          <w:shd w:val="clear" w:color="auto" w:fill="FFFFFF"/>
        </w:rPr>
        <w:t xml:space="preserve">When a defendant knowingly ingests alcohol or a controlled substance, he or her </w:t>
      </w:r>
      <w:proofErr w:type="gramStart"/>
      <w:r w:rsidR="005A0F00">
        <w:rPr>
          <w:rFonts w:ascii="Tahoma" w:hAnsi="Tahoma" w:cs="Tahoma"/>
          <w:color w:val="222222"/>
          <w:sz w:val="20"/>
          <w:szCs w:val="20"/>
          <w:shd w:val="clear" w:color="auto" w:fill="FFFFFF"/>
        </w:rPr>
        <w:t>is considered to be</w:t>
      </w:r>
      <w:proofErr w:type="gramEnd"/>
      <w:r w:rsidR="005A0F00">
        <w:rPr>
          <w:rFonts w:ascii="Tahoma" w:hAnsi="Tahoma" w:cs="Tahoma"/>
          <w:color w:val="222222"/>
          <w:sz w:val="20"/>
          <w:szCs w:val="20"/>
          <w:shd w:val="clear" w:color="auto" w:fill="FFFFFF"/>
        </w:rPr>
        <w:t xml:space="preserve"> voluntarily intoxicated. This law applies even if the defendant believed he or she was drinking a low-alcohol beverage. This was made obvious in </w:t>
      </w:r>
      <w:proofErr w:type="gramStart"/>
      <w:r w:rsidR="005A0F00">
        <w:rPr>
          <w:rFonts w:ascii="Tahoma" w:hAnsi="Tahoma" w:cs="Tahoma"/>
          <w:color w:val="222222"/>
          <w:sz w:val="20"/>
          <w:szCs w:val="20"/>
          <w:shd w:val="clear" w:color="auto" w:fill="FFFFFF"/>
        </w:rPr>
        <w:t>Allen,*</w:t>
      </w:r>
      <w:proofErr w:type="gramEnd"/>
      <w:r w:rsidR="005A0F00">
        <w:rPr>
          <w:rFonts w:ascii="Tahoma" w:hAnsi="Tahoma" w:cs="Tahoma"/>
          <w:color w:val="222222"/>
          <w:sz w:val="20"/>
          <w:szCs w:val="20"/>
          <w:shd w:val="clear" w:color="auto" w:fill="FFFFFF"/>
        </w:rPr>
        <w:t xml:space="preserve">* where the defendant drank homemade wine from a friend that he believed had minimal alcohol. In fact, it included a substantial amount of alcohol. He was deemed voluntary. irrationally intoxicated It would have been completely different if he believed he </w:t>
      </w:r>
      <w:r w:rsidR="005A0F00">
        <w:rPr>
          <w:rFonts w:ascii="Tahoma" w:hAnsi="Tahoma" w:cs="Tahoma"/>
          <w:color w:val="222222"/>
          <w:sz w:val="20"/>
          <w:szCs w:val="20"/>
          <w:shd w:val="clear" w:color="auto" w:fill="FFFFFF"/>
        </w:rPr>
        <w:lastRenderedPageBreak/>
        <w:t>was sipping a non-alcoholic fruit punch that contained alcohol (or drugs). In such a scenario, the defending ant would be drunk without its will. Similarly, a person who was compelled to consume alcohol or drugs against their will would be considered drunk against their will. A person who is addicted to drugs or alcohol is considered to have taken the substances voluntarily unless they can demonstrate they had no control over their use.</w:t>
      </w:r>
    </w:p>
    <w:p w14:paraId="6D9A6CCA" w14:textId="584C67CF" w:rsidR="00925F8A" w:rsidRDefault="00925F8A" w:rsidP="00E22758">
      <w:pPr>
        <w:pStyle w:val="NoSpacing"/>
        <w:ind w:left="720"/>
        <w:jc w:val="both"/>
        <w:rPr>
          <w:rFonts w:asciiTheme="minorBidi" w:hAnsiTheme="minorBidi"/>
          <w:b/>
          <w:bCs/>
          <w:sz w:val="24"/>
          <w:szCs w:val="24"/>
        </w:rPr>
      </w:pPr>
    </w:p>
    <w:p w14:paraId="1E3B7320" w14:textId="77777777" w:rsidR="00E22758" w:rsidRPr="00914068" w:rsidRDefault="00E22758" w:rsidP="005A0F00">
      <w:pPr>
        <w:rPr>
          <w:rFonts w:ascii="Arial" w:eastAsia="Arial" w:hAnsi="Arial" w:cs="Arial"/>
        </w:rPr>
      </w:pPr>
    </w:p>
    <w:p w14:paraId="624C2A5B" w14:textId="6387DC60" w:rsidR="00E22758" w:rsidRDefault="00E22758"/>
    <w:p w14:paraId="330B40FD" w14:textId="62F0DFF3" w:rsidR="00B4699A" w:rsidRDefault="00B4699A"/>
    <w:p w14:paraId="4DCC6B4E" w14:textId="363D7D1B" w:rsidR="005A0F00" w:rsidRDefault="005A0F00"/>
    <w:p w14:paraId="316F6120" w14:textId="77777777" w:rsidR="005A0F00" w:rsidRDefault="005A0F00" w:rsidP="005A0F00">
      <w:pPr>
        <w:pStyle w:val="NormalWeb"/>
        <w:spacing w:before="0" w:beforeAutospacing="0" w:after="240" w:afterAutospacing="0" w:line="360" w:lineRule="auto"/>
        <w:rPr>
          <w:sz w:val="36"/>
          <w:szCs w:val="36"/>
        </w:rPr>
      </w:pPr>
      <w:r>
        <w:rPr>
          <w:sz w:val="36"/>
          <w:szCs w:val="36"/>
        </w:rPr>
        <w:t>Reference list</w:t>
      </w:r>
    </w:p>
    <w:p w14:paraId="18EDC77E" w14:textId="77777777" w:rsidR="005A0F00" w:rsidRDefault="005A0F00" w:rsidP="005A0F00">
      <w:pPr>
        <w:pStyle w:val="NormalWeb"/>
        <w:numPr>
          <w:ilvl w:val="0"/>
          <w:numId w:val="3"/>
        </w:numPr>
        <w:spacing w:before="0" w:beforeAutospacing="0" w:after="240" w:afterAutospacing="0" w:line="360" w:lineRule="auto"/>
      </w:pPr>
      <w:r>
        <w:t xml:space="preserve">Anon, (n.d.). </w:t>
      </w:r>
      <w:r>
        <w:rPr>
          <w:i/>
          <w:iCs/>
        </w:rPr>
        <w:t>Sentencing and the Council – Sentencing</w:t>
      </w:r>
      <w:r>
        <w:t>. [online] Available at: https://www.sentencingcouncil.org.uk/sentencing-and-the-council/ [Accessed 13 Jan. 2023].</w:t>
      </w:r>
    </w:p>
    <w:p w14:paraId="750AEF75" w14:textId="77777777" w:rsidR="005A0F00" w:rsidRDefault="005A0F00" w:rsidP="005A0F00">
      <w:pPr>
        <w:pStyle w:val="NormalWeb"/>
        <w:numPr>
          <w:ilvl w:val="0"/>
          <w:numId w:val="3"/>
        </w:numPr>
        <w:spacing w:before="0" w:beforeAutospacing="0" w:after="240" w:afterAutospacing="0" w:line="360" w:lineRule="auto"/>
      </w:pPr>
      <w:r>
        <w:t xml:space="preserve">CPS (2019). </w:t>
      </w:r>
      <w:r>
        <w:rPr>
          <w:i/>
          <w:iCs/>
        </w:rPr>
        <w:t>Criminal Damage | The Crown Prosecution Service</w:t>
      </w:r>
      <w:r>
        <w:t>. [online] Cps.gov.uk. Available at: https://www.cps.gov.uk/legal-guidance/criminal-damage [Accessed 13 Jan. 2023].</w:t>
      </w:r>
    </w:p>
    <w:p w14:paraId="3F914EAB" w14:textId="77777777" w:rsidR="005A0F00" w:rsidRDefault="005A0F00" w:rsidP="005A0F00">
      <w:pPr>
        <w:pStyle w:val="NormalWeb"/>
        <w:numPr>
          <w:ilvl w:val="0"/>
          <w:numId w:val="3"/>
        </w:numPr>
        <w:spacing w:before="0" w:beforeAutospacing="0" w:after="240" w:afterAutospacing="0" w:line="360" w:lineRule="auto"/>
      </w:pPr>
      <w:r>
        <w:t>Domestic burglary (simplified sentencing guideline). (n.d.). [online] Available at: https://www.sentencingcouncil.org.uk/wp-content/uploads/Burglary-simple-guideline.pdf [Accessed 13 Jan. 2023].</w:t>
      </w:r>
    </w:p>
    <w:p w14:paraId="4483D701" w14:textId="77777777" w:rsidR="005A0F00" w:rsidRDefault="005A0F00" w:rsidP="005A0F00">
      <w:pPr>
        <w:pStyle w:val="NormalWeb"/>
        <w:numPr>
          <w:ilvl w:val="0"/>
          <w:numId w:val="3"/>
        </w:numPr>
        <w:spacing w:before="0" w:beforeAutospacing="0" w:after="240" w:afterAutospacing="0" w:line="360" w:lineRule="auto"/>
      </w:pPr>
      <w:r>
        <w:t xml:space="preserve">Gov.uk (1968). </w:t>
      </w:r>
      <w:r>
        <w:rPr>
          <w:i/>
          <w:iCs/>
        </w:rPr>
        <w:t>Theft Act 1968</w:t>
      </w:r>
      <w:r>
        <w:t>. [online] Legislation.gov.uk. Available at: https://www.legislation.gov.uk/ukpga/1968/60/contents [Accessed 13 Jan. 2023].</w:t>
      </w:r>
    </w:p>
    <w:p w14:paraId="10DC15E3" w14:textId="77777777" w:rsidR="005A0F00" w:rsidRDefault="005A0F00" w:rsidP="005A0F00">
      <w:pPr>
        <w:pStyle w:val="NormalWeb"/>
        <w:numPr>
          <w:ilvl w:val="0"/>
          <w:numId w:val="3"/>
        </w:numPr>
        <w:spacing w:before="0" w:beforeAutospacing="0" w:after="240" w:afterAutospacing="0" w:line="360" w:lineRule="auto"/>
      </w:pPr>
      <w:r>
        <w:t xml:space="preserve">Herring, J. (2014). </w:t>
      </w:r>
      <w:r>
        <w:rPr>
          <w:i/>
          <w:iCs/>
        </w:rPr>
        <w:t xml:space="preserve">Criminal </w:t>
      </w:r>
      <w:proofErr w:type="gramStart"/>
      <w:r>
        <w:rPr>
          <w:i/>
          <w:iCs/>
        </w:rPr>
        <w:t>law :</w:t>
      </w:r>
      <w:proofErr w:type="gramEnd"/>
      <w:r>
        <w:rPr>
          <w:i/>
          <w:iCs/>
        </w:rPr>
        <w:t xml:space="preserve"> text, cases, and materials</w:t>
      </w:r>
      <w:r>
        <w:t>. Oxford: Oxford University Press, Cop.</w:t>
      </w:r>
    </w:p>
    <w:p w14:paraId="664054BE" w14:textId="77777777" w:rsidR="005A0F00" w:rsidRDefault="005A0F00" w:rsidP="005A0F00">
      <w:pPr>
        <w:pStyle w:val="NormalWeb"/>
        <w:numPr>
          <w:ilvl w:val="0"/>
          <w:numId w:val="3"/>
        </w:numPr>
        <w:spacing w:before="0" w:beforeAutospacing="0" w:after="240" w:afterAutospacing="0" w:line="360" w:lineRule="auto"/>
      </w:pPr>
      <w:r>
        <w:t xml:space="preserve">Laird, D. (2021). </w:t>
      </w:r>
      <w:r>
        <w:rPr>
          <w:i/>
          <w:iCs/>
        </w:rPr>
        <w:t>Smith, Hogan, And Ormerod’s Criminal Law.</w:t>
      </w:r>
      <w:r>
        <w:t xml:space="preserve"> S.L.: Oxford </w:t>
      </w:r>
      <w:proofErr w:type="spellStart"/>
      <w:r>
        <w:t>Univ</w:t>
      </w:r>
      <w:proofErr w:type="spellEnd"/>
      <w:r>
        <w:t xml:space="preserve"> Press.</w:t>
      </w:r>
    </w:p>
    <w:p w14:paraId="4CFFEE77" w14:textId="77777777" w:rsidR="005A0F00" w:rsidRDefault="005A0F00" w:rsidP="005A0F00">
      <w:pPr>
        <w:pStyle w:val="NormalWeb"/>
        <w:numPr>
          <w:ilvl w:val="0"/>
          <w:numId w:val="3"/>
        </w:numPr>
        <w:spacing w:before="0" w:beforeAutospacing="0" w:after="240" w:afterAutospacing="0" w:line="360" w:lineRule="auto"/>
      </w:pPr>
      <w:r>
        <w:t xml:space="preserve">legislation.gov.uk (1968). </w:t>
      </w:r>
      <w:r>
        <w:rPr>
          <w:i/>
          <w:iCs/>
        </w:rPr>
        <w:t>Theft Act 1968</w:t>
      </w:r>
      <w:r>
        <w:t>. [online] www.legislation.gov.uk. Available at: Https://www.legislation.gov.uk/ukpga/1968/60/section/9 [Accessed 13 Jan. 2023].</w:t>
      </w:r>
    </w:p>
    <w:p w14:paraId="116C2539" w14:textId="77777777" w:rsidR="005A0F00" w:rsidRDefault="005A0F00" w:rsidP="005A0F00">
      <w:pPr>
        <w:pStyle w:val="NormalWeb"/>
        <w:numPr>
          <w:ilvl w:val="0"/>
          <w:numId w:val="3"/>
        </w:numPr>
        <w:spacing w:before="0" w:beforeAutospacing="0" w:after="240" w:afterAutospacing="0" w:line="360" w:lineRule="auto"/>
      </w:pPr>
      <w:r>
        <w:t xml:space="preserve">Ormerod, J. (2021). </w:t>
      </w:r>
      <w:r>
        <w:rPr>
          <w:i/>
          <w:iCs/>
        </w:rPr>
        <w:t xml:space="preserve">Smith, Hogan, And Ormerod’s Essentials </w:t>
      </w:r>
      <w:proofErr w:type="gramStart"/>
      <w:r>
        <w:rPr>
          <w:i/>
          <w:iCs/>
        </w:rPr>
        <w:t>Of</w:t>
      </w:r>
      <w:proofErr w:type="gramEnd"/>
      <w:r>
        <w:rPr>
          <w:i/>
          <w:iCs/>
        </w:rPr>
        <w:t xml:space="preserve"> Criminal Law.</w:t>
      </w:r>
      <w:r>
        <w:t xml:space="preserve"> S.L.: Oxford </w:t>
      </w:r>
      <w:proofErr w:type="spellStart"/>
      <w:r>
        <w:t>Univ</w:t>
      </w:r>
      <w:proofErr w:type="spellEnd"/>
      <w:r>
        <w:t xml:space="preserve"> Press.</w:t>
      </w:r>
    </w:p>
    <w:p w14:paraId="7CDCB4F3" w14:textId="77777777" w:rsidR="005A0F00" w:rsidRDefault="005A0F00" w:rsidP="005A0F00">
      <w:pPr>
        <w:pStyle w:val="NormalWeb"/>
        <w:numPr>
          <w:ilvl w:val="0"/>
          <w:numId w:val="3"/>
        </w:numPr>
        <w:spacing w:before="0" w:beforeAutospacing="0" w:after="240" w:afterAutospacing="0" w:line="360" w:lineRule="auto"/>
      </w:pPr>
      <w:r>
        <w:lastRenderedPageBreak/>
        <w:t xml:space="preserve">Sentencingcouncil.org.uk. (2017). </w:t>
      </w:r>
      <w:r>
        <w:rPr>
          <w:i/>
          <w:iCs/>
        </w:rPr>
        <w:t>Arson (criminal damage by fire)</w:t>
      </w:r>
      <w:r>
        <w:t>. [online] Available at: https://www.sentencingcouncil.org.uk/offences/magistrates-court/item/arson-criminal-damage-by-fire/ [Accessed 13 Jan. 2023].</w:t>
      </w:r>
    </w:p>
    <w:p w14:paraId="3A16C5CA" w14:textId="77777777" w:rsidR="005A0F00" w:rsidRDefault="005A0F00" w:rsidP="005A0F00">
      <w:pPr>
        <w:pStyle w:val="NormalWeb"/>
        <w:numPr>
          <w:ilvl w:val="0"/>
          <w:numId w:val="3"/>
        </w:numPr>
        <w:spacing w:before="0" w:beforeAutospacing="0" w:after="240" w:afterAutospacing="0" w:line="360" w:lineRule="auto"/>
      </w:pPr>
      <w:r>
        <w:t xml:space="preserve">www.cps.gov.uk. (n.d.). </w:t>
      </w:r>
      <w:r>
        <w:rPr>
          <w:i/>
          <w:iCs/>
        </w:rPr>
        <w:t>Theft Act Offences | The Crown Prosecution Service</w:t>
      </w:r>
      <w:r>
        <w:t>. [online] Available at: https://www.cps.gov.uk/legal-guidance/theft-act-offences#:~:text=Theft%20is%20triable%20either%2Dway [Accessed 13 Jan. 2023].</w:t>
      </w:r>
    </w:p>
    <w:p w14:paraId="6FF5529E" w14:textId="77777777" w:rsidR="005A0F00" w:rsidRDefault="005A0F00"/>
    <w:sectPr w:rsidR="005A0F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C33A8"/>
    <w:multiLevelType w:val="hybridMultilevel"/>
    <w:tmpl w:val="B750F014"/>
    <w:lvl w:ilvl="0" w:tplc="D82C8DA4">
      <w:start w:val="1"/>
      <w:numFmt w:val="lowerLetter"/>
      <w:lvlText w:val="%1)"/>
      <w:lvlJc w:val="left"/>
      <w:pPr>
        <w:ind w:left="501" w:hanging="360"/>
      </w:pPr>
      <w:rPr>
        <w:rFonts w:hint="default"/>
        <w:b/>
        <w:bCs/>
      </w:rPr>
    </w:lvl>
    <w:lvl w:ilvl="1" w:tplc="08090019">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 w15:restartNumberingAfterBreak="0">
    <w:nsid w:val="350375DA"/>
    <w:multiLevelType w:val="hybridMultilevel"/>
    <w:tmpl w:val="1800F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3A0F6F"/>
    <w:multiLevelType w:val="hybridMultilevel"/>
    <w:tmpl w:val="8200E1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37985459">
    <w:abstractNumId w:val="0"/>
  </w:num>
  <w:num w:numId="2" w16cid:durableId="1758137186">
    <w:abstractNumId w:val="2"/>
  </w:num>
  <w:num w:numId="3" w16cid:durableId="12636099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758"/>
    <w:rsid w:val="00054451"/>
    <w:rsid w:val="00070491"/>
    <w:rsid w:val="00237C89"/>
    <w:rsid w:val="00262861"/>
    <w:rsid w:val="005A0F00"/>
    <w:rsid w:val="00925F8A"/>
    <w:rsid w:val="00B4699A"/>
    <w:rsid w:val="00E22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D5E676"/>
  <w15:chartTrackingRefBased/>
  <w15:docId w15:val="{F2E20A09-AE4D-0D45-9D86-262801DEC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22758"/>
    <w:rPr>
      <w:rFonts w:eastAsiaTheme="minorEastAsia"/>
      <w:sz w:val="22"/>
      <w:szCs w:val="22"/>
      <w:lang w:eastAsia="zh-CN"/>
    </w:rPr>
  </w:style>
  <w:style w:type="paragraph" w:styleId="NormalWeb">
    <w:name w:val="Normal (Web)"/>
    <w:basedOn w:val="Normal"/>
    <w:uiPriority w:val="99"/>
    <w:semiHidden/>
    <w:unhideWhenUsed/>
    <w:rsid w:val="00B4699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4699A"/>
    <w:rPr>
      <w:color w:val="0563C1" w:themeColor="hyperlink"/>
      <w:u w:val="single"/>
    </w:rPr>
  </w:style>
  <w:style w:type="character" w:styleId="UnresolvedMention">
    <w:name w:val="Unresolved Mention"/>
    <w:basedOn w:val="DefaultParagraphFont"/>
    <w:uiPriority w:val="99"/>
    <w:semiHidden/>
    <w:unhideWhenUsed/>
    <w:rsid w:val="00B4699A"/>
    <w:rPr>
      <w:color w:val="605E5C"/>
      <w:shd w:val="clear" w:color="auto" w:fill="E1DFDD"/>
    </w:rPr>
  </w:style>
  <w:style w:type="character" w:styleId="FollowedHyperlink">
    <w:name w:val="FollowedHyperlink"/>
    <w:basedOn w:val="DefaultParagraphFont"/>
    <w:uiPriority w:val="99"/>
    <w:semiHidden/>
    <w:unhideWhenUsed/>
    <w:rsid w:val="005A0F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977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4</Pages>
  <Words>1560</Words>
  <Characters>8894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 Ivanova (2219702)</dc:creator>
  <cp:keywords/>
  <dc:description/>
  <cp:lastModifiedBy>Nikol Ivanova (2219702)</cp:lastModifiedBy>
  <cp:revision>1</cp:revision>
  <dcterms:created xsi:type="dcterms:W3CDTF">2023-01-13T22:42:00Z</dcterms:created>
  <dcterms:modified xsi:type="dcterms:W3CDTF">2023-01-13T23:56:00Z</dcterms:modified>
</cp:coreProperties>
</file>