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AD465" w14:textId="6E588DE4" w:rsidR="00A06A36" w:rsidRDefault="00A06A36" w:rsidP="00A06A36">
      <w:pPr>
        <w:jc w:val="center"/>
        <w:rPr>
          <w:i/>
        </w:rPr>
      </w:pPr>
      <w:r w:rsidRPr="00A06A36">
        <w:rPr>
          <w:i/>
        </w:rPr>
        <w:t>How integral was slavery to the society and economy of ancient Rome?</w:t>
      </w:r>
    </w:p>
    <w:p w14:paraId="5648665A" w14:textId="328B74B8" w:rsidR="00A06A36" w:rsidRDefault="00A06A36" w:rsidP="00A06A36">
      <w:pPr>
        <w:jc w:val="center"/>
        <w:rPr>
          <w:i/>
        </w:rPr>
      </w:pPr>
    </w:p>
    <w:p w14:paraId="2B099182" w14:textId="35361401" w:rsidR="00A06A36" w:rsidRDefault="00E93AA2" w:rsidP="00A06A36">
      <w:r>
        <w:t>Slaves formed a</w:t>
      </w:r>
      <w:r w:rsidR="006263F2">
        <w:t>n integral</w:t>
      </w:r>
      <w:r>
        <w:t xml:space="preserve"> part of the Roman population</w:t>
      </w:r>
      <w:r w:rsidR="001A179F">
        <w:rPr>
          <w:rStyle w:val="FootnoteReference"/>
        </w:rPr>
        <w:footnoteReference w:id="1"/>
      </w:r>
      <w:r>
        <w:t xml:space="preserve">. They were the </w:t>
      </w:r>
      <w:r w:rsidR="005A4268">
        <w:t>lowe</w:t>
      </w:r>
      <w:r w:rsidR="006263F2">
        <w:t>st</w:t>
      </w:r>
      <w:r w:rsidR="005A4268">
        <w:t>-class</w:t>
      </w:r>
      <w:r>
        <w:t xml:space="preserve"> citizens who had no choice but to serve under someone else, either due to being brought in as a slave</w:t>
      </w:r>
      <w:r w:rsidR="006263F2">
        <w:t xml:space="preserve"> through warfare, born into it,</w:t>
      </w:r>
      <w:r>
        <w:t xml:space="preserve"> or because they did not have the money to live independently</w:t>
      </w:r>
      <w:r w:rsidR="008623F2">
        <w:rPr>
          <w:rStyle w:val="FootnoteReference"/>
        </w:rPr>
        <w:footnoteReference w:id="2"/>
      </w:r>
      <w:r>
        <w:t xml:space="preserve">. They contributed to both the society and to the economy whilst serving under their masters. To understand this, it is important to break down the different ways </w:t>
      </w:r>
      <w:r w:rsidR="006263F2">
        <w:t xml:space="preserve">in </w:t>
      </w:r>
      <w:r>
        <w:t xml:space="preserve">which they functioned </w:t>
      </w:r>
      <w:r w:rsidR="006263F2">
        <w:t>with</w:t>
      </w:r>
      <w:r>
        <w:t>in the Roman world. It should be known that whilst they were not especially a favoured part of the Roman world, they were integral to the upkeep of the domus and thus the society</w:t>
      </w:r>
      <w:r w:rsidR="006263F2">
        <w:t xml:space="preserve"> as a whole</w:t>
      </w:r>
      <w:r>
        <w:t>.</w:t>
      </w:r>
    </w:p>
    <w:p w14:paraId="10EA9570" w14:textId="45AC86C3" w:rsidR="00E93AA2" w:rsidRDefault="00E93AA2" w:rsidP="00A06A36">
      <w:r>
        <w:t>Slaves were those who did not have freedom, they were brought into slavery because they had no other choice – either due to invasion</w:t>
      </w:r>
      <w:r>
        <w:rPr>
          <w:rStyle w:val="FootnoteReference"/>
        </w:rPr>
        <w:footnoteReference w:id="3"/>
      </w:r>
      <w:r>
        <w:t xml:space="preserve"> or lack of money and a failing household</w:t>
      </w:r>
      <w:r>
        <w:rPr>
          <w:rStyle w:val="FootnoteReference"/>
        </w:rPr>
        <w:footnoteReference w:id="4"/>
      </w:r>
      <w:r>
        <w:t>. A Slave was essentially at the lowest part of the lower strata</w:t>
      </w:r>
      <w:r>
        <w:rPr>
          <w:rStyle w:val="FootnoteReference"/>
        </w:rPr>
        <w:footnoteReference w:id="5"/>
      </w:r>
      <w:r>
        <w:t>. They did not belong to themselves and would likely be treated as such</w:t>
      </w:r>
      <w:r>
        <w:rPr>
          <w:rStyle w:val="FootnoteReference"/>
        </w:rPr>
        <w:footnoteReference w:id="6"/>
      </w:r>
      <w:r>
        <w:t>.</w:t>
      </w:r>
      <w:r w:rsidR="00F20B89">
        <w:t xml:space="preserve"> Often in modern scholarship, such as with Pomeroy and Parkin’s introductions in their sourcebook, we are given the view that slaves were always treated as little more than animals by their masters</w:t>
      </w:r>
      <w:r w:rsidR="00F20B89">
        <w:rPr>
          <w:rStyle w:val="FootnoteReference"/>
        </w:rPr>
        <w:footnoteReference w:id="7"/>
      </w:r>
      <w:r w:rsidR="00F20B89">
        <w:t>. However, this is not necessarily the absolute truth, there are sources, such as in the works of Pliny the Younger which illustrate a more fair and merciful treatment of the slaves</w:t>
      </w:r>
      <w:r w:rsidR="00F20B89">
        <w:rPr>
          <w:rStyle w:val="FootnoteReference"/>
        </w:rPr>
        <w:footnoteReference w:id="8"/>
      </w:r>
      <w:r w:rsidR="00A75ED0">
        <w:t xml:space="preserve"> and a disgust at mistreatment</w:t>
      </w:r>
      <w:r w:rsidR="00A75ED0">
        <w:rPr>
          <w:rStyle w:val="FootnoteReference"/>
        </w:rPr>
        <w:footnoteReference w:id="9"/>
      </w:r>
      <w:r w:rsidR="00F20B89">
        <w:t>.</w:t>
      </w:r>
      <w:r>
        <w:t xml:space="preserve"> </w:t>
      </w:r>
      <w:r w:rsidR="00F20B89">
        <w:t>Whilst the mistreatment of slaves is not frowned upon by others of the upper strata, there is a risk to being unkind</w:t>
      </w:r>
      <w:r w:rsidR="008A0DE6">
        <w:t xml:space="preserve"> in the form of uprising</w:t>
      </w:r>
      <w:r w:rsidR="008A0DE6">
        <w:rPr>
          <w:rStyle w:val="FootnoteReference"/>
        </w:rPr>
        <w:footnoteReference w:id="10"/>
      </w:r>
      <w:r w:rsidR="008A0DE6">
        <w:t xml:space="preserve">. </w:t>
      </w:r>
      <w:r>
        <w:t>However, their low status</w:t>
      </w:r>
      <w:r w:rsidR="00683CC0">
        <w:t xml:space="preserve"> and ill treatment</w:t>
      </w:r>
      <w:r>
        <w:t xml:space="preserve"> was not a </w:t>
      </w:r>
      <w:r w:rsidR="00683CC0">
        <w:t xml:space="preserve">complete </w:t>
      </w:r>
      <w:r>
        <w:t>reflection of how important they were. A slave was integral to the upkeep of even the smallest Roman household due to the severe reliance on them during the time</w:t>
      </w:r>
      <w:r>
        <w:rPr>
          <w:rStyle w:val="FootnoteReference"/>
        </w:rPr>
        <w:footnoteReference w:id="11"/>
      </w:r>
      <w:r>
        <w:t>.</w:t>
      </w:r>
      <w:r w:rsidR="005A4268">
        <w:t xml:space="preserve"> Slaves made up roughly an average of twenty per cent or more of the population of Rome</w:t>
      </w:r>
      <w:r w:rsidR="005A4268">
        <w:rPr>
          <w:rStyle w:val="FootnoteReference"/>
        </w:rPr>
        <w:footnoteReference w:id="12"/>
      </w:r>
      <w:r w:rsidR="005A4268">
        <w:t xml:space="preserve"> and so that was nearly a quarter of the population that were serving people. Rome developed a reliance on slave</w:t>
      </w:r>
      <w:r w:rsidR="006263F2">
        <w:t>s</w:t>
      </w:r>
      <w:r w:rsidR="005A4268">
        <w:t xml:space="preserve"> to help in the upkeep of the domus and become the background workhouse of the household</w:t>
      </w:r>
      <w:r w:rsidR="00E807BF">
        <w:rPr>
          <w:rStyle w:val="FootnoteReference"/>
        </w:rPr>
        <w:footnoteReference w:id="13"/>
      </w:r>
      <w:r w:rsidR="005A4268">
        <w:t xml:space="preserve">. Whilst there were jobs that </w:t>
      </w:r>
      <w:r w:rsidR="008621EB">
        <w:t>t</w:t>
      </w:r>
      <w:r w:rsidR="005A4268">
        <w:t>he other members of a domus did, all the unsavoury or frowned upon tasks would be performed by the slaves</w:t>
      </w:r>
      <w:r w:rsidR="008621EB">
        <w:t xml:space="preserve"> who were deigned as little more than useful labourers by the majority of Roman, slave owning</w:t>
      </w:r>
      <w:r w:rsidR="006263F2">
        <w:t>,</w:t>
      </w:r>
      <w:r w:rsidR="008621EB">
        <w:t xml:space="preserve"> citizens</w:t>
      </w:r>
      <w:r w:rsidR="00E807BF">
        <w:rPr>
          <w:rStyle w:val="FootnoteReference"/>
        </w:rPr>
        <w:footnoteReference w:id="14"/>
      </w:r>
      <w:r w:rsidR="005A4268">
        <w:t xml:space="preserve">. </w:t>
      </w:r>
      <w:r w:rsidR="006263F2">
        <w:t xml:space="preserve">Nobody </w:t>
      </w:r>
      <w:r w:rsidR="00156749">
        <w:t xml:space="preserve">doubts the system of slavery in ancient Rome because </w:t>
      </w:r>
      <w:r w:rsidR="00FA0988">
        <w:t>it</w:t>
      </w:r>
      <w:r w:rsidR="00156749">
        <w:t xml:space="preserve"> was such an integral part of the system used to uphold the entire nation</w:t>
      </w:r>
      <w:r w:rsidR="00156749">
        <w:rPr>
          <w:rStyle w:val="FootnoteReference"/>
        </w:rPr>
        <w:footnoteReference w:id="15"/>
      </w:r>
      <w:r w:rsidR="00156749">
        <w:t xml:space="preserve">. </w:t>
      </w:r>
      <w:r w:rsidR="005A4268">
        <w:t xml:space="preserve"> </w:t>
      </w:r>
      <w:r w:rsidR="008623F2">
        <w:t>It was the belief of manumission which kept them motivated to work because then they could not only be Roman citizens but also become successful and leave their old life behind</w:t>
      </w:r>
      <w:r w:rsidR="008623F2">
        <w:rPr>
          <w:rStyle w:val="FootnoteReference"/>
        </w:rPr>
        <w:footnoteReference w:id="16"/>
      </w:r>
      <w:r w:rsidR="008623F2">
        <w:t>.</w:t>
      </w:r>
      <w:r w:rsidR="00E807BF">
        <w:t xml:space="preserve"> </w:t>
      </w:r>
      <w:r w:rsidR="00704267">
        <w:t xml:space="preserve">Upon manumission, the person could then go on to create their </w:t>
      </w:r>
      <w:r w:rsidR="00704267">
        <w:lastRenderedPageBreak/>
        <w:t>own domus with legitimate offspring, contributing to Rome’s economy through their day jobs and employing their own slaves</w:t>
      </w:r>
      <w:r w:rsidR="00704267">
        <w:rPr>
          <w:rStyle w:val="FootnoteReference"/>
        </w:rPr>
        <w:footnoteReference w:id="17"/>
      </w:r>
      <w:r w:rsidR="00704267">
        <w:t>.</w:t>
      </w:r>
    </w:p>
    <w:p w14:paraId="46C5BC43" w14:textId="60D5E990" w:rsidR="005A4268" w:rsidRDefault="005A4268" w:rsidP="00A06A36">
      <w:r>
        <w:t xml:space="preserve">Whilst these citizens were lesser and generally frowned upon by the average Roman citizen, they </w:t>
      </w:r>
      <w:r w:rsidR="006263F2">
        <w:t>would have</w:t>
      </w:r>
      <w:r>
        <w:t xml:space="preserve"> contribute</w:t>
      </w:r>
      <w:r w:rsidR="006263F2">
        <w:t>d</w:t>
      </w:r>
      <w:r>
        <w:t xml:space="preserve"> to the economy. A slave, like any worker in the modern age, was given pay and a general amount of upkeep by the master. However, whilst they were given a pay</w:t>
      </w:r>
      <w:r w:rsidR="005C0B3E">
        <w:rPr>
          <w:rStyle w:val="FootnoteReference"/>
        </w:rPr>
        <w:footnoteReference w:id="18"/>
      </w:r>
      <w:r>
        <w:t>, a large amount of that pay would not remain theirs. Slaves had to pay an amount to their master</w:t>
      </w:r>
      <w:r w:rsidR="00813CBC">
        <w:t>, any taxes, accommodation (</w:t>
      </w:r>
      <w:r w:rsidR="00A75ED0">
        <w:t>for those</w:t>
      </w:r>
      <w:r w:rsidR="00813CBC">
        <w:t xml:space="preserve"> living outside of the domus) and also for food. This meant that they were left with very little money to save – something which was necessary if they were going to try and buy their own freedom later on. </w:t>
      </w:r>
      <w:r w:rsidR="008623F2">
        <w:t>However, as such, they were contributing to the Roman economy by paying their taxes and such. The different types of slaves also meant that they could contribute more or less to the economy. Because of the reliance on slaves</w:t>
      </w:r>
      <w:r w:rsidR="00C14075">
        <w:t xml:space="preserve"> or semi-free people</w:t>
      </w:r>
      <w:r w:rsidR="008623F2">
        <w:t xml:space="preserve"> for agricultural work and work in mines, th</w:t>
      </w:r>
      <w:r w:rsidR="00C14075">
        <w:t>ere was a large workforce which contributed to the economy by these means</w:t>
      </w:r>
      <w:r w:rsidR="00C14075">
        <w:rPr>
          <w:rStyle w:val="FootnoteReference"/>
        </w:rPr>
        <w:footnoteReference w:id="19"/>
      </w:r>
      <w:r w:rsidR="00C14075">
        <w:t xml:space="preserve">. </w:t>
      </w:r>
      <w:r w:rsidR="004D4F3B">
        <w:t>Slave trade also contributed to the economy, trade</w:t>
      </w:r>
      <w:r w:rsidR="006E5BB9">
        <w:t xml:space="preserve"> in general</w:t>
      </w:r>
      <w:r w:rsidR="004D4F3B">
        <w:t xml:space="preserve"> being a</w:t>
      </w:r>
      <w:r w:rsidR="00156749">
        <w:t>n</w:t>
      </w:r>
      <w:r w:rsidR="004D4F3B">
        <w:t xml:space="preserve"> indicator of a successful </w:t>
      </w:r>
      <w:r w:rsidR="00E807BF">
        <w:t>economy</w:t>
      </w:r>
      <w:r w:rsidR="004D4F3B">
        <w:rPr>
          <w:rStyle w:val="FootnoteReference"/>
        </w:rPr>
        <w:footnoteReference w:id="20"/>
      </w:r>
      <w:r w:rsidR="00E807BF">
        <w:t>.</w:t>
      </w:r>
      <w:r w:rsidR="00704267">
        <w:t xml:space="preserve"> The agricultural economy was especially popular and required a plethora of paid labourers (slaves) in order to run them due to the </w:t>
      </w:r>
      <w:r w:rsidR="0075245B">
        <w:t>labour-intensive</w:t>
      </w:r>
      <w:r w:rsidR="00704267">
        <w:t xml:space="preserve"> jobs which were taking place.</w:t>
      </w:r>
      <w:r w:rsidR="00E807BF">
        <w:t xml:space="preserve"> Their work on agricultural sites and mines also contributed to trade due to the resources which they were harvesting and then trading off</w:t>
      </w:r>
      <w:r w:rsidR="00E807BF">
        <w:rPr>
          <w:rStyle w:val="FootnoteReference"/>
        </w:rPr>
        <w:footnoteReference w:id="21"/>
      </w:r>
      <w:r w:rsidR="00E807BF">
        <w:t>.</w:t>
      </w:r>
      <w:r w:rsidR="006F0010">
        <w:t xml:space="preserve"> Furthermore, owning a lot of slaves was seen as a reflection of one’s economic status due to the money that it cost to purchase slaves and upkeep them</w:t>
      </w:r>
      <w:r w:rsidR="006F0010">
        <w:rPr>
          <w:rStyle w:val="FootnoteReference"/>
        </w:rPr>
        <w:footnoteReference w:id="22"/>
      </w:r>
      <w:r w:rsidR="00704267">
        <w:t>. Through this</w:t>
      </w:r>
      <w:r w:rsidR="006E5BB9">
        <w:t xml:space="preserve"> collection</w:t>
      </w:r>
      <w:r w:rsidR="00704267">
        <w:t xml:space="preserve"> of slaves, a master could then gain more revenue from their slaves</w:t>
      </w:r>
      <w:r w:rsidR="006E5BB9">
        <w:t>,</w:t>
      </w:r>
      <w:r w:rsidR="00BE2A02">
        <w:t xml:space="preserve"> who would likely be rented out to perform tasks for others and could also be working in various sectors within the working world (such as doctors, teachers, agricultural workers etc)</w:t>
      </w:r>
      <w:r w:rsidR="00BE2A02">
        <w:rPr>
          <w:rStyle w:val="FootnoteReference"/>
        </w:rPr>
        <w:footnoteReference w:id="23"/>
      </w:r>
      <w:r w:rsidR="00BE2A02">
        <w:t>. Th</w:t>
      </w:r>
      <w:r w:rsidR="006E5BB9">
        <w:t>r</w:t>
      </w:r>
      <w:r w:rsidR="00BE2A02">
        <w:t>ough evidence, it can thus be inferred that a slave would have been contributing to the Roman economy.</w:t>
      </w:r>
    </w:p>
    <w:p w14:paraId="01189F35" w14:textId="00172FE1" w:rsidR="00BE2A02" w:rsidRDefault="00BE2A02" w:rsidP="00A06A36">
      <w:r>
        <w:t>To conclude, we can deduce that a slave, whilst being a lower-class citizen was integral to the society</w:t>
      </w:r>
      <w:r w:rsidR="00F93CBD">
        <w:t xml:space="preserve"> and the Roman economy. Not only did they serve to boost their master’s status, they functioned as the main labouring force in Roman society. Through their labour, they also contributed to the economy, dealing and providing produce for trades, paying taxes and through their own sale. Without the slave population, it is unlikely that the Roman’s would have thrived as they did.</w:t>
      </w:r>
    </w:p>
    <w:p w14:paraId="149487CF" w14:textId="212AC51A" w:rsidR="00305337" w:rsidRDefault="00305337" w:rsidP="00A06A36"/>
    <w:p w14:paraId="00D840B9" w14:textId="07FA1591" w:rsidR="00305337" w:rsidRDefault="00305337" w:rsidP="00A06A36">
      <w:r>
        <w:t>Word Count: 102</w:t>
      </w:r>
      <w:r w:rsidR="00E85AF4">
        <w:t>7</w:t>
      </w:r>
      <w:bookmarkStart w:id="0" w:name="_GoBack"/>
      <w:bookmarkEnd w:id="0"/>
    </w:p>
    <w:p w14:paraId="13A8DB67" w14:textId="4FF5C094" w:rsidR="006E5BB9" w:rsidRDefault="006E5BB9" w:rsidP="00A06A36"/>
    <w:p w14:paraId="21E9D684" w14:textId="22D75D3F" w:rsidR="006E5BB9" w:rsidRDefault="006E5BB9" w:rsidP="00A06A36"/>
    <w:p w14:paraId="3B2104D1" w14:textId="7CC291FA" w:rsidR="006E5BB9" w:rsidRDefault="006E5BB9" w:rsidP="00A06A36"/>
    <w:p w14:paraId="4F670BAC" w14:textId="3F379608" w:rsidR="006E5BB9" w:rsidRDefault="006E5BB9" w:rsidP="00A06A36"/>
    <w:p w14:paraId="528394DC" w14:textId="1CF2A19A" w:rsidR="006E5BB9" w:rsidRDefault="006E5BB9" w:rsidP="00A06A36"/>
    <w:p w14:paraId="232E5715" w14:textId="43CF74B4" w:rsidR="006E5BB9" w:rsidRDefault="006E5BB9" w:rsidP="00A06A36"/>
    <w:p w14:paraId="08BD0073" w14:textId="607DCBB3" w:rsidR="006E5BB9" w:rsidRDefault="006E5BB9" w:rsidP="00A06A36">
      <w:pPr>
        <w:rPr>
          <w:u w:val="single"/>
        </w:rPr>
      </w:pPr>
      <w:r>
        <w:rPr>
          <w:u w:val="single"/>
        </w:rPr>
        <w:lastRenderedPageBreak/>
        <w:t>Bibliography</w:t>
      </w:r>
    </w:p>
    <w:p w14:paraId="54FC73F5" w14:textId="64F9DE66" w:rsidR="006E5BB9" w:rsidRPr="005C0B3E" w:rsidRDefault="006E5BB9" w:rsidP="00A06A36">
      <w:r>
        <w:t>Hope</w:t>
      </w:r>
      <w:r w:rsidR="00D67524">
        <w:t>, V</w:t>
      </w:r>
      <w:r w:rsidR="00757FC1">
        <w:t xml:space="preserve"> (2000). “Essay </w:t>
      </w:r>
      <w:r w:rsidR="005C0B3E">
        <w:t xml:space="preserve">Five: Status and Identity in the Roman World” in </w:t>
      </w:r>
      <w:r w:rsidR="005C0B3E">
        <w:rPr>
          <w:i/>
        </w:rPr>
        <w:t xml:space="preserve">Experiencing Rome: Culture, Identity and Power in the Roman Empire </w:t>
      </w:r>
      <w:r w:rsidR="005C0B3E">
        <w:t xml:space="preserve">(eds., </w:t>
      </w:r>
      <w:proofErr w:type="spellStart"/>
      <w:r w:rsidR="005C0B3E">
        <w:t>Huskinson</w:t>
      </w:r>
      <w:proofErr w:type="spellEnd"/>
      <w:r w:rsidR="005C0B3E">
        <w:t>, J). Routledge: London. Pp 125-152</w:t>
      </w:r>
    </w:p>
    <w:p w14:paraId="739A1EB3" w14:textId="4B9675F8" w:rsidR="00D67524" w:rsidRPr="00D67524" w:rsidRDefault="00D67524" w:rsidP="00D67524">
      <w:proofErr w:type="spellStart"/>
      <w:r w:rsidRPr="00D67524">
        <w:t>Renger</w:t>
      </w:r>
      <w:proofErr w:type="spellEnd"/>
      <w:r w:rsidRPr="00D67524">
        <w:t>, Johannes (Berlin), Alonso-</w:t>
      </w:r>
      <w:proofErr w:type="spellStart"/>
      <w:r w:rsidRPr="00D67524">
        <w:t>Núñez</w:t>
      </w:r>
      <w:proofErr w:type="spellEnd"/>
      <w:r w:rsidRPr="00D67524">
        <w:t>, José Miguel (Madrid) and W.BR.</w:t>
      </w:r>
      <w:r>
        <w:t xml:space="preserve"> (2006)</w:t>
      </w:r>
      <w:r w:rsidRPr="00D67524">
        <w:t xml:space="preserve"> “Economy”, in: Brill’s New Pauly, Antiquity volumes edited by: Hubert </w:t>
      </w:r>
      <w:proofErr w:type="spellStart"/>
      <w:r w:rsidRPr="00D67524">
        <w:t>Cancik</w:t>
      </w:r>
      <w:proofErr w:type="spellEnd"/>
      <w:r w:rsidRPr="00D67524">
        <w:t xml:space="preserve"> </w:t>
      </w:r>
      <w:proofErr w:type="gramStart"/>
      <w:r w:rsidRPr="00D67524">
        <w:t>and ,</w:t>
      </w:r>
      <w:proofErr w:type="gramEnd"/>
      <w:r w:rsidRPr="00D67524">
        <w:t xml:space="preserve"> Helmuth Schneider, English Edition by: Christine F. Salazar, Classical Tradition volumes edited by: Manfred </w:t>
      </w:r>
      <w:proofErr w:type="spellStart"/>
      <w:r w:rsidRPr="00D67524">
        <w:t>Landfester</w:t>
      </w:r>
      <w:proofErr w:type="spellEnd"/>
      <w:r w:rsidRPr="00D67524">
        <w:t>, English Edition by: Francis G. Gentry. Consulted online on 08 March 2019</w:t>
      </w:r>
    </w:p>
    <w:p w14:paraId="69600668" w14:textId="4324BE02" w:rsidR="006E5BB9" w:rsidRPr="00D67524" w:rsidRDefault="006E5BB9" w:rsidP="00A06A36">
      <w:r>
        <w:t>Parkin</w:t>
      </w:r>
      <w:r w:rsidR="00D67524">
        <w:t xml:space="preserve">, T.G and Pomeroy A.J (2007). </w:t>
      </w:r>
      <w:r w:rsidR="00D67524">
        <w:rPr>
          <w:i/>
        </w:rPr>
        <w:t>Roman Social History, A Sourcebook</w:t>
      </w:r>
      <w:r w:rsidR="00D67524">
        <w:t>. Routledge, Abingdon.</w:t>
      </w:r>
    </w:p>
    <w:p w14:paraId="33B93A37" w14:textId="1DE61985" w:rsidR="006E5BB9" w:rsidRPr="00D67524" w:rsidRDefault="006E5BB9" w:rsidP="00A06A36">
      <w:proofErr w:type="spellStart"/>
      <w:r>
        <w:t>Shumka</w:t>
      </w:r>
      <w:proofErr w:type="spellEnd"/>
      <w:r>
        <w:t xml:space="preserve">, L (2014). “Roman Slavery”, in </w:t>
      </w:r>
      <w:r>
        <w:rPr>
          <w:i/>
        </w:rPr>
        <w:t>Themes in a Roman Society and Culture</w:t>
      </w:r>
      <w:r w:rsidR="00D67524">
        <w:t xml:space="preserve"> (eds., Gibbs, M., Nikolic, M., and </w:t>
      </w:r>
      <w:proofErr w:type="spellStart"/>
      <w:r w:rsidR="00D67524">
        <w:t>Ripat</w:t>
      </w:r>
      <w:proofErr w:type="spellEnd"/>
      <w:r w:rsidR="00D67524">
        <w:t>, P), Oxford: 72-91</w:t>
      </w:r>
    </w:p>
    <w:p w14:paraId="1D16B08A" w14:textId="50F21DDA" w:rsidR="006E5BB9" w:rsidRPr="00D67524" w:rsidRDefault="006E5BB9" w:rsidP="00A06A36">
      <w:r>
        <w:t>Toner</w:t>
      </w:r>
      <w:r w:rsidR="00D67524">
        <w:t xml:space="preserve">, J (2014). Introduction in </w:t>
      </w:r>
      <w:r w:rsidR="00D67524">
        <w:rPr>
          <w:i/>
        </w:rPr>
        <w:t>How to Manage Your Slaves</w:t>
      </w:r>
      <w:r w:rsidR="00D67524">
        <w:t>. Profile Books LTD. London.</w:t>
      </w:r>
    </w:p>
    <w:p w14:paraId="4A585A56" w14:textId="77777777" w:rsidR="006E5BB9" w:rsidRDefault="006E5BB9" w:rsidP="006E5BB9">
      <w:r>
        <w:t>Jeppesen-</w:t>
      </w:r>
      <w:proofErr w:type="spellStart"/>
      <w:r>
        <w:t>Wigelsworth</w:t>
      </w:r>
      <w:proofErr w:type="spellEnd"/>
      <w:r>
        <w:t xml:space="preserve">, A (2014). “The Roman Household”, in </w:t>
      </w:r>
      <w:r>
        <w:rPr>
          <w:i/>
          <w:iCs/>
        </w:rPr>
        <w:t xml:space="preserve">Themes in Roman Society and Culture </w:t>
      </w:r>
      <w:r>
        <w:t xml:space="preserve">(eds., Gibbs, M., Nikolic, M., and </w:t>
      </w:r>
      <w:proofErr w:type="spellStart"/>
      <w:r>
        <w:t>Ripat</w:t>
      </w:r>
      <w:proofErr w:type="spellEnd"/>
      <w:r>
        <w:t>, P.), Oxford: 94-116.</w:t>
      </w:r>
    </w:p>
    <w:p w14:paraId="0AB56FF6" w14:textId="6D94E4BD" w:rsidR="006E5BB9" w:rsidRDefault="006E5BB9" w:rsidP="00A06A36"/>
    <w:p w14:paraId="04182598" w14:textId="4BD01F30" w:rsidR="006E5BB9" w:rsidRDefault="006E5BB9" w:rsidP="00A06A36">
      <w:r>
        <w:rPr>
          <w:u w:val="single"/>
        </w:rPr>
        <w:t>Ancient Sources</w:t>
      </w:r>
    </w:p>
    <w:p w14:paraId="0A494E0E" w14:textId="58A90F58" w:rsidR="006E5BB9" w:rsidRPr="006E5BB9" w:rsidRDefault="006E5BB9" w:rsidP="00A06A36">
      <w:r>
        <w:t xml:space="preserve">Pliny the Younger, </w:t>
      </w:r>
      <w:r>
        <w:rPr>
          <w:i/>
        </w:rPr>
        <w:t>The Letters of Pliny the Younger</w:t>
      </w:r>
      <w:r>
        <w:t xml:space="preserve">. Betty </w:t>
      </w:r>
      <w:proofErr w:type="spellStart"/>
      <w:r>
        <w:t>Radice</w:t>
      </w:r>
      <w:proofErr w:type="spellEnd"/>
      <w:r>
        <w:t xml:space="preserve"> (trans). 1963.</w:t>
      </w:r>
    </w:p>
    <w:p w14:paraId="333D5BEE" w14:textId="645BCBBD" w:rsidR="006E5BB9" w:rsidRPr="006E5BB9" w:rsidRDefault="006E5BB9" w:rsidP="00A06A36">
      <w:r>
        <w:t xml:space="preserve">Marcus </w:t>
      </w:r>
      <w:proofErr w:type="spellStart"/>
      <w:r>
        <w:t>Sidonius</w:t>
      </w:r>
      <w:proofErr w:type="spellEnd"/>
      <w:r>
        <w:t xml:space="preserve"> Falx, </w:t>
      </w:r>
      <w:r>
        <w:rPr>
          <w:i/>
        </w:rPr>
        <w:t xml:space="preserve">How to Manage </w:t>
      </w:r>
      <w:r w:rsidR="00D67524">
        <w:rPr>
          <w:i/>
        </w:rPr>
        <w:t>Y</w:t>
      </w:r>
      <w:r>
        <w:rPr>
          <w:i/>
        </w:rPr>
        <w:t>our Slaves</w:t>
      </w:r>
      <w:r>
        <w:t>. Jerry Toner (trans). 2014</w:t>
      </w:r>
    </w:p>
    <w:sectPr w:rsidR="006E5BB9" w:rsidRPr="006E5B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E76CF" w14:textId="77777777" w:rsidR="00263168" w:rsidRDefault="00263168" w:rsidP="00E93AA2">
      <w:pPr>
        <w:spacing w:after="0" w:line="240" w:lineRule="auto"/>
      </w:pPr>
      <w:r>
        <w:separator/>
      </w:r>
    </w:p>
  </w:endnote>
  <w:endnote w:type="continuationSeparator" w:id="0">
    <w:p w14:paraId="64F9D5FA" w14:textId="77777777" w:rsidR="00263168" w:rsidRDefault="00263168" w:rsidP="00E93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7D943" w14:textId="77777777" w:rsidR="00263168" w:rsidRDefault="00263168" w:rsidP="00E93AA2">
      <w:pPr>
        <w:spacing w:after="0" w:line="240" w:lineRule="auto"/>
      </w:pPr>
      <w:r>
        <w:separator/>
      </w:r>
    </w:p>
  </w:footnote>
  <w:footnote w:type="continuationSeparator" w:id="0">
    <w:p w14:paraId="342C4BB7" w14:textId="77777777" w:rsidR="00263168" w:rsidRDefault="00263168" w:rsidP="00E93AA2">
      <w:pPr>
        <w:spacing w:after="0" w:line="240" w:lineRule="auto"/>
      </w:pPr>
      <w:r>
        <w:continuationSeparator/>
      </w:r>
    </w:p>
  </w:footnote>
  <w:footnote w:id="1">
    <w:p w14:paraId="1EF0D211" w14:textId="0475E06B" w:rsidR="001A179F" w:rsidRDefault="001A179F">
      <w:pPr>
        <w:pStyle w:val="FootnoteText"/>
      </w:pPr>
      <w:r>
        <w:rPr>
          <w:rStyle w:val="FootnoteReference"/>
        </w:rPr>
        <w:footnoteRef/>
      </w:r>
      <w:r>
        <w:t xml:space="preserve"> </w:t>
      </w:r>
      <w:proofErr w:type="spellStart"/>
      <w:r w:rsidR="00B80F96">
        <w:t>Shumka</w:t>
      </w:r>
      <w:proofErr w:type="spellEnd"/>
      <w:r w:rsidR="00B80F96">
        <w:t>. 2014. Pp 74</w:t>
      </w:r>
    </w:p>
  </w:footnote>
  <w:footnote w:id="2">
    <w:p w14:paraId="361BE033" w14:textId="36165129" w:rsidR="008623F2" w:rsidRDefault="008623F2">
      <w:pPr>
        <w:pStyle w:val="FootnoteText"/>
      </w:pPr>
      <w:r>
        <w:rPr>
          <w:rStyle w:val="FootnoteReference"/>
        </w:rPr>
        <w:footnoteRef/>
      </w:r>
      <w:r>
        <w:t xml:space="preserve"> </w:t>
      </w:r>
      <w:proofErr w:type="spellStart"/>
      <w:r w:rsidR="00BE2A02">
        <w:t>Shumka</w:t>
      </w:r>
      <w:proofErr w:type="spellEnd"/>
      <w:r w:rsidR="00BE2A02">
        <w:t>. 2014. Pp 80-81</w:t>
      </w:r>
    </w:p>
  </w:footnote>
  <w:footnote w:id="3">
    <w:p w14:paraId="1B026DD3" w14:textId="6433996D" w:rsidR="00E93AA2" w:rsidRDefault="00E93AA2">
      <w:pPr>
        <w:pStyle w:val="FootnoteText"/>
      </w:pPr>
      <w:r>
        <w:rPr>
          <w:rStyle w:val="FootnoteReference"/>
        </w:rPr>
        <w:footnoteRef/>
      </w:r>
      <w:r>
        <w:t xml:space="preserve"> </w:t>
      </w:r>
      <w:proofErr w:type="spellStart"/>
      <w:r w:rsidR="00E51F6C">
        <w:t>Shumka</w:t>
      </w:r>
      <w:proofErr w:type="spellEnd"/>
      <w:r w:rsidR="00E51F6C">
        <w:t>. 2014. Pp 79</w:t>
      </w:r>
    </w:p>
  </w:footnote>
  <w:footnote w:id="4">
    <w:p w14:paraId="17029E7E" w14:textId="5311864B" w:rsidR="00E93AA2" w:rsidRDefault="00E93AA2">
      <w:pPr>
        <w:pStyle w:val="FootnoteText"/>
      </w:pPr>
      <w:r>
        <w:rPr>
          <w:rStyle w:val="FootnoteReference"/>
        </w:rPr>
        <w:footnoteRef/>
      </w:r>
      <w:r>
        <w:t xml:space="preserve"> </w:t>
      </w:r>
      <w:proofErr w:type="spellStart"/>
      <w:r w:rsidR="00E51F6C">
        <w:t>Shumka</w:t>
      </w:r>
      <w:proofErr w:type="spellEnd"/>
      <w:r w:rsidR="00E51F6C">
        <w:t xml:space="preserve">. 2014. Pp </w:t>
      </w:r>
      <w:r w:rsidR="00E51F6C">
        <w:t>80-81</w:t>
      </w:r>
    </w:p>
  </w:footnote>
  <w:footnote w:id="5">
    <w:p w14:paraId="39E474E2" w14:textId="50ECA1B3" w:rsidR="00E93AA2" w:rsidRDefault="00E93AA2">
      <w:pPr>
        <w:pStyle w:val="FootnoteText"/>
      </w:pPr>
      <w:r>
        <w:rPr>
          <w:rStyle w:val="FootnoteReference"/>
        </w:rPr>
        <w:footnoteRef/>
      </w:r>
      <w:r>
        <w:t xml:space="preserve"> </w:t>
      </w:r>
      <w:r w:rsidR="00E51F6C">
        <w:t>Parkin and Pomeroy. 2007.</w:t>
      </w:r>
      <w:r w:rsidR="00E51F6C">
        <w:t xml:space="preserve"> </w:t>
      </w:r>
      <w:r w:rsidR="00BE2A02">
        <w:t xml:space="preserve">Pp </w:t>
      </w:r>
      <w:r w:rsidR="00E51F6C">
        <w:t>154</w:t>
      </w:r>
    </w:p>
  </w:footnote>
  <w:footnote w:id="6">
    <w:p w14:paraId="74A1B0E5" w14:textId="4C5B31F1" w:rsidR="00E93AA2" w:rsidRDefault="00E93AA2">
      <w:pPr>
        <w:pStyle w:val="FootnoteText"/>
      </w:pPr>
      <w:r>
        <w:rPr>
          <w:rStyle w:val="FootnoteReference"/>
        </w:rPr>
        <w:footnoteRef/>
      </w:r>
      <w:r>
        <w:t xml:space="preserve"> </w:t>
      </w:r>
      <w:r w:rsidR="00156749">
        <w:t xml:space="preserve">Marcus </w:t>
      </w:r>
      <w:proofErr w:type="spellStart"/>
      <w:r w:rsidR="00156749">
        <w:t>Sidonius</w:t>
      </w:r>
      <w:proofErr w:type="spellEnd"/>
      <w:r w:rsidR="00156749">
        <w:t xml:space="preserve"> Falx. How to Manage Your Slaves. Pp 55</w:t>
      </w:r>
    </w:p>
  </w:footnote>
  <w:footnote w:id="7">
    <w:p w14:paraId="43B3C7D6" w14:textId="6027A375" w:rsidR="00F20B89" w:rsidRDefault="00F20B89">
      <w:pPr>
        <w:pStyle w:val="FootnoteText"/>
      </w:pPr>
      <w:r>
        <w:rPr>
          <w:rStyle w:val="FootnoteReference"/>
        </w:rPr>
        <w:footnoteRef/>
      </w:r>
      <w:r>
        <w:t xml:space="preserve"> </w:t>
      </w:r>
      <w:r>
        <w:t xml:space="preserve">Parkin and Pomeroy. 2007. </w:t>
      </w:r>
      <w:r w:rsidR="00BE2A02">
        <w:t xml:space="preserve">Pp </w:t>
      </w:r>
      <w:r>
        <w:t>154</w:t>
      </w:r>
    </w:p>
  </w:footnote>
  <w:footnote w:id="8">
    <w:p w14:paraId="69EF24B0" w14:textId="1417B06E" w:rsidR="00F20B89" w:rsidRPr="006263F2" w:rsidRDefault="00F20B89">
      <w:pPr>
        <w:pStyle w:val="FootnoteText"/>
        <w:rPr>
          <w:b/>
        </w:rPr>
      </w:pPr>
      <w:r>
        <w:rPr>
          <w:rStyle w:val="FootnoteReference"/>
        </w:rPr>
        <w:footnoteRef/>
      </w:r>
      <w:r>
        <w:t xml:space="preserve"> </w:t>
      </w:r>
      <w:r w:rsidR="00462E88">
        <w:t>Pliny the Younger. Letters 5.19</w:t>
      </w:r>
      <w:r w:rsidR="00A75ED0">
        <w:t>.</w:t>
      </w:r>
    </w:p>
  </w:footnote>
  <w:footnote w:id="9">
    <w:p w14:paraId="06BAD2F7" w14:textId="373B9AB9" w:rsidR="00A75ED0" w:rsidRDefault="00A75ED0">
      <w:pPr>
        <w:pStyle w:val="FootnoteText"/>
      </w:pPr>
      <w:r>
        <w:rPr>
          <w:rStyle w:val="FootnoteReference"/>
        </w:rPr>
        <w:footnoteRef/>
      </w:r>
      <w:r>
        <w:t xml:space="preserve"> </w:t>
      </w:r>
      <w:r>
        <w:t xml:space="preserve">Pliny the Younger. Letters </w:t>
      </w:r>
      <w:r>
        <w:t>8.16</w:t>
      </w:r>
    </w:p>
  </w:footnote>
  <w:footnote w:id="10">
    <w:p w14:paraId="5D786196" w14:textId="6BD823C8" w:rsidR="008A0DE6" w:rsidRDefault="008A0DE6">
      <w:pPr>
        <w:pStyle w:val="FootnoteText"/>
      </w:pPr>
      <w:r>
        <w:rPr>
          <w:rStyle w:val="FootnoteReference"/>
        </w:rPr>
        <w:footnoteRef/>
      </w:r>
      <w:r>
        <w:t xml:space="preserve"> Pliny the Younger. Letters 3.14. </w:t>
      </w:r>
    </w:p>
  </w:footnote>
  <w:footnote w:id="11">
    <w:p w14:paraId="3089FCD0" w14:textId="2227C53A" w:rsidR="00E93AA2" w:rsidRPr="00BE2A02" w:rsidRDefault="00E93AA2">
      <w:pPr>
        <w:pStyle w:val="FootnoteText"/>
      </w:pPr>
      <w:r>
        <w:rPr>
          <w:rStyle w:val="FootnoteReference"/>
        </w:rPr>
        <w:footnoteRef/>
      </w:r>
      <w:r>
        <w:t xml:space="preserve"> </w:t>
      </w:r>
      <w:r w:rsidR="00BE2A02">
        <w:t>Jeppesen-</w:t>
      </w:r>
      <w:proofErr w:type="spellStart"/>
      <w:r w:rsidR="00BE2A02">
        <w:t>Wigelsworth</w:t>
      </w:r>
      <w:proofErr w:type="spellEnd"/>
      <w:r w:rsidR="00BE2A02">
        <w:t>. 2014. Pp 107</w:t>
      </w:r>
    </w:p>
  </w:footnote>
  <w:footnote w:id="12">
    <w:p w14:paraId="1F3AEEB4" w14:textId="58A66F47" w:rsidR="005A4268" w:rsidRDefault="005A4268">
      <w:pPr>
        <w:pStyle w:val="FootnoteText"/>
      </w:pPr>
      <w:r>
        <w:rPr>
          <w:rStyle w:val="FootnoteReference"/>
        </w:rPr>
        <w:footnoteRef/>
      </w:r>
      <w:r>
        <w:t xml:space="preserve"> </w:t>
      </w:r>
      <w:proofErr w:type="spellStart"/>
      <w:r>
        <w:t>Shumka</w:t>
      </w:r>
      <w:proofErr w:type="spellEnd"/>
      <w:r>
        <w:t>. 2014.</w:t>
      </w:r>
      <w:r w:rsidR="00156749">
        <w:t xml:space="preserve"> Pp</w:t>
      </w:r>
      <w:r>
        <w:t xml:space="preserve"> 74</w:t>
      </w:r>
    </w:p>
  </w:footnote>
  <w:footnote w:id="13">
    <w:p w14:paraId="4492C236" w14:textId="0A9B09F9" w:rsidR="00E807BF" w:rsidRPr="00BE2A02" w:rsidRDefault="00E807BF">
      <w:pPr>
        <w:pStyle w:val="FootnoteText"/>
        <w:rPr>
          <w:b/>
        </w:rPr>
      </w:pPr>
      <w:r>
        <w:rPr>
          <w:rStyle w:val="FootnoteReference"/>
        </w:rPr>
        <w:footnoteRef/>
      </w:r>
      <w:r>
        <w:t xml:space="preserve"> </w:t>
      </w:r>
      <w:r w:rsidR="00BE2A02">
        <w:t>Jeppesen-</w:t>
      </w:r>
      <w:proofErr w:type="spellStart"/>
      <w:r w:rsidR="00BE2A02">
        <w:t>Wigelsworth</w:t>
      </w:r>
      <w:proofErr w:type="spellEnd"/>
      <w:r w:rsidR="00BE2A02">
        <w:t>. 2014. Pp 107</w:t>
      </w:r>
    </w:p>
  </w:footnote>
  <w:footnote w:id="14">
    <w:p w14:paraId="2CDBCED8" w14:textId="5918851A" w:rsidR="00E807BF" w:rsidRDefault="00E807BF">
      <w:pPr>
        <w:pStyle w:val="FootnoteText"/>
      </w:pPr>
      <w:r>
        <w:rPr>
          <w:rStyle w:val="FootnoteReference"/>
        </w:rPr>
        <w:footnoteRef/>
      </w:r>
      <w:r>
        <w:t xml:space="preserve"> </w:t>
      </w:r>
      <w:r w:rsidR="008621EB">
        <w:t>Hope. 2000. Pp 128</w:t>
      </w:r>
    </w:p>
  </w:footnote>
  <w:footnote w:id="15">
    <w:p w14:paraId="517C5545" w14:textId="62706C2D" w:rsidR="00156749" w:rsidRDefault="00156749">
      <w:pPr>
        <w:pStyle w:val="FootnoteText"/>
      </w:pPr>
      <w:r>
        <w:rPr>
          <w:rStyle w:val="FootnoteReference"/>
        </w:rPr>
        <w:footnoteRef/>
      </w:r>
      <w:r>
        <w:t xml:space="preserve"> Toner. 2014. XIII</w:t>
      </w:r>
    </w:p>
  </w:footnote>
  <w:footnote w:id="16">
    <w:p w14:paraId="0D239E2E" w14:textId="70B22A9B" w:rsidR="008623F2" w:rsidRDefault="008623F2">
      <w:pPr>
        <w:pStyle w:val="FootnoteText"/>
      </w:pPr>
      <w:r>
        <w:rPr>
          <w:rStyle w:val="FootnoteReference"/>
        </w:rPr>
        <w:footnoteRef/>
      </w:r>
      <w:r>
        <w:t xml:space="preserve"> </w:t>
      </w:r>
      <w:proofErr w:type="spellStart"/>
      <w:r>
        <w:t>Shumka</w:t>
      </w:r>
      <w:proofErr w:type="spellEnd"/>
      <w:r>
        <w:t xml:space="preserve">. 2014. </w:t>
      </w:r>
      <w:r w:rsidR="00156749">
        <w:t xml:space="preserve">Pp </w:t>
      </w:r>
      <w:r>
        <w:t>91</w:t>
      </w:r>
    </w:p>
  </w:footnote>
  <w:footnote w:id="17">
    <w:p w14:paraId="6B5FB3F6" w14:textId="25950356" w:rsidR="00704267" w:rsidRDefault="00704267">
      <w:pPr>
        <w:pStyle w:val="FootnoteText"/>
      </w:pPr>
      <w:r>
        <w:rPr>
          <w:rStyle w:val="FootnoteReference"/>
        </w:rPr>
        <w:footnoteRef/>
      </w:r>
      <w:r>
        <w:t xml:space="preserve"> </w:t>
      </w:r>
      <w:r>
        <w:t>Hope. 2000. Pp 12</w:t>
      </w:r>
      <w:r>
        <w:t>9</w:t>
      </w:r>
    </w:p>
  </w:footnote>
  <w:footnote w:id="18">
    <w:p w14:paraId="096E127B" w14:textId="63F814FD" w:rsidR="005C0B3E" w:rsidRDefault="005C0B3E">
      <w:pPr>
        <w:pStyle w:val="FootnoteText"/>
      </w:pPr>
      <w:r>
        <w:rPr>
          <w:rStyle w:val="FootnoteReference"/>
        </w:rPr>
        <w:footnoteRef/>
      </w:r>
      <w:r>
        <w:t xml:space="preserve"> Corpus </w:t>
      </w:r>
      <w:proofErr w:type="spellStart"/>
      <w:r>
        <w:t>Papyrorus</w:t>
      </w:r>
      <w:proofErr w:type="spellEnd"/>
      <w:r>
        <w:t xml:space="preserve"> </w:t>
      </w:r>
      <w:proofErr w:type="spellStart"/>
      <w:r>
        <w:t>Graecarum</w:t>
      </w:r>
      <w:proofErr w:type="spellEnd"/>
      <w:r>
        <w:t>. 1.11</w:t>
      </w:r>
    </w:p>
  </w:footnote>
  <w:footnote w:id="19">
    <w:p w14:paraId="589E99E9" w14:textId="5E55EA5C" w:rsidR="00C14075" w:rsidRDefault="00C14075">
      <w:pPr>
        <w:pStyle w:val="FootnoteText"/>
      </w:pPr>
      <w:r>
        <w:rPr>
          <w:rStyle w:val="FootnoteReference"/>
        </w:rPr>
        <w:footnoteRef/>
      </w:r>
      <w:r>
        <w:t xml:space="preserve"> </w:t>
      </w:r>
      <w:r w:rsidR="00625B37">
        <w:t>Miguel</w:t>
      </w:r>
      <w:r w:rsidR="004D4F3B">
        <w:t xml:space="preserve"> and </w:t>
      </w:r>
      <w:proofErr w:type="spellStart"/>
      <w:r w:rsidR="004D4F3B" w:rsidRPr="00625B37">
        <w:rPr>
          <w:color w:val="222222"/>
        </w:rPr>
        <w:t>Núñez</w:t>
      </w:r>
      <w:proofErr w:type="spellEnd"/>
      <w:r w:rsidR="004D4F3B">
        <w:rPr>
          <w:color w:val="222222"/>
        </w:rPr>
        <w:t>. 2006.</w:t>
      </w:r>
    </w:p>
  </w:footnote>
  <w:footnote w:id="20">
    <w:p w14:paraId="6C23465F" w14:textId="7BFC4426" w:rsidR="004D4F3B" w:rsidRDefault="004D4F3B">
      <w:pPr>
        <w:pStyle w:val="FootnoteText"/>
      </w:pPr>
      <w:r>
        <w:rPr>
          <w:rStyle w:val="FootnoteReference"/>
        </w:rPr>
        <w:footnoteRef/>
      </w:r>
      <w:r>
        <w:t xml:space="preserve"> </w:t>
      </w:r>
      <w:r w:rsidR="00A91579">
        <w:t xml:space="preserve">Miguel and </w:t>
      </w:r>
      <w:proofErr w:type="spellStart"/>
      <w:r w:rsidR="00A91579" w:rsidRPr="00625B37">
        <w:rPr>
          <w:color w:val="222222"/>
        </w:rPr>
        <w:t>Núñez</w:t>
      </w:r>
      <w:proofErr w:type="spellEnd"/>
      <w:r w:rsidR="00A91579">
        <w:rPr>
          <w:color w:val="222222"/>
        </w:rPr>
        <w:t>. 2006</w:t>
      </w:r>
    </w:p>
  </w:footnote>
  <w:footnote w:id="21">
    <w:p w14:paraId="5E30C73A" w14:textId="6E319575" w:rsidR="00E807BF" w:rsidRDefault="00E807BF">
      <w:pPr>
        <w:pStyle w:val="FootnoteText"/>
      </w:pPr>
      <w:r>
        <w:rPr>
          <w:rStyle w:val="FootnoteReference"/>
        </w:rPr>
        <w:footnoteRef/>
      </w:r>
      <w:r>
        <w:t xml:space="preserve"> Parkin and Pomeroy. 2007. 247.</w:t>
      </w:r>
    </w:p>
  </w:footnote>
  <w:footnote w:id="22">
    <w:p w14:paraId="43F2D6FC" w14:textId="589FF07B" w:rsidR="006F0010" w:rsidRDefault="006F0010">
      <w:pPr>
        <w:pStyle w:val="FootnoteText"/>
      </w:pPr>
      <w:r>
        <w:rPr>
          <w:rStyle w:val="FootnoteReference"/>
        </w:rPr>
        <w:footnoteRef/>
      </w:r>
      <w:r>
        <w:t xml:space="preserve"> </w:t>
      </w:r>
      <w:r w:rsidR="00BE2A02">
        <w:t xml:space="preserve">Parkin and Pomeroy. 2007. </w:t>
      </w:r>
      <w:r w:rsidR="00BE2A02">
        <w:t>155.</w:t>
      </w:r>
    </w:p>
  </w:footnote>
  <w:footnote w:id="23">
    <w:p w14:paraId="439F6A45" w14:textId="1A057005" w:rsidR="00BE2A02" w:rsidRDefault="00BE2A02">
      <w:pPr>
        <w:pStyle w:val="FootnoteText"/>
      </w:pPr>
      <w:r>
        <w:rPr>
          <w:rStyle w:val="FootnoteReference"/>
        </w:rPr>
        <w:footnoteRef/>
      </w:r>
      <w:r>
        <w:t xml:space="preserve"> </w:t>
      </w:r>
      <w:r>
        <w:t xml:space="preserve">Parkin and Pomeroy. 2007. </w:t>
      </w:r>
      <w:r>
        <w:t>157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A36"/>
    <w:rsid w:val="0014232E"/>
    <w:rsid w:val="00156749"/>
    <w:rsid w:val="001A179F"/>
    <w:rsid w:val="00257013"/>
    <w:rsid w:val="00263168"/>
    <w:rsid w:val="00305337"/>
    <w:rsid w:val="00462E88"/>
    <w:rsid w:val="004D4F3B"/>
    <w:rsid w:val="005A4268"/>
    <w:rsid w:val="005C0B3E"/>
    <w:rsid w:val="00625B37"/>
    <w:rsid w:val="006263F2"/>
    <w:rsid w:val="00683CC0"/>
    <w:rsid w:val="006E5BB9"/>
    <w:rsid w:val="006F0010"/>
    <w:rsid w:val="00704267"/>
    <w:rsid w:val="0075245B"/>
    <w:rsid w:val="00757FC1"/>
    <w:rsid w:val="00813CBC"/>
    <w:rsid w:val="008621EB"/>
    <w:rsid w:val="008623F2"/>
    <w:rsid w:val="008A0DE6"/>
    <w:rsid w:val="008A77A1"/>
    <w:rsid w:val="00A06A36"/>
    <w:rsid w:val="00A75ED0"/>
    <w:rsid w:val="00A91579"/>
    <w:rsid w:val="00B80F96"/>
    <w:rsid w:val="00BE2A02"/>
    <w:rsid w:val="00C14075"/>
    <w:rsid w:val="00D67524"/>
    <w:rsid w:val="00E51F6C"/>
    <w:rsid w:val="00E807BF"/>
    <w:rsid w:val="00E85AF4"/>
    <w:rsid w:val="00E93AA2"/>
    <w:rsid w:val="00F20B89"/>
    <w:rsid w:val="00F93CBD"/>
    <w:rsid w:val="00FA0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3E6AE"/>
  <w15:chartTrackingRefBased/>
  <w15:docId w15:val="{9E86C0E1-1102-44CD-A36C-55BD8C29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6A36"/>
    <w:rPr>
      <w:color w:val="0000FF"/>
      <w:u w:val="single"/>
    </w:rPr>
  </w:style>
  <w:style w:type="paragraph" w:styleId="FootnoteText">
    <w:name w:val="footnote text"/>
    <w:basedOn w:val="Normal"/>
    <w:link w:val="FootnoteTextChar"/>
    <w:uiPriority w:val="99"/>
    <w:semiHidden/>
    <w:unhideWhenUsed/>
    <w:rsid w:val="00E93A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AA2"/>
    <w:rPr>
      <w:sz w:val="20"/>
      <w:szCs w:val="20"/>
    </w:rPr>
  </w:style>
  <w:style w:type="character" w:styleId="FootnoteReference">
    <w:name w:val="footnote reference"/>
    <w:basedOn w:val="DefaultParagraphFont"/>
    <w:uiPriority w:val="99"/>
    <w:semiHidden/>
    <w:unhideWhenUsed/>
    <w:rsid w:val="00E93AA2"/>
    <w:rPr>
      <w:vertAlign w:val="superscript"/>
    </w:rPr>
  </w:style>
  <w:style w:type="character" w:customStyle="1" w:styleId="citationitalic">
    <w:name w:val="citationitalic"/>
    <w:basedOn w:val="DefaultParagraphFont"/>
    <w:rsid w:val="00D67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343658">
      <w:bodyDiv w:val="1"/>
      <w:marLeft w:val="0"/>
      <w:marRight w:val="0"/>
      <w:marTop w:val="0"/>
      <w:marBottom w:val="0"/>
      <w:divBdr>
        <w:top w:val="none" w:sz="0" w:space="0" w:color="auto"/>
        <w:left w:val="none" w:sz="0" w:space="0" w:color="auto"/>
        <w:bottom w:val="none" w:sz="0" w:space="0" w:color="auto"/>
        <w:right w:val="none" w:sz="0" w:space="0" w:color="auto"/>
      </w:divBdr>
    </w:div>
    <w:div w:id="1240167509">
      <w:bodyDiv w:val="1"/>
      <w:marLeft w:val="0"/>
      <w:marRight w:val="0"/>
      <w:marTop w:val="0"/>
      <w:marBottom w:val="0"/>
      <w:divBdr>
        <w:top w:val="none" w:sz="0" w:space="0" w:color="auto"/>
        <w:left w:val="none" w:sz="0" w:space="0" w:color="auto"/>
        <w:bottom w:val="none" w:sz="0" w:space="0" w:color="auto"/>
        <w:right w:val="none" w:sz="0" w:space="0" w:color="auto"/>
      </w:divBdr>
      <w:divsChild>
        <w:div w:id="1248609122">
          <w:marLeft w:val="0"/>
          <w:marRight w:val="0"/>
          <w:marTop w:val="0"/>
          <w:marBottom w:val="0"/>
          <w:divBdr>
            <w:top w:val="none" w:sz="0" w:space="0" w:color="auto"/>
            <w:left w:val="none" w:sz="0" w:space="0" w:color="auto"/>
            <w:bottom w:val="none" w:sz="0" w:space="0" w:color="auto"/>
            <w:right w:val="none" w:sz="0" w:space="0" w:color="auto"/>
          </w:divBdr>
        </w:div>
        <w:div w:id="725378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DA1E5D-8A89-4B4B-BC3E-CDEB40E98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16</cp:revision>
  <dcterms:created xsi:type="dcterms:W3CDTF">2019-03-08T10:02:00Z</dcterms:created>
  <dcterms:modified xsi:type="dcterms:W3CDTF">2019-03-08T14:55:00Z</dcterms:modified>
</cp:coreProperties>
</file>