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00000001" w14:textId="26005615" w:rsidR="001213DB" w:rsidRDefault="001213DB">
      <w:pPr>
        <w:spacing w:line="480" w:lineRule="auto"/>
        <w:ind w:left="-180"/>
        <w:jc w:val="center"/>
        <w:rPr>
          <w:rFonts w:ascii="Times New Roman" w:eastAsia="Times New Roman" w:hAnsi="Times New Roman" w:cs="Times New Roman"/>
          <w:b/>
          <w:sz w:val="32"/>
          <w:szCs w:val="32"/>
        </w:rPr>
      </w:pPr>
    </w:p>
    <w:p w14:paraId="1E57F345" w14:textId="39156B78" w:rsidR="007545B3" w:rsidRDefault="00200E62" w:rsidP="00200E62">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7545B3">
        <w:rPr>
          <w:noProof/>
        </w:rPr>
        <w:drawing>
          <wp:inline distT="0" distB="0" distL="0" distR="0" wp14:anchorId="05C8BB7B" wp14:editId="1A65AEE1">
            <wp:extent cx="5943600" cy="2974340"/>
            <wp:effectExtent l="0" t="0" r="0" b="0"/>
            <wp:docPr id="2025179795"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2974340"/>
                    </a:xfrm>
                    <a:prstGeom prst="rect">
                      <a:avLst/>
                    </a:prstGeom>
                    <a:noFill/>
                    <a:ln>
                      <a:noFill/>
                    </a:ln>
                  </pic:spPr>
                </pic:pic>
              </a:graphicData>
            </a:graphic>
          </wp:inline>
        </w:drawing>
      </w:r>
    </w:p>
    <w:p w14:paraId="6E4B5DD4" w14:textId="77777777" w:rsidR="007545B3" w:rsidRDefault="007545B3" w:rsidP="00200E62">
      <w:pPr>
        <w:spacing w:line="360" w:lineRule="auto"/>
        <w:rPr>
          <w:rFonts w:ascii="Times New Roman" w:eastAsia="Times New Roman" w:hAnsi="Times New Roman" w:cs="Times New Roman"/>
          <w:b/>
          <w:sz w:val="32"/>
          <w:szCs w:val="32"/>
        </w:rPr>
      </w:pPr>
    </w:p>
    <w:p w14:paraId="199256E7" w14:textId="062A2364" w:rsidR="00B836F1" w:rsidRPr="007545B3" w:rsidRDefault="007545B3" w:rsidP="00200E62">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BF550F">
        <w:rPr>
          <w:rFonts w:ascii="Times New Roman" w:eastAsia="Times New Roman" w:hAnsi="Times New Roman" w:cs="Times New Roman"/>
          <w:b/>
          <w:sz w:val="32"/>
          <w:szCs w:val="32"/>
        </w:rPr>
        <w:t xml:space="preserve">             </w:t>
      </w:r>
      <w:r w:rsidR="00B836F1">
        <w:rPr>
          <w:rFonts w:ascii="Times New Roman" w:eastAsia="Times New Roman" w:hAnsi="Times New Roman" w:cs="Times New Roman"/>
          <w:b/>
          <w:sz w:val="36"/>
          <w:szCs w:val="36"/>
        </w:rPr>
        <w:t>LCMB7003-</w:t>
      </w:r>
      <w:r w:rsidR="00885A46">
        <w:rPr>
          <w:rFonts w:ascii="Times New Roman" w:eastAsia="Times New Roman" w:hAnsi="Times New Roman" w:cs="Times New Roman"/>
          <w:b/>
          <w:sz w:val="36"/>
          <w:szCs w:val="36"/>
        </w:rPr>
        <w:t>Strategic Management</w:t>
      </w:r>
    </w:p>
    <w:p w14:paraId="26E445F8" w14:textId="1FFCBCF5" w:rsidR="00200E62" w:rsidRDefault="00200E62" w:rsidP="00200E62">
      <w:pPr>
        <w:spacing w:line="360" w:lineRule="auto"/>
        <w:rPr>
          <w:rFonts w:ascii="Times New Roman" w:eastAsia="Segoe UI Emoji" w:hAnsi="Times New Roman" w:cs="Times New Roman"/>
          <w:bCs/>
          <w:i/>
          <w:iCs/>
          <w:sz w:val="24"/>
          <w:szCs w:val="24"/>
        </w:rPr>
      </w:pPr>
      <w:r>
        <w:rPr>
          <w:rFonts w:ascii="Times New Roman" w:eastAsia="Times New Roman" w:hAnsi="Times New Roman" w:cs="Times New Roman"/>
          <w:b/>
          <w:sz w:val="36"/>
          <w:szCs w:val="36"/>
        </w:rPr>
        <w:t xml:space="preserve">                            </w:t>
      </w:r>
      <w:r w:rsidRPr="00055EB2">
        <w:rPr>
          <w:rFonts w:ascii="Times New Roman" w:eastAsia="Times New Roman" w:hAnsi="Times New Roman" w:cs="Times New Roman"/>
          <w:bCs/>
          <w:i/>
          <w:iCs/>
          <w:sz w:val="24"/>
          <w:szCs w:val="24"/>
        </w:rPr>
        <w:t>Student Name:</w:t>
      </w:r>
      <w:r>
        <w:rPr>
          <w:rFonts w:ascii="Times New Roman" w:eastAsia="Times New Roman" w:hAnsi="Times New Roman" w:cs="Times New Roman"/>
          <w:bCs/>
          <w:i/>
          <w:iCs/>
          <w:sz w:val="24"/>
          <w:szCs w:val="24"/>
        </w:rPr>
        <w:t xml:space="preserve"> Apoorv Gupta</w:t>
      </w:r>
      <w:r w:rsidRPr="00055EB2">
        <w:rPr>
          <w:rFonts w:ascii="Times New Roman" w:eastAsia="Times New Roman" w:hAnsi="Times New Roman" w:cs="Times New Roman"/>
          <w:bCs/>
          <w:i/>
          <w:iCs/>
          <w:sz w:val="24"/>
          <w:szCs w:val="24"/>
        </w:rPr>
        <w:br/>
      </w:r>
      <w:r>
        <w:rPr>
          <w:rFonts w:ascii="Times New Roman" w:eastAsia="Times New Roman" w:hAnsi="Times New Roman" w:cs="Times New Roman"/>
          <w:bCs/>
          <w:i/>
          <w:iCs/>
          <w:sz w:val="24"/>
          <w:szCs w:val="24"/>
        </w:rPr>
        <w:t xml:space="preserve">                                          </w:t>
      </w:r>
      <w:r w:rsidRPr="00055EB2">
        <w:rPr>
          <w:rFonts w:ascii="Times New Roman" w:eastAsia="Times New Roman" w:hAnsi="Times New Roman" w:cs="Times New Roman"/>
          <w:bCs/>
          <w:i/>
          <w:iCs/>
          <w:sz w:val="24"/>
          <w:szCs w:val="24"/>
        </w:rPr>
        <w:t>Student ID:</w:t>
      </w:r>
      <w:r>
        <w:rPr>
          <w:rFonts w:ascii="Times New Roman" w:eastAsia="Times New Roman" w:hAnsi="Times New Roman" w:cs="Times New Roman"/>
          <w:bCs/>
          <w:i/>
          <w:iCs/>
          <w:sz w:val="24"/>
          <w:szCs w:val="24"/>
        </w:rPr>
        <w:t>2309982</w:t>
      </w:r>
      <w:r w:rsidRPr="00055EB2">
        <w:rPr>
          <w:rFonts w:ascii="Times New Roman" w:eastAsia="Times New Roman" w:hAnsi="Times New Roman" w:cs="Times New Roman"/>
          <w:bCs/>
          <w:i/>
          <w:iCs/>
          <w:sz w:val="24"/>
          <w:szCs w:val="24"/>
        </w:rPr>
        <w:br/>
      </w:r>
      <w:r>
        <w:rPr>
          <w:rFonts w:ascii="Times New Roman" w:eastAsia="Times New Roman" w:hAnsi="Times New Roman" w:cs="Times New Roman"/>
          <w:bCs/>
          <w:i/>
          <w:iCs/>
          <w:sz w:val="24"/>
          <w:szCs w:val="24"/>
        </w:rPr>
        <w:t xml:space="preserve">                                         </w:t>
      </w:r>
      <w:r w:rsidRPr="00055EB2">
        <w:rPr>
          <w:rFonts w:ascii="Times New Roman" w:eastAsia="Times New Roman" w:hAnsi="Times New Roman" w:cs="Times New Roman"/>
          <w:bCs/>
          <w:i/>
          <w:iCs/>
          <w:sz w:val="24"/>
          <w:szCs w:val="24"/>
        </w:rPr>
        <w:t>Subject Name</w:t>
      </w:r>
      <w:r>
        <w:rPr>
          <w:rFonts w:ascii="Times New Roman" w:eastAsia="Times New Roman" w:hAnsi="Times New Roman" w:cs="Times New Roman"/>
          <w:bCs/>
          <w:i/>
          <w:iCs/>
          <w:sz w:val="24"/>
          <w:szCs w:val="24"/>
        </w:rPr>
        <w:t xml:space="preserve">: </w:t>
      </w:r>
      <w:r w:rsidR="00885A46">
        <w:rPr>
          <w:rFonts w:ascii="Times New Roman" w:eastAsia="Times New Roman" w:hAnsi="Times New Roman" w:cs="Times New Roman"/>
          <w:bCs/>
          <w:i/>
          <w:iCs/>
          <w:sz w:val="24"/>
          <w:szCs w:val="24"/>
        </w:rPr>
        <w:t>S</w:t>
      </w:r>
      <w:r w:rsidR="006579A5">
        <w:rPr>
          <w:rFonts w:ascii="Times New Roman" w:eastAsia="Times New Roman" w:hAnsi="Times New Roman" w:cs="Times New Roman"/>
          <w:bCs/>
          <w:i/>
          <w:iCs/>
          <w:sz w:val="24"/>
          <w:szCs w:val="24"/>
        </w:rPr>
        <w:t xml:space="preserve">trategic Management </w:t>
      </w:r>
      <w:r w:rsidRPr="00055EB2">
        <w:rPr>
          <w:rFonts w:ascii="Times New Roman" w:eastAsia="Segoe UI Emoji" w:hAnsi="Times New Roman" w:cs="Times New Roman"/>
          <w:bCs/>
          <w:i/>
          <w:iCs/>
          <w:sz w:val="24"/>
          <w:szCs w:val="24"/>
        </w:rPr>
        <w:br/>
      </w:r>
      <w:r>
        <w:rPr>
          <w:rFonts w:ascii="Times New Roman" w:eastAsia="Segoe UI Emoji" w:hAnsi="Times New Roman" w:cs="Times New Roman"/>
          <w:bCs/>
          <w:i/>
          <w:iCs/>
          <w:sz w:val="24"/>
          <w:szCs w:val="24"/>
        </w:rPr>
        <w:t xml:space="preserve">                                         </w:t>
      </w:r>
      <w:r w:rsidRPr="00055EB2">
        <w:rPr>
          <w:rFonts w:ascii="Times New Roman" w:eastAsia="Segoe UI Emoji" w:hAnsi="Times New Roman" w:cs="Times New Roman"/>
          <w:bCs/>
          <w:i/>
          <w:iCs/>
          <w:sz w:val="24"/>
          <w:szCs w:val="24"/>
        </w:rPr>
        <w:t xml:space="preserve">Course Name: </w:t>
      </w:r>
      <w:r>
        <w:rPr>
          <w:rFonts w:ascii="Times New Roman" w:eastAsia="Segoe UI Emoji" w:hAnsi="Times New Roman" w:cs="Times New Roman"/>
          <w:bCs/>
          <w:i/>
          <w:iCs/>
          <w:sz w:val="24"/>
          <w:szCs w:val="24"/>
        </w:rPr>
        <w:t>MBA- Masters of business Administration</w:t>
      </w:r>
    </w:p>
    <w:p w14:paraId="3659F7D3" w14:textId="4B8149FB" w:rsidR="003148C9" w:rsidRDefault="00200E62" w:rsidP="003148C9">
      <w:pPr>
        <w:spacing w:line="360" w:lineRule="auto"/>
        <w:rPr>
          <w:rFonts w:ascii="Times New Roman" w:eastAsia="Times New Roman" w:hAnsi="Times New Roman" w:cs="Times New Roman"/>
          <w:b/>
          <w:sz w:val="32"/>
          <w:szCs w:val="32"/>
        </w:rPr>
      </w:pPr>
      <w:r>
        <w:rPr>
          <w:rFonts w:ascii="Times New Roman" w:eastAsia="Segoe UI Emoji" w:hAnsi="Times New Roman" w:cs="Times New Roman"/>
          <w:bCs/>
          <w:i/>
          <w:iCs/>
          <w:sz w:val="24"/>
          <w:szCs w:val="24"/>
        </w:rPr>
        <w:t xml:space="preserve">                                         Submitted to- </w:t>
      </w:r>
      <w:r w:rsidR="006579A5">
        <w:rPr>
          <w:rFonts w:ascii="Times New Roman" w:eastAsia="Segoe UI Emoji" w:hAnsi="Times New Roman" w:cs="Times New Roman"/>
          <w:bCs/>
          <w:i/>
          <w:iCs/>
          <w:sz w:val="24"/>
          <w:szCs w:val="24"/>
        </w:rPr>
        <w:t>A</w:t>
      </w:r>
      <w:r w:rsidR="00F6015E">
        <w:rPr>
          <w:rFonts w:ascii="Times New Roman" w:eastAsia="Segoe UI Emoji" w:hAnsi="Times New Roman" w:cs="Times New Roman"/>
          <w:bCs/>
          <w:i/>
          <w:iCs/>
          <w:sz w:val="24"/>
          <w:szCs w:val="24"/>
        </w:rPr>
        <w:t>mare Dest</w:t>
      </w:r>
      <w:r w:rsidR="003148C9">
        <w:rPr>
          <w:rFonts w:ascii="Times New Roman" w:eastAsia="Segoe UI Emoji" w:hAnsi="Times New Roman" w:cs="Times New Roman"/>
          <w:bCs/>
          <w:i/>
          <w:iCs/>
          <w:sz w:val="24"/>
          <w:szCs w:val="24"/>
        </w:rPr>
        <w:t>a</w:t>
      </w:r>
      <w:r w:rsidR="00A23CD4">
        <w:rPr>
          <w:rFonts w:ascii="Times New Roman" w:eastAsia="Segoe UI Emoji" w:hAnsi="Times New Roman" w:cs="Times New Roman"/>
          <w:bCs/>
          <w:i/>
          <w:iCs/>
          <w:sz w:val="24"/>
          <w:szCs w:val="24"/>
        </w:rPr>
        <w:t xml:space="preserve"> (Prof)</w:t>
      </w:r>
      <w:r w:rsidR="00C02056">
        <w:rPr>
          <w:rFonts w:ascii="Times New Roman" w:eastAsia="Times New Roman" w:hAnsi="Times New Roman" w:cs="Times New Roman"/>
          <w:b/>
          <w:sz w:val="32"/>
          <w:szCs w:val="32"/>
        </w:rPr>
        <w:br w:type="page"/>
      </w:r>
      <w:r w:rsidR="003148C9">
        <w:rPr>
          <w:rFonts w:ascii="Times New Roman" w:eastAsia="Times New Roman" w:hAnsi="Times New Roman" w:cs="Times New Roman"/>
          <w:b/>
          <w:sz w:val="32"/>
          <w:szCs w:val="32"/>
        </w:rPr>
        <w:lastRenderedPageBreak/>
        <w:t xml:space="preserve">          </w:t>
      </w:r>
    </w:p>
    <w:p w14:paraId="7340AF86" w14:textId="77777777" w:rsidR="003148C9" w:rsidRDefault="003148C9" w:rsidP="003148C9">
      <w:pPr>
        <w:spacing w:line="360" w:lineRule="auto"/>
        <w:rPr>
          <w:rFonts w:ascii="Times New Roman" w:eastAsia="Times New Roman" w:hAnsi="Times New Roman" w:cs="Times New Roman"/>
          <w:b/>
          <w:sz w:val="32"/>
          <w:szCs w:val="32"/>
        </w:rPr>
      </w:pPr>
    </w:p>
    <w:p w14:paraId="2C449C29" w14:textId="77777777" w:rsidR="003148C9" w:rsidRDefault="003148C9" w:rsidP="003148C9">
      <w:pPr>
        <w:spacing w:line="360" w:lineRule="auto"/>
        <w:rPr>
          <w:rFonts w:ascii="Times New Roman" w:eastAsia="Times New Roman" w:hAnsi="Times New Roman" w:cs="Times New Roman"/>
          <w:b/>
          <w:sz w:val="32"/>
          <w:szCs w:val="32"/>
        </w:rPr>
      </w:pPr>
    </w:p>
    <w:p w14:paraId="0F9162B0" w14:textId="77777777" w:rsidR="003148C9" w:rsidRDefault="003148C9" w:rsidP="003148C9">
      <w:pPr>
        <w:spacing w:line="360" w:lineRule="auto"/>
        <w:rPr>
          <w:rFonts w:ascii="Times New Roman" w:eastAsia="Times New Roman" w:hAnsi="Times New Roman" w:cs="Times New Roman"/>
          <w:b/>
          <w:sz w:val="32"/>
          <w:szCs w:val="32"/>
        </w:rPr>
      </w:pPr>
    </w:p>
    <w:p w14:paraId="7307DD03" w14:textId="77777777" w:rsidR="003148C9" w:rsidRDefault="003148C9" w:rsidP="003148C9">
      <w:pPr>
        <w:spacing w:line="360" w:lineRule="auto"/>
        <w:rPr>
          <w:rFonts w:ascii="Times New Roman" w:eastAsia="Times New Roman" w:hAnsi="Times New Roman" w:cs="Times New Roman"/>
          <w:b/>
          <w:sz w:val="32"/>
          <w:szCs w:val="32"/>
        </w:rPr>
      </w:pPr>
    </w:p>
    <w:p w14:paraId="6DDB982A" w14:textId="77777777" w:rsidR="003148C9" w:rsidRDefault="003148C9" w:rsidP="003148C9">
      <w:pPr>
        <w:spacing w:line="360" w:lineRule="auto"/>
        <w:rPr>
          <w:rFonts w:ascii="Times New Roman" w:eastAsia="Times New Roman" w:hAnsi="Times New Roman" w:cs="Times New Roman"/>
          <w:b/>
          <w:sz w:val="32"/>
          <w:szCs w:val="32"/>
        </w:rPr>
      </w:pPr>
    </w:p>
    <w:p w14:paraId="1424D760" w14:textId="77777777" w:rsidR="003148C9" w:rsidRDefault="003148C9" w:rsidP="003148C9">
      <w:pPr>
        <w:spacing w:line="360" w:lineRule="auto"/>
        <w:rPr>
          <w:rFonts w:ascii="Times New Roman" w:eastAsia="Times New Roman" w:hAnsi="Times New Roman" w:cs="Times New Roman"/>
          <w:b/>
          <w:sz w:val="32"/>
          <w:szCs w:val="32"/>
        </w:rPr>
      </w:pPr>
    </w:p>
    <w:p w14:paraId="00000006" w14:textId="17A2B06A" w:rsidR="00B31611" w:rsidRPr="003148C9" w:rsidRDefault="003148C9" w:rsidP="003148C9">
      <w:pPr>
        <w:spacing w:line="360" w:lineRule="auto"/>
        <w:rPr>
          <w:rFonts w:ascii="Times New Roman" w:eastAsia="Segoe UI Emoji" w:hAnsi="Times New Roman" w:cs="Times New Roman"/>
          <w:bCs/>
          <w:i/>
          <w:iCs/>
          <w:sz w:val="24"/>
          <w:szCs w:val="24"/>
        </w:rPr>
      </w:pPr>
      <w:r>
        <w:rPr>
          <w:rFonts w:ascii="Times New Roman" w:eastAsia="Times New Roman" w:hAnsi="Times New Roman" w:cs="Times New Roman"/>
          <w:b/>
          <w:sz w:val="32"/>
          <w:szCs w:val="32"/>
        </w:rPr>
        <w:t xml:space="preserve">        </w:t>
      </w:r>
      <w:r w:rsidR="00000000">
        <w:rPr>
          <w:rFonts w:ascii="Times New Roman" w:eastAsia="Times New Roman" w:hAnsi="Times New Roman" w:cs="Times New Roman"/>
          <w:b/>
          <w:sz w:val="32"/>
          <w:szCs w:val="32"/>
        </w:rPr>
        <w:t>Critically evaluate the emergence of Virtual Organisations</w:t>
      </w:r>
    </w:p>
    <w:p w14:paraId="00000007" w14:textId="77777777" w:rsidR="00B31611" w:rsidRDefault="00B31611">
      <w:pPr>
        <w:spacing w:line="480" w:lineRule="auto"/>
        <w:ind w:left="-180"/>
        <w:jc w:val="both"/>
        <w:rPr>
          <w:rFonts w:ascii="Times New Roman" w:eastAsia="Times New Roman" w:hAnsi="Times New Roman" w:cs="Times New Roman"/>
          <w:b/>
          <w:sz w:val="32"/>
          <w:szCs w:val="32"/>
        </w:rPr>
      </w:pPr>
    </w:p>
    <w:p w14:paraId="00000008" w14:textId="77777777" w:rsidR="00B31611" w:rsidRDefault="00000000">
      <w:pPr>
        <w:spacing w:line="480" w:lineRule="auto"/>
        <w:ind w:left="-180"/>
        <w:jc w:val="both"/>
        <w:rPr>
          <w:rFonts w:ascii="Times New Roman" w:eastAsia="Times New Roman" w:hAnsi="Times New Roman" w:cs="Times New Roman"/>
          <w:b/>
          <w:sz w:val="24"/>
          <w:szCs w:val="24"/>
        </w:rPr>
      </w:pPr>
      <w:r>
        <w:br w:type="page"/>
      </w:r>
    </w:p>
    <w:p w14:paraId="00000009" w14:textId="77777777" w:rsidR="00B31611" w:rsidRDefault="00000000">
      <w:pPr>
        <w:spacing w:line="480" w:lineRule="auto"/>
        <w:ind w:left="-180"/>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Table of content</w:t>
      </w:r>
    </w:p>
    <w:sdt>
      <w:sdtPr>
        <w:id w:val="1939177140"/>
        <w:docPartObj>
          <w:docPartGallery w:val="Table of Contents"/>
          <w:docPartUnique/>
        </w:docPartObj>
      </w:sdtPr>
      <w:sdtEndPr>
        <w:rPr>
          <w:rFonts w:ascii="Times New Roman" w:hAnsi="Times New Roman" w:cs="Times New Roman"/>
          <w:sz w:val="24"/>
          <w:szCs w:val="24"/>
        </w:rPr>
      </w:sdtEndPr>
      <w:sdtContent>
        <w:p w14:paraId="3B2A36D8" w14:textId="0896FB00" w:rsidR="002F60E5" w:rsidRDefault="00000000">
          <w:pPr>
            <w:pStyle w:val="TOC1"/>
            <w:tabs>
              <w:tab w:val="right" w:pos="9350"/>
            </w:tabs>
            <w:rPr>
              <w:rFonts w:asciiTheme="minorHAnsi" w:eastAsiaTheme="minorEastAsia" w:hAnsiTheme="minorHAnsi" w:cstheme="minorBidi"/>
              <w:noProof/>
              <w:kern w:val="2"/>
              <w:lang w:val="en-IN"/>
              <w14:ligatures w14:val="standardContextual"/>
            </w:rPr>
          </w:pPr>
          <w:r>
            <w:fldChar w:fldCharType="begin"/>
          </w:r>
          <w:r>
            <w:instrText xml:space="preserve"> TOC \h \u \z \t "Heading 1,1,Heading 2,2,Heading 3,3,Heading 4,4,Heading 5,5,Heading 6,6,"</w:instrText>
          </w:r>
          <w:r>
            <w:fldChar w:fldCharType="separate"/>
          </w:r>
          <w:hyperlink w:anchor="_Toc165596757" w:history="1">
            <w:r w:rsidR="002F60E5" w:rsidRPr="00541CB4">
              <w:rPr>
                <w:rStyle w:val="Hyperlink"/>
                <w:noProof/>
              </w:rPr>
              <w:t>Introduction</w:t>
            </w:r>
            <w:r w:rsidR="002F60E5">
              <w:rPr>
                <w:noProof/>
                <w:webHidden/>
              </w:rPr>
              <w:tab/>
            </w:r>
            <w:r w:rsidR="002F60E5">
              <w:rPr>
                <w:noProof/>
                <w:webHidden/>
              </w:rPr>
              <w:fldChar w:fldCharType="begin"/>
            </w:r>
            <w:r w:rsidR="002F60E5">
              <w:rPr>
                <w:noProof/>
                <w:webHidden/>
              </w:rPr>
              <w:instrText xml:space="preserve"> PAGEREF _Toc165596757 \h </w:instrText>
            </w:r>
            <w:r w:rsidR="002F60E5">
              <w:rPr>
                <w:noProof/>
                <w:webHidden/>
              </w:rPr>
            </w:r>
            <w:r w:rsidR="002F60E5">
              <w:rPr>
                <w:noProof/>
                <w:webHidden/>
              </w:rPr>
              <w:fldChar w:fldCharType="separate"/>
            </w:r>
            <w:r w:rsidR="002F60E5">
              <w:rPr>
                <w:noProof/>
                <w:webHidden/>
              </w:rPr>
              <w:t>4</w:t>
            </w:r>
            <w:r w:rsidR="002F60E5">
              <w:rPr>
                <w:noProof/>
                <w:webHidden/>
              </w:rPr>
              <w:fldChar w:fldCharType="end"/>
            </w:r>
          </w:hyperlink>
        </w:p>
        <w:p w14:paraId="5D86C8AB" w14:textId="4AAFAD1C" w:rsidR="002F60E5" w:rsidRDefault="002F60E5">
          <w:pPr>
            <w:pStyle w:val="TOC1"/>
            <w:tabs>
              <w:tab w:val="right" w:pos="9350"/>
            </w:tabs>
            <w:rPr>
              <w:rFonts w:asciiTheme="minorHAnsi" w:eastAsiaTheme="minorEastAsia" w:hAnsiTheme="minorHAnsi" w:cstheme="minorBidi"/>
              <w:noProof/>
              <w:kern w:val="2"/>
              <w:lang w:val="en-IN"/>
              <w14:ligatures w14:val="standardContextual"/>
            </w:rPr>
          </w:pPr>
          <w:hyperlink w:anchor="_Toc165596758" w:history="1">
            <w:r w:rsidRPr="00541CB4">
              <w:rPr>
                <w:rStyle w:val="Hyperlink"/>
                <w:noProof/>
              </w:rPr>
              <w:t>Shift towards virtual recruitment processes</w:t>
            </w:r>
            <w:r>
              <w:rPr>
                <w:noProof/>
                <w:webHidden/>
              </w:rPr>
              <w:tab/>
            </w:r>
            <w:r>
              <w:rPr>
                <w:noProof/>
                <w:webHidden/>
              </w:rPr>
              <w:fldChar w:fldCharType="begin"/>
            </w:r>
            <w:r>
              <w:rPr>
                <w:noProof/>
                <w:webHidden/>
              </w:rPr>
              <w:instrText xml:space="preserve"> PAGEREF _Toc165596758 \h </w:instrText>
            </w:r>
            <w:r>
              <w:rPr>
                <w:noProof/>
                <w:webHidden/>
              </w:rPr>
            </w:r>
            <w:r>
              <w:rPr>
                <w:noProof/>
                <w:webHidden/>
              </w:rPr>
              <w:fldChar w:fldCharType="separate"/>
            </w:r>
            <w:r>
              <w:rPr>
                <w:noProof/>
                <w:webHidden/>
              </w:rPr>
              <w:t>4</w:t>
            </w:r>
            <w:r>
              <w:rPr>
                <w:noProof/>
                <w:webHidden/>
              </w:rPr>
              <w:fldChar w:fldCharType="end"/>
            </w:r>
          </w:hyperlink>
        </w:p>
        <w:p w14:paraId="16CD3DE9" w14:textId="6130145F" w:rsidR="002F60E5" w:rsidRDefault="002F60E5">
          <w:pPr>
            <w:pStyle w:val="TOC1"/>
            <w:tabs>
              <w:tab w:val="right" w:pos="9350"/>
            </w:tabs>
            <w:rPr>
              <w:rFonts w:asciiTheme="minorHAnsi" w:eastAsiaTheme="minorEastAsia" w:hAnsiTheme="minorHAnsi" w:cstheme="minorBidi"/>
              <w:noProof/>
              <w:kern w:val="2"/>
              <w:lang w:val="en-IN"/>
              <w14:ligatures w14:val="standardContextual"/>
            </w:rPr>
          </w:pPr>
          <w:hyperlink w:anchor="_Toc165596759" w:history="1">
            <w:r w:rsidRPr="00541CB4">
              <w:rPr>
                <w:rStyle w:val="Hyperlink"/>
                <w:noProof/>
              </w:rPr>
              <w:t>Strategies for maintaining employee engagement in virtual settings</w:t>
            </w:r>
            <w:r>
              <w:rPr>
                <w:noProof/>
                <w:webHidden/>
              </w:rPr>
              <w:tab/>
            </w:r>
            <w:r>
              <w:rPr>
                <w:noProof/>
                <w:webHidden/>
              </w:rPr>
              <w:fldChar w:fldCharType="begin"/>
            </w:r>
            <w:r>
              <w:rPr>
                <w:noProof/>
                <w:webHidden/>
              </w:rPr>
              <w:instrText xml:space="preserve"> PAGEREF _Toc165596759 \h </w:instrText>
            </w:r>
            <w:r>
              <w:rPr>
                <w:noProof/>
                <w:webHidden/>
              </w:rPr>
            </w:r>
            <w:r>
              <w:rPr>
                <w:noProof/>
                <w:webHidden/>
              </w:rPr>
              <w:fldChar w:fldCharType="separate"/>
            </w:r>
            <w:r>
              <w:rPr>
                <w:noProof/>
                <w:webHidden/>
              </w:rPr>
              <w:t>5</w:t>
            </w:r>
            <w:r>
              <w:rPr>
                <w:noProof/>
                <w:webHidden/>
              </w:rPr>
              <w:fldChar w:fldCharType="end"/>
            </w:r>
          </w:hyperlink>
        </w:p>
        <w:p w14:paraId="5ACCDBCD" w14:textId="2F135834" w:rsidR="002F60E5" w:rsidRDefault="002F60E5">
          <w:pPr>
            <w:pStyle w:val="TOC1"/>
            <w:tabs>
              <w:tab w:val="right" w:pos="9350"/>
            </w:tabs>
            <w:rPr>
              <w:rFonts w:asciiTheme="minorHAnsi" w:eastAsiaTheme="minorEastAsia" w:hAnsiTheme="minorHAnsi" w:cstheme="minorBidi"/>
              <w:noProof/>
              <w:kern w:val="2"/>
              <w:lang w:val="en-IN"/>
              <w14:ligatures w14:val="standardContextual"/>
            </w:rPr>
          </w:pPr>
          <w:hyperlink w:anchor="_Toc165596760" w:history="1">
            <w:r w:rsidRPr="00541CB4">
              <w:rPr>
                <w:rStyle w:val="Hyperlink"/>
                <w:noProof/>
              </w:rPr>
              <w:t>Transition to outcome-based performance evaluation</w:t>
            </w:r>
            <w:r>
              <w:rPr>
                <w:noProof/>
                <w:webHidden/>
              </w:rPr>
              <w:tab/>
            </w:r>
            <w:r>
              <w:rPr>
                <w:noProof/>
                <w:webHidden/>
              </w:rPr>
              <w:fldChar w:fldCharType="begin"/>
            </w:r>
            <w:r>
              <w:rPr>
                <w:noProof/>
                <w:webHidden/>
              </w:rPr>
              <w:instrText xml:space="preserve"> PAGEREF _Toc165596760 \h </w:instrText>
            </w:r>
            <w:r>
              <w:rPr>
                <w:noProof/>
                <w:webHidden/>
              </w:rPr>
            </w:r>
            <w:r>
              <w:rPr>
                <w:noProof/>
                <w:webHidden/>
              </w:rPr>
              <w:fldChar w:fldCharType="separate"/>
            </w:r>
            <w:r>
              <w:rPr>
                <w:noProof/>
                <w:webHidden/>
              </w:rPr>
              <w:t>6</w:t>
            </w:r>
            <w:r>
              <w:rPr>
                <w:noProof/>
                <w:webHidden/>
              </w:rPr>
              <w:fldChar w:fldCharType="end"/>
            </w:r>
          </w:hyperlink>
        </w:p>
        <w:p w14:paraId="00191E3E" w14:textId="0AD508F0" w:rsidR="002F60E5" w:rsidRDefault="002F60E5">
          <w:pPr>
            <w:pStyle w:val="TOC1"/>
            <w:tabs>
              <w:tab w:val="right" w:pos="9350"/>
            </w:tabs>
            <w:rPr>
              <w:rFonts w:asciiTheme="minorHAnsi" w:eastAsiaTheme="minorEastAsia" w:hAnsiTheme="minorHAnsi" w:cstheme="minorBidi"/>
              <w:noProof/>
              <w:kern w:val="2"/>
              <w:lang w:val="en-IN"/>
              <w14:ligatures w14:val="standardContextual"/>
            </w:rPr>
          </w:pPr>
          <w:hyperlink w:anchor="_Toc165596761" w:history="1">
            <w:r w:rsidRPr="00541CB4">
              <w:rPr>
                <w:rStyle w:val="Hyperlink"/>
                <w:noProof/>
              </w:rPr>
              <w:t>Evolution of organizational culture in virtual environments</w:t>
            </w:r>
            <w:r>
              <w:rPr>
                <w:noProof/>
                <w:webHidden/>
              </w:rPr>
              <w:tab/>
            </w:r>
            <w:r>
              <w:rPr>
                <w:noProof/>
                <w:webHidden/>
              </w:rPr>
              <w:fldChar w:fldCharType="begin"/>
            </w:r>
            <w:r>
              <w:rPr>
                <w:noProof/>
                <w:webHidden/>
              </w:rPr>
              <w:instrText xml:space="preserve"> PAGEREF _Toc165596761 \h </w:instrText>
            </w:r>
            <w:r>
              <w:rPr>
                <w:noProof/>
                <w:webHidden/>
              </w:rPr>
            </w:r>
            <w:r>
              <w:rPr>
                <w:noProof/>
                <w:webHidden/>
              </w:rPr>
              <w:fldChar w:fldCharType="separate"/>
            </w:r>
            <w:r>
              <w:rPr>
                <w:noProof/>
                <w:webHidden/>
              </w:rPr>
              <w:t>8</w:t>
            </w:r>
            <w:r>
              <w:rPr>
                <w:noProof/>
                <w:webHidden/>
              </w:rPr>
              <w:fldChar w:fldCharType="end"/>
            </w:r>
          </w:hyperlink>
        </w:p>
        <w:p w14:paraId="5EA9F109" w14:textId="274BF07C" w:rsidR="002F60E5" w:rsidRDefault="002F60E5">
          <w:pPr>
            <w:pStyle w:val="TOC1"/>
            <w:tabs>
              <w:tab w:val="right" w:pos="9350"/>
            </w:tabs>
            <w:rPr>
              <w:rFonts w:asciiTheme="minorHAnsi" w:eastAsiaTheme="minorEastAsia" w:hAnsiTheme="minorHAnsi" w:cstheme="minorBidi"/>
              <w:noProof/>
              <w:kern w:val="2"/>
              <w:lang w:val="en-IN"/>
              <w14:ligatures w14:val="standardContextual"/>
            </w:rPr>
          </w:pPr>
          <w:hyperlink w:anchor="_Toc165596762" w:history="1">
            <w:r w:rsidRPr="00541CB4">
              <w:rPr>
                <w:rStyle w:val="Hyperlink"/>
                <w:noProof/>
              </w:rPr>
              <w:t>Technological infrastructure and digital literacy challenges</w:t>
            </w:r>
            <w:r>
              <w:rPr>
                <w:noProof/>
                <w:webHidden/>
              </w:rPr>
              <w:tab/>
            </w:r>
            <w:r>
              <w:rPr>
                <w:noProof/>
                <w:webHidden/>
              </w:rPr>
              <w:fldChar w:fldCharType="begin"/>
            </w:r>
            <w:r>
              <w:rPr>
                <w:noProof/>
                <w:webHidden/>
              </w:rPr>
              <w:instrText xml:space="preserve"> PAGEREF _Toc165596762 \h </w:instrText>
            </w:r>
            <w:r>
              <w:rPr>
                <w:noProof/>
                <w:webHidden/>
              </w:rPr>
            </w:r>
            <w:r>
              <w:rPr>
                <w:noProof/>
                <w:webHidden/>
              </w:rPr>
              <w:fldChar w:fldCharType="separate"/>
            </w:r>
            <w:r>
              <w:rPr>
                <w:noProof/>
                <w:webHidden/>
              </w:rPr>
              <w:t>8</w:t>
            </w:r>
            <w:r>
              <w:rPr>
                <w:noProof/>
                <w:webHidden/>
              </w:rPr>
              <w:fldChar w:fldCharType="end"/>
            </w:r>
          </w:hyperlink>
        </w:p>
        <w:p w14:paraId="3890CF2C" w14:textId="3BC34391" w:rsidR="002F60E5" w:rsidRDefault="002F60E5">
          <w:pPr>
            <w:pStyle w:val="TOC1"/>
            <w:tabs>
              <w:tab w:val="right" w:pos="9350"/>
            </w:tabs>
            <w:rPr>
              <w:rFonts w:asciiTheme="minorHAnsi" w:eastAsiaTheme="minorEastAsia" w:hAnsiTheme="minorHAnsi" w:cstheme="minorBidi"/>
              <w:noProof/>
              <w:kern w:val="2"/>
              <w:lang w:val="en-IN"/>
              <w14:ligatures w14:val="standardContextual"/>
            </w:rPr>
          </w:pPr>
          <w:hyperlink w:anchor="_Toc165596763" w:history="1">
            <w:r w:rsidRPr="00541CB4">
              <w:rPr>
                <w:rStyle w:val="Hyperlink"/>
                <w:noProof/>
              </w:rPr>
              <w:t>Anticipated long-term effects of remote work on UK HR practices</w:t>
            </w:r>
            <w:r>
              <w:rPr>
                <w:noProof/>
                <w:webHidden/>
              </w:rPr>
              <w:tab/>
            </w:r>
            <w:r>
              <w:rPr>
                <w:noProof/>
                <w:webHidden/>
              </w:rPr>
              <w:fldChar w:fldCharType="begin"/>
            </w:r>
            <w:r>
              <w:rPr>
                <w:noProof/>
                <w:webHidden/>
              </w:rPr>
              <w:instrText xml:space="preserve"> PAGEREF _Toc165596763 \h </w:instrText>
            </w:r>
            <w:r>
              <w:rPr>
                <w:noProof/>
                <w:webHidden/>
              </w:rPr>
            </w:r>
            <w:r>
              <w:rPr>
                <w:noProof/>
                <w:webHidden/>
              </w:rPr>
              <w:fldChar w:fldCharType="separate"/>
            </w:r>
            <w:r>
              <w:rPr>
                <w:noProof/>
                <w:webHidden/>
              </w:rPr>
              <w:t>9</w:t>
            </w:r>
            <w:r>
              <w:rPr>
                <w:noProof/>
                <w:webHidden/>
              </w:rPr>
              <w:fldChar w:fldCharType="end"/>
            </w:r>
          </w:hyperlink>
        </w:p>
        <w:p w14:paraId="2668977D" w14:textId="727E3BCF" w:rsidR="002F60E5" w:rsidRDefault="002F60E5">
          <w:pPr>
            <w:pStyle w:val="TOC1"/>
            <w:tabs>
              <w:tab w:val="right" w:pos="9350"/>
            </w:tabs>
            <w:rPr>
              <w:rFonts w:asciiTheme="minorHAnsi" w:eastAsiaTheme="minorEastAsia" w:hAnsiTheme="minorHAnsi" w:cstheme="minorBidi"/>
              <w:noProof/>
              <w:kern w:val="2"/>
              <w:lang w:val="en-IN"/>
              <w14:ligatures w14:val="standardContextual"/>
            </w:rPr>
          </w:pPr>
          <w:hyperlink w:anchor="_Toc165596764" w:history="1">
            <w:r w:rsidRPr="00541CB4">
              <w:rPr>
                <w:rStyle w:val="Hyperlink"/>
                <w:noProof/>
              </w:rPr>
              <w:t>Conclusion</w:t>
            </w:r>
            <w:r>
              <w:rPr>
                <w:noProof/>
                <w:webHidden/>
              </w:rPr>
              <w:tab/>
            </w:r>
            <w:r>
              <w:rPr>
                <w:noProof/>
                <w:webHidden/>
              </w:rPr>
              <w:fldChar w:fldCharType="begin"/>
            </w:r>
            <w:r>
              <w:rPr>
                <w:noProof/>
                <w:webHidden/>
              </w:rPr>
              <w:instrText xml:space="preserve"> PAGEREF _Toc165596764 \h </w:instrText>
            </w:r>
            <w:r>
              <w:rPr>
                <w:noProof/>
                <w:webHidden/>
              </w:rPr>
            </w:r>
            <w:r>
              <w:rPr>
                <w:noProof/>
                <w:webHidden/>
              </w:rPr>
              <w:fldChar w:fldCharType="separate"/>
            </w:r>
            <w:r>
              <w:rPr>
                <w:noProof/>
                <w:webHidden/>
              </w:rPr>
              <w:t>9</w:t>
            </w:r>
            <w:r>
              <w:rPr>
                <w:noProof/>
                <w:webHidden/>
              </w:rPr>
              <w:fldChar w:fldCharType="end"/>
            </w:r>
          </w:hyperlink>
        </w:p>
        <w:p w14:paraId="15885B59" w14:textId="3249511F" w:rsidR="002F60E5" w:rsidRDefault="002F60E5">
          <w:pPr>
            <w:pStyle w:val="TOC1"/>
            <w:tabs>
              <w:tab w:val="right" w:pos="9350"/>
            </w:tabs>
            <w:rPr>
              <w:rFonts w:asciiTheme="minorHAnsi" w:eastAsiaTheme="minorEastAsia" w:hAnsiTheme="minorHAnsi" w:cstheme="minorBidi"/>
              <w:noProof/>
              <w:kern w:val="2"/>
              <w:lang w:val="en-IN"/>
              <w14:ligatures w14:val="standardContextual"/>
            </w:rPr>
          </w:pPr>
          <w:hyperlink w:anchor="_Toc165596765" w:history="1">
            <w:r w:rsidRPr="00541CB4">
              <w:rPr>
                <w:rStyle w:val="Hyperlink"/>
                <w:noProof/>
              </w:rPr>
              <w:t>References:</w:t>
            </w:r>
            <w:r>
              <w:rPr>
                <w:noProof/>
                <w:webHidden/>
              </w:rPr>
              <w:tab/>
            </w:r>
            <w:r>
              <w:rPr>
                <w:noProof/>
                <w:webHidden/>
              </w:rPr>
              <w:fldChar w:fldCharType="begin"/>
            </w:r>
            <w:r>
              <w:rPr>
                <w:noProof/>
                <w:webHidden/>
              </w:rPr>
              <w:instrText xml:space="preserve"> PAGEREF _Toc165596765 \h </w:instrText>
            </w:r>
            <w:r>
              <w:rPr>
                <w:noProof/>
                <w:webHidden/>
              </w:rPr>
            </w:r>
            <w:r>
              <w:rPr>
                <w:noProof/>
                <w:webHidden/>
              </w:rPr>
              <w:fldChar w:fldCharType="separate"/>
            </w:r>
            <w:r>
              <w:rPr>
                <w:noProof/>
                <w:webHidden/>
              </w:rPr>
              <w:t>11</w:t>
            </w:r>
            <w:r>
              <w:rPr>
                <w:noProof/>
                <w:webHidden/>
              </w:rPr>
              <w:fldChar w:fldCharType="end"/>
            </w:r>
          </w:hyperlink>
        </w:p>
        <w:p w14:paraId="6E3937E4" w14:textId="2B251D01" w:rsidR="002F60E5" w:rsidRDefault="00000000" w:rsidP="00CD355D">
          <w:pPr>
            <w:spacing w:after="240"/>
            <w:rPr>
              <w:rFonts w:ascii="Times New Roman" w:eastAsia="Times New Roman" w:hAnsi="Times New Roman" w:cs="Times New Roman"/>
              <w:lang w:val="en-IN"/>
            </w:rPr>
          </w:pPr>
          <w:r>
            <w:fldChar w:fldCharType="end"/>
          </w:r>
          <w:r w:rsidR="008E3FD1" w:rsidRPr="00144289">
            <w:rPr>
              <w:rFonts w:eastAsia="Times New Roman"/>
              <w:lang w:val="en-IN"/>
            </w:rPr>
            <w:t>P</w:t>
          </w:r>
          <w:r w:rsidR="00CD355D" w:rsidRPr="00144289">
            <w:rPr>
              <w:rFonts w:eastAsia="Times New Roman"/>
              <w:lang w:val="en-IN"/>
            </w:rPr>
            <w:t xml:space="preserve">recis                                                                                                                                          </w:t>
          </w:r>
          <w:r w:rsidR="002F60E5">
            <w:rPr>
              <w:rFonts w:eastAsia="Times New Roman"/>
              <w:lang w:val="en-IN"/>
            </w:rPr>
            <w:t xml:space="preserve"> 13</w:t>
          </w:r>
        </w:p>
        <w:p w14:paraId="04B570A3" w14:textId="05910509" w:rsidR="002F60E5" w:rsidRDefault="00144289" w:rsidP="00CD355D">
          <w:pPr>
            <w:spacing w:after="240"/>
            <w:rPr>
              <w:rFonts w:eastAsia="Times New Roman"/>
              <w:lang w:val="en-IN"/>
            </w:rPr>
          </w:pPr>
          <w:r w:rsidRPr="002F60E5">
            <w:rPr>
              <w:rFonts w:eastAsia="Times New Roman"/>
              <w:lang w:val="en-IN"/>
            </w:rPr>
            <w:t xml:space="preserve">Summary                                                                                                                                     </w:t>
          </w:r>
          <w:r w:rsidR="002F60E5">
            <w:rPr>
              <w:rFonts w:eastAsia="Times New Roman"/>
              <w:lang w:val="en-IN"/>
            </w:rPr>
            <w:t>15</w:t>
          </w:r>
        </w:p>
        <w:p w14:paraId="19707F8D" w14:textId="7BD91D10" w:rsidR="00144289" w:rsidRPr="002F60E5" w:rsidRDefault="002F60E5" w:rsidP="00CD355D">
          <w:pPr>
            <w:spacing w:after="240"/>
            <w:rPr>
              <w:rFonts w:eastAsia="Times New Roman"/>
              <w:lang w:val="en-IN"/>
            </w:rPr>
          </w:pPr>
          <w:r>
            <w:rPr>
              <w:rFonts w:eastAsia="Times New Roman"/>
              <w:lang w:val="en-IN"/>
            </w:rPr>
            <w:t>Presentation Slides                                                                                                                      18</w:t>
          </w:r>
        </w:p>
        <w:p w14:paraId="3D00C4BA" w14:textId="77777777" w:rsidR="009B2802" w:rsidRDefault="009B2802" w:rsidP="00CD355D">
          <w:pPr>
            <w:spacing w:after="240"/>
            <w:rPr>
              <w:rFonts w:ascii="Times New Roman" w:eastAsia="Times New Roman" w:hAnsi="Times New Roman" w:cs="Times New Roman"/>
              <w:lang w:val="en-IN"/>
            </w:rPr>
          </w:pPr>
        </w:p>
        <w:p w14:paraId="00000012" w14:textId="0F45CC50" w:rsidR="00B31611" w:rsidRPr="008E3FD1" w:rsidRDefault="00000000" w:rsidP="008E3FD1">
          <w:pPr>
            <w:pStyle w:val="NormalWeb"/>
            <w:rPr>
              <w:rFonts w:eastAsia="Times New Roman"/>
              <w:lang w:val="en-IN"/>
            </w:rPr>
          </w:pPr>
        </w:p>
      </w:sdtContent>
    </w:sdt>
    <w:p w14:paraId="00000013" w14:textId="77777777" w:rsidR="00B31611" w:rsidRDefault="00B31611">
      <w:pPr>
        <w:spacing w:line="480" w:lineRule="auto"/>
        <w:ind w:left="-180"/>
        <w:jc w:val="both"/>
        <w:rPr>
          <w:rFonts w:ascii="Times New Roman" w:eastAsia="Times New Roman" w:hAnsi="Times New Roman" w:cs="Times New Roman"/>
          <w:sz w:val="24"/>
          <w:szCs w:val="24"/>
        </w:rPr>
      </w:pPr>
    </w:p>
    <w:p w14:paraId="00000014" w14:textId="77777777" w:rsidR="00B31611" w:rsidRDefault="00000000">
      <w:pPr>
        <w:pStyle w:val="Heading1"/>
        <w:ind w:left="-180" w:firstLine="0"/>
      </w:pPr>
      <w:bookmarkStart w:id="0" w:name="_fln7ewcoeu5t" w:colFirst="0" w:colLast="0"/>
      <w:bookmarkEnd w:id="0"/>
      <w:r>
        <w:br w:type="page"/>
      </w:r>
    </w:p>
    <w:p w14:paraId="00000015" w14:textId="77777777" w:rsidR="00B31611" w:rsidRDefault="00B31611">
      <w:pPr>
        <w:pStyle w:val="Heading1"/>
        <w:ind w:left="-180" w:firstLine="0"/>
      </w:pPr>
      <w:bookmarkStart w:id="1" w:name="_vkk76uf9us3j" w:colFirst="0" w:colLast="0"/>
      <w:bookmarkEnd w:id="1"/>
    </w:p>
    <w:p w14:paraId="00000016" w14:textId="77777777" w:rsidR="00B31611" w:rsidRDefault="00000000">
      <w:pPr>
        <w:pStyle w:val="Heading1"/>
        <w:ind w:left="-180" w:firstLine="0"/>
      </w:pPr>
      <w:bookmarkStart w:id="2" w:name="_Toc165596757"/>
      <w:r>
        <w:t>Introduction</w:t>
      </w:r>
      <w:bookmarkEnd w:id="2"/>
    </w:p>
    <w:p w14:paraId="00000017" w14:textId="77777777" w:rsidR="00B31611" w:rsidRDefault="00000000">
      <w:pPr>
        <w:spacing w:line="480" w:lineRule="auto"/>
        <w:ind w:left="-180"/>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number of people working remotely in every industry saw a considerable surge after the COVID-19 pandemic. Following this epidemic, there has been a roughly thirty percent growth in the culture of working remotely. Since that time, the firm has realised that it had a significant potential for the expansion of its business. It was also observed by the UK organisation that this is one of the most sophisticated methods for increasing their staff while incurring the least amount of expense. In light of the COVID-19 pandemic, the organisation came to the realisation that allowing its workers to do their jobs from a distant location is quite likely to result in an improvement in the effectiveness of their work in this crucial scenario (Milder, 2020). Working remotely has had a huge influence on human resource professionals in UK. This is because the organisation that allows employees to work remotely has devised a new policy that makes it easier to guarantee that employees are productive.  This remote work environment also has an impact on the recruiting process in UK.  A significant number of workers are given a wonderful chance as a result of the maximal organization's decision to include remote work possibilities into their employment positions.</w:t>
      </w:r>
    </w:p>
    <w:p w14:paraId="00000018" w14:textId="77777777" w:rsidR="00B31611" w:rsidRDefault="00000000">
      <w:pPr>
        <w:pStyle w:val="Heading1"/>
        <w:ind w:left="-180" w:firstLine="0"/>
      </w:pPr>
      <w:bookmarkStart w:id="3" w:name="_Toc165596758"/>
      <w:r>
        <w:t>Shift towards virtual recruitment processes</w:t>
      </w:r>
      <w:bookmarkEnd w:id="3"/>
    </w:p>
    <w:p w14:paraId="00000019" w14:textId="77777777" w:rsidR="00B31611" w:rsidRDefault="00000000">
      <w:pPr>
        <w:spacing w:line="480" w:lineRule="auto"/>
        <w:ind w:left="-18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findings of an investigation titled "The Knowledge Advantage of Virtual Teams" brought to light the relevance of strong lines of communication and cooperation. There is a significant correlation between good communication between geographically dispersed virtual teams and the synergy of knowledge, as shown by the findings.Understanding the complexities of virtual team dynamics sheds light on the importance of collaboration in creating an engaging learning </w:t>
      </w:r>
      <w:r>
        <w:rPr>
          <w:rFonts w:ascii="Times New Roman" w:eastAsia="Times New Roman" w:hAnsi="Times New Roman" w:cs="Times New Roman"/>
          <w:sz w:val="24"/>
          <w:szCs w:val="24"/>
        </w:rPr>
        <w:lastRenderedPageBreak/>
        <w:t>environment, where members' interactions add up to a brainpower greater than the individual contributors.</w:t>
      </w:r>
    </w:p>
    <w:p w14:paraId="0000001A" w14:textId="77777777" w:rsidR="00B31611" w:rsidRDefault="00000000">
      <w:pPr>
        <w:spacing w:line="480" w:lineRule="auto"/>
        <w:ind w:left="-18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results of the case study show that productive communication and teamwork are the two most important factors in virtual teams' ability to generate new knowledge. In the process of shifting from individual to community ownership of information, the interplay between specialist talents and collaborative dynamics was brought to light. Given the emphasis put on open communication and collaborative problem solving, my future strategy in the increasingly digitised corporate environment will be shaped by the value placeed on these two aspects.</w:t>
      </w:r>
    </w:p>
    <w:p w14:paraId="0000001B" w14:textId="77777777" w:rsidR="00B31611" w:rsidRDefault="00000000">
      <w:pPr>
        <w:spacing w:line="480" w:lineRule="auto"/>
        <w:ind w:left="-180"/>
        <w:jc w:val="both"/>
      </w:pPr>
      <w:r>
        <w:rPr>
          <w:rFonts w:ascii="Times New Roman" w:eastAsia="Times New Roman" w:hAnsi="Times New Roman" w:cs="Times New Roman"/>
          <w:sz w:val="24"/>
          <w:szCs w:val="24"/>
        </w:rPr>
        <w:t>Within the context of this procedure, the organization's recruiting is moved to the virtual recruitment process. The organisation must ensure that it continues to attract talent and retain regional diversity. According to Angelucci et al. 2020, this strategy will assist the organisation in reaching out to the greatest number of potential candidates in a variety of virtual places. This will allow the company to simply grow the size of its staff without having to make significant investments in massive infrastructure. However, these difficulties are quite uncommon, and businesses are coping with them by employing a variety of techniques, such as putting in place an online assessment exam. Moreover, they carried out interviews via the use of virtual platforms, and one of the essential benefits that they provide to their staff members is the opportunity to work remotely. Maintaining relationships between individuals is of the utmost importance in a setting when people are working remotely. For this particular scenario, businesses establish a system of recognition and reward their staff members by constructing a virtual team in order to improve their ability to work together.</w:t>
      </w:r>
    </w:p>
    <w:p w14:paraId="0000001C" w14:textId="77777777" w:rsidR="00B31611" w:rsidRDefault="00000000">
      <w:pPr>
        <w:pStyle w:val="Heading1"/>
        <w:ind w:left="-180" w:firstLine="0"/>
      </w:pPr>
      <w:bookmarkStart w:id="4" w:name="_Toc165596759"/>
      <w:r>
        <w:t>Strategies for maintaining employee engagement in virtual settings</w:t>
      </w:r>
      <w:bookmarkEnd w:id="4"/>
    </w:p>
    <w:p w14:paraId="0000001D" w14:textId="77777777" w:rsidR="00B31611" w:rsidRDefault="00000000">
      <w:pPr>
        <w:spacing w:line="480" w:lineRule="auto"/>
        <w:ind w:left="-180"/>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 xml:space="preserve">The dynamics of a team and the ability to work together with a variety of individuals are significantly altered while working in settings that support remote work.  In this particular scenario, the </w:t>
      </w:r>
      <w:r>
        <w:rPr>
          <w:rFonts w:ascii="Times New Roman" w:eastAsia="Times New Roman" w:hAnsi="Times New Roman" w:cs="Times New Roman"/>
          <w:color w:val="0D0D0D"/>
          <w:sz w:val="24"/>
          <w:szCs w:val="24"/>
        </w:rPr>
        <w:lastRenderedPageBreak/>
        <w:t>organisation puts into action a communication plan with the assistance of inclusion and diversity, and they also keep an eye out for instances of micromanagement. Additionally, it is essential for the organisation to ensure that its personnel continue to have a sense of seclusion (Chanana and Sangeeta 2021). The employee is able to effectively manage their work-life balance with the assistance of this boundary, and they are able to maintain their mental health in order to lessen the amount of isolation they experience. In this particular instance, they said that a boundary is a boundary.  Additionally, the business need to take note of performance management in the context of working remotely.  KPIs are monitored on a regular basis, and they provide their staff with a well-defined objective. Companies often ask workers for their thoughts on how they're doing in their roles.</w:t>
      </w:r>
    </w:p>
    <w:p w14:paraId="0000001E" w14:textId="77777777" w:rsidR="00B31611" w:rsidRDefault="00000000">
      <w:pPr>
        <w:spacing w:line="480" w:lineRule="auto"/>
        <w:ind w:left="-180"/>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 xml:space="preserve">This section includes a variety of previously published articles that address organisational strategies and interventions aimed at enhancing the welfare of remote workers. It has offered a thorough review of different approaches, such as open communication protocols, flexible work policies that help decide how important it is to have a good work-life balance, and several programmes to make remote workers feel more connected (Wang et al., 2021).Here in the literature review, we have assessed the different support strategies' effects and, using data from real-world examples, determined their optimal implementation. The need for individualised support calculations that account for the specific needs and expectations of remote workers has also been highlighted by this. When it comes to encouraging the well-being of remote workers in established institutions, there is a lack of research that is connected to comprehensive and practically proven frameworks. The need of doing further research on this topic is becoming apparent during these phases. </w:t>
      </w:r>
    </w:p>
    <w:p w14:paraId="0000001F" w14:textId="77777777" w:rsidR="00B31611" w:rsidRDefault="00000000">
      <w:pPr>
        <w:pStyle w:val="Heading1"/>
        <w:ind w:left="-180" w:firstLine="0"/>
      </w:pPr>
      <w:bookmarkStart w:id="5" w:name="_Toc165596760"/>
      <w:r>
        <w:t>Transition to outcome-based performance evaluation</w:t>
      </w:r>
      <w:bookmarkEnd w:id="5"/>
    </w:p>
    <w:p w14:paraId="00000020" w14:textId="77777777" w:rsidR="00B31611" w:rsidRDefault="00000000">
      <w:pPr>
        <w:spacing w:line="480" w:lineRule="auto"/>
        <w:ind w:left="-18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organisation places a strong emphasis on each and every employee's performance in relation to a specific programme and task while conducting performance evaluations.  Through the use of this </w:t>
      </w:r>
      <w:r>
        <w:rPr>
          <w:rFonts w:ascii="Times New Roman" w:eastAsia="Times New Roman" w:hAnsi="Times New Roman" w:cs="Times New Roman"/>
          <w:sz w:val="24"/>
          <w:szCs w:val="24"/>
        </w:rPr>
        <w:lastRenderedPageBreak/>
        <w:t xml:space="preserve">strategy, the organisation demonstrates its success in the enhancement of the performance of its employees.  Monitoring the performance of remote employees The organisation makes use of a variety of technologies and tools in order to analyse the performance of remote employees. A number of different tools, including ActivTrak and Workpuls, are among the most effective performance measurement tools. Each and every one of these things is necessary for the organisation to keep its performance management in good standing.  Managing the company's responsibility and flexibility is another thing that has to be done in order to accomplish a cycle of agreement (Borgonovi et al of 2018). It is very necessary for the policy to include employee feedback in order to accommodate the altering culture of the workplace.  It is necessary for it to keep a clear guideline and maintain a link with the incorporation of continual learning in order to construct a constructive culture about work. </w:t>
      </w:r>
    </w:p>
    <w:p w14:paraId="00000021" w14:textId="77777777" w:rsidR="00B31611" w:rsidRDefault="00000000">
      <w:pPr>
        <w:spacing w:line="480" w:lineRule="auto"/>
        <w:ind w:left="-18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Technology has a crucial role in both the well-being of employees and the ability to work remotely. A constant internet connection is required for remote workers to access crucial papers, software, and a variety of resources from any location. Because employees may access these materials regardless of their location, productivity increases. Employees working from home may be just as productive as those in an office setting with the correct technological resources. Many systems, such as Microsoft Teams and Zoom, make it easier to communicate and work together efficiently with remote teams. Research from 2020 by Molino et al. suggests that these social networks might help employees with their work by facilitating real-time communication, video conferencing, file sharing, and project management. The technological solution may help with operations planning and monitoring for workers situated in remote areas. Considering that technology is what makes virtual data storage possible, they are able to reap the benefits of data storage. Increasing the flexibility of the project and the management of the process may be accomplished via the use of technical tools or solutions. Automation and artificial intelligence have the potential to significantly enhance data </w:t>
      </w:r>
      <w:r>
        <w:rPr>
          <w:rFonts w:ascii="Times New Roman" w:eastAsia="Times New Roman" w:hAnsi="Times New Roman" w:cs="Times New Roman"/>
          <w:sz w:val="24"/>
          <w:szCs w:val="24"/>
        </w:rPr>
        <w:lastRenderedPageBreak/>
        <w:t xml:space="preserve">analysis and simplify processes, both of which contribute to a rise in the efficiency of companies. Technology has the potential to create favourable working conditions by reducing the amount of stress and obstacles that are there. Observing and detecting trends in employee data and performance contributes to the identification of potential threats to both physical and mental health and safety. This is accomplished via the use of data. </w:t>
      </w:r>
    </w:p>
    <w:p w14:paraId="00000022" w14:textId="77777777" w:rsidR="00B31611" w:rsidRDefault="00000000">
      <w:pPr>
        <w:pStyle w:val="Heading1"/>
        <w:ind w:left="-180" w:firstLine="0"/>
      </w:pPr>
      <w:bookmarkStart w:id="6" w:name="_Toc165596761"/>
      <w:r>
        <w:t>Evolution of organizational culture in virtual environments</w:t>
      </w:r>
      <w:bookmarkEnd w:id="6"/>
    </w:p>
    <w:p w14:paraId="00000023" w14:textId="77777777" w:rsidR="00B31611" w:rsidRDefault="00000000">
      <w:pPr>
        <w:spacing w:line="480" w:lineRule="auto"/>
        <w:ind w:left="-18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it comes to adopting organisational culture in a virtual environment, your primary emphasis should be on the value that is provided by workers via digital means.  With the assistance of a virtual environment, businesses are discovering new methods to construct a robust culture and set of values inside their organisation.  Developing trust is one of the most important aspects of activities pertaining to the virtual world. This firm has the ability to construct a virtual team in order to improve communication.  There are a lot of obstacles related to working remotely in UK, but there are also a lot of possibilities that are substantial for a lot of individuals.  The nation places a primary emphasis on working from home in order to attract a greater number of individuals, which is also highly important for the expansion of the country's economy. A significant number of businesses in UK are actively recruiting remote workers and establishing an atmosphere that is conducive to the culture of virtual work opportunities.</w:t>
      </w:r>
    </w:p>
    <w:p w14:paraId="00000024" w14:textId="77777777" w:rsidR="00B31611" w:rsidRDefault="00000000">
      <w:pPr>
        <w:pStyle w:val="Heading1"/>
        <w:ind w:left="-180" w:firstLine="0"/>
      </w:pPr>
      <w:bookmarkStart w:id="7" w:name="_Toc165596762"/>
      <w:r>
        <w:t>Technological infrastructure and digital literacy challenges</w:t>
      </w:r>
      <w:bookmarkEnd w:id="7"/>
    </w:p>
    <w:p w14:paraId="00000025" w14:textId="77777777" w:rsidR="00B31611" w:rsidRDefault="00000000">
      <w:pPr>
        <w:spacing w:line="480" w:lineRule="auto"/>
        <w:ind w:left="-18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Increasing the number of people working remotely in UK presents a number of significant issues, one of which is the improvement of technology infrastructure and the development of digital literacy. Chetty et al. (2018) states that the company trains its employees to make good use of digital tools in the virtual office setting and uses a range of technological solutions. Employees should ensure that the various kinds of rules and legislation that indicate a fair level standard in accordance with labour </w:t>
      </w:r>
      <w:r>
        <w:rPr>
          <w:rFonts w:ascii="Times New Roman" w:eastAsia="Times New Roman" w:hAnsi="Times New Roman" w:cs="Times New Roman"/>
          <w:sz w:val="24"/>
          <w:szCs w:val="24"/>
        </w:rPr>
        <w:lastRenderedPageBreak/>
        <w:t xml:space="preserve">law are taken into account when negotiations for remote work agreements are being made. The organisation has the potential to save money since, in the case of remote work, they do not have to offer a physical infrastructure, which is highly expensive to develop, and they are able to recruit the maximum number of personnel. By doing so, businesses have the ability to quickly boost their levels of production. At some point in the future, it is anticipated that working remotely would not only boost an employee's productivity but also give them with more freedom. </w:t>
      </w:r>
    </w:p>
    <w:p w14:paraId="00000026" w14:textId="77777777" w:rsidR="00B31611" w:rsidRDefault="00000000">
      <w:pPr>
        <w:pStyle w:val="Heading1"/>
        <w:ind w:left="-180" w:firstLine="0"/>
      </w:pPr>
      <w:bookmarkStart w:id="8" w:name="_Toc165596763"/>
      <w:r>
        <w:t>Anticipated long-term effects of remote work on UK HR practices</w:t>
      </w:r>
      <w:bookmarkEnd w:id="8"/>
    </w:p>
    <w:p w14:paraId="00000027" w14:textId="77777777" w:rsidR="00B31611" w:rsidRDefault="00000000">
      <w:pPr>
        <w:spacing w:line="480" w:lineRule="auto"/>
        <w:ind w:left="-18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it comes to the long-term implications, a significant number of UK businesses have adopted a hybrid work environment, which is a combination of working from home and working in an office setting.  Additionally, they have a policy for hybrid and remote work arrangements.  According to Andargie et al. 2021, human resource professionals should update their policies and processes to include talent management employee engagement. This will help them improve their performance while also providing them with a distinctive culture of remote work arrangements. In addition, there are a few areas of study that the firm has to investigate on the various forms of cultural integration. A good work-life balance is important, and the organisation should prioritise its employees' health and happiness. There is hope for a better future thanks to the implications that HR experts in the UK have for remote employment.</w:t>
      </w:r>
    </w:p>
    <w:p w14:paraId="00000028" w14:textId="77777777" w:rsidR="00B31611" w:rsidRDefault="00000000">
      <w:pPr>
        <w:pStyle w:val="Heading1"/>
        <w:ind w:left="-180" w:firstLine="0"/>
      </w:pPr>
      <w:bookmarkStart w:id="9" w:name="_Toc165596764"/>
      <w:r>
        <w:t>Conclusion</w:t>
      </w:r>
      <w:bookmarkEnd w:id="9"/>
    </w:p>
    <w:p w14:paraId="00000029" w14:textId="77777777" w:rsidR="00B31611" w:rsidRDefault="00000000">
      <w:pPr>
        <w:spacing w:line="480" w:lineRule="auto"/>
        <w:ind w:left="-18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prospect of working remotely is attracting more and more attention among UK employees, who value flexibility and a healthy work-life balance.  An individual's ability to remain productive is greatly affected by working remotely.  There are times when a diverse workplace could be the way to go for the majority of workers.  With the use of cutting-edge software, the organisation can quickly </w:t>
      </w:r>
      <w:r>
        <w:rPr>
          <w:rFonts w:ascii="Times New Roman" w:eastAsia="Times New Roman" w:hAnsi="Times New Roman" w:cs="Times New Roman"/>
          <w:sz w:val="24"/>
          <w:szCs w:val="24"/>
        </w:rPr>
        <w:lastRenderedPageBreak/>
        <w:t xml:space="preserve">create a warm and friendly virtual workplace that prioritises culture. This is why working from home has recently become more common among British employees. </w:t>
      </w:r>
    </w:p>
    <w:p w14:paraId="0000002A" w14:textId="77777777" w:rsidR="00B31611" w:rsidRDefault="00B31611">
      <w:pPr>
        <w:spacing w:line="480" w:lineRule="auto"/>
        <w:ind w:left="-180"/>
        <w:jc w:val="both"/>
        <w:rPr>
          <w:rFonts w:ascii="Times New Roman" w:eastAsia="Times New Roman" w:hAnsi="Times New Roman" w:cs="Times New Roman"/>
          <w:sz w:val="24"/>
          <w:szCs w:val="24"/>
        </w:rPr>
      </w:pPr>
    </w:p>
    <w:p w14:paraId="0000002B" w14:textId="77777777" w:rsidR="00B31611" w:rsidRDefault="00B31611">
      <w:pPr>
        <w:spacing w:line="480" w:lineRule="auto"/>
        <w:ind w:left="-180"/>
        <w:jc w:val="both"/>
        <w:rPr>
          <w:rFonts w:ascii="Times New Roman" w:eastAsia="Times New Roman" w:hAnsi="Times New Roman" w:cs="Times New Roman"/>
          <w:sz w:val="24"/>
          <w:szCs w:val="24"/>
        </w:rPr>
      </w:pPr>
    </w:p>
    <w:p w14:paraId="0000002C" w14:textId="77777777" w:rsidR="00B31611" w:rsidRDefault="00B31611">
      <w:pPr>
        <w:spacing w:line="480" w:lineRule="auto"/>
        <w:ind w:left="-180"/>
        <w:jc w:val="both"/>
        <w:rPr>
          <w:rFonts w:ascii="Times New Roman" w:eastAsia="Times New Roman" w:hAnsi="Times New Roman" w:cs="Times New Roman"/>
          <w:sz w:val="24"/>
          <w:szCs w:val="24"/>
        </w:rPr>
      </w:pPr>
    </w:p>
    <w:p w14:paraId="0000002D" w14:textId="77777777" w:rsidR="00B31611" w:rsidRDefault="00B31611">
      <w:pPr>
        <w:spacing w:line="480" w:lineRule="auto"/>
        <w:ind w:left="-180"/>
        <w:jc w:val="both"/>
        <w:rPr>
          <w:rFonts w:ascii="Times New Roman" w:eastAsia="Times New Roman" w:hAnsi="Times New Roman" w:cs="Times New Roman"/>
          <w:sz w:val="24"/>
          <w:szCs w:val="24"/>
        </w:rPr>
      </w:pPr>
    </w:p>
    <w:p w14:paraId="0000002E" w14:textId="77777777" w:rsidR="00B31611" w:rsidRDefault="00000000">
      <w:pPr>
        <w:pStyle w:val="Heading1"/>
        <w:ind w:left="-180" w:firstLine="0"/>
      </w:pPr>
      <w:bookmarkStart w:id="10" w:name="_lnxjb2yirwho" w:colFirst="0" w:colLast="0"/>
      <w:bookmarkEnd w:id="10"/>
      <w:r>
        <w:br w:type="page"/>
      </w:r>
    </w:p>
    <w:p w14:paraId="0000002F" w14:textId="77777777" w:rsidR="00B31611" w:rsidRDefault="00000000">
      <w:pPr>
        <w:pStyle w:val="Heading1"/>
        <w:ind w:left="-180" w:firstLine="0"/>
      </w:pPr>
      <w:bookmarkStart w:id="11" w:name="_Toc165596765"/>
      <w:r>
        <w:lastRenderedPageBreak/>
        <w:t>References:</w:t>
      </w:r>
      <w:bookmarkEnd w:id="11"/>
    </w:p>
    <w:p w14:paraId="00000030" w14:textId="77777777" w:rsidR="00B31611" w:rsidRDefault="00000000">
      <w:pPr>
        <w:widowControl w:val="0"/>
        <w:spacing w:line="480" w:lineRule="auto"/>
        <w:ind w:left="-18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Andargie, M. S., Touchie, M., &amp; O’Brien, W. (2021). Case study: A survey of perceived noise in UK multi-unit residential buildings to study long-term implications for widespread teleworking. </w:t>
      </w:r>
      <w:r>
        <w:rPr>
          <w:rFonts w:ascii="Times New Roman" w:eastAsia="Times New Roman" w:hAnsi="Times New Roman" w:cs="Times New Roman"/>
          <w:i/>
          <w:color w:val="222222"/>
          <w:sz w:val="24"/>
          <w:szCs w:val="24"/>
          <w:highlight w:val="white"/>
        </w:rPr>
        <w:t>Building Acoustics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(4), 443-460.Retrieved from:</w:t>
      </w:r>
      <w:hyperlink r:id="rId7">
        <w:r>
          <w:rPr>
            <w:rFonts w:ascii="Times New Roman" w:eastAsia="Times New Roman" w:hAnsi="Times New Roman" w:cs="Times New Roman"/>
            <w:color w:val="1155CC"/>
            <w:sz w:val="24"/>
            <w:szCs w:val="24"/>
            <w:highlight w:val="white"/>
            <w:u w:val="single"/>
          </w:rPr>
          <w:t>https://journals.sagepub.com/doi/pdf/10.1177/1351010X21993742</w:t>
        </w:r>
      </w:hyperlink>
      <w:r>
        <w:rPr>
          <w:rFonts w:ascii="Times New Roman" w:eastAsia="Times New Roman" w:hAnsi="Times New Roman" w:cs="Times New Roman"/>
          <w:color w:val="222222"/>
          <w:sz w:val="24"/>
          <w:szCs w:val="24"/>
          <w:highlight w:val="white"/>
        </w:rPr>
        <w:t>.</w:t>
      </w:r>
    </w:p>
    <w:p w14:paraId="00000031" w14:textId="77777777" w:rsidR="00B31611" w:rsidRDefault="00000000">
      <w:pPr>
        <w:widowControl w:val="0"/>
        <w:spacing w:line="480" w:lineRule="auto"/>
        <w:ind w:left="-18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Angelucci, M., Angrisani, M., Bennett, D. M., Kapteyn, A., &amp; Schaner, S. G. (2020). </w:t>
      </w:r>
      <w:r>
        <w:rPr>
          <w:rFonts w:ascii="Times New Roman" w:eastAsia="Times New Roman" w:hAnsi="Times New Roman" w:cs="Times New Roman"/>
          <w:i/>
          <w:color w:val="222222"/>
          <w:sz w:val="24"/>
          <w:szCs w:val="24"/>
          <w:highlight w:val="white"/>
        </w:rPr>
        <w:t>Remote work and the heterogeneous impact of COVID-19 on employment and health</w:t>
      </w:r>
      <w:r>
        <w:rPr>
          <w:rFonts w:ascii="Times New Roman" w:eastAsia="Times New Roman" w:hAnsi="Times New Roman" w:cs="Times New Roman"/>
          <w:color w:val="222222"/>
          <w:sz w:val="24"/>
          <w:szCs w:val="24"/>
          <w:highlight w:val="white"/>
        </w:rPr>
        <w:t xml:space="preserve"> (No. w27749). National Bureau of Economic Research.Retrieved from:</w:t>
      </w:r>
      <w:hyperlink r:id="rId8">
        <w:r>
          <w:rPr>
            <w:rFonts w:ascii="Times New Roman" w:eastAsia="Times New Roman" w:hAnsi="Times New Roman" w:cs="Times New Roman"/>
            <w:color w:val="1155CC"/>
            <w:sz w:val="24"/>
            <w:szCs w:val="24"/>
            <w:highlight w:val="white"/>
            <w:u w:val="single"/>
          </w:rPr>
          <w:t>https://www.nber.org/system/files/working_papers/w27749/w27749.pdf</w:t>
        </w:r>
      </w:hyperlink>
      <w:r>
        <w:rPr>
          <w:rFonts w:ascii="Times New Roman" w:eastAsia="Times New Roman" w:hAnsi="Times New Roman" w:cs="Times New Roman"/>
          <w:color w:val="222222"/>
          <w:sz w:val="24"/>
          <w:szCs w:val="24"/>
          <w:highlight w:val="white"/>
        </w:rPr>
        <w:t>.</w:t>
      </w:r>
    </w:p>
    <w:p w14:paraId="00000032" w14:textId="77777777" w:rsidR="00B31611" w:rsidRDefault="00000000">
      <w:pPr>
        <w:widowControl w:val="0"/>
        <w:spacing w:line="480" w:lineRule="auto"/>
        <w:ind w:left="-18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Borgonovi, E., Anessi-Pessina, E., &amp; Bianchi, C. (Eds.). (2018). Outcome-based performance management in the public sector.Retrieved from:</w:t>
      </w:r>
      <w:hyperlink r:id="rId9">
        <w:r>
          <w:rPr>
            <w:rFonts w:ascii="Times New Roman" w:eastAsia="Times New Roman" w:hAnsi="Times New Roman" w:cs="Times New Roman"/>
            <w:color w:val="1155CC"/>
            <w:sz w:val="24"/>
            <w:szCs w:val="24"/>
            <w:highlight w:val="white"/>
            <w:u w:val="single"/>
          </w:rPr>
          <w:t>https://www.researchgate.net/profile/Enzo-Bivona/publication/318606093_Designing_Outcome-Based_Performance_Management_Systems_to_Assess_Policies_Impacting_on_Caesarean_Section_Rate_An_Analysis_of_the_Sicilian_Maternity_Pathway/links/65bca1e0790074549753fa83/Designing-Outcome-Based-Performance-Management-Systems-to-Assess-Policies-Impacting-on-Caesarean-Section-Rate-An-Analysis-of-the-Sicilian-Maternity-Pathway.pdf</w:t>
        </w:r>
      </w:hyperlink>
      <w:r>
        <w:rPr>
          <w:rFonts w:ascii="Times New Roman" w:eastAsia="Times New Roman" w:hAnsi="Times New Roman" w:cs="Times New Roman"/>
          <w:color w:val="222222"/>
          <w:sz w:val="24"/>
          <w:szCs w:val="24"/>
          <w:highlight w:val="white"/>
        </w:rPr>
        <w:t>.</w:t>
      </w:r>
    </w:p>
    <w:p w14:paraId="00000033" w14:textId="77777777" w:rsidR="00B31611" w:rsidRDefault="00000000">
      <w:pPr>
        <w:widowControl w:val="0"/>
        <w:spacing w:line="480" w:lineRule="auto"/>
        <w:ind w:left="-18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Chanana, N., &amp; Sangeeta. (2021). Employee engagement practices during COVID‐19 lockdown. </w:t>
      </w:r>
      <w:r>
        <w:rPr>
          <w:rFonts w:ascii="Times New Roman" w:eastAsia="Times New Roman" w:hAnsi="Times New Roman" w:cs="Times New Roman"/>
          <w:i/>
          <w:color w:val="222222"/>
          <w:sz w:val="24"/>
          <w:szCs w:val="24"/>
          <w:highlight w:val="white"/>
        </w:rPr>
        <w:t>Journal of public affairs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(4), e2508.Retrieved from:</w:t>
      </w:r>
      <w:hyperlink r:id="rId10">
        <w:r>
          <w:rPr>
            <w:rFonts w:ascii="Times New Roman" w:eastAsia="Times New Roman" w:hAnsi="Times New Roman" w:cs="Times New Roman"/>
            <w:color w:val="1155CC"/>
            <w:sz w:val="24"/>
            <w:szCs w:val="24"/>
            <w:highlight w:val="white"/>
            <w:u w:val="single"/>
          </w:rPr>
          <w:t>https://www.ncbi.nlm.nih.gov/pmc/articles/PMC7536939/</w:t>
        </w:r>
      </w:hyperlink>
      <w:r>
        <w:rPr>
          <w:rFonts w:ascii="Times New Roman" w:eastAsia="Times New Roman" w:hAnsi="Times New Roman" w:cs="Times New Roman"/>
          <w:color w:val="222222"/>
          <w:sz w:val="24"/>
          <w:szCs w:val="24"/>
          <w:highlight w:val="white"/>
        </w:rPr>
        <w:t>.</w:t>
      </w:r>
    </w:p>
    <w:p w14:paraId="00000034" w14:textId="77777777" w:rsidR="00B31611" w:rsidRDefault="00000000">
      <w:pPr>
        <w:widowControl w:val="0"/>
        <w:spacing w:line="480" w:lineRule="auto"/>
        <w:ind w:left="-18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Chetty, K., Qigui, L., Gcora, N., Josie, J., Wenwei, L., &amp; Fang, C. (2018). Bridging the digital divide: measuring digital literacy. </w:t>
      </w:r>
      <w:r>
        <w:rPr>
          <w:rFonts w:ascii="Times New Roman" w:eastAsia="Times New Roman" w:hAnsi="Times New Roman" w:cs="Times New Roman"/>
          <w:i/>
          <w:color w:val="222222"/>
          <w:sz w:val="24"/>
          <w:szCs w:val="24"/>
          <w:highlight w:val="white"/>
        </w:rPr>
        <w:t>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(1), 20180023.Retrieved from:</w:t>
      </w:r>
      <w:hyperlink r:id="rId11">
        <w:r>
          <w:rPr>
            <w:rFonts w:ascii="Times New Roman" w:eastAsia="Times New Roman" w:hAnsi="Times New Roman" w:cs="Times New Roman"/>
            <w:color w:val="1155CC"/>
            <w:sz w:val="24"/>
            <w:szCs w:val="24"/>
            <w:highlight w:val="white"/>
            <w:u w:val="single"/>
          </w:rPr>
          <w:t>https://www.degruyter.com/document/doi/10.5018/economics-ejournal.ja.2018-23/pdf</w:t>
        </w:r>
      </w:hyperlink>
      <w:r>
        <w:rPr>
          <w:rFonts w:ascii="Times New Roman" w:eastAsia="Times New Roman" w:hAnsi="Times New Roman" w:cs="Times New Roman"/>
          <w:color w:val="222222"/>
          <w:sz w:val="24"/>
          <w:szCs w:val="24"/>
          <w:highlight w:val="white"/>
        </w:rPr>
        <w:t>.</w:t>
      </w:r>
    </w:p>
    <w:p w14:paraId="00000035" w14:textId="77777777" w:rsidR="00B31611" w:rsidRDefault="00000000">
      <w:pPr>
        <w:widowControl w:val="0"/>
        <w:spacing w:line="480" w:lineRule="auto"/>
        <w:ind w:left="-18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Milder, N. D. (2020). Remote work: An example of how to identify a downtown-related trend breeze </w:t>
      </w:r>
      <w:r>
        <w:rPr>
          <w:rFonts w:ascii="Times New Roman" w:eastAsia="Times New Roman" w:hAnsi="Times New Roman" w:cs="Times New Roman"/>
          <w:color w:val="222222"/>
          <w:sz w:val="24"/>
          <w:szCs w:val="24"/>
          <w:highlight w:val="white"/>
        </w:rPr>
        <w:lastRenderedPageBreak/>
        <w:t xml:space="preserve">that probably will outlast the COVID-19 crisis. </w:t>
      </w:r>
      <w:r>
        <w:rPr>
          <w:rFonts w:ascii="Times New Roman" w:eastAsia="Times New Roman" w:hAnsi="Times New Roman" w:cs="Times New Roman"/>
          <w:i/>
          <w:color w:val="222222"/>
          <w:sz w:val="24"/>
          <w:szCs w:val="24"/>
          <w:highlight w:val="white"/>
        </w:rPr>
        <w:t>Journal of Urban Regeneration &amp; Renewal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(2), 135-154.Retrieved from:</w:t>
      </w:r>
      <w:hyperlink r:id="rId12">
        <w:r>
          <w:rPr>
            <w:rFonts w:ascii="Times New Roman" w:eastAsia="Times New Roman" w:hAnsi="Times New Roman" w:cs="Times New Roman"/>
            <w:color w:val="1155CC"/>
            <w:sz w:val="24"/>
            <w:szCs w:val="24"/>
            <w:highlight w:val="white"/>
            <w:u w:val="single"/>
          </w:rPr>
          <w:t>https://economicdevelopment.extension.wisc.edu/files/2020/10/Milder_paper.pdf</w:t>
        </w:r>
      </w:hyperlink>
      <w:r>
        <w:rPr>
          <w:rFonts w:ascii="Times New Roman" w:eastAsia="Times New Roman" w:hAnsi="Times New Roman" w:cs="Times New Roman"/>
          <w:color w:val="222222"/>
          <w:sz w:val="24"/>
          <w:szCs w:val="24"/>
          <w:highlight w:val="white"/>
        </w:rPr>
        <w:t>.</w:t>
      </w:r>
    </w:p>
    <w:p w14:paraId="00000036" w14:textId="77777777" w:rsidR="00B31611" w:rsidRDefault="00B31611">
      <w:pPr>
        <w:widowControl w:val="0"/>
        <w:spacing w:line="480" w:lineRule="auto"/>
        <w:ind w:left="-180"/>
        <w:jc w:val="both"/>
        <w:rPr>
          <w:rFonts w:ascii="Times New Roman" w:eastAsia="Times New Roman" w:hAnsi="Times New Roman" w:cs="Times New Roman"/>
          <w:color w:val="222222"/>
          <w:sz w:val="24"/>
          <w:szCs w:val="24"/>
          <w:highlight w:val="white"/>
        </w:rPr>
      </w:pPr>
    </w:p>
    <w:p w14:paraId="00000037" w14:textId="77777777" w:rsidR="00B31611" w:rsidRDefault="00B31611">
      <w:pPr>
        <w:spacing w:line="480" w:lineRule="auto"/>
        <w:ind w:left="-180"/>
        <w:jc w:val="both"/>
        <w:rPr>
          <w:rFonts w:ascii="Times New Roman" w:eastAsia="Times New Roman" w:hAnsi="Times New Roman" w:cs="Times New Roman"/>
          <w:b/>
          <w:sz w:val="24"/>
          <w:szCs w:val="24"/>
        </w:rPr>
      </w:pPr>
    </w:p>
    <w:p w14:paraId="00000038" w14:textId="0AF76BD8" w:rsidR="00A23CD4" w:rsidRDefault="00A23CD4">
      <w:pPr>
        <w:spacing w:line="480" w:lineRule="auto"/>
        <w:ind w:left="-180"/>
        <w:jc w:val="both"/>
        <w:rPr>
          <w:rFonts w:ascii="Times New Roman" w:eastAsia="Times New Roman" w:hAnsi="Times New Roman" w:cs="Times New Roman"/>
          <w:sz w:val="24"/>
          <w:szCs w:val="24"/>
        </w:rPr>
      </w:pPr>
    </w:p>
    <w:p w14:paraId="50F0F4EA" w14:textId="77777777" w:rsidR="00A23CD4" w:rsidRDefault="00A23CD4">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3314224" w14:textId="77777777" w:rsidR="00B24205" w:rsidRDefault="00B24205" w:rsidP="00B24205">
      <w:pPr>
        <w:spacing w:after="240"/>
        <w:jc w:val="center"/>
        <w:rPr>
          <w:rFonts w:ascii="Times New Roman" w:eastAsia="Times New Roman" w:hAnsi="Times New Roman" w:cs="Times New Roman"/>
          <w:lang w:val="en-IN"/>
        </w:rPr>
      </w:pPr>
      <w:r>
        <w:rPr>
          <w:rFonts w:ascii="Times New Roman" w:eastAsia="Times New Roman" w:hAnsi="Times New Roman" w:cs="Times New Roman"/>
          <w:lang w:val="en-IN"/>
        </w:rPr>
        <w:lastRenderedPageBreak/>
        <w:t>PRECIS</w:t>
      </w:r>
    </w:p>
    <w:p w14:paraId="13C3031F" w14:textId="77777777" w:rsidR="00B24205" w:rsidRDefault="00B24205" w:rsidP="00B24205">
      <w:pPr>
        <w:spacing w:after="240"/>
        <w:jc w:val="center"/>
        <w:rPr>
          <w:rFonts w:ascii="Times New Roman" w:eastAsia="Times New Roman" w:hAnsi="Times New Roman" w:cs="Times New Roman"/>
          <w:sz w:val="36"/>
          <w:szCs w:val="36"/>
          <w:lang w:val="en-IN"/>
        </w:rPr>
      </w:pPr>
      <w:r>
        <w:rPr>
          <w:rFonts w:ascii="Times New Roman" w:eastAsia="Times New Roman" w:hAnsi="Times New Roman" w:cs="Times New Roman"/>
          <w:sz w:val="36"/>
          <w:szCs w:val="36"/>
          <w:lang w:val="en-IN"/>
        </w:rPr>
        <w:t>SUMMARY-</w:t>
      </w:r>
      <w:r>
        <w:rPr>
          <w:rFonts w:ascii="Times New Roman" w:eastAsia="Times New Roman" w:hAnsi="Times New Roman" w:cs="Times New Roman"/>
          <w:lang w:val="en-IN"/>
        </w:rPr>
        <w:t xml:space="preserve"> </w:t>
      </w:r>
      <w:r>
        <w:rPr>
          <w:rFonts w:ascii="Times New Roman" w:eastAsia="Times New Roman" w:hAnsi="Times New Roman" w:cs="Times New Roman"/>
          <w:sz w:val="36"/>
          <w:szCs w:val="36"/>
          <w:lang w:val="en-IN"/>
        </w:rPr>
        <w:t>INNOVATION SYSTEMS</w:t>
      </w:r>
    </w:p>
    <w:p w14:paraId="3B5B7DE7" w14:textId="77777777" w:rsidR="00B24205" w:rsidRPr="00394BED" w:rsidRDefault="00B24205" w:rsidP="00B24205">
      <w:pPr>
        <w:spacing w:after="240"/>
        <w:rPr>
          <w:rFonts w:ascii="Times New Roman" w:eastAsia="Times New Roman" w:hAnsi="Times New Roman" w:cs="Times New Roman"/>
          <w:sz w:val="36"/>
          <w:szCs w:val="36"/>
          <w:lang w:val="en-IN"/>
        </w:rPr>
      </w:pPr>
      <w:r w:rsidRPr="00143D99">
        <w:rPr>
          <w:rFonts w:ascii="Times New Roman" w:eastAsia="Times New Roman" w:hAnsi="Times New Roman" w:cs="Times New Roman"/>
          <w:lang w:val="en-IN"/>
        </w:rPr>
        <w:t>This study provides a unique analytical framework for examining innovation in technological processes that occur across national borders and in international contexts. According to the authors' argument, most theories and policy proposals regarding innovation systems have adopted a national or regional perspective, so lacking to take into account the growing globalisation of innovation efforts across businesses and industries.</w:t>
      </w:r>
      <w:r w:rsidRPr="00143D99">
        <w:rPr>
          <w:rFonts w:ascii="Times New Roman" w:eastAsia="Times New Roman" w:hAnsi="Times New Roman" w:cs="Times New Roman"/>
          <w:lang w:val="en-IN"/>
        </w:rPr>
        <w:br/>
        <w:t>To address this flaw, the authors draw on fresh insights in the theory of global innovation as well as information from the literature on innovation systems. Their approach is multi-scale, perceiving innovation systems as spanning multiple spatial scales, from small-scale local economies and areas to a large-scale globally interconnected system.</w:t>
      </w:r>
    </w:p>
    <w:p w14:paraId="3FF9D5E5" w14:textId="77777777" w:rsidR="00B24205" w:rsidRPr="00143D99" w:rsidRDefault="00B24205" w:rsidP="00B24205">
      <w:pPr>
        <w:rPr>
          <w:rFonts w:ascii="Times New Roman" w:eastAsia="Times New Roman" w:hAnsi="Times New Roman" w:cs="Times New Roman"/>
          <w:lang w:val="en-IN"/>
        </w:rPr>
      </w:pPr>
      <w:r w:rsidRPr="00143D99">
        <w:rPr>
          <w:rFonts w:ascii="Times New Roman" w:eastAsia="Times New Roman" w:hAnsi="Times New Roman" w:cs="Times New Roman"/>
          <w:lang w:val="en-IN"/>
        </w:rPr>
        <w:t xml:space="preserve">Based on this multi-scalar GIS ideas, the authors propose a typology of four typical configurations that a GIS can have. Two main characteristics set these four groups apart: the form of innovation that occurs (supplier-dominated versus science-based innovation, for example) and the guiding concept of product valuation in a particular market (cost versus unique features). </w:t>
      </w:r>
    </w:p>
    <w:p w14:paraId="6E8F76E6" w14:textId="77777777" w:rsidR="00B24205" w:rsidRDefault="00B24205" w:rsidP="00B24205">
      <w:pPr>
        <w:rPr>
          <w:rFonts w:ascii="Times New Roman" w:eastAsia="Times New Roman" w:hAnsi="Times New Roman" w:cs="Times New Roman"/>
          <w:lang w:val="en-IN"/>
        </w:rPr>
      </w:pPr>
      <w:r w:rsidRPr="00143D99">
        <w:rPr>
          <w:rFonts w:ascii="Times New Roman" w:eastAsia="Times New Roman" w:hAnsi="Times New Roman" w:cs="Times New Roman"/>
          <w:lang w:val="en-IN"/>
        </w:rPr>
        <w:t xml:space="preserve">In a supplier-dominated, cost-based </w:t>
      </w:r>
      <w:proofErr w:type="gramStart"/>
      <w:r w:rsidRPr="00143D99">
        <w:rPr>
          <w:rFonts w:ascii="Times New Roman" w:eastAsia="Times New Roman" w:hAnsi="Times New Roman" w:cs="Times New Roman"/>
          <w:lang w:val="en-IN"/>
        </w:rPr>
        <w:t>busines</w:t>
      </w:r>
      <w:r>
        <w:rPr>
          <w:rFonts w:ascii="Times New Roman" w:eastAsia="Times New Roman" w:hAnsi="Times New Roman" w:cs="Times New Roman"/>
          <w:lang w:val="en-IN"/>
        </w:rPr>
        <w:t>s</w:t>
      </w:r>
      <w:r w:rsidRPr="00143D99">
        <w:rPr>
          <w:rFonts w:ascii="Times New Roman" w:eastAsia="Times New Roman" w:hAnsi="Times New Roman" w:cs="Times New Roman"/>
          <w:lang w:val="en-IN"/>
        </w:rPr>
        <w:t xml:space="preserve"> like</w:t>
      </w:r>
      <w:proofErr w:type="gramEnd"/>
      <w:r w:rsidRPr="00143D99">
        <w:rPr>
          <w:rFonts w:ascii="Times New Roman" w:eastAsia="Times New Roman" w:hAnsi="Times New Roman" w:cs="Times New Roman"/>
          <w:lang w:val="en-IN"/>
        </w:rPr>
        <w:t xml:space="preserve"> automobile production as opposed to a science-based, competitive market like pharmaceutical, a GIS, for instance, would be very different. </w:t>
      </w:r>
    </w:p>
    <w:p w14:paraId="10D1450D" w14:textId="77777777" w:rsidR="00B24205" w:rsidRDefault="00B24205" w:rsidP="00B24205">
      <w:pPr>
        <w:rPr>
          <w:rFonts w:ascii="Times New Roman" w:eastAsia="Times New Roman" w:hAnsi="Times New Roman" w:cs="Times New Roman"/>
          <w:lang w:val="en-IN"/>
        </w:rPr>
      </w:pPr>
      <w:r w:rsidRPr="00143D99">
        <w:rPr>
          <w:rFonts w:ascii="Times New Roman" w:eastAsia="Times New Roman" w:hAnsi="Times New Roman" w:cs="Times New Roman"/>
          <w:lang w:val="en-IN"/>
        </w:rPr>
        <w:br/>
        <w:t xml:space="preserve">To demonstrate the analytical worth of their method, the authors examine four emerging clean technology industries: bioethanol, solar energy, wind power, and electric vehicles. Based on qualitative data, they depict how creative activities in various sectors are organised across globally dispersed subsystems of knowledge creation, markets, manufacturing, etc., and how the couplings between these subsystems form an overall GIS. </w:t>
      </w:r>
    </w:p>
    <w:p w14:paraId="4752C1FD" w14:textId="77777777" w:rsidR="00B24205" w:rsidRPr="00143D99" w:rsidRDefault="00B24205" w:rsidP="00B24205">
      <w:pPr>
        <w:rPr>
          <w:rFonts w:ascii="Times New Roman" w:eastAsia="Times New Roman" w:hAnsi="Times New Roman" w:cs="Times New Roman"/>
          <w:lang w:val="en-IN"/>
        </w:rPr>
      </w:pPr>
      <w:r w:rsidRPr="00143D99">
        <w:rPr>
          <w:rFonts w:ascii="Times New Roman" w:eastAsia="Times New Roman" w:hAnsi="Times New Roman" w:cs="Times New Roman"/>
          <w:lang w:val="en-IN"/>
        </w:rPr>
        <w:br/>
        <w:t>The authors argue that implementing a thorough GIS methodology is necessary for two reasons: First off, it enables scholars who study innovation systems to develop more thorough justifications for the intricate geographic dynamics present to modern invention processes.</w:t>
      </w:r>
    </w:p>
    <w:p w14:paraId="4CE8DE93" w14:textId="77777777" w:rsidR="00B24205" w:rsidRPr="00143D99" w:rsidRDefault="00B24205" w:rsidP="00B24205">
      <w:pPr>
        <w:rPr>
          <w:rFonts w:ascii="Times New Roman" w:eastAsia="Times New Roman" w:hAnsi="Times New Roman" w:cs="Times New Roman"/>
          <w:lang w:val="en-IN"/>
        </w:rPr>
      </w:pPr>
      <w:r w:rsidRPr="00143D99">
        <w:rPr>
          <w:rFonts w:ascii="Times New Roman" w:eastAsia="Times New Roman" w:hAnsi="Times New Roman" w:cs="Times New Roman"/>
          <w:lang w:val="en-IN"/>
        </w:rPr>
        <w:t>Theoretical work to date has focused on national or subnational scales.</w:t>
      </w:r>
      <w:r w:rsidRPr="00143D99">
        <w:rPr>
          <w:rFonts w:ascii="Times New Roman" w:eastAsia="Times New Roman" w:hAnsi="Times New Roman" w:cs="Times New Roman"/>
          <w:lang w:val="en-IN"/>
        </w:rPr>
        <w:br/>
        <w:t xml:space="preserve">Developing innovation policies and interventions that are more suited to the globalised structure of invention across industries can also be helped by a Geographic Information System (GIS) perspective. More specifically, it can guide global innovation assistance through international coordination policies related to laws, finance, labour transfers, intellectual property, and other areas. </w:t>
      </w:r>
      <w:r w:rsidRPr="00143D99">
        <w:rPr>
          <w:rFonts w:ascii="Times New Roman" w:eastAsia="Times New Roman" w:hAnsi="Times New Roman" w:cs="Times New Roman"/>
          <w:lang w:val="en-IN"/>
        </w:rPr>
        <w:br/>
        <w:t xml:space="preserve">In summary, this work provides a novel multi-scalar model—a conceptual contribution—for the analysis of globally linked but spatially scattered innovation systems. The increasing globalisation of innovation processes across industries highlights the relevance of this kind of approach to policy. The clean-tech business examples highlight the analytical viewpoint that a GIS offers. </w:t>
      </w:r>
    </w:p>
    <w:p w14:paraId="1CAF9B2D" w14:textId="77777777" w:rsidR="00B24205" w:rsidRDefault="00B24205" w:rsidP="00B24205">
      <w:pPr>
        <w:spacing w:after="240"/>
        <w:rPr>
          <w:rFonts w:ascii="Times New Roman" w:eastAsia="Times New Roman" w:hAnsi="Times New Roman" w:cs="Times New Roman"/>
          <w:lang w:val="en-IN"/>
        </w:rPr>
      </w:pPr>
    </w:p>
    <w:p w14:paraId="17E0C4CC" w14:textId="77777777" w:rsidR="00B24205" w:rsidRPr="00D318FD" w:rsidRDefault="00B24205" w:rsidP="00B24205">
      <w:pPr>
        <w:rPr>
          <w:rFonts w:ascii="Times New Roman" w:eastAsia="Times New Roman" w:hAnsi="Times New Roman" w:cs="Times New Roman"/>
          <w:lang w:val="en-IN"/>
        </w:rPr>
      </w:pPr>
      <w:r w:rsidRPr="00FB372E">
        <w:rPr>
          <w:rFonts w:ascii="Times New Roman" w:eastAsia="Times New Roman" w:hAnsi="Times New Roman" w:cs="Times New Roman"/>
          <w:lang w:val="en-IN"/>
        </w:rPr>
        <w:t xml:space="preserve">In conclusion, in order to effectively support innovation and industrial development in an increasingly globalized context, governance techniques and institutions must be adapted to the unique characteristics of various GIS arrangements. </w:t>
      </w:r>
      <w:r w:rsidRPr="00D318FD">
        <w:rPr>
          <w:rFonts w:ascii="Times New Roman" w:eastAsia="Times New Roman" w:hAnsi="Times New Roman" w:cs="Times New Roman"/>
          <w:lang w:val="en-IN"/>
        </w:rPr>
        <w:t xml:space="preserve">Overall, </w:t>
      </w:r>
      <w:proofErr w:type="gramStart"/>
      <w:r w:rsidRPr="00D318FD">
        <w:rPr>
          <w:rFonts w:ascii="Times New Roman" w:eastAsia="Times New Roman" w:hAnsi="Times New Roman" w:cs="Times New Roman"/>
          <w:lang w:val="en-IN"/>
        </w:rPr>
        <w:t>although  GIS</w:t>
      </w:r>
      <w:proofErr w:type="gramEnd"/>
      <w:r w:rsidRPr="00D318FD">
        <w:rPr>
          <w:rFonts w:ascii="Times New Roman" w:eastAsia="Times New Roman" w:hAnsi="Times New Roman" w:cs="Times New Roman"/>
          <w:lang w:val="en-IN"/>
        </w:rPr>
        <w:t xml:space="preserve"> are mostly </w:t>
      </w:r>
      <w:r>
        <w:rPr>
          <w:rFonts w:ascii="Times New Roman" w:eastAsia="Times New Roman" w:hAnsi="Times New Roman" w:cs="Times New Roman"/>
          <w:lang w:val="en-IN"/>
        </w:rPr>
        <w:t xml:space="preserve">natural </w:t>
      </w:r>
      <w:proofErr w:type="spellStart"/>
      <w:r>
        <w:rPr>
          <w:rFonts w:ascii="Times New Roman" w:eastAsia="Times New Roman" w:hAnsi="Times New Roman" w:cs="Times New Roman"/>
          <w:lang w:val="en-IN"/>
        </w:rPr>
        <w:t>evants</w:t>
      </w:r>
      <w:proofErr w:type="spellEnd"/>
      <w:r w:rsidRPr="00D318FD">
        <w:rPr>
          <w:rFonts w:ascii="Times New Roman" w:eastAsia="Times New Roman" w:hAnsi="Times New Roman" w:cs="Times New Roman"/>
          <w:lang w:val="en-IN"/>
        </w:rPr>
        <w:t xml:space="preserve"> that are difficult to actively </w:t>
      </w:r>
      <w:r w:rsidRPr="00D318FD">
        <w:rPr>
          <w:rFonts w:ascii="Times New Roman" w:eastAsia="Times New Roman" w:hAnsi="Times New Roman" w:cs="Times New Roman"/>
          <w:lang w:val="en-IN"/>
        </w:rPr>
        <w:lastRenderedPageBreak/>
        <w:t>plan or manage top-down, there are many of chances for future studies to create justifications for strategies that better take advantage of the connections that exist across the world in the innovation process.</w:t>
      </w:r>
    </w:p>
    <w:p w14:paraId="24EA8979" w14:textId="77777777" w:rsidR="00B24205" w:rsidRPr="00FB372E" w:rsidRDefault="00B24205" w:rsidP="00B24205">
      <w:pPr>
        <w:spacing w:after="240"/>
        <w:rPr>
          <w:rFonts w:ascii="Times New Roman" w:eastAsia="Times New Roman" w:hAnsi="Times New Roman" w:cs="Times New Roman"/>
          <w:lang w:val="en-IN"/>
        </w:rPr>
      </w:pPr>
      <w:r w:rsidRPr="00FB372E">
        <w:rPr>
          <w:rFonts w:ascii="Times New Roman" w:eastAsia="Times New Roman" w:hAnsi="Times New Roman" w:cs="Times New Roman"/>
          <w:lang w:val="en-IN"/>
        </w:rPr>
        <w:br/>
      </w:r>
      <w:r w:rsidRPr="00FB372E">
        <w:rPr>
          <w:rFonts w:ascii="Times New Roman" w:eastAsia="Times New Roman" w:hAnsi="Times New Roman" w:cs="Times New Roman"/>
          <w:lang w:val="en-IN"/>
        </w:rPr>
        <w:br/>
      </w:r>
    </w:p>
    <w:p w14:paraId="54A8A5BF" w14:textId="77777777" w:rsidR="00B24205" w:rsidRPr="00143D99" w:rsidRDefault="00B24205" w:rsidP="00B24205">
      <w:pPr>
        <w:spacing w:after="240"/>
        <w:rPr>
          <w:rFonts w:ascii="Times New Roman" w:eastAsia="Times New Roman" w:hAnsi="Times New Roman" w:cs="Times New Roman"/>
          <w:lang w:val="en-IN"/>
        </w:rPr>
      </w:pPr>
    </w:p>
    <w:p w14:paraId="2E12313B" w14:textId="45619B13" w:rsidR="00A23CD4" w:rsidRDefault="00A23CD4">
      <w:pPr>
        <w:spacing w:line="480" w:lineRule="auto"/>
        <w:ind w:left="-180"/>
        <w:jc w:val="both"/>
        <w:rPr>
          <w:rFonts w:ascii="Times New Roman" w:eastAsia="Times New Roman" w:hAnsi="Times New Roman" w:cs="Times New Roman"/>
          <w:sz w:val="24"/>
          <w:szCs w:val="24"/>
        </w:rPr>
      </w:pPr>
    </w:p>
    <w:p w14:paraId="18065117" w14:textId="43E6DC3E" w:rsidR="00A23CD4" w:rsidRPr="0062552C" w:rsidRDefault="00A23CD4" w:rsidP="0062552C">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r w:rsidR="00A34B62" w:rsidRPr="0062552C">
        <w:rPr>
          <w:rFonts w:ascii="Times New Roman" w:eastAsia="Times New Roman" w:hAnsi="Times New Roman" w:cs="Times New Roman"/>
          <w:sz w:val="36"/>
          <w:szCs w:val="36"/>
        </w:rPr>
        <w:lastRenderedPageBreak/>
        <w:t>S</w:t>
      </w:r>
      <w:r w:rsidR="0062552C" w:rsidRPr="0062552C">
        <w:rPr>
          <w:rFonts w:ascii="Times New Roman" w:eastAsia="Times New Roman" w:hAnsi="Times New Roman" w:cs="Times New Roman"/>
          <w:sz w:val="36"/>
          <w:szCs w:val="36"/>
        </w:rPr>
        <w:t>ummary-</w:t>
      </w:r>
    </w:p>
    <w:p w14:paraId="21DBBE0F" w14:textId="77777777" w:rsidR="0062552C" w:rsidRDefault="0062552C" w:rsidP="0062552C">
      <w:pPr>
        <w:rPr>
          <w:rFonts w:ascii="Times New Roman" w:eastAsia="Times New Roman" w:hAnsi="Times New Roman" w:cs="Times New Roman"/>
          <w:sz w:val="24"/>
          <w:szCs w:val="24"/>
        </w:rPr>
      </w:pPr>
      <w:r w:rsidRPr="00CF25AD">
        <w:rPr>
          <w:rFonts w:ascii="Times New Roman" w:eastAsia="Times New Roman" w:hAnsi="Times New Roman" w:cs="Times New Roman"/>
          <w:sz w:val="24"/>
          <w:szCs w:val="24"/>
        </w:rPr>
        <w:t xml:space="preserve">The paper examines the idea of global innovation systems (GIS) and offers a thorough framework for assessing technological innovation in international settings. The key ideas are outlined below: </w:t>
      </w:r>
      <w:r w:rsidRPr="00CF25AD">
        <w:rPr>
          <w:rFonts w:ascii="Times New Roman" w:eastAsia="Times New Roman" w:hAnsi="Times New Roman" w:cs="Times New Roman"/>
          <w:sz w:val="24"/>
          <w:szCs w:val="24"/>
        </w:rPr>
        <w:br/>
      </w:r>
      <w:r w:rsidRPr="00CF25AD">
        <w:rPr>
          <w:rFonts w:ascii="Times New Roman" w:eastAsia="Times New Roman" w:hAnsi="Times New Roman" w:cs="Times New Roman"/>
          <w:sz w:val="24"/>
          <w:szCs w:val="24"/>
        </w:rPr>
        <w:br/>
        <w:t>Innovation Dynamics: In introducing the idea of multi-scalar innovation systems, the paper emphasizes the importance of institutions and actor networks at many scales and levels. This implies that a complex web of interrelated forces acting at different scales, ranging from local to global, influences innovation rather than it happening in a vacuum.</w:t>
      </w:r>
      <w:r w:rsidRPr="00CF25AD">
        <w:rPr>
          <w:rFonts w:ascii="Times New Roman" w:eastAsia="Times New Roman" w:hAnsi="Times New Roman" w:cs="Times New Roman"/>
          <w:sz w:val="24"/>
          <w:szCs w:val="24"/>
        </w:rPr>
        <w:br/>
        <w:t xml:space="preserve">GIS Framework: A fresh framework is put out to understand the global generation and integration of resources for innovation. This framework probably offers an organized method for examining the cross-border and intra-global innovation networks movement of resources, expertise, and capabilities. </w:t>
      </w:r>
      <w:r w:rsidRPr="00CF25AD">
        <w:rPr>
          <w:rFonts w:ascii="Times New Roman" w:eastAsia="Times New Roman" w:hAnsi="Times New Roman" w:cs="Times New Roman"/>
          <w:sz w:val="24"/>
          <w:szCs w:val="24"/>
        </w:rPr>
        <w:br/>
      </w:r>
      <w:r w:rsidRPr="00CF25AD">
        <w:rPr>
          <w:rFonts w:ascii="Times New Roman" w:eastAsia="Times New Roman" w:hAnsi="Times New Roman" w:cs="Times New Roman"/>
          <w:sz w:val="24"/>
          <w:szCs w:val="24"/>
        </w:rPr>
        <w:br/>
      </w:r>
      <w:r>
        <w:rPr>
          <w:rFonts w:ascii="Times New Roman" w:eastAsia="Times New Roman" w:hAnsi="Times New Roman" w:cs="Times New Roman"/>
          <w:sz w:val="24"/>
          <w:szCs w:val="24"/>
        </w:rPr>
        <w:t>R</w:t>
      </w:r>
      <w:r w:rsidRPr="00CF25AD">
        <w:rPr>
          <w:rFonts w:ascii="Times New Roman" w:eastAsia="Times New Roman" w:hAnsi="Times New Roman" w:cs="Times New Roman"/>
          <w:sz w:val="24"/>
          <w:szCs w:val="24"/>
        </w:rPr>
        <w:t>eflecting the distinct mixes of knowledge bases and value systems across geographies and sectors. These arrangements affect how economic value and innovation are produced in particular situations. STI knowledge and standardised valuation systems, for example, are likely to support high-tech manufacturing in certain places, whereas DUI knowledge and tailored valuation systems are more likely to support the hospitality and tourism industries in other regions. For firms, researchers, and policymakers looking to foster economic development and innovation that is customized to the unique strengths and dynamics of various industries and areas, it is imperative that they comprehend these GIS configurations.</w:t>
      </w:r>
      <w:r>
        <w:rPr>
          <w:rFonts w:ascii="Times New Roman" w:eastAsia="Times New Roman" w:hAnsi="Times New Roman" w:cs="Times New Roman"/>
          <w:sz w:val="24"/>
          <w:szCs w:val="24"/>
        </w:rPr>
        <w:t xml:space="preserve"> </w:t>
      </w:r>
    </w:p>
    <w:p w14:paraId="06171A7F" w14:textId="77777777" w:rsidR="0062552C" w:rsidRPr="00DD332D" w:rsidRDefault="0062552C" w:rsidP="0062552C">
      <w:pPr>
        <w:pBdr>
          <w:bottom w:val="single" w:sz="6" w:space="1" w:color="auto"/>
        </w:pBdr>
        <w:spacing w:line="240" w:lineRule="auto"/>
        <w:jc w:val="center"/>
        <w:rPr>
          <w:rFonts w:eastAsia="Times New Roman"/>
          <w:vanish/>
          <w:sz w:val="16"/>
          <w:szCs w:val="16"/>
        </w:rPr>
      </w:pPr>
      <w:r w:rsidRPr="00DD332D">
        <w:rPr>
          <w:rFonts w:eastAsia="Times New Roman"/>
          <w:vanish/>
          <w:sz w:val="16"/>
          <w:szCs w:val="16"/>
        </w:rPr>
        <w:t>Top of Form</w:t>
      </w:r>
    </w:p>
    <w:p w14:paraId="3F6033D5" w14:textId="77777777" w:rsidR="0062552C" w:rsidRDefault="0062552C" w:rsidP="0062552C">
      <w:pPr>
        <w:spacing w:after="240" w:line="240" w:lineRule="auto"/>
        <w:rPr>
          <w:rStyle w:val="Strong"/>
          <w:rFonts w:ascii="Segoe UI" w:eastAsia="Times New Roman" w:hAnsi="Segoe UI" w:cs="Segoe UI"/>
          <w:color w:val="ECECEC"/>
          <w:sz w:val="24"/>
          <w:szCs w:val="24"/>
          <w:bdr w:val="single" w:sz="2" w:space="0" w:color="E3E3E3" w:frame="1"/>
        </w:rPr>
      </w:pPr>
      <w:r w:rsidRPr="00DD332D">
        <w:rPr>
          <w:rFonts w:ascii="Times New Roman" w:eastAsia="Times New Roman" w:hAnsi="Times New Roman" w:cs="Times New Roman"/>
          <w:sz w:val="24"/>
          <w:szCs w:val="24"/>
        </w:rPr>
        <w:t xml:space="preserve">Several crucial facets of innovation and technology transfer are covered in detail in this section: </w:t>
      </w:r>
      <w:r w:rsidRPr="00DD332D">
        <w:rPr>
          <w:rFonts w:ascii="Times New Roman" w:eastAsia="Times New Roman" w:hAnsi="Times New Roman" w:cs="Times New Roman"/>
          <w:sz w:val="24"/>
          <w:szCs w:val="24"/>
        </w:rPr>
        <w:br/>
      </w:r>
      <w:r w:rsidRPr="00DD332D">
        <w:rPr>
          <w:rFonts w:ascii="Times New Roman" w:eastAsia="Times New Roman" w:hAnsi="Times New Roman" w:cs="Times New Roman"/>
          <w:sz w:val="24"/>
          <w:szCs w:val="24"/>
        </w:rPr>
        <w:br/>
        <w:t>Technological Knowledge: Utilising patent networks for wind power as an example, it examines how product design influences the development of technological understanding. I believe we will be talking about how related innovations spread and develop because of the way wind power technologies are designed.</w:t>
      </w:r>
      <w:r w:rsidRPr="00DD332D">
        <w:rPr>
          <w:rFonts w:ascii="Times New Roman" w:eastAsia="Times New Roman" w:hAnsi="Times New Roman" w:cs="Times New Roman"/>
          <w:sz w:val="24"/>
          <w:szCs w:val="24"/>
        </w:rPr>
        <w:br/>
        <w:t xml:space="preserve">Territorial growth and Cultural Activities: The influence of creative and cultural enterprises on the territorial growth of the Swiss watchmaking industry is the main topic of this section. In a given geographic location, it might examine the ways in which cultural elements and artistic endeavours support the development and longevity of a given industry. </w:t>
      </w:r>
      <w:r w:rsidRPr="00DD332D">
        <w:rPr>
          <w:rFonts w:ascii="Times New Roman" w:eastAsia="Times New Roman" w:hAnsi="Times New Roman" w:cs="Times New Roman"/>
          <w:sz w:val="24"/>
          <w:szCs w:val="24"/>
        </w:rPr>
        <w:br/>
      </w:r>
    </w:p>
    <w:p w14:paraId="68B146F9" w14:textId="77777777" w:rsidR="0062552C" w:rsidRPr="00F71553" w:rsidRDefault="0062552C" w:rsidP="0062552C">
      <w:pPr>
        <w:spacing w:after="240" w:line="240" w:lineRule="auto"/>
        <w:rPr>
          <w:rFonts w:ascii="Segoe UI" w:eastAsia="Times New Roman" w:hAnsi="Segoe UI" w:cs="Segoe UI"/>
          <w:b/>
          <w:bCs/>
          <w:color w:val="ECECEC"/>
          <w:sz w:val="24"/>
          <w:szCs w:val="24"/>
          <w:bdr w:val="single" w:sz="2" w:space="0" w:color="E3E3E3" w:frame="1"/>
        </w:rPr>
      </w:pPr>
      <w:r w:rsidRPr="00F71553">
        <w:rPr>
          <w:rFonts w:ascii="Times New Roman" w:eastAsia="Times New Roman" w:hAnsi="Times New Roman" w:cs="Times New Roman"/>
          <w:sz w:val="24"/>
          <w:szCs w:val="24"/>
        </w:rPr>
        <w:t>Numerous references to studies and research on innovation and technology transfer from a variety of academic fields are included in this section. These references most likely help to contextualise and reinforce the material that was covered in the parts that came before it.</w:t>
      </w:r>
      <w:r w:rsidRPr="00F71553">
        <w:rPr>
          <w:rFonts w:ascii="Times New Roman" w:eastAsia="Times New Roman" w:hAnsi="Times New Roman" w:cs="Times New Roman"/>
          <w:sz w:val="24"/>
          <w:szCs w:val="24"/>
        </w:rPr>
        <w:br/>
        <w:t>All in all, it appears that this section provides a thorough analysis of the ways in which a variety of factors, including knowledge dynamics, cultural activities, and product design, impact technological advancement and innovation.</w:t>
      </w:r>
    </w:p>
    <w:p w14:paraId="73FC9B11" w14:textId="77777777" w:rsidR="0062552C" w:rsidRPr="0016316D" w:rsidRDefault="0062552C" w:rsidP="0062552C">
      <w:pPr>
        <w:spacing w:line="240" w:lineRule="auto"/>
        <w:rPr>
          <w:rFonts w:ascii="Times New Roman" w:eastAsia="Times New Roman" w:hAnsi="Times New Roman" w:cs="Times New Roman"/>
          <w:sz w:val="24"/>
          <w:szCs w:val="24"/>
        </w:rPr>
      </w:pPr>
      <w:r w:rsidRPr="0016316D">
        <w:rPr>
          <w:rFonts w:ascii="Times New Roman" w:eastAsia="Times New Roman" w:hAnsi="Times New Roman" w:cs="Times New Roman"/>
          <w:sz w:val="24"/>
          <w:szCs w:val="24"/>
        </w:rPr>
        <w:t xml:space="preserve">In order to protect cultural heritage and foster innovation, this essay highlights how important it is to manage innovation across national boundaries. In addition to introducing the idea of global </w:t>
      </w:r>
      <w:r w:rsidRPr="0016316D">
        <w:rPr>
          <w:rFonts w:ascii="Times New Roman" w:eastAsia="Times New Roman" w:hAnsi="Times New Roman" w:cs="Times New Roman"/>
          <w:sz w:val="24"/>
          <w:szCs w:val="24"/>
        </w:rPr>
        <w:lastRenderedPageBreak/>
        <w:t>innovation systems (GIS), it offers a classification of four GIS configurations that are based on the primary invention mode and valuation system used by various sectors. It demonstrates how GIS setups differ based on industry characteristics using the clean-tech industries as an example. The paper makes the case that by comprehending these configurations, specific policy interventions can be developed to efficiently assist innovation processes.</w:t>
      </w:r>
    </w:p>
    <w:p w14:paraId="3CD5C87F" w14:textId="77777777" w:rsidR="0062552C" w:rsidRDefault="0062552C" w:rsidP="0062552C">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Also! </w:t>
      </w:r>
      <w:r w:rsidRPr="0016316D">
        <w:rPr>
          <w:rFonts w:ascii="Times New Roman" w:eastAsia="Times New Roman" w:hAnsi="Times New Roman" w:cs="Times New Roman"/>
          <w:sz w:val="24"/>
          <w:szCs w:val="24"/>
        </w:rPr>
        <w:t xml:space="preserve">The paper draws attention to the increasing difficulties that industries confront when navigating global innovation systems (GIS). These difficulties result from increased money, knowledge, and human mobility, which in turn affects innovation processes at many scales and locales. With the limits of globalisation becoming increasingly blurred, traditional perspectives on innovation that are limited to certain regions are no longer adequate. It calls for a multi-scale, more complex understanding. </w:t>
      </w:r>
      <w:r w:rsidRPr="0016316D">
        <w:rPr>
          <w:rFonts w:ascii="Times New Roman" w:eastAsia="Times New Roman" w:hAnsi="Times New Roman" w:cs="Times New Roman"/>
          <w:sz w:val="24"/>
          <w:szCs w:val="24"/>
        </w:rPr>
        <w:br/>
        <w:t>Furthermore, in order to more accurately depict the dynamics of globalised innovation processes, current conceptions of innovation systems need to be improved. This change entails concentrating on actor networks and institutions that function on various scales.</w:t>
      </w:r>
      <w:r w:rsidRPr="0016316D">
        <w:rPr>
          <w:rFonts w:ascii="Times New Roman" w:eastAsia="Times New Roman" w:hAnsi="Times New Roman" w:cs="Times New Roman"/>
          <w:sz w:val="24"/>
          <w:szCs w:val="24"/>
        </w:rPr>
        <w:br/>
        <w:t xml:space="preserve">The paper also notes that different businesses have different innovation processes, which makes a standard GIS strategy unfeasible. </w:t>
      </w:r>
      <w:r w:rsidRPr="00507765">
        <w:rPr>
          <w:rFonts w:ascii="Times New Roman" w:eastAsia="Times New Roman" w:hAnsi="Times New Roman" w:cs="Times New Roman"/>
          <w:sz w:val="24"/>
          <w:szCs w:val="24"/>
        </w:rPr>
        <w:t xml:space="preserve">The study suggests a typology of four general GIS configurations based on industrial kinds in order to address this. This approach attempts to improve our comprehension of and response to industry-specific issues in the context of global innovation. The article's discussion of the policy implications provides insightful information about how to handle the problems that Global Innovation Systems (GIS) provide. A summary of each implication is provided below: </w:t>
      </w:r>
      <w:r w:rsidRPr="00507765">
        <w:rPr>
          <w:rFonts w:ascii="Times New Roman" w:eastAsia="Times New Roman" w:hAnsi="Times New Roman" w:cs="Times New Roman"/>
          <w:sz w:val="24"/>
          <w:szCs w:val="24"/>
        </w:rPr>
        <w:br/>
      </w:r>
      <w:r>
        <w:rPr>
          <w:rFonts w:ascii="Times New Roman" w:eastAsia="Times New Roman" w:hAnsi="Times New Roman" w:cs="Times New Roman"/>
          <w:sz w:val="24"/>
          <w:szCs w:val="24"/>
        </w:rPr>
        <w:t>I</w:t>
      </w:r>
      <w:r w:rsidRPr="00507765">
        <w:rPr>
          <w:rFonts w:ascii="Times New Roman" w:eastAsia="Times New Roman" w:hAnsi="Times New Roman" w:cs="Times New Roman"/>
          <w:sz w:val="24"/>
          <w:szCs w:val="24"/>
        </w:rPr>
        <w:t>ndustry-Specific Policies: Recognising the diversity of innovation processes across sectors, policies are tailored to the unique GIS arrangement of industries. The best course of action for policy depends on whether an industry is production-anchored, market-anchored, geographically sticky, or footloose. This focused approach guarantees that policies are more effective and adaptable to the demands of specific industries.</w:t>
      </w:r>
      <w:r w:rsidRPr="00507765">
        <w:rPr>
          <w:rFonts w:ascii="Times New Roman" w:eastAsia="Times New Roman" w:hAnsi="Times New Roman" w:cs="Times New Roman"/>
          <w:sz w:val="24"/>
          <w:szCs w:val="24"/>
        </w:rPr>
        <w:br/>
        <w:t xml:space="preserve">International Policy Coordination: Given the interconnectedness of GIS, worldwide integration of innovation processes is encouraged and any spatial spillovers must be managed by global policy coordination. Cooperation between countries minimises disputes, helps policies align, and optimises the advantages of international innovation networks. </w:t>
      </w:r>
      <w:r w:rsidRPr="00507765">
        <w:rPr>
          <w:rFonts w:ascii="Times New Roman" w:eastAsia="Times New Roman" w:hAnsi="Times New Roman" w:cs="Times New Roman"/>
          <w:sz w:val="24"/>
          <w:szCs w:val="24"/>
        </w:rPr>
        <w:br/>
      </w:r>
      <w:r w:rsidRPr="00507765">
        <w:rPr>
          <w:rFonts w:ascii="Times New Roman" w:eastAsia="Times New Roman" w:hAnsi="Times New Roman" w:cs="Times New Roman"/>
          <w:sz w:val="24"/>
          <w:szCs w:val="24"/>
        </w:rPr>
        <w:br/>
      </w:r>
      <w:r w:rsidRPr="00CE3904">
        <w:rPr>
          <w:rFonts w:ascii="Times New Roman" w:eastAsia="Times New Roman" w:hAnsi="Times New Roman" w:cs="Times New Roman"/>
          <w:sz w:val="24"/>
          <w:szCs w:val="24"/>
        </w:rPr>
        <w:t>Economic globalisation requires adaptation on the part of national and regional innovation policies, which must change to meet the new challenges. The GIS framework's fluid industries necessitate flexible and adaptive policies that may successfully traverse shifting economic environments. In order to be competitive and relevant in the global innovation ecosystem, policymakers need regularly review and modify their plans.</w:t>
      </w:r>
      <w:r w:rsidRPr="00CE3904">
        <w:rPr>
          <w:rFonts w:ascii="Times New Roman" w:eastAsia="Times New Roman" w:hAnsi="Times New Roman" w:cs="Times New Roman"/>
          <w:sz w:val="24"/>
          <w:szCs w:val="24"/>
        </w:rPr>
        <w:br/>
        <w:t xml:space="preserve">Methods of Governance: The intricate relationships between different players and processes that arise as GIS continues to develop may prove too much for conventional governance frameworks to handle. In the context of global innovation, new governance strategies and establishments might be required to offer efficient supervision, coordination, and regulation. The methods employed must to be flexible, all-encompassing, and able to meet the various goals and interests </w:t>
      </w:r>
      <w:r w:rsidRPr="00CE3904">
        <w:rPr>
          <w:rFonts w:ascii="Times New Roman" w:eastAsia="Times New Roman" w:hAnsi="Times New Roman" w:cs="Times New Roman"/>
          <w:sz w:val="24"/>
          <w:szCs w:val="24"/>
        </w:rPr>
        <w:lastRenderedPageBreak/>
        <w:t>of the parties involved.</w:t>
      </w:r>
      <w:r w:rsidRPr="00CE3904">
        <w:rPr>
          <w:rFonts w:ascii="Times New Roman" w:eastAsia="Times New Roman" w:hAnsi="Times New Roman" w:cs="Times New Roman"/>
          <w:sz w:val="24"/>
          <w:szCs w:val="24"/>
        </w:rPr>
        <w:br/>
        <w:t>In summary, these policy concerns highlight the significance of managing Global Innovation Systems with a comprehensive and dynamic approach, acknowledging their role in promoting technical innovation, economic growth, and societal progression in an increasingly interconnected world.</w:t>
      </w:r>
    </w:p>
    <w:p w14:paraId="70798A93" w14:textId="77777777" w:rsidR="0062552C" w:rsidRPr="00CE3904" w:rsidRDefault="0062552C" w:rsidP="0062552C">
      <w:pPr>
        <w:rPr>
          <w:rFonts w:ascii="Times New Roman" w:eastAsia="Times New Roman" w:hAnsi="Times New Roman" w:cs="Times New Roman"/>
          <w:sz w:val="24"/>
          <w:szCs w:val="24"/>
        </w:rPr>
      </w:pPr>
      <w:r w:rsidRPr="00CE3904">
        <w:rPr>
          <w:rFonts w:ascii="Times New Roman" w:eastAsia="Times New Roman" w:hAnsi="Times New Roman" w:cs="Times New Roman"/>
          <w:sz w:val="24"/>
          <w:szCs w:val="24"/>
        </w:rPr>
        <w:t xml:space="preserve">Studying and analysing Global Innovation Systems (GIS) is complicated, as the article's methodological issues demonstrate. A summary of every challenge is provided below. </w:t>
      </w:r>
      <w:r w:rsidRPr="00CE3904">
        <w:rPr>
          <w:rFonts w:ascii="Times New Roman" w:eastAsia="Times New Roman" w:hAnsi="Times New Roman" w:cs="Times New Roman"/>
          <w:sz w:val="24"/>
          <w:szCs w:val="24"/>
        </w:rPr>
        <w:br/>
        <w:t>Understanding how GIS subsystems form, function, and interact across various locations is the task of subsystem analysis. In terms of their make-up, roles, and contributions to innovation processes, subsystems might differ. A thorough grasp of the dynamics of these subsystems and the forces influencing their evolution is necessary for their analysis.</w:t>
      </w:r>
      <w:r w:rsidRPr="00CE3904">
        <w:rPr>
          <w:rFonts w:ascii="Times New Roman" w:eastAsia="Times New Roman" w:hAnsi="Times New Roman" w:cs="Times New Roman"/>
          <w:sz w:val="24"/>
          <w:szCs w:val="24"/>
        </w:rPr>
        <w:br/>
        <w:t xml:space="preserve">Coupling Structural: To map the flow of information, resources, and innovative activities in a complete way, it is imperative to look into the ways in which various actors, networks, and informal mechanisms interact within GIS subsystems. Leverage points and intervention opportunities must be identified by having a thorough understanding of how these components interact and affect one another. </w:t>
      </w:r>
      <w:r w:rsidRPr="00CE3904">
        <w:rPr>
          <w:rFonts w:ascii="Times New Roman" w:eastAsia="Times New Roman" w:hAnsi="Times New Roman" w:cs="Times New Roman"/>
          <w:sz w:val="24"/>
          <w:szCs w:val="24"/>
        </w:rPr>
        <w:br/>
        <w:t>The influence of power dynamics on innovation processes and technology dissemination in geographic information systems is noteworthy. The distribution of advantages and opportunities within the global innovation landscape can be better understood by looking into power imbalances between players and geographical areas. Designing fair and inclusive innovation strategies requires an understanding of how power dynamics affect decision-making and resource allocation.</w:t>
      </w:r>
      <w:r w:rsidRPr="00CE3904">
        <w:rPr>
          <w:rFonts w:ascii="Times New Roman" w:eastAsia="Times New Roman" w:hAnsi="Times New Roman" w:cs="Times New Roman"/>
          <w:sz w:val="24"/>
          <w:szCs w:val="24"/>
        </w:rPr>
        <w:br/>
        <w:t xml:space="preserve">Methodological Difficulty: Because of the complexity and magnitude of the phenomenon, analysing GIS raises some methodological issues. Creating thorough analytical frameworks can be challenging because to the vast </w:t>
      </w:r>
      <w:proofErr w:type="gramStart"/>
      <w:r w:rsidRPr="00CE3904">
        <w:rPr>
          <w:rFonts w:ascii="Times New Roman" w:eastAsia="Times New Roman" w:hAnsi="Times New Roman" w:cs="Times New Roman"/>
          <w:sz w:val="24"/>
          <w:szCs w:val="24"/>
        </w:rPr>
        <w:t>amount</w:t>
      </w:r>
      <w:proofErr w:type="gramEnd"/>
      <w:r w:rsidRPr="00CE3904">
        <w:rPr>
          <w:rFonts w:ascii="Times New Roman" w:eastAsia="Times New Roman" w:hAnsi="Times New Roman" w:cs="Times New Roman"/>
          <w:sz w:val="24"/>
          <w:szCs w:val="24"/>
        </w:rPr>
        <w:t xml:space="preserve"> of actors, networks, and contextual aspects that are involved in GIS computing. To tackle this intricacy, one must employ sophisticated data analytic techniques, collaborate across disciplines, and innovate </w:t>
      </w:r>
      <w:proofErr w:type="spellStart"/>
      <w:r w:rsidRPr="00CE3904">
        <w:rPr>
          <w:rFonts w:ascii="Times New Roman" w:eastAsia="Times New Roman" w:hAnsi="Times New Roman" w:cs="Times New Roman"/>
          <w:sz w:val="24"/>
          <w:szCs w:val="24"/>
        </w:rPr>
        <w:t>methodsologically</w:t>
      </w:r>
      <w:proofErr w:type="spellEnd"/>
      <w:r w:rsidRPr="00CE3904">
        <w:rPr>
          <w:rFonts w:ascii="Times New Roman" w:eastAsia="Times New Roman" w:hAnsi="Times New Roman" w:cs="Times New Roman"/>
          <w:sz w:val="24"/>
          <w:szCs w:val="24"/>
        </w:rPr>
        <w:t>.</w:t>
      </w:r>
      <w:r w:rsidRPr="00CE3904">
        <w:rPr>
          <w:rFonts w:ascii="Times New Roman" w:eastAsia="Times New Roman" w:hAnsi="Times New Roman" w:cs="Times New Roman"/>
          <w:sz w:val="24"/>
          <w:szCs w:val="24"/>
        </w:rPr>
        <w:br/>
        <w:t>All in all, resolving these methodological issues is essential to expanding our knowledge.</w:t>
      </w:r>
    </w:p>
    <w:p w14:paraId="01C60C76" w14:textId="77777777" w:rsidR="0062552C" w:rsidRPr="00CE3904" w:rsidRDefault="0062552C" w:rsidP="0062552C">
      <w:pPr>
        <w:spacing w:line="240" w:lineRule="auto"/>
        <w:rPr>
          <w:rFonts w:ascii="Times New Roman" w:eastAsia="Times New Roman" w:hAnsi="Times New Roman" w:cs="Times New Roman"/>
          <w:sz w:val="24"/>
          <w:szCs w:val="24"/>
        </w:rPr>
      </w:pPr>
      <w:r w:rsidRPr="00CE3904">
        <w:rPr>
          <w:rFonts w:ascii="Times New Roman" w:eastAsia="Times New Roman" w:hAnsi="Times New Roman" w:cs="Times New Roman"/>
          <w:sz w:val="24"/>
          <w:szCs w:val="24"/>
        </w:rPr>
        <w:t>All things considered, resolving these methodological issues is essential to expanding our knowledge of GIS and creating successful industrial and innovation programmes. By tackling these problems, scholars can learn more about the workings of international innovation networks and aid in the creation of policies that promote long-term economic expansion and scientific progress.</w:t>
      </w:r>
    </w:p>
    <w:p w14:paraId="25D8C371" w14:textId="77777777" w:rsidR="0062552C" w:rsidRPr="00CE3904" w:rsidRDefault="0062552C" w:rsidP="0062552C">
      <w:pPr>
        <w:rPr>
          <w:rFonts w:ascii="Times New Roman" w:eastAsia="Times New Roman" w:hAnsi="Times New Roman" w:cs="Times New Roman"/>
          <w:sz w:val="24"/>
          <w:szCs w:val="24"/>
        </w:rPr>
      </w:pPr>
    </w:p>
    <w:p w14:paraId="07CE7EDA" w14:textId="77777777" w:rsidR="0062552C" w:rsidRPr="00CE3904" w:rsidRDefault="0062552C" w:rsidP="0062552C">
      <w:pPr>
        <w:rPr>
          <w:rFonts w:ascii="Times New Roman" w:eastAsia="Times New Roman" w:hAnsi="Times New Roman" w:cs="Times New Roman"/>
          <w:sz w:val="24"/>
          <w:szCs w:val="24"/>
        </w:rPr>
      </w:pPr>
    </w:p>
    <w:p w14:paraId="17E52F8A" w14:textId="77777777" w:rsidR="0062552C" w:rsidRPr="00507765" w:rsidRDefault="0062552C" w:rsidP="0062552C">
      <w:pPr>
        <w:rPr>
          <w:rFonts w:ascii="Segoe UI Emoji" w:eastAsia="Times New Roman" w:hAnsi="Segoe UI Emoji" w:cs="Segoe UI Emoji"/>
          <w:sz w:val="24"/>
          <w:szCs w:val="24"/>
        </w:rPr>
      </w:pPr>
    </w:p>
    <w:p w14:paraId="4E5D7967" w14:textId="77777777" w:rsidR="0062552C" w:rsidRPr="00507765" w:rsidRDefault="0062552C" w:rsidP="0062552C">
      <w:pPr>
        <w:rPr>
          <w:rFonts w:ascii="Times New Roman" w:eastAsia="Times New Roman" w:hAnsi="Times New Roman" w:cs="Times New Roman"/>
          <w:sz w:val="24"/>
          <w:szCs w:val="24"/>
        </w:rPr>
      </w:pPr>
    </w:p>
    <w:p w14:paraId="73074E10" w14:textId="77777777" w:rsidR="0062552C" w:rsidRPr="0016316D" w:rsidRDefault="0062552C" w:rsidP="0062552C">
      <w:pPr>
        <w:spacing w:line="240" w:lineRule="auto"/>
        <w:rPr>
          <w:rFonts w:ascii="Times New Roman" w:eastAsia="Times New Roman" w:hAnsi="Times New Roman" w:cs="Times New Roman"/>
          <w:sz w:val="24"/>
          <w:szCs w:val="24"/>
        </w:rPr>
      </w:pPr>
    </w:p>
    <w:p w14:paraId="7A4AC05B" w14:textId="77777777" w:rsidR="0062552C" w:rsidRDefault="0062552C" w:rsidP="0062552C">
      <w:pPr>
        <w:spacing w:after="240" w:line="240" w:lineRule="auto"/>
        <w:rPr>
          <w:rFonts w:ascii="Segoe UI" w:hAnsi="Segoe UI" w:cs="Segoe UI"/>
          <w:color w:val="ECECEC"/>
        </w:rPr>
      </w:pPr>
    </w:p>
    <w:p w14:paraId="62023318" w14:textId="77777777" w:rsidR="002F07E6" w:rsidRDefault="002F07E6" w:rsidP="002F07E6">
      <w:pPr>
        <w:spacing w:after="240" w:line="240" w:lineRule="auto"/>
        <w:rPr>
          <w:rFonts w:ascii="Times New Roman" w:eastAsia="Times New Roman" w:hAnsi="Times New Roman" w:cs="Times New Roman"/>
          <w:sz w:val="24"/>
          <w:szCs w:val="24"/>
        </w:rPr>
      </w:pPr>
    </w:p>
    <w:p w14:paraId="5C74E9A3" w14:textId="43D464EE" w:rsidR="008B1951" w:rsidRPr="008B1951" w:rsidRDefault="00D473AE" w:rsidP="008B1951">
      <w:pPr>
        <w:spacing w:after="240" w:line="240" w:lineRule="auto"/>
        <w:rPr>
          <w:sz w:val="36"/>
          <w:szCs w:val="36"/>
          <w:lang w:val="en-IN"/>
        </w:rPr>
      </w:pPr>
      <w:r w:rsidRPr="00D473AE">
        <w:rPr>
          <w:sz w:val="36"/>
          <w:szCs w:val="36"/>
        </w:rPr>
        <w:lastRenderedPageBreak/>
        <w:t xml:space="preserve">Presentation </w:t>
      </w:r>
      <w:r w:rsidR="008B1951">
        <w:rPr>
          <w:sz w:val="36"/>
          <w:szCs w:val="36"/>
        </w:rPr>
        <w:t>Slides-</w:t>
      </w:r>
      <w:r w:rsidR="008B1951" w:rsidRPr="008B1951">
        <w:rPr>
          <w:sz w:val="36"/>
          <w:szCs w:val="36"/>
          <w:lang w:val="en-IN"/>
        </w:rPr>
        <w:drawing>
          <wp:inline distT="0" distB="0" distL="0" distR="0" wp14:anchorId="7B4D3847" wp14:editId="571C92D5">
            <wp:extent cx="6557339" cy="6832600"/>
            <wp:effectExtent l="0" t="0" r="0" b="6350"/>
            <wp:docPr id="16947729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565196" cy="6840787"/>
                    </a:xfrm>
                    <a:prstGeom prst="rect">
                      <a:avLst/>
                    </a:prstGeom>
                    <a:noFill/>
                    <a:ln>
                      <a:noFill/>
                    </a:ln>
                  </pic:spPr>
                </pic:pic>
              </a:graphicData>
            </a:graphic>
          </wp:inline>
        </w:drawing>
      </w:r>
    </w:p>
    <w:p w14:paraId="5E43FD9E" w14:textId="412792A0" w:rsidR="0062552C" w:rsidRPr="002F07E6" w:rsidRDefault="0062552C" w:rsidP="002F07E6">
      <w:pPr>
        <w:spacing w:after="240" w:line="240" w:lineRule="auto"/>
        <w:rPr>
          <w:rFonts w:ascii="Times New Roman" w:eastAsia="Times New Roman" w:hAnsi="Times New Roman" w:cs="Times New Roman"/>
          <w:sz w:val="36"/>
          <w:szCs w:val="36"/>
        </w:rPr>
      </w:pPr>
    </w:p>
    <w:p w14:paraId="3E41CFA5" w14:textId="730DEFA1" w:rsidR="00A23CD4" w:rsidRPr="008B1951" w:rsidRDefault="00A23CD4">
      <w:pPr>
        <w:rPr>
          <w:rFonts w:eastAsia="Times New Roman"/>
          <w:lang w:val="en-IN"/>
        </w:rPr>
      </w:pPr>
      <w:r>
        <w:rPr>
          <w:rFonts w:ascii="Times New Roman" w:eastAsia="Times New Roman" w:hAnsi="Times New Roman" w:cs="Times New Roman"/>
          <w:sz w:val="24"/>
          <w:szCs w:val="24"/>
        </w:rPr>
        <w:br w:type="page"/>
      </w:r>
    </w:p>
    <w:p w14:paraId="2A9E6B58" w14:textId="1576E730" w:rsidR="001C3BA2" w:rsidRPr="001C3BA2" w:rsidRDefault="001C3BA2" w:rsidP="001C3BA2">
      <w:pPr>
        <w:spacing w:before="100" w:beforeAutospacing="1" w:after="100" w:afterAutospacing="1" w:line="240" w:lineRule="auto"/>
        <w:rPr>
          <w:rFonts w:ascii="Times New Roman" w:eastAsia="Times New Roman" w:hAnsi="Times New Roman" w:cs="Times New Roman"/>
          <w:sz w:val="24"/>
          <w:szCs w:val="24"/>
          <w:lang w:val="en-IN"/>
        </w:rPr>
      </w:pPr>
      <w:r w:rsidRPr="001C3BA2">
        <w:rPr>
          <w:rFonts w:ascii="Times New Roman" w:eastAsia="Times New Roman" w:hAnsi="Times New Roman" w:cs="Times New Roman"/>
          <w:noProof/>
          <w:sz w:val="24"/>
          <w:szCs w:val="24"/>
          <w:lang w:val="en-IN"/>
        </w:rPr>
        <w:lastRenderedPageBreak/>
        <w:drawing>
          <wp:inline distT="0" distB="0" distL="0" distR="0" wp14:anchorId="003FCCBF" wp14:editId="6B7369E0">
            <wp:extent cx="6573674" cy="6133801"/>
            <wp:effectExtent l="0" t="0" r="0" b="635"/>
            <wp:docPr id="10623943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580532" cy="6140200"/>
                    </a:xfrm>
                    <a:prstGeom prst="rect">
                      <a:avLst/>
                    </a:prstGeom>
                    <a:noFill/>
                    <a:ln>
                      <a:noFill/>
                    </a:ln>
                  </pic:spPr>
                </pic:pic>
              </a:graphicData>
            </a:graphic>
          </wp:inline>
        </w:drawing>
      </w:r>
    </w:p>
    <w:p w14:paraId="5824F810" w14:textId="77777777" w:rsidR="00B31611" w:rsidRDefault="00B31611">
      <w:pPr>
        <w:spacing w:line="480" w:lineRule="auto"/>
        <w:ind w:left="-180"/>
        <w:jc w:val="both"/>
        <w:rPr>
          <w:rFonts w:ascii="Times New Roman" w:eastAsia="Times New Roman" w:hAnsi="Times New Roman" w:cs="Times New Roman"/>
          <w:sz w:val="24"/>
          <w:szCs w:val="24"/>
        </w:rPr>
      </w:pPr>
    </w:p>
    <w:sectPr w:rsidR="00B31611">
      <w:footerReference w:type="defaul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E2520C" w14:textId="77777777" w:rsidR="00CC5255" w:rsidRDefault="00CC5255">
      <w:pPr>
        <w:spacing w:line="240" w:lineRule="auto"/>
      </w:pPr>
      <w:r>
        <w:separator/>
      </w:r>
    </w:p>
  </w:endnote>
  <w:endnote w:type="continuationSeparator" w:id="0">
    <w:p w14:paraId="2DE81EF5" w14:textId="77777777" w:rsidR="00CC5255" w:rsidRDefault="00CC52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9" w14:textId="369D66E6" w:rsidR="00B31611" w:rsidRDefault="00000000">
    <w:pPr>
      <w:jc w:val="right"/>
    </w:pPr>
    <w:r>
      <w:fldChar w:fldCharType="begin"/>
    </w:r>
    <w:r>
      <w:instrText>PAGE</w:instrText>
    </w:r>
    <w:r>
      <w:fldChar w:fldCharType="separate"/>
    </w:r>
    <w:r w:rsidR="00DD18E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42DCC0" w14:textId="77777777" w:rsidR="00CC5255" w:rsidRDefault="00CC5255">
      <w:pPr>
        <w:spacing w:line="240" w:lineRule="auto"/>
      </w:pPr>
      <w:r>
        <w:separator/>
      </w:r>
    </w:p>
  </w:footnote>
  <w:footnote w:type="continuationSeparator" w:id="0">
    <w:p w14:paraId="0ACC5A41" w14:textId="77777777" w:rsidR="00CC5255" w:rsidRDefault="00CC525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1611"/>
    <w:rsid w:val="00045C6D"/>
    <w:rsid w:val="001213DB"/>
    <w:rsid w:val="00144289"/>
    <w:rsid w:val="001C3BA2"/>
    <w:rsid w:val="00200E62"/>
    <w:rsid w:val="002F07E6"/>
    <w:rsid w:val="002F60E5"/>
    <w:rsid w:val="003148C9"/>
    <w:rsid w:val="004438C9"/>
    <w:rsid w:val="00607BDD"/>
    <w:rsid w:val="0062552C"/>
    <w:rsid w:val="006263D3"/>
    <w:rsid w:val="006579A5"/>
    <w:rsid w:val="006D2DF9"/>
    <w:rsid w:val="007545B3"/>
    <w:rsid w:val="00813944"/>
    <w:rsid w:val="008306AD"/>
    <w:rsid w:val="00885A46"/>
    <w:rsid w:val="008B1951"/>
    <w:rsid w:val="008E3FD1"/>
    <w:rsid w:val="008F6B62"/>
    <w:rsid w:val="009B2802"/>
    <w:rsid w:val="00A23CD4"/>
    <w:rsid w:val="00A34B62"/>
    <w:rsid w:val="00A85AC0"/>
    <w:rsid w:val="00B24205"/>
    <w:rsid w:val="00B31611"/>
    <w:rsid w:val="00B836F1"/>
    <w:rsid w:val="00BF550F"/>
    <w:rsid w:val="00C02056"/>
    <w:rsid w:val="00C72968"/>
    <w:rsid w:val="00C867DB"/>
    <w:rsid w:val="00CC5255"/>
    <w:rsid w:val="00CD355D"/>
    <w:rsid w:val="00D473AE"/>
    <w:rsid w:val="00DD18E5"/>
    <w:rsid w:val="00E14019"/>
    <w:rsid w:val="00EB7D78"/>
    <w:rsid w:val="00F6015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366B2"/>
  <w15:docId w15:val="{6A7A3495-65A8-42F6-8A6E-86A68C146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480" w:lineRule="auto"/>
      <w:ind w:left="900" w:hanging="1080"/>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C72968"/>
    <w:pPr>
      <w:spacing w:after="100"/>
    </w:pPr>
  </w:style>
  <w:style w:type="character" w:styleId="Hyperlink">
    <w:name w:val="Hyperlink"/>
    <w:basedOn w:val="DefaultParagraphFont"/>
    <w:uiPriority w:val="99"/>
    <w:unhideWhenUsed/>
    <w:rsid w:val="00C72968"/>
    <w:rPr>
      <w:color w:val="0000FF" w:themeColor="hyperlink"/>
      <w:u w:val="single"/>
    </w:rPr>
  </w:style>
  <w:style w:type="character" w:styleId="Strong">
    <w:name w:val="Strong"/>
    <w:basedOn w:val="DefaultParagraphFont"/>
    <w:uiPriority w:val="22"/>
    <w:qFormat/>
    <w:rsid w:val="0062552C"/>
    <w:rPr>
      <w:b/>
      <w:bCs/>
    </w:rPr>
  </w:style>
  <w:style w:type="paragraph" w:styleId="NormalWeb">
    <w:name w:val="Normal (Web)"/>
    <w:basedOn w:val="Normal"/>
    <w:uiPriority w:val="99"/>
    <w:unhideWhenUsed/>
    <w:rsid w:val="008B195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222361">
      <w:bodyDiv w:val="1"/>
      <w:marLeft w:val="0"/>
      <w:marRight w:val="0"/>
      <w:marTop w:val="0"/>
      <w:marBottom w:val="0"/>
      <w:divBdr>
        <w:top w:val="none" w:sz="0" w:space="0" w:color="auto"/>
        <w:left w:val="none" w:sz="0" w:space="0" w:color="auto"/>
        <w:bottom w:val="none" w:sz="0" w:space="0" w:color="auto"/>
        <w:right w:val="none" w:sz="0" w:space="0" w:color="auto"/>
      </w:divBdr>
    </w:div>
    <w:div w:id="1523740113">
      <w:bodyDiv w:val="1"/>
      <w:marLeft w:val="0"/>
      <w:marRight w:val="0"/>
      <w:marTop w:val="0"/>
      <w:marBottom w:val="0"/>
      <w:divBdr>
        <w:top w:val="none" w:sz="0" w:space="0" w:color="auto"/>
        <w:left w:val="none" w:sz="0" w:space="0" w:color="auto"/>
        <w:bottom w:val="none" w:sz="0" w:space="0" w:color="auto"/>
        <w:right w:val="none" w:sz="0" w:space="0" w:color="auto"/>
      </w:divBdr>
    </w:div>
    <w:div w:id="1618444163">
      <w:bodyDiv w:val="1"/>
      <w:marLeft w:val="0"/>
      <w:marRight w:val="0"/>
      <w:marTop w:val="0"/>
      <w:marBottom w:val="0"/>
      <w:divBdr>
        <w:top w:val="none" w:sz="0" w:space="0" w:color="auto"/>
        <w:left w:val="none" w:sz="0" w:space="0" w:color="auto"/>
        <w:bottom w:val="none" w:sz="0" w:space="0" w:color="auto"/>
        <w:right w:val="none" w:sz="0" w:space="0" w:color="auto"/>
      </w:divBdr>
    </w:div>
    <w:div w:id="18587380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nber.org/system/files/working_papers/w27749/w27749.pdf" TargetMode="External"/><Relationship Id="rId13" Type="http://schemas.openxmlformats.org/officeDocument/2006/relationships/image" Target="media/image2.jpeg"/><Relationship Id="rId3" Type="http://schemas.openxmlformats.org/officeDocument/2006/relationships/webSettings" Target="webSettings.xml"/><Relationship Id="rId7" Type="http://schemas.openxmlformats.org/officeDocument/2006/relationships/hyperlink" Target="https://journals.sagepub.com/doi/pdf/10.1177/1351010X21993742" TargetMode="External"/><Relationship Id="rId12" Type="http://schemas.openxmlformats.org/officeDocument/2006/relationships/hyperlink" Target="https://economicdevelopment.extension.wisc.edu/files/2020/10/Milder_paper.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degruyter.com/document/doi/10.5018/economics-ejournal.ja.2018-23/pdf"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ncbi.nlm.nih.gov/pmc/articles/PMC7536939/" TargetMode="External"/><Relationship Id="rId4" Type="http://schemas.openxmlformats.org/officeDocument/2006/relationships/footnotes" Target="footnotes.xml"/><Relationship Id="rId9" Type="http://schemas.openxmlformats.org/officeDocument/2006/relationships/hyperlink" Target="https://www.researchgate.net/profile/Enzo-Bivona/publication/318606093_Designing_Outcome-Based_Performance_Management_Systems_to_Assess_Policies_Impacting_on_Caesarean_Section_Rate_An_Analysis_of_the_Sicilian_Maternity_Pathway/links/65bca1e0790074549753fa83/Designing-Outcome-Based-Performance-Management-Systems-to-Assess-Policies-Impacting-on-Caesarean-Section-Rate-An-Analysis-of-the-Sicilian-Maternity-Pathway.pdf" TargetMode="Externa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19</Pages>
  <Words>4488</Words>
  <Characters>25583</Characters>
  <Application>Microsoft Office Word</Application>
  <DocSecurity>0</DocSecurity>
  <Lines>213</Lines>
  <Paragraphs>60</Paragraphs>
  <ScaleCrop>false</ScaleCrop>
  <Company/>
  <LinksUpToDate>false</LinksUpToDate>
  <CharactersWithSpaces>30011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apoorv gupta</dc:creator>
  <cp:lastModifiedBy>apoorv gupta</cp:lastModifiedBy>
  <cp:revision>3</cp:revision>
  <dcterms:created xsi:type="dcterms:W3CDTF">2024-05-02T21:20:00Z</dcterms:created>
  <dcterms:modified xsi:type="dcterms:W3CDTF">2024-05-02T21:20:00Z</dcterms:modified>
</cp:coreProperties>
</file>