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13973751"/>
        <w:docPartObj>
          <w:docPartGallery w:val="Cover Pages"/>
          <w:docPartUnique/>
        </w:docPartObj>
      </w:sdtPr>
      <w:sdtEndPr/>
      <w:sdtContent>
        <w:p w14:paraId="5E98DF5B" w14:textId="1AC3A63F" w:rsidR="0024739A" w:rsidRDefault="0024739A">
          <w:r>
            <w:rPr>
              <w:noProof/>
            </w:rPr>
            <mc:AlternateContent>
              <mc:Choice Requires="wpg">
                <w:drawing>
                  <wp:anchor distT="0" distB="0" distL="114300" distR="114300" simplePos="0" relativeHeight="251659264" behindDoc="1" locked="0" layoutInCell="1" allowOverlap="1" wp14:anchorId="29BD8405" wp14:editId="667E851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F566637" w14:textId="2A51CC0C" w:rsidR="0024739A" w:rsidRDefault="0024739A">
                                      <w:pPr>
                                        <w:pStyle w:val="NoSpacing"/>
                                        <w:spacing w:before="120"/>
                                        <w:jc w:val="center"/>
                                        <w:rPr>
                                          <w:color w:val="FFFFFF" w:themeColor="background1"/>
                                        </w:rPr>
                                      </w:pPr>
                                      <w:r>
                                        <w:rPr>
                                          <w:color w:val="FFFFFF" w:themeColor="background1"/>
                                        </w:rPr>
                                        <w:t>Olivia Jane Hurlow (2103531)</w:t>
                                      </w:r>
                                    </w:p>
                                  </w:sdtContent>
                                </w:sdt>
                                <w:p w14:paraId="209C1C75" w14:textId="77777777" w:rsidR="0024739A" w:rsidRDefault="00DF3B4F">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24739A">
                                        <w:rPr>
                                          <w:caps/>
                                          <w:color w:val="FFFFFF" w:themeColor="background1"/>
                                        </w:rPr>
                                        <w:t>[Company name]</w:t>
                                      </w:r>
                                    </w:sdtContent>
                                  </w:sdt>
                                  <w:r w:rsidR="0024739A">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24739A">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FFC6B21" w14:textId="0DB12C2C" w:rsidR="0024739A" w:rsidRDefault="0024739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Criminal law – assignment 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9BD8405"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F566637" w14:textId="2A51CC0C" w:rsidR="0024739A" w:rsidRDefault="0024739A">
                                <w:pPr>
                                  <w:pStyle w:val="NoSpacing"/>
                                  <w:spacing w:before="120"/>
                                  <w:jc w:val="center"/>
                                  <w:rPr>
                                    <w:color w:val="FFFFFF" w:themeColor="background1"/>
                                  </w:rPr>
                                </w:pPr>
                                <w:r>
                                  <w:rPr>
                                    <w:color w:val="FFFFFF" w:themeColor="background1"/>
                                  </w:rPr>
                                  <w:t>Olivia Jane Hurlow (2103531)</w:t>
                                </w:r>
                              </w:p>
                            </w:sdtContent>
                          </w:sdt>
                          <w:p w14:paraId="209C1C75" w14:textId="77777777" w:rsidR="0024739A" w:rsidRDefault="00DF3B4F">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24739A">
                                  <w:rPr>
                                    <w:caps/>
                                    <w:color w:val="FFFFFF" w:themeColor="background1"/>
                                  </w:rPr>
                                  <w:t>[Company name]</w:t>
                                </w:r>
                              </w:sdtContent>
                            </w:sdt>
                            <w:r w:rsidR="0024739A">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24739A">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FFC6B21" w14:textId="0DB12C2C" w:rsidR="0024739A" w:rsidRDefault="0024739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Criminal law – assignment 2</w:t>
                                </w:r>
                              </w:p>
                            </w:sdtContent>
                          </w:sdt>
                        </w:txbxContent>
                      </v:textbox>
                    </v:shape>
                    <w10:wrap anchorx="page" anchory="page"/>
                  </v:group>
                </w:pict>
              </mc:Fallback>
            </mc:AlternateContent>
          </w:r>
        </w:p>
        <w:p w14:paraId="57519EEA" w14:textId="1EC58673" w:rsidR="0024739A" w:rsidRDefault="0024739A">
          <w:pPr>
            <w:spacing w:line="259" w:lineRule="auto"/>
          </w:pPr>
          <w:r>
            <w:br w:type="page"/>
          </w:r>
        </w:p>
      </w:sdtContent>
    </w:sdt>
    <w:p w14:paraId="365328F1" w14:textId="77777777" w:rsidR="0024739A" w:rsidRDefault="0024739A" w:rsidP="0024739A"/>
    <w:bookmarkStart w:id="0" w:name="_Hlk92210034" w:displacedByCustomXml="next"/>
    <w:sdt>
      <w:sdtPr>
        <w:id w:val="-1516383375"/>
        <w:docPartObj>
          <w:docPartGallery w:val="Cover Pages"/>
          <w:docPartUnique/>
        </w:docPartObj>
      </w:sdtPr>
      <w:sdtEndPr/>
      <w:sdtContent>
        <w:p w14:paraId="174940CA" w14:textId="417D3700" w:rsidR="0024739A" w:rsidRDefault="0024739A" w:rsidP="0024739A">
          <w:r w:rsidRPr="00E8763C">
            <w:rPr>
              <w:rFonts w:ascii="Arial" w:eastAsia="Arial" w:hAnsi="Arial" w:cs="Arial"/>
              <w:b/>
              <w:sz w:val="20"/>
              <w:szCs w:val="20"/>
            </w:rPr>
            <w:t xml:space="preserve">Christine had recently turned 40 and her husband had arranged a surprise birthday party for her at their home. On the night of the party, Christine was very keen to show her guests the expensive gifts she had been given for her birthday, one being a designer handbag. One of Christine's friends, Paula had always been extremely jealous of the lavish gifts that Christine’s husband bought her and when no one was looking, she put the handbag inside her coat and took it outside. When Paula heard someone coming, she placed the handbag underneath her car with the intention of putting it into her car when the party had finished. Also at the party were Leon and Harriet who had been recently introduced to one another. Harriet didn't drink alcohol due to the fact that she was allergic to it. When Harriet had popped to the toilet, Leon spiked Harriet's drink with vodka. When Harriet returned and drank the drink she began suffering from hallucinations. Harriet thought that fire was engulfing the house </w:t>
          </w:r>
          <w:proofErr w:type="gramStart"/>
          <w:r w:rsidRPr="00E8763C">
            <w:rPr>
              <w:rFonts w:ascii="Arial" w:eastAsia="Arial" w:hAnsi="Arial" w:cs="Arial"/>
              <w:b/>
              <w:sz w:val="20"/>
              <w:szCs w:val="20"/>
            </w:rPr>
            <w:t>and in an attempt</w:t>
          </w:r>
          <w:proofErr w:type="gramEnd"/>
          <w:r w:rsidRPr="00E8763C">
            <w:rPr>
              <w:rFonts w:ascii="Arial" w:eastAsia="Arial" w:hAnsi="Arial" w:cs="Arial"/>
              <w:b/>
              <w:sz w:val="20"/>
              <w:szCs w:val="20"/>
            </w:rPr>
            <w:t xml:space="preserve"> to get out, she began smashing the large panes of glass in the bi-fold doors of Christine's kitchen. She also hit one of the other guests (Daniel) in the face, causing a broken cheek bone. Christine and her husband managed to calm Harriet down, and asked everyone to leave. Upon leaving, Paula picked up the designer handbag from underneath her car, placed it in the foot well and drove home. </w:t>
          </w:r>
          <w:r>
            <w:rPr>
              <w:rFonts w:ascii="Arial" w:eastAsia="Arial" w:hAnsi="Arial" w:cs="Arial"/>
              <w:b/>
              <w:sz w:val="20"/>
              <w:szCs w:val="20"/>
            </w:rPr>
            <w:t xml:space="preserve"> </w:t>
          </w:r>
          <w:r w:rsidRPr="00E8763C">
            <w:rPr>
              <w:rFonts w:ascii="Arial" w:eastAsia="Arial" w:hAnsi="Arial" w:cs="Arial"/>
              <w:b/>
              <w:sz w:val="20"/>
              <w:szCs w:val="20"/>
            </w:rPr>
            <w:t xml:space="preserve">Advise Paula and Harriet of their potential criminal liability, along with any defences that may apply. </w:t>
          </w:r>
        </w:p>
        <w:p w14:paraId="7BB3C03B" w14:textId="77777777" w:rsidR="0024739A" w:rsidRDefault="0024739A" w:rsidP="0024739A"/>
        <w:p w14:paraId="226033BD" w14:textId="36869A87" w:rsidR="0024739A" w:rsidRDefault="0024739A" w:rsidP="0024739A">
          <w:r>
            <w:t xml:space="preserve">Paula will likely be charged with theft under Section 1 of the Theft Act 1968. The actus reus for the offence is that the defendant dishonestly, appropriates, property, belonging to another, intention of permanently, depriving the other of it, which was clearly fulfilled when Paula put the handbag under her coat and took it outside with the intention of putting it in her car when the party had finished. Under section 3 (1) of the Theft act 1968 Paula has appropriated Christine’s property as she has stolen Christine’s personal property with the intention to possess the property and use it whether it  was done innocently or not  which is shown in the case of </w:t>
          </w:r>
          <w:r w:rsidRPr="0024739A">
            <w:t>R v McPherson (1973),</w:t>
          </w:r>
          <w:r>
            <w:t xml:space="preserve"> Under section 5 (1) of the Theft act 1968 “Property shall be regarded as belonging to any person having possession or control of it, or having  any proprietary right or interest” Paula has however appropriated the </w:t>
          </w:r>
          <w:r>
            <w:lastRenderedPageBreak/>
            <w:t xml:space="preserve">property belonging to Christine as she has done it dishonestly and with the intention of depriving the other person of it. Under section 2 of the theft act 1968 although it does not define dishonesty there are three cases where defendants are not dishonest if they believe that – </w:t>
          </w:r>
        </w:p>
        <w:p w14:paraId="5FAD97C6" w14:textId="77777777" w:rsidR="0024739A" w:rsidRDefault="0024739A" w:rsidP="0024739A">
          <w:pPr>
            <w:pStyle w:val="ListParagraph"/>
            <w:numPr>
              <w:ilvl w:val="0"/>
              <w:numId w:val="1"/>
            </w:numPr>
          </w:pPr>
          <w:r>
            <w:t>He has in law the right to deprive the other of it, which is shown in R v Morgan (1976)</w:t>
          </w:r>
        </w:p>
        <w:p w14:paraId="21A47706" w14:textId="77777777" w:rsidR="0024739A" w:rsidRDefault="0024739A" w:rsidP="0024739A">
          <w:pPr>
            <w:pStyle w:val="ListParagraph"/>
            <w:numPr>
              <w:ilvl w:val="0"/>
              <w:numId w:val="1"/>
            </w:numPr>
          </w:pPr>
          <w:r>
            <w:t xml:space="preserve">He would have the others consent if the other knew. </w:t>
          </w:r>
        </w:p>
        <w:p w14:paraId="3D76F0D4" w14:textId="77777777" w:rsidR="0024739A" w:rsidRDefault="0024739A" w:rsidP="0024739A">
          <w:pPr>
            <w:pStyle w:val="ListParagraph"/>
            <w:numPr>
              <w:ilvl w:val="0"/>
              <w:numId w:val="1"/>
            </w:numPr>
          </w:pPr>
          <w:r>
            <w:t xml:space="preserve">The person to whom the property belongs cannot be discovered by taking reasonable steps. </w:t>
          </w:r>
        </w:p>
        <w:p w14:paraId="1701D214" w14:textId="77777777" w:rsidR="0024739A" w:rsidRDefault="0024739A" w:rsidP="0024739A">
          <w:r>
            <w:t xml:space="preserve">The current law to test whether a person is dishonest is used from the case of Ivey V Genting casinos UK LTD (2017). Paula dishonestly stole from Christine as she intended to deprive her permanently of the handbag so therefore the actus reus elements have been fulfilled. </w:t>
          </w:r>
        </w:p>
        <w:p w14:paraId="73EAE503" w14:textId="77777777" w:rsidR="0024739A" w:rsidRDefault="0024739A" w:rsidP="0024739A">
          <w:pPr>
            <w:ind w:left="360"/>
          </w:pPr>
          <w:r>
            <w:t xml:space="preserve">  The men’s rea section depends on whether the defendant had the intention of committing theft dishonestly with the intention to permanently deprive another of it. In this case Paula directly intended to steal from Christine as it was her purpose to bring about the prohibited result which can also be seen in the case of R v Inglis (2011) 1 WRL 1110. So therefore, in Paula’s case the men’s rea element is fulfilled. Based on the facts Paula intended to steal from Christine which fulfils the elements of theft. However, there is no kind of defence that Paula will be able to use to justify her actions so therefore Paula will be charged with theft and will be held criminally liable. </w:t>
          </w:r>
        </w:p>
        <w:p w14:paraId="16FC26AC" w14:textId="77777777" w:rsidR="00791734" w:rsidRDefault="0024739A" w:rsidP="0024739A">
          <w:pPr>
            <w:ind w:left="360"/>
          </w:pPr>
          <w:r>
            <w:t xml:space="preserve"> </w:t>
          </w:r>
          <w:r w:rsidR="00462744">
            <w:t xml:space="preserve">Harriet will likely be found not guilty of criminal damage. Under section 1 (1) of the criminal damage act 1971 it is defined as “A person without lawful excuse destroys or damages any property belonging to another intending to destroy or damage and such property or being reckless as to whether any such property would be destroyed or damaged shall be guilty of an offence.” The actus rea of criminal damage is that the defendant without lawful excuse, destroys or damages property belonging to another. </w:t>
          </w:r>
          <w:r w:rsidR="009B6D58">
            <w:t xml:space="preserve">Under section 10 (1) of the criminal damage act 1971 defines property as something that is a tangible item being real or personal, land, wild creatures that have been tamed, creatures reduced to possession (Creswell V DPP and Currie V DPP 2006). </w:t>
          </w:r>
        </w:p>
        <w:p w14:paraId="71AC8C80" w14:textId="74D7D465" w:rsidR="009B6D58" w:rsidRDefault="009B6D58" w:rsidP="0024739A">
          <w:pPr>
            <w:ind w:left="360"/>
          </w:pPr>
          <w:r>
            <w:lastRenderedPageBreak/>
            <w:t xml:space="preserve">However, this does not include Mushrooms and Fungi growing wild, flowers, fruit, foliage, trees, and intangible property such as a copyrights or patents. </w:t>
          </w:r>
        </w:p>
        <w:p w14:paraId="72E15BEB" w14:textId="77777777" w:rsidR="00C62939" w:rsidRDefault="009B6D58" w:rsidP="00C62939">
          <w:pPr>
            <w:ind w:left="360"/>
          </w:pPr>
          <w:r>
            <w:t xml:space="preserve">In relation to belonging to another under section 10 (2) of the criminal damage act 1971 defines property belonging to another as someone who has control/custody of it, has in it any proprietary right or interest, has a charge on it. However, a defendant does not commit a section 1 offence where they destroy or damage property of their own unless it is jointly owned. </w:t>
          </w:r>
          <w:r w:rsidR="007822E2">
            <w:t>Also</w:t>
          </w:r>
          <w:r w:rsidR="00791734">
            <w:t>,</w:t>
          </w:r>
          <w:r w:rsidR="007822E2">
            <w:t xml:space="preserve"> within the actus rea conduct is a big part of it as conduct causing criminal damage does not need to be a positive act or omission (Miller 198). </w:t>
          </w:r>
          <w:r>
            <w:t xml:space="preserve"> </w:t>
          </w:r>
          <w:r w:rsidR="00791734">
            <w:t xml:space="preserve">If a property is rendered unfit for purpose it must have interference with the property (Lloyd V DPP 1992, Whitley 1991) as the property can have impaired value, property need not to be rendered useless and may still be fit for its purpose (Roper V Knott 1898). </w:t>
          </w:r>
          <w:r w:rsidR="004351EE">
            <w:t xml:space="preserve"> The next part of the actus rea is without lawful excuse where there are two specific defences contained in section 5 (2) (a) and section 5 (2) (b) of the criminal defence act 1971. Under section 5 (2) (a) states that at the time of the offence the defendant believed that the person entitled to consent to the damage/destruction either had consent or would have consented. </w:t>
          </w:r>
          <w:r w:rsidR="004C2056">
            <w:t xml:space="preserve">So far under the actus rea of the offence Harriet has satisfied the actus rea for the offence. However, under section 5 (2) (b) of the criminal damage act 1971 it states that at the time of the offence the defendant believed that the property belonging to themselves or another was in immediate need of protection so damaging or destroying the property in order to protect it was necessary, where the defendant believed that the means of protection used were reasonable which is the objective basis of the offence which can be seen in cases such as (Chamberlin V Indian 1998, Hill; Hall 1998, Kelleher 2003, Hunt 1971). The subjective part of the offence is that the defendant believed that the means were </w:t>
          </w:r>
          <w:r w:rsidR="00C62939">
            <w:t>reasonable,</w:t>
          </w:r>
          <w:r w:rsidR="004C2056">
            <w:t xml:space="preserve"> and this </w:t>
          </w:r>
          <w:r w:rsidR="00C62939">
            <w:t>would</w:t>
          </w:r>
          <w:r w:rsidR="004C2056">
            <w:t xml:space="preserve"> suffice if the defendant honestly believed that the means of protection adopted were reasonable (Creswell V DPP and Currie V DPP 2006). In </w:t>
          </w:r>
          <w:r w:rsidR="00C62939">
            <w:t>Harriet’s</w:t>
          </w:r>
          <w:r w:rsidR="004C2056">
            <w:t xml:space="preserve"> case both the objective and the subjective basis have been</w:t>
          </w:r>
          <w:r w:rsidR="00C62939">
            <w:t xml:space="preserve"> </w:t>
          </w:r>
          <w:r w:rsidR="004C2056">
            <w:t xml:space="preserve">satisfied because she generally believed that the house was on fire and reacted </w:t>
          </w:r>
        </w:p>
        <w:p w14:paraId="3A4890A1" w14:textId="77777777" w:rsidR="005D1F7E" w:rsidRDefault="004C2056" w:rsidP="00C62939">
          <w:pPr>
            <w:ind w:left="360"/>
          </w:pPr>
          <w:r>
            <w:lastRenderedPageBreak/>
            <w:t xml:space="preserve">in order to protect the property and everyone inside, therefore the </w:t>
          </w:r>
          <w:r w:rsidR="00C62939">
            <w:t xml:space="preserve">actus rea element of the crime has been satisfied. The men’s rea element of this crime is that the defendant must have intended to destroy or damage property or be reckless to this or they must know or be reckless to the fact that the damage or destruction is to property belonging to another. To be able to satisfy the men’s rea element there needs to be intention whether that is direct intention (where it was the defendants aim or purpose) or whether it was indirect intention (where the outcome was virtually certain to of happened) this means that the defendant’s good motive is irrelevant. </w:t>
          </w:r>
          <w:r w:rsidR="00A8096E">
            <w:t xml:space="preserve">For the men’s rea element you can also use the subjective test so in this case it becomes subjective recklessness due to G and another (2003) overruling Caldwell (1982) so therefore the defendant must know or be reckless to the fact that the damage or destruction is to property belonging to another, however destruction or damage to property under a mistaken belief is insufficient (Smith 1974).  This means that in the case of Harriet her actions do not satisfy the men’s rea element of the crime. However, </w:t>
          </w:r>
          <w:r w:rsidR="00486AB9">
            <w:t>Harriet</w:t>
          </w:r>
          <w:r w:rsidR="00A8096E">
            <w:t xml:space="preserve"> can also use the defence of</w:t>
          </w:r>
          <w:r w:rsidR="005D1F7E">
            <w:t xml:space="preserve"> involuntary intoxication as this acts as a complete defence regardless of the crime as this covers things such as spiking of drinks or food and substances taken under duress, prescribed drugs of any kind and non-prescribed dangerous drugs, so this means that in Harriet’s case although the actus rea elements have been satisfied the men’s rea has not and she has a valuable defence of involuntary intoxication to use due to Leon spiking her drink so therefore Harriet will not be found criminally liable for criminal damage. </w:t>
          </w:r>
        </w:p>
        <w:p w14:paraId="6BE8348A" w14:textId="77777777" w:rsidR="00DF3B4F" w:rsidRDefault="00F20E57" w:rsidP="00015BF8">
          <w:pPr>
            <w:ind w:left="360"/>
          </w:pPr>
          <w:r>
            <w:t xml:space="preserve">Also, within this case there is a charge of GBH that Harriet is facing because during her trying to smash the bi-folding doors she hit Daniel in the face which caused a broken cheek bone. This offence is a part of the common law and under section 20 of the criminal justice act 1988 GBH is defined as the unlawful and malicious wounding or inflicting GBH without intent. In this case GBH is the unlawful conduct from the defendant and they caused GBH because of the conduct. Wounding can also be found in cases of GBH and it is seen in cases such as C V Eisenhower </w:t>
          </w:r>
          <w:r w:rsidR="002B16D3">
            <w:t xml:space="preserve">1984, Smith 1961, Wood 1830 and </w:t>
          </w:r>
          <w:proofErr w:type="spellStart"/>
          <w:r w:rsidR="002B16D3">
            <w:t>ballom</w:t>
          </w:r>
          <w:proofErr w:type="spellEnd"/>
          <w:r w:rsidR="002B16D3">
            <w:t xml:space="preserve"> 2004. In this case it is set out like this, was there unlawful </w:t>
          </w:r>
        </w:p>
        <w:p w14:paraId="5E4E44FC" w14:textId="1E48DA37" w:rsidR="004767D7" w:rsidRDefault="002B16D3" w:rsidP="00015BF8">
          <w:pPr>
            <w:ind w:left="360"/>
          </w:pPr>
          <w:r>
            <w:lastRenderedPageBreak/>
            <w:t>conduct? did the person suffer GBH? Did conduct cause it? was it malicious? if so then the defendant will be found guilty of GBH, however in this case Harriet was not in a conscious state of mind and didn’t have control over own actions so therefore Harriet</w:t>
          </w:r>
          <w:r w:rsidR="00015BF8">
            <w:t xml:space="preserve"> didn’t mean to cause any harm to Daniel but she</w:t>
          </w:r>
          <w:r>
            <w:t xml:space="preserve"> can</w:t>
          </w:r>
          <w:r w:rsidR="00015BF8">
            <w:t xml:space="preserve"> also</w:t>
          </w:r>
          <w:r>
            <w:t xml:space="preserve"> use the defence of automatism where this defence concerns the involuntary conduct where the source of the involuntariness is not internal such as a disease of the mind, but it is external (Hill V Baxter 1958), Harriet is able to use the defence of automatism because she was not in control of her actions due to the spiking so therefore she was not in a conscious state of mind and had no idea what she was doing however a medical opinion will be needed to establish this, but this means that without </w:t>
          </w:r>
          <w:r w:rsidR="00015BF8">
            <w:t xml:space="preserve">the Actus rea and Men’s rea of the offence being visible and there is a defence that Harriet can use she will not be found criminally liable for the crime of GBH. </w:t>
          </w:r>
        </w:p>
      </w:sdtContent>
    </w:sdt>
    <w:bookmarkEnd w:id="0" w:displacedByCustomXml="prev"/>
    <w:p w14:paraId="42065B29" w14:textId="684880E3" w:rsidR="00015BF8" w:rsidRDefault="00DF3B4F" w:rsidP="00015BF8">
      <w:pPr>
        <w:ind w:left="360"/>
      </w:pPr>
      <w:r>
        <w:t xml:space="preserve">To sum up Paula will be charged with theft under section 1 of the theft act 1968, however Harriet will be found guilty of criminal damage under section 5(2) (a) she believed that the property was in immediate danger and she has the reliable defence of involuntary intoxication to rely on, same with the GBH charge she has a reliable defence of automatism to fall back on because under section 20 of the criminal justice act 1988 she doesn’t meet any of the requirements for a charge of GBH. </w:t>
      </w:r>
    </w:p>
    <w:p w14:paraId="6AF0B352" w14:textId="77777777" w:rsidR="00DF3B4F" w:rsidRDefault="00DF3B4F" w:rsidP="00015BF8">
      <w:pPr>
        <w:ind w:left="360"/>
      </w:pPr>
    </w:p>
    <w:sectPr w:rsidR="00DF3B4F" w:rsidSect="0027652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B778FB"/>
    <w:multiLevelType w:val="hybridMultilevel"/>
    <w:tmpl w:val="234A2946"/>
    <w:lvl w:ilvl="0" w:tplc="82C2B82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39A"/>
    <w:rsid w:val="00015BF8"/>
    <w:rsid w:val="0024739A"/>
    <w:rsid w:val="00287FDC"/>
    <w:rsid w:val="002B16D3"/>
    <w:rsid w:val="004351EE"/>
    <w:rsid w:val="00462744"/>
    <w:rsid w:val="00486AB9"/>
    <w:rsid w:val="004C2056"/>
    <w:rsid w:val="005D1F7E"/>
    <w:rsid w:val="00730D0D"/>
    <w:rsid w:val="007822E2"/>
    <w:rsid w:val="00791734"/>
    <w:rsid w:val="00880054"/>
    <w:rsid w:val="009B6D58"/>
    <w:rsid w:val="00A8096E"/>
    <w:rsid w:val="00C10371"/>
    <w:rsid w:val="00C62939"/>
    <w:rsid w:val="00DF3B4F"/>
    <w:rsid w:val="00E3721F"/>
    <w:rsid w:val="00F20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20C6B"/>
  <w15:chartTrackingRefBased/>
  <w15:docId w15:val="{F99BBBB3-7784-461B-BD30-289F90FFB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39A"/>
    <w:pPr>
      <w:spacing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73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739A"/>
    <w:rPr>
      <w:rFonts w:eastAsiaTheme="minorEastAsia"/>
      <w:lang w:val="en-US"/>
    </w:rPr>
  </w:style>
  <w:style w:type="paragraph" w:styleId="ListParagraph">
    <w:name w:val="List Paragraph"/>
    <w:basedOn w:val="Normal"/>
    <w:uiPriority w:val="34"/>
    <w:qFormat/>
    <w:rsid w:val="0024739A"/>
    <w:pPr>
      <w:ind w:left="720"/>
      <w:contextualSpacing/>
    </w:pPr>
  </w:style>
  <w:style w:type="character" w:styleId="Hyperlink">
    <w:name w:val="Hyperlink"/>
    <w:basedOn w:val="DefaultParagraphFont"/>
    <w:uiPriority w:val="99"/>
    <w:unhideWhenUsed/>
    <w:rsid w:val="0024739A"/>
    <w:rPr>
      <w:color w:val="0563C1" w:themeColor="hyperlink"/>
      <w:u w:val="single"/>
    </w:rPr>
  </w:style>
  <w:style w:type="character" w:styleId="UnresolvedMention">
    <w:name w:val="Unresolved Mention"/>
    <w:basedOn w:val="DefaultParagraphFont"/>
    <w:uiPriority w:val="99"/>
    <w:semiHidden/>
    <w:unhideWhenUsed/>
    <w:rsid w:val="0024739A"/>
    <w:rPr>
      <w:color w:val="605E5C"/>
      <w:shd w:val="clear" w:color="auto" w:fill="E1DFDD"/>
    </w:rPr>
  </w:style>
  <w:style w:type="character" w:styleId="FollowedHyperlink">
    <w:name w:val="FollowedHyperlink"/>
    <w:basedOn w:val="DefaultParagraphFont"/>
    <w:uiPriority w:val="99"/>
    <w:semiHidden/>
    <w:unhideWhenUsed/>
    <w:rsid w:val="002473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1622</Words>
  <Characters>9246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Criminal law – assignment 2</vt:lpstr>
    </vt:vector>
  </TitlesOfParts>
  <Company/>
  <LinksUpToDate>false</LinksUpToDate>
  <CharactersWithSpaces>10847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 – assignment 2</dc:title>
  <dc:subject/>
  <dc:creator>Olivia Jane Hurlow (2103531)</dc:creator>
  <cp:keywords/>
  <dc:description/>
  <cp:lastModifiedBy>Olivia Jane Hurlow (2103531)</cp:lastModifiedBy>
  <cp:revision>2</cp:revision>
  <dcterms:created xsi:type="dcterms:W3CDTF">2022-01-05T19:36:00Z</dcterms:created>
  <dcterms:modified xsi:type="dcterms:W3CDTF">2022-01-05T19:36:00Z</dcterms:modified>
</cp:coreProperties>
</file>