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C4324E" wp14:paraId="2C078E63" wp14:textId="62DAC85E">
      <w:pPr>
        <w:rPr>
          <w:b w:val="1"/>
          <w:bCs w:val="1"/>
        </w:rPr>
      </w:pPr>
      <w:r w:rsidRPr="03C4324E" w:rsidR="3F8C1A34">
        <w:rPr>
          <w:b w:val="1"/>
          <w:bCs w:val="1"/>
        </w:rPr>
        <w:t xml:space="preserve">Name: </w:t>
      </w:r>
      <w:r w:rsidRPr="03C4324E" w:rsidR="7B1B0ED8">
        <w:rPr>
          <w:b w:val="1"/>
          <w:bCs w:val="1"/>
        </w:rPr>
        <w:t>S</w:t>
      </w:r>
      <w:r w:rsidRPr="03C4324E" w:rsidR="3F8C1A34">
        <w:rPr>
          <w:b w:val="1"/>
          <w:bCs w:val="1"/>
        </w:rPr>
        <w:t xml:space="preserve">aba </w:t>
      </w:r>
      <w:r w:rsidRPr="03C4324E" w:rsidR="27D4C68D">
        <w:rPr>
          <w:b w:val="1"/>
          <w:bCs w:val="1"/>
        </w:rPr>
        <w:t>A</w:t>
      </w:r>
      <w:r w:rsidRPr="03C4324E" w:rsidR="3F8C1A34">
        <w:rPr>
          <w:b w:val="1"/>
          <w:bCs w:val="1"/>
        </w:rPr>
        <w:t>nsar</w:t>
      </w:r>
    </w:p>
    <w:p w:rsidR="3F8C1A34" w:rsidP="03C4324E" w:rsidRDefault="3F8C1A34" w14:paraId="1FFE6D6E" w14:textId="0A5E0412">
      <w:pPr>
        <w:rPr>
          <w:b w:val="1"/>
          <w:bCs w:val="1"/>
        </w:rPr>
      </w:pPr>
      <w:r w:rsidRPr="03C4324E" w:rsidR="3F8C1A34">
        <w:rPr>
          <w:b w:val="1"/>
          <w:bCs w:val="1"/>
        </w:rPr>
        <w:t>Student id: 2426467</w:t>
      </w:r>
    </w:p>
    <w:p w:rsidR="3913E87A" w:rsidP="03C4324E" w:rsidRDefault="3913E87A" w14:paraId="0D9A6C81" w14:textId="3C2BD07A">
      <w:pPr>
        <w:rPr>
          <w:b w:val="1"/>
          <w:bCs w:val="1"/>
        </w:rPr>
      </w:pPr>
      <w:r w:rsidRPr="03C4324E" w:rsidR="3913E87A">
        <w:rPr>
          <w:b w:val="1"/>
          <w:bCs w:val="1"/>
        </w:rPr>
        <w:t>M</w:t>
      </w:r>
      <w:r w:rsidRPr="03C4324E" w:rsidR="43CDE881">
        <w:rPr>
          <w:b w:val="1"/>
          <w:bCs w:val="1"/>
        </w:rPr>
        <w:t>odu</w:t>
      </w:r>
      <w:r w:rsidRPr="03C4324E" w:rsidR="3913E87A">
        <w:rPr>
          <w:b w:val="1"/>
          <w:bCs w:val="1"/>
        </w:rPr>
        <w:t xml:space="preserve">le </w:t>
      </w:r>
      <w:r w:rsidRPr="03C4324E" w:rsidR="3F8C1A34">
        <w:rPr>
          <w:b w:val="1"/>
          <w:bCs w:val="1"/>
        </w:rPr>
        <w:t>number: LCHS4010</w:t>
      </w:r>
    </w:p>
    <w:p w:rsidR="3F8C1A34" w:rsidP="03C4324E" w:rsidRDefault="3F8C1A34" w14:paraId="22F86E75" w14:textId="44C8D6D9">
      <w:pPr>
        <w:rPr>
          <w:b w:val="1"/>
          <w:bCs w:val="1"/>
        </w:rPr>
      </w:pPr>
      <w:r w:rsidRPr="03C4324E" w:rsidR="3F8C1A34">
        <w:rPr>
          <w:b w:val="1"/>
          <w:bCs w:val="1"/>
        </w:rPr>
        <w:t xml:space="preserve">Lecturer name: </w:t>
      </w:r>
      <w:r w:rsidRPr="03C4324E" w:rsidR="7F2DD932">
        <w:rPr>
          <w:b w:val="1"/>
          <w:bCs w:val="1"/>
        </w:rPr>
        <w:t>K</w:t>
      </w:r>
      <w:r w:rsidRPr="03C4324E" w:rsidR="3F8C1A34">
        <w:rPr>
          <w:b w:val="1"/>
          <w:bCs w:val="1"/>
        </w:rPr>
        <w:t xml:space="preserve">al </w:t>
      </w:r>
      <w:r w:rsidRPr="03C4324E" w:rsidR="6EA9A7C8">
        <w:rPr>
          <w:b w:val="1"/>
          <w:bCs w:val="1"/>
        </w:rPr>
        <w:t>A</w:t>
      </w:r>
      <w:r w:rsidRPr="03C4324E" w:rsidR="60DDC7B3">
        <w:rPr>
          <w:b w:val="1"/>
          <w:bCs w:val="1"/>
        </w:rPr>
        <w:t>lnababtah</w:t>
      </w:r>
    </w:p>
    <w:p w:rsidR="03C4324E" w:rsidP="03C4324E" w:rsidRDefault="03C4324E" w14:paraId="5969BF8F" w14:textId="061C7590">
      <w:pPr>
        <w:pStyle w:val="Normal"/>
        <w:rPr>
          <w:b w:val="1"/>
          <w:bCs w:val="1"/>
        </w:rPr>
      </w:pPr>
    </w:p>
    <w:p w:rsidR="03C4324E" w:rsidP="03C4324E" w:rsidRDefault="03C4324E" w14:paraId="5CFE9A65" w14:textId="3DB4DFF1">
      <w:pPr>
        <w:pStyle w:val="Normal"/>
      </w:pPr>
    </w:p>
    <w:p w:rsidR="03C4324E" w:rsidRDefault="03C4324E" w14:paraId="32CDC05F" w14:textId="4A7446A7"/>
    <w:p w:rsidR="03C4324E" w:rsidRDefault="03C4324E" w14:paraId="48865E2F" w14:textId="694D4037"/>
    <w:p w:rsidR="03C4324E" w:rsidRDefault="03C4324E" w14:paraId="2F17B213" w14:textId="0470AD73"/>
    <w:p w:rsidR="03C4324E" w:rsidRDefault="03C4324E" w14:paraId="14A2F56A" w14:textId="65E46A2E"/>
    <w:p w:rsidR="03C4324E" w:rsidRDefault="03C4324E" w14:paraId="04E0C7C4" w14:textId="11AC207E"/>
    <w:p w:rsidR="03C4324E" w:rsidRDefault="03C4324E" w14:paraId="69A68BD2" w14:textId="1CEE590A"/>
    <w:p w:rsidR="03C4324E" w:rsidRDefault="03C4324E" w14:paraId="5CF8DE0B" w14:textId="52033A39"/>
    <w:p w:rsidR="03C4324E" w:rsidRDefault="03C4324E" w14:paraId="7E53CFBC" w14:textId="087C0CDD"/>
    <w:p w:rsidR="03C4324E" w:rsidRDefault="03C4324E" w14:paraId="777428E2" w14:textId="6888DEC9"/>
    <w:p w:rsidR="03C4324E" w:rsidRDefault="03C4324E" w14:paraId="7DCBB5A0" w14:textId="704BF2B2"/>
    <w:p w:rsidR="03C4324E" w:rsidRDefault="03C4324E" w14:paraId="1CDAB817" w14:textId="6AE351AA"/>
    <w:p w:rsidR="03C4324E" w:rsidRDefault="03C4324E" w14:paraId="00E7C348" w14:textId="117CC2DD"/>
    <w:p w:rsidR="03C4324E" w:rsidRDefault="03C4324E" w14:paraId="1831BC19" w14:textId="61972FDA"/>
    <w:p w:rsidR="03C4324E" w:rsidRDefault="03C4324E" w14:paraId="58F34991" w14:textId="6CE971E6"/>
    <w:p w:rsidR="03C4324E" w:rsidRDefault="03C4324E" w14:paraId="2EA908C1" w14:textId="16657441"/>
    <w:p w:rsidR="03C4324E" w:rsidRDefault="03C4324E" w14:paraId="1103A333" w14:textId="4460DE53"/>
    <w:p w:rsidR="03C4324E" w:rsidRDefault="03C4324E" w14:paraId="65C92010" w14:textId="78C3D47D"/>
    <w:p w:rsidR="03C4324E" w:rsidRDefault="03C4324E" w14:paraId="741216D9" w14:textId="34782A4D"/>
    <w:p w:rsidR="03C4324E" w:rsidRDefault="03C4324E" w14:paraId="64953642" w14:textId="3CCDA317"/>
    <w:p w:rsidR="03C4324E" w:rsidRDefault="03C4324E" w14:paraId="7E574995" w14:textId="4DC3DD99"/>
    <w:p w:rsidR="03C4324E" w:rsidRDefault="03C4324E" w14:paraId="14466E82" w14:textId="579A424D"/>
    <w:p w:rsidR="382A7D04" w:rsidP="03C4324E" w:rsidRDefault="382A7D04" w14:paraId="5A54C4AA" w14:textId="06FCAA49">
      <w:pPr>
        <w:rPr>
          <w:b w:val="1"/>
          <w:bCs w:val="1"/>
        </w:rPr>
      </w:pPr>
      <w:r w:rsidRPr="03C4324E" w:rsidR="382A7D04">
        <w:rPr>
          <w:b w:val="1"/>
          <w:bCs w:val="1"/>
        </w:rPr>
        <w:t>Contents</w:t>
      </w:r>
      <w:r w:rsidRPr="03C4324E" w:rsidR="33056F7A">
        <w:rPr>
          <w:b w:val="1"/>
          <w:bCs w:val="1"/>
        </w:rPr>
        <w:t>:</w:t>
      </w:r>
    </w:p>
    <w:p w:rsidR="03C4324E" w:rsidP="03C4324E" w:rsidRDefault="03C4324E" w14:paraId="3AD6408A" w14:textId="0DEC1D4C">
      <w:pPr>
        <w:rPr>
          <w:b w:val="1"/>
          <w:bCs w:val="1"/>
        </w:rPr>
      </w:pPr>
    </w:p>
    <w:p w:rsidR="382A7D04" w:rsidP="03C4324E" w:rsidRDefault="382A7D04" w14:paraId="6A056325" w14:textId="388748EB">
      <w:pPr>
        <w:rPr>
          <w:b w:val="1"/>
          <w:bCs w:val="1"/>
        </w:rPr>
      </w:pPr>
      <w:r w:rsidRPr="03C4324E" w:rsidR="382A7D04">
        <w:rPr>
          <w:b w:val="1"/>
          <w:bCs w:val="1"/>
        </w:rPr>
        <w:t>Introduction...........................................................................................page 3</w:t>
      </w:r>
    </w:p>
    <w:p w:rsidR="7687AF43" w:rsidP="03C4324E" w:rsidRDefault="7687AF43" w14:paraId="0C6C0567" w14:textId="2E8D11A3">
      <w:pPr>
        <w:rPr>
          <w:b w:val="1"/>
          <w:bCs w:val="1"/>
        </w:rPr>
      </w:pPr>
      <w:r w:rsidRPr="03C4324E" w:rsidR="7687AF43">
        <w:rPr>
          <w:b w:val="1"/>
          <w:bCs w:val="1"/>
        </w:rPr>
        <w:t>Discussion and Analysis.........................................................................page 4</w:t>
      </w:r>
    </w:p>
    <w:p w:rsidR="6035E65C" w:rsidP="03C4324E" w:rsidRDefault="6035E65C" w14:paraId="64FA740E" w14:textId="221B5E85">
      <w:pPr>
        <w:pStyle w:val="Normal"/>
        <w:rPr>
          <w:b w:val="1"/>
          <w:bCs w:val="1"/>
        </w:rPr>
      </w:pPr>
      <w:r w:rsidRPr="03C4324E" w:rsidR="6035E65C">
        <w:rPr>
          <w:b w:val="1"/>
          <w:bCs w:val="1"/>
        </w:rPr>
        <w:t xml:space="preserve">Conclusion.............................................................................................page </w:t>
      </w:r>
      <w:r w:rsidRPr="03C4324E" w:rsidR="1148B6A1">
        <w:rPr>
          <w:b w:val="1"/>
          <w:bCs w:val="1"/>
        </w:rPr>
        <w:t>6</w:t>
      </w:r>
    </w:p>
    <w:p w:rsidR="3C0B16E8" w:rsidP="03C4324E" w:rsidRDefault="3C0B16E8" w14:paraId="32D5B467" w14:textId="1E3E83E6">
      <w:pPr>
        <w:pStyle w:val="Normal"/>
        <w:rPr>
          <w:b w:val="1"/>
          <w:bCs w:val="1"/>
        </w:rPr>
      </w:pPr>
      <w:r w:rsidRPr="03C4324E" w:rsidR="3C0B16E8">
        <w:rPr>
          <w:b w:val="1"/>
          <w:bCs w:val="1"/>
        </w:rPr>
        <w:t>Refernce</w:t>
      </w:r>
      <w:r w:rsidRPr="03C4324E" w:rsidR="3C0B16E8">
        <w:rPr>
          <w:b w:val="1"/>
          <w:bCs w:val="1"/>
        </w:rPr>
        <w:t xml:space="preserve"> List...........................................................................................page </w:t>
      </w:r>
      <w:r w:rsidRPr="03C4324E" w:rsidR="6F2DCCC3">
        <w:rPr>
          <w:b w:val="1"/>
          <w:bCs w:val="1"/>
        </w:rPr>
        <w:t>7</w:t>
      </w:r>
    </w:p>
    <w:p w:rsidR="03C4324E" w:rsidP="03C4324E" w:rsidRDefault="03C4324E" w14:paraId="4928A091" w14:textId="73318E96">
      <w:pPr>
        <w:rPr>
          <w:b w:val="1"/>
          <w:bCs w:val="1"/>
        </w:rPr>
      </w:pPr>
    </w:p>
    <w:p w:rsidR="03C4324E" w:rsidP="03C4324E" w:rsidRDefault="03C4324E" w14:paraId="48279CE7" w14:textId="76CC55BE">
      <w:pPr>
        <w:rPr>
          <w:b w:val="1"/>
          <w:bCs w:val="1"/>
        </w:rPr>
      </w:pPr>
    </w:p>
    <w:p w:rsidR="03C4324E" w:rsidRDefault="03C4324E" w14:paraId="2377DD9F" w14:textId="1FE3EBAA"/>
    <w:p w:rsidR="03C4324E" w:rsidRDefault="03C4324E" w14:paraId="77E1CCAF" w14:textId="6D4BC36E"/>
    <w:p w:rsidR="03C4324E" w:rsidRDefault="03C4324E" w14:paraId="27F5906E" w14:textId="1B363027"/>
    <w:p w:rsidR="03C4324E" w:rsidRDefault="03C4324E" w14:paraId="19EAE1C1" w14:textId="4D49234E"/>
    <w:p w:rsidR="03C4324E" w:rsidRDefault="03C4324E" w14:paraId="4339259F" w14:textId="3278665A"/>
    <w:p w:rsidR="03C4324E" w:rsidRDefault="03C4324E" w14:paraId="64A021C9" w14:textId="202F31F1"/>
    <w:p w:rsidR="03C4324E" w:rsidRDefault="03C4324E" w14:paraId="0C61955F" w14:textId="7B56A87E"/>
    <w:p w:rsidR="03C4324E" w:rsidRDefault="03C4324E" w14:paraId="6259742E" w14:textId="0DC2F55F"/>
    <w:p w:rsidR="03C4324E" w:rsidRDefault="03C4324E" w14:paraId="7A43A64E" w14:textId="5B03D888"/>
    <w:p w:rsidR="03C4324E" w:rsidRDefault="03C4324E" w14:paraId="7FBAE62B" w14:textId="07F93295"/>
    <w:p w:rsidR="03C4324E" w:rsidRDefault="03C4324E" w14:paraId="4520A348" w14:textId="3C57EC7E"/>
    <w:p w:rsidR="03C4324E" w:rsidRDefault="03C4324E" w14:paraId="52D8805E" w14:textId="7ED7AE64"/>
    <w:p w:rsidR="03C4324E" w:rsidRDefault="03C4324E" w14:paraId="29B1A621" w14:textId="35B2D3C4"/>
    <w:p w:rsidR="03C4324E" w:rsidRDefault="03C4324E" w14:paraId="22FEFB20" w14:textId="4864C350"/>
    <w:p w:rsidR="03C4324E" w:rsidRDefault="03C4324E" w14:paraId="64A55DFA" w14:textId="0A34DFB0"/>
    <w:p w:rsidR="03C4324E" w:rsidRDefault="03C4324E" w14:paraId="7D968D5F" w14:textId="527FAA23"/>
    <w:p w:rsidR="03C4324E" w:rsidRDefault="03C4324E" w14:paraId="62B230BD" w14:textId="38CD9A94"/>
    <w:p w:rsidR="03C4324E" w:rsidRDefault="03C4324E" w14:paraId="5039DBB7" w14:textId="2207C949"/>
    <w:p w:rsidR="03C4324E" w:rsidRDefault="03C4324E" w14:paraId="6551626E" w14:textId="697C921A"/>
    <w:p w:rsidR="1B82B2CB" w:rsidP="03C4324E" w:rsidRDefault="1B82B2CB" w14:paraId="5C8ECA3F" w14:textId="24C2740A">
      <w:pPr>
        <w:pStyle w:val="Normal"/>
      </w:pPr>
      <w:r w:rsidRPr="03C4324E" w:rsidR="1B82B2CB">
        <w:rPr>
          <w:rFonts w:ascii="Arial" w:hAnsi="Arial" w:eastAsia="Arial" w:cs="Arial"/>
          <w:b w:val="1"/>
          <w:bCs w:val="1"/>
          <w:noProof w:val="0"/>
          <w:sz w:val="22"/>
          <w:szCs w:val="22"/>
          <w:lang w:val="en-US"/>
        </w:rPr>
        <w:t>Applying Psychological Theory in Dementia Care: A Critical Evaluation of Erikson and Bowlby in Supporting Adults Aged 65+</w:t>
      </w:r>
    </w:p>
    <w:p w:rsidR="1B82B2CB" w:rsidP="03C4324E" w:rsidRDefault="1B82B2CB" w14:paraId="237349B8" w14:textId="3610B1F3">
      <w:pPr>
        <w:pStyle w:val="Normal"/>
        <w:spacing w:line="360" w:lineRule="auto"/>
        <w:rPr>
          <w:rFonts w:ascii="Arial" w:hAnsi="Arial" w:eastAsia="Arial" w:cs="Arial"/>
          <w:noProof w:val="0"/>
          <w:sz w:val="22"/>
          <w:szCs w:val="22"/>
          <w:lang w:val="en-US"/>
        </w:rPr>
      </w:pPr>
      <w:r w:rsidRPr="03C4324E" w:rsidR="1B82B2CB">
        <w:rPr>
          <w:rFonts w:ascii="Arial" w:hAnsi="Arial" w:eastAsia="Arial" w:cs="Arial"/>
          <w:b w:val="1"/>
          <w:bCs w:val="1"/>
          <w:noProof w:val="0"/>
          <w:sz w:val="22"/>
          <w:szCs w:val="22"/>
          <w:lang w:val="en-US"/>
        </w:rPr>
        <w:t>Introduction</w:t>
      </w:r>
    </w:p>
    <w:p w:rsidR="1B82B2CB" w:rsidP="03C4324E" w:rsidRDefault="1B82B2CB" w14:paraId="499F66F2" w14:textId="6CC26701">
      <w:pPr>
        <w:pStyle w:val="Normal"/>
        <w:spacing w:line="360" w:lineRule="auto"/>
        <w:rPr>
          <w:rFonts w:ascii="Arial" w:hAnsi="Arial" w:eastAsia="Arial" w:cs="Arial"/>
          <w:noProof w:val="0"/>
          <w:sz w:val="22"/>
          <w:szCs w:val="22"/>
          <w:lang w:val="en-US"/>
        </w:rPr>
      </w:pPr>
      <w:r w:rsidRPr="03C4324E" w:rsidR="1B82B2CB">
        <w:rPr>
          <w:rFonts w:ascii="Arial" w:hAnsi="Arial" w:eastAsia="Arial" w:cs="Arial"/>
          <w:noProof w:val="0"/>
          <w:sz w:val="22"/>
          <w:szCs w:val="22"/>
          <w:lang w:val="en-US"/>
        </w:rPr>
        <w:t xml:space="preserve">Supporting older adults living with dementia requires </w:t>
      </w:r>
      <w:r w:rsidRPr="03C4324E" w:rsidR="1B82B2CB">
        <w:rPr>
          <w:rFonts w:ascii="Arial" w:hAnsi="Arial" w:eastAsia="Arial" w:cs="Arial"/>
          <w:noProof w:val="0"/>
          <w:sz w:val="22"/>
          <w:szCs w:val="22"/>
          <w:lang w:val="en-US"/>
        </w:rPr>
        <w:t>a holistic approach</w:t>
      </w:r>
      <w:r w:rsidRPr="03C4324E" w:rsidR="1B82B2CB">
        <w:rPr>
          <w:rFonts w:ascii="Arial" w:hAnsi="Arial" w:eastAsia="Arial" w:cs="Arial"/>
          <w:noProof w:val="0"/>
          <w:sz w:val="22"/>
          <w:szCs w:val="22"/>
          <w:lang w:val="en-US"/>
        </w:rPr>
        <w:t xml:space="preserve"> that addresses not only cognitive decline but also the emotional, relational, social, and identity-based needs that shape a person’s sense of self. Dementia can lead to confusion, anxiety, loneliness, and a diminished feeling of autonomy, all of which strongly affect overall wellbeing (Cloak, Al Khalili and </w:t>
      </w:r>
      <w:r w:rsidRPr="03C4324E" w:rsidR="1B82B2CB">
        <w:rPr>
          <w:rFonts w:ascii="Arial" w:hAnsi="Arial" w:eastAsia="Arial" w:cs="Arial"/>
          <w:noProof w:val="0"/>
          <w:sz w:val="22"/>
          <w:szCs w:val="22"/>
          <w:lang w:val="en-US"/>
        </w:rPr>
        <w:t>Schoo</w:t>
      </w:r>
      <w:r w:rsidRPr="03C4324E" w:rsidR="1B82B2CB">
        <w:rPr>
          <w:rFonts w:ascii="Arial" w:hAnsi="Arial" w:eastAsia="Arial" w:cs="Arial"/>
          <w:noProof w:val="0"/>
          <w:sz w:val="22"/>
          <w:szCs w:val="22"/>
          <w:lang w:val="en-US"/>
        </w:rPr>
        <w:t xml:space="preserve">, 2024). These changes highlight the importance of understanding the psychological experiences of older adults, particularly those aged 65 and over, who may already be navigating </w:t>
      </w:r>
      <w:r w:rsidRPr="03C4324E" w:rsidR="1B82B2CB">
        <w:rPr>
          <w:rFonts w:ascii="Arial" w:hAnsi="Arial" w:eastAsia="Arial" w:cs="Arial"/>
          <w:noProof w:val="0"/>
          <w:sz w:val="22"/>
          <w:szCs w:val="22"/>
          <w:lang w:val="en-US"/>
        </w:rPr>
        <w:t>additional</w:t>
      </w:r>
      <w:r w:rsidRPr="03C4324E" w:rsidR="1B82B2CB">
        <w:rPr>
          <w:rFonts w:ascii="Arial" w:hAnsi="Arial" w:eastAsia="Arial" w:cs="Arial"/>
          <w:noProof w:val="0"/>
          <w:sz w:val="22"/>
          <w:szCs w:val="22"/>
          <w:lang w:val="en-US"/>
        </w:rPr>
        <w:t xml:space="preserve"> challenges such as bereavement, physical frailty, and increased dependence on others. Psychological theories offer structured ways of understanding these experiences and help professionals deliver care that is compassionate, person-</w:t>
      </w:r>
      <w:r w:rsidRPr="03C4324E" w:rsidR="1B82B2CB">
        <w:rPr>
          <w:rFonts w:ascii="Arial" w:hAnsi="Arial" w:eastAsia="Arial" w:cs="Arial"/>
          <w:noProof w:val="0"/>
          <w:sz w:val="22"/>
          <w:szCs w:val="22"/>
          <w:lang w:val="en-US"/>
        </w:rPr>
        <w:t>centred</w:t>
      </w:r>
      <w:r w:rsidRPr="03C4324E" w:rsidR="1B82B2CB">
        <w:rPr>
          <w:rFonts w:ascii="Arial" w:hAnsi="Arial" w:eastAsia="Arial" w:cs="Arial"/>
          <w:noProof w:val="0"/>
          <w:sz w:val="22"/>
          <w:szCs w:val="22"/>
          <w:lang w:val="en-US"/>
        </w:rPr>
        <w:t>, and responsive to the individual.</w:t>
      </w:r>
    </w:p>
    <w:p w:rsidR="1B82B2CB" w:rsidP="03C4324E" w:rsidRDefault="1B82B2CB" w14:paraId="4FCD1851" w14:textId="1759961C">
      <w:pPr>
        <w:spacing w:before="240" w:beforeAutospacing="off" w:after="240" w:afterAutospacing="off" w:line="360" w:lineRule="auto"/>
        <w:rPr>
          <w:rFonts w:ascii="Arial" w:hAnsi="Arial" w:eastAsia="Arial" w:cs="Arial"/>
          <w:noProof w:val="0"/>
          <w:sz w:val="22"/>
          <w:szCs w:val="22"/>
          <w:lang w:val="en-US"/>
        </w:rPr>
      </w:pPr>
      <w:r w:rsidRPr="03C4324E" w:rsidR="1B82B2CB">
        <w:rPr>
          <w:rFonts w:ascii="Arial" w:hAnsi="Arial" w:eastAsia="Arial" w:cs="Arial"/>
          <w:noProof w:val="0"/>
          <w:sz w:val="22"/>
          <w:szCs w:val="22"/>
          <w:lang w:val="en-US"/>
        </w:rPr>
        <w:t xml:space="preserve">Erik Erikson developed the Psychosocial Theory, which outlines eight stages of development that span the entire lifespan. Each stage involves a key conflict that contributes to personality development. In later adulthood, the stage of </w:t>
      </w:r>
      <w:r w:rsidRPr="03C4324E" w:rsidR="1B82B2CB">
        <w:rPr>
          <w:rFonts w:ascii="Arial" w:hAnsi="Arial" w:eastAsia="Arial" w:cs="Arial"/>
          <w:i w:val="1"/>
          <w:iCs w:val="1"/>
          <w:noProof w:val="0"/>
          <w:sz w:val="22"/>
          <w:szCs w:val="22"/>
          <w:lang w:val="en-US"/>
        </w:rPr>
        <w:t>integrity versus despair</w:t>
      </w:r>
      <w:r w:rsidRPr="03C4324E" w:rsidR="1B82B2CB">
        <w:rPr>
          <w:rFonts w:ascii="Arial" w:hAnsi="Arial" w:eastAsia="Arial" w:cs="Arial"/>
          <w:noProof w:val="0"/>
          <w:sz w:val="22"/>
          <w:szCs w:val="22"/>
          <w:lang w:val="en-US"/>
        </w:rPr>
        <w:t xml:space="preserve"> becomes especially important, as individuals reflect on their life, seek meaning, and attempt to maintain a coherent sense of identity despite the changes brought by ageing and illness (Orenstein and Lewis, 2022). Dementia can interrupt this process, but the need for meaning, purpose, and recognition remains.</w:t>
      </w:r>
    </w:p>
    <w:p w:rsidR="1B82B2CB" w:rsidP="03C4324E" w:rsidRDefault="1B82B2CB" w14:paraId="0A687F8F" w14:textId="2E3C4572">
      <w:pPr>
        <w:spacing w:before="240" w:beforeAutospacing="off" w:after="240" w:afterAutospacing="off" w:line="360" w:lineRule="auto"/>
        <w:rPr>
          <w:rFonts w:ascii="Arial" w:hAnsi="Arial" w:eastAsia="Arial" w:cs="Arial"/>
          <w:noProof w:val="0"/>
          <w:sz w:val="22"/>
          <w:szCs w:val="22"/>
          <w:lang w:val="en-US"/>
        </w:rPr>
      </w:pPr>
      <w:r w:rsidRPr="03C4324E" w:rsidR="1B82B2CB">
        <w:rPr>
          <w:rFonts w:ascii="Arial" w:hAnsi="Arial" w:eastAsia="Arial" w:cs="Arial"/>
          <w:noProof w:val="0"/>
          <w:sz w:val="22"/>
          <w:szCs w:val="22"/>
          <w:lang w:val="en-US"/>
        </w:rPr>
        <w:t>John Bowlby’s Attachment Theory, originally focused on early childhood, also provides valuable insights into the emotional needs of older adults. Bowlby argued that humans require secure emotional bonds throughout life, not only in infancy. For adults living with dementia, the need for stability, reassurance, and a sense of safety becomes even more pronounced, particularly when memory loss and disorientation create feelings of vulnerability (Beattie and West, 2021).</w:t>
      </w:r>
    </w:p>
    <w:p w:rsidR="1B82B2CB" w:rsidP="03C4324E" w:rsidRDefault="1B82B2CB" w14:paraId="4E0739F2" w14:textId="48C514A9">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03C4324E" w:rsidR="1B82B2CB">
        <w:rPr>
          <w:rFonts w:ascii="Arial" w:hAnsi="Arial" w:eastAsia="Arial" w:cs="Arial"/>
          <w:noProof w:val="0"/>
          <w:sz w:val="22"/>
          <w:szCs w:val="22"/>
          <w:lang w:val="en-US"/>
        </w:rPr>
        <w:t>This report critically evaluates how Erikson’s and Bowlby’s theories can be applied in dementia care, exploring the interaction between nature and nurture, and discussing how these frameworks can support effective, ethical, and person-centred practice for adults aged 65 and over.</w:t>
      </w:r>
      <w:r w:rsidRPr="03C4324E" w:rsidR="1B82B2CB">
        <w:rPr>
          <w:rFonts w:ascii="Arial" w:hAnsi="Arial" w:eastAsia="Arial" w:cs="Arial"/>
          <w:b w:val="1"/>
          <w:bCs w:val="1"/>
          <w:noProof w:val="0"/>
          <w:color w:val="000000" w:themeColor="text1" w:themeTint="FF" w:themeShade="FF"/>
          <w:sz w:val="22"/>
          <w:szCs w:val="22"/>
          <w:lang w:val="en-US"/>
        </w:rPr>
        <w:t xml:space="preserve"> </w:t>
      </w:r>
    </w:p>
    <w:p w:rsidR="7CFC7456" w:rsidP="03C4324E" w:rsidRDefault="7CFC7456" w14:paraId="20F2BFFD" w14:textId="3F42312B">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03C4324E" w:rsidR="7CFC7456">
        <w:rPr>
          <w:rFonts w:ascii="Arial" w:hAnsi="Arial" w:eastAsia="Arial" w:cs="Arial"/>
          <w:b w:val="1"/>
          <w:bCs w:val="1"/>
          <w:noProof w:val="0"/>
          <w:color w:val="000000" w:themeColor="text1" w:themeTint="FF" w:themeShade="FF"/>
          <w:sz w:val="22"/>
          <w:szCs w:val="22"/>
          <w:lang w:val="en-US"/>
        </w:rPr>
        <w:t>Discussion and Analysis</w:t>
      </w:r>
    </w:p>
    <w:p w:rsidR="7CFC7456" w:rsidP="03C4324E" w:rsidRDefault="7CFC7456" w14:paraId="04EDD89C" w14:textId="20A7EC28">
      <w:pPr>
        <w:spacing w:before="240" w:beforeAutospacing="off" w:after="240" w:afterAutospacing="off"/>
      </w:pPr>
      <w:r w:rsidRPr="03C4324E" w:rsidR="7CFC7456">
        <w:rPr>
          <w:rFonts w:ascii="Arial" w:hAnsi="Arial" w:eastAsia="Arial" w:cs="Arial"/>
          <w:noProof w:val="0"/>
          <w:sz w:val="22"/>
          <w:szCs w:val="22"/>
          <w:lang w:val="en-US"/>
        </w:rPr>
        <w:t xml:space="preserve">Erikson’s Psychosocial Theory offers an important framework for understanding the emotional and developmental needs of adults aged 65 and over, particularly those living with dementia. Erikson proposed that human development unfolds across eight stages, each marked by a central psychosocial conflict that shapes personality and emotional wellbeing. In later adulthood, the conflict of </w:t>
      </w:r>
      <w:r w:rsidRPr="03C4324E" w:rsidR="7CFC7456">
        <w:rPr>
          <w:rFonts w:ascii="Arial" w:hAnsi="Arial" w:eastAsia="Arial" w:cs="Arial"/>
          <w:i w:val="0"/>
          <w:iCs w:val="0"/>
          <w:noProof w:val="0"/>
          <w:sz w:val="22"/>
          <w:szCs w:val="22"/>
          <w:lang w:val="en-US"/>
        </w:rPr>
        <w:t>integrity versus despair</w:t>
      </w:r>
      <w:r w:rsidRPr="03C4324E" w:rsidR="7CFC7456">
        <w:rPr>
          <w:rFonts w:ascii="Arial" w:hAnsi="Arial" w:eastAsia="Arial" w:cs="Arial"/>
          <w:i w:val="0"/>
          <w:iCs w:val="0"/>
          <w:noProof w:val="0"/>
          <w:sz w:val="22"/>
          <w:szCs w:val="22"/>
          <w:lang w:val="en-US"/>
        </w:rPr>
        <w:t xml:space="preserve"> </w:t>
      </w:r>
      <w:r w:rsidRPr="03C4324E" w:rsidR="7CFC7456">
        <w:rPr>
          <w:rFonts w:ascii="Arial" w:hAnsi="Arial" w:eastAsia="Arial" w:cs="Arial"/>
          <w:noProof w:val="0"/>
          <w:sz w:val="22"/>
          <w:szCs w:val="22"/>
          <w:lang w:val="en-US"/>
        </w:rPr>
        <w:t>becomes especially significant. Individuals at this stage are encouraged to reflect on their lives, evaluate their experiences, and find a sense of acceptance and wholeness. This process contributes to emotional resilience, dignity, and psychological stability. Dementia, however, disrupts memory, identity, and the ability to recall lived experiences, making it more challenging for older adults to engage in meaningful life review. Despite this cognitive decline, the emotional needs underpinning Erikson’s theory — such as the need for value, identity, connection, and purpose — remain strongly intact.</w:t>
      </w:r>
    </w:p>
    <w:p w:rsidR="7CFC7456" w:rsidP="03C4324E" w:rsidRDefault="7CFC7456" w14:paraId="116FA107" w14:textId="009DC770">
      <w:pPr>
        <w:spacing w:before="240" w:beforeAutospacing="off" w:after="240" w:afterAutospacing="off"/>
      </w:pPr>
      <w:r w:rsidRPr="03C4324E" w:rsidR="7CFC7456">
        <w:rPr>
          <w:rFonts w:ascii="Arial" w:hAnsi="Arial" w:eastAsia="Arial" w:cs="Arial"/>
          <w:noProof w:val="0"/>
          <w:sz w:val="22"/>
          <w:szCs w:val="22"/>
          <w:lang w:val="en-US"/>
        </w:rPr>
        <w:t>Erikson’s model also highlights the ways psychosocial conflicts shape identity across the lifespan. His theory emphasises how an individual’s personality is formed through the interplay of developmental milestones, social relationships, culture, and personal history. In late adulthood, people often face role changes, increased dependence, bereavement, and diminished autonomy. These challenges can influence self-esteem, emotional stability, and overall identity. Dementia exacerbates this vulnerability, making older adults more reliant on external support to maintain a sense of meaning and continuity. Therefore, Erikson’s work provides a valuable lens for understanding how older adults cope with ageing, loss, and transitions while still seeking purpose and emotional connection.</w:t>
      </w:r>
    </w:p>
    <w:p w:rsidR="7CFC7456" w:rsidP="03C4324E" w:rsidRDefault="7CFC7456" w14:paraId="365D3976" w14:textId="7F1FA516">
      <w:pPr>
        <w:spacing w:before="240" w:beforeAutospacing="off" w:after="240" w:afterAutospacing="off"/>
      </w:pPr>
      <w:r w:rsidRPr="03C4324E" w:rsidR="7CFC7456">
        <w:rPr>
          <w:rFonts w:ascii="Arial" w:hAnsi="Arial" w:eastAsia="Arial" w:cs="Arial"/>
          <w:noProof w:val="0"/>
          <w:sz w:val="22"/>
          <w:szCs w:val="22"/>
          <w:lang w:val="en-US"/>
        </w:rPr>
        <w:t>The interaction between nature and nurture is also essential in Erikson’s theory. He argued that personality emerges through the dynamic relationship between biological changes and environmental experiences. For individuals with dementia, biological changes such as neurological decline directly influence cognition, memory, and behaviour. Yet, the nurture component — including supportive relationships, structured routines, cultural familiarity, and positive social environments — can significantly improve wellbeing. This means that despite the biological progression of dementia, nurturing care environments can help maintain emotional stability, reduce distress, and promote a sense of identity and belonging.</w:t>
      </w:r>
    </w:p>
    <w:p w:rsidR="7CFC7456" w:rsidP="03C4324E" w:rsidRDefault="7CFC7456" w14:paraId="2633FCE5" w14:textId="79804FEC">
      <w:pPr>
        <w:spacing w:before="240" w:beforeAutospacing="off" w:after="240" w:afterAutospacing="off"/>
      </w:pPr>
      <w:r w:rsidRPr="03C4324E" w:rsidR="7CFC7456">
        <w:rPr>
          <w:rFonts w:ascii="Arial" w:hAnsi="Arial" w:eastAsia="Arial" w:cs="Arial"/>
          <w:noProof w:val="0"/>
          <w:sz w:val="22"/>
          <w:szCs w:val="22"/>
          <w:lang w:val="en-US"/>
        </w:rPr>
        <w:t>In practice, Erikson’s theory can be effectively applied through life-story work, reminiscence therapy, and personalised care planning. These approaches support older adults in maintaining identity by using memory boxes, photographs, life histories, and objects that hold personal significance. Even when cognitive recall is limited, emotional memory often remains strong, allowing individuals to connect with meaningful experiences. Activities that relate to a person’s past roles, such as gardening, music, crafts, reading, or religious practices, help maintain a sense of purpose and agency. Offering choices in everyday tasks, such as clothing selection or meal preferences, reinforces autonomy and supports psychological wellbeing. Structured routines reduce confusion and behavioural distress by providing predictability, while clear signage, familiar décor, and thoughtful use of colour increase orientation and emotional comfort. Warm interpersonal relationships and family involvement further enhance feelings of being valued, recognised, and emotionally secure.</w:t>
      </w:r>
    </w:p>
    <w:p w:rsidR="7CFC7456" w:rsidP="03C4324E" w:rsidRDefault="7CFC7456" w14:paraId="467178C4" w14:textId="02CC18A9">
      <w:pPr>
        <w:spacing w:before="240" w:beforeAutospacing="off" w:after="240" w:afterAutospacing="off"/>
      </w:pPr>
      <w:r w:rsidRPr="03C4324E" w:rsidR="7CFC7456">
        <w:rPr>
          <w:rFonts w:ascii="Arial" w:hAnsi="Arial" w:eastAsia="Arial" w:cs="Arial"/>
          <w:noProof w:val="0"/>
          <w:sz w:val="22"/>
          <w:szCs w:val="22"/>
          <w:lang w:val="en-US"/>
        </w:rPr>
        <w:t>Bowlby’s Attachment Theory provides an equally powerful framework for understanding the emotional needs of older adults with dementia. John Bowlby developed the theory to explain how humans form emotional bonds that ensure safety, security, and survival. He argued that attachment needs are not restricted to childhood but remain important throughout the lifespan. Older adults with dementia frequently exhibit attachment behaviours such as seeking proximity to carers, calling out for familiar people, expressing anxiety when separated from loved ones, or following staff members around the care environment. These behaviours reflect emotional needs for security and reassurance rather than purely cognitive symptoms of dementia.</w:t>
      </w:r>
    </w:p>
    <w:p w:rsidR="7CFC7456" w:rsidP="03C4324E" w:rsidRDefault="7CFC7456" w14:paraId="5703CFC1" w14:textId="216B530C">
      <w:pPr>
        <w:spacing w:before="240" w:beforeAutospacing="off" w:after="240" w:afterAutospacing="off"/>
      </w:pPr>
      <w:r w:rsidRPr="03C4324E" w:rsidR="7CFC7456">
        <w:rPr>
          <w:rFonts w:ascii="Arial" w:hAnsi="Arial" w:eastAsia="Arial" w:cs="Arial"/>
          <w:noProof w:val="0"/>
          <w:sz w:val="22"/>
          <w:szCs w:val="22"/>
          <w:lang w:val="en-US"/>
        </w:rPr>
        <w:t>Attachment Theory revolves around core ideas such as the secure base, proximity seeking, internal working models, and the distinction between secure and insecure attachment patterns. For older adults, especially those experiencing cognitive decline, these concepts help explain their increased reliance on others for emotional regulation, safety, and stability. Age-related challenges such as physical frailty, loss of independence, grief, environmental transitions, and social isolation can all heighten attachment needs. Dementia intensifies these vulnerabilities because confusion and memory loss can make the world feel unpredictable or frightening, increasing dependency on trusted caregivers.</w:t>
      </w:r>
    </w:p>
    <w:p w:rsidR="7CFC7456" w:rsidP="03C4324E" w:rsidRDefault="7CFC7456" w14:paraId="441D4C57" w14:textId="47FF6362">
      <w:pPr>
        <w:spacing w:before="240" w:beforeAutospacing="off" w:after="240" w:afterAutospacing="off"/>
      </w:pPr>
      <w:r w:rsidRPr="03C4324E" w:rsidR="7CFC7456">
        <w:rPr>
          <w:rFonts w:ascii="Arial" w:hAnsi="Arial" w:eastAsia="Arial" w:cs="Arial"/>
          <w:noProof w:val="0"/>
          <w:sz w:val="22"/>
          <w:szCs w:val="22"/>
          <w:lang w:val="en-US"/>
        </w:rPr>
        <w:t>Bowlby highlighted the interplay between biological systems (nature) and relational experiences (nurture) in shaping attachment patterns. The innate drive to seek safety and closeness is biological, but the development of secure or insecure attachment depends on the quality of early and ongoing relationships. In dementia, biological deterioration increases the need for nurturing responses such as consistency, reassurance, and stable relationships. A warm, predictable caregiving environment can soothe anxiety and promote emotional security, while inconsistent or rushed care may increase distress.</w:t>
      </w:r>
    </w:p>
    <w:p w:rsidR="7CFC7456" w:rsidP="03C4324E" w:rsidRDefault="7CFC7456" w14:paraId="08099CC9" w14:textId="4D2E753D">
      <w:pPr>
        <w:spacing w:before="240" w:beforeAutospacing="off" w:after="240" w:afterAutospacing="off"/>
      </w:pPr>
      <w:r w:rsidRPr="03C4324E" w:rsidR="7CFC7456">
        <w:rPr>
          <w:rFonts w:ascii="Arial" w:hAnsi="Arial" w:eastAsia="Arial" w:cs="Arial"/>
          <w:noProof w:val="0"/>
          <w:sz w:val="22"/>
          <w:szCs w:val="22"/>
          <w:lang w:val="en-US"/>
        </w:rPr>
        <w:t>Practical applications of Bowlby’s theory include establishing a key-worker system to provide consistent care and build trust. A familiar caregiver can serve as a secure base, helping the person feel safe and grounded. Emotional attunement is essential, as staff must recognise and respond empathetically to cues such as facial expressions, vocal tone, and body language. Personalised communication, gentle touch, and calm reassurance help reduce fear and agitation. Cultural and linguistic continuity can strengthen attachment security, particularly when older adults revert to their first language or cultural rituals in later stages of dementia. Family involvement, whether through visits, calls, shared activities, or personal items from home, supports emotional continuity and strengthens the individual’s sense of connection.</w:t>
      </w:r>
    </w:p>
    <w:p w:rsidR="7CFC7456" w:rsidP="03C4324E" w:rsidRDefault="7CFC7456" w14:paraId="06CF3067" w14:textId="25A42C3D">
      <w:pPr>
        <w:spacing w:before="240" w:beforeAutospacing="off" w:after="240" w:afterAutospacing="off"/>
      </w:pPr>
      <w:r w:rsidRPr="03C4324E" w:rsidR="7CFC7456">
        <w:rPr>
          <w:rFonts w:ascii="Arial" w:hAnsi="Arial" w:eastAsia="Arial" w:cs="Arial"/>
          <w:noProof w:val="0"/>
          <w:sz w:val="22"/>
          <w:szCs w:val="22"/>
          <w:lang w:val="en-US"/>
        </w:rPr>
        <w:t>When compared, Erikson’s and Bowlby’s theories complement each other in explaining the psychological needs of older adults. Erikson’s framework focuses on identity, reflection, meaning, and the challenges of later life, while Bowlby emphasises emotional bonds, security, and relational stability. Both theories acknowledge that wellbeing results from interactions between biological ageing and environmental factors such as relationships, social roles, and culture. Each theory has limitations — for example, Erikson’s model assumes cognitive capacity for life reflection, while Bowlby’s original work was based on children — but research demonstrates their relevance and adaptability in dementia care. Together, they offer a holistic understanding that supports emotional, relational, and identity needs, helping care professionals provide compassionate and person-centred support.</w:t>
      </w:r>
    </w:p>
    <w:p w:rsidR="03C4324E" w:rsidP="03C4324E" w:rsidRDefault="03C4324E" w14:paraId="78B8250C" w14:textId="7DE4EC53">
      <w:pPr>
        <w:spacing w:line="360" w:lineRule="auto"/>
        <w:rPr>
          <w:rFonts w:ascii="Arial" w:hAnsi="Arial" w:eastAsia="Arial" w:cs="Arial"/>
          <w:color w:val="000000" w:themeColor="text1" w:themeTint="FF" w:themeShade="FF"/>
          <w:sz w:val="22"/>
          <w:szCs w:val="22"/>
        </w:rPr>
      </w:pPr>
    </w:p>
    <w:p w:rsidR="58734E5B" w:rsidP="03C4324E" w:rsidRDefault="58734E5B" w14:paraId="0E1CA911" w14:textId="06826A69">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03C4324E" w:rsidR="58734E5B">
        <w:rPr>
          <w:rFonts w:ascii="Arial" w:hAnsi="Arial" w:eastAsia="Arial" w:cs="Arial"/>
          <w:b w:val="1"/>
          <w:bCs w:val="1"/>
          <w:noProof w:val="0"/>
          <w:color w:val="000000" w:themeColor="text1" w:themeTint="FF" w:themeShade="FF"/>
          <w:sz w:val="22"/>
          <w:szCs w:val="22"/>
          <w:lang w:val="en-US"/>
        </w:rPr>
        <w:t xml:space="preserve">Conclusion </w:t>
      </w:r>
    </w:p>
    <w:p w:rsidR="58734E5B" w:rsidP="03C4324E" w:rsidRDefault="58734E5B" w14:paraId="1D09765B" w14:textId="3CF2B69E">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58734E5B">
        <w:rPr>
          <w:rFonts w:ascii="Arial" w:hAnsi="Arial" w:eastAsia="Arial" w:cs="Arial"/>
          <w:noProof w:val="0"/>
          <w:color w:val="000000" w:themeColor="text1" w:themeTint="FF" w:themeShade="FF"/>
          <w:sz w:val="22"/>
          <w:szCs w:val="22"/>
          <w:lang w:val="en-US"/>
        </w:rPr>
        <w:t xml:space="preserve">Erikson’s Psychosocial Theory and Bowlby’s Attachment Theory together provide a powerful framework for understanding the complex emotional, cognitive, and relational needs of older adults living with dementia. Erikson’s theory highlights the importance of </w:t>
      </w:r>
      <w:r w:rsidRPr="03C4324E" w:rsidR="58734E5B">
        <w:rPr>
          <w:rFonts w:ascii="Arial" w:hAnsi="Arial" w:eastAsia="Arial" w:cs="Arial"/>
          <w:noProof w:val="0"/>
          <w:color w:val="000000" w:themeColor="text1" w:themeTint="FF" w:themeShade="FF"/>
          <w:sz w:val="22"/>
          <w:szCs w:val="22"/>
          <w:lang w:val="en-US"/>
        </w:rPr>
        <w:t>maintaining</w:t>
      </w:r>
      <w:r w:rsidRPr="03C4324E" w:rsidR="58734E5B">
        <w:rPr>
          <w:rFonts w:ascii="Arial" w:hAnsi="Arial" w:eastAsia="Arial" w:cs="Arial"/>
          <w:noProof w:val="0"/>
          <w:color w:val="000000" w:themeColor="text1" w:themeTint="FF" w:themeShade="FF"/>
          <w:sz w:val="22"/>
          <w:szCs w:val="22"/>
          <w:lang w:val="en-US"/>
        </w:rPr>
        <w:t xml:space="preserve"> identity, continuity, and a sense of life meaning during later adulthood. Even when cognitive decline makes autobiographical recall difficult, the emotional need for integrity, recognition, and dignity </w:t>
      </w:r>
      <w:r w:rsidRPr="03C4324E" w:rsidR="58734E5B">
        <w:rPr>
          <w:rFonts w:ascii="Arial" w:hAnsi="Arial" w:eastAsia="Arial" w:cs="Arial"/>
          <w:noProof w:val="0"/>
          <w:color w:val="000000" w:themeColor="text1" w:themeTint="FF" w:themeShade="FF"/>
          <w:sz w:val="22"/>
          <w:szCs w:val="22"/>
          <w:lang w:val="en-US"/>
        </w:rPr>
        <w:t>remains</w:t>
      </w:r>
      <w:r w:rsidRPr="03C4324E" w:rsidR="58734E5B">
        <w:rPr>
          <w:rFonts w:ascii="Arial" w:hAnsi="Arial" w:eastAsia="Arial" w:cs="Arial"/>
          <w:noProof w:val="0"/>
          <w:color w:val="000000" w:themeColor="text1" w:themeTint="FF" w:themeShade="FF"/>
          <w:sz w:val="22"/>
          <w:szCs w:val="22"/>
          <w:lang w:val="en-US"/>
        </w:rPr>
        <w:t xml:space="preserve"> deeply significant. Bowlby’s Attachment Theory complements this by </w:t>
      </w:r>
      <w:r w:rsidRPr="03C4324E" w:rsidR="58734E5B">
        <w:rPr>
          <w:rFonts w:ascii="Arial" w:hAnsi="Arial" w:eastAsia="Arial" w:cs="Arial"/>
          <w:noProof w:val="0"/>
          <w:color w:val="000000" w:themeColor="text1" w:themeTint="FF" w:themeShade="FF"/>
          <w:sz w:val="22"/>
          <w:szCs w:val="22"/>
          <w:lang w:val="en-US"/>
        </w:rPr>
        <w:t>demonstrating</w:t>
      </w:r>
      <w:r w:rsidRPr="03C4324E" w:rsidR="58734E5B">
        <w:rPr>
          <w:rFonts w:ascii="Arial" w:hAnsi="Arial" w:eastAsia="Arial" w:cs="Arial"/>
          <w:noProof w:val="0"/>
          <w:color w:val="000000" w:themeColor="text1" w:themeTint="FF" w:themeShade="FF"/>
          <w:sz w:val="22"/>
          <w:szCs w:val="22"/>
          <w:lang w:val="en-US"/>
        </w:rPr>
        <w:t xml:space="preserve"> how older adults continue to rely on secure emotional bonds, trust, and familiar relationships to feel safe, grounded, and reassured, particularly when dementia increases confusion and vulnerability.</w:t>
      </w:r>
    </w:p>
    <w:p w:rsidR="58734E5B" w:rsidP="03C4324E" w:rsidRDefault="58734E5B" w14:paraId="6DAE83AA" w14:textId="38CEAD29">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58734E5B">
        <w:rPr>
          <w:rFonts w:ascii="Arial" w:hAnsi="Arial" w:eastAsia="Arial" w:cs="Arial"/>
          <w:noProof w:val="0"/>
          <w:color w:val="000000" w:themeColor="text1" w:themeTint="FF" w:themeShade="FF"/>
          <w:sz w:val="22"/>
          <w:szCs w:val="22"/>
          <w:lang w:val="en-US"/>
        </w:rPr>
        <w:t>Both theories also reinforce the idea that wellbeing is shaped through the interaction between nature and nurture. The biological effects of dementia influence memory, communication, and behaviour, yet nurturing environments — characterised by emotional attunement, consistency, cultural sensitivity, and meaningful social connection — can significantly protect psychological wellbeing. Understanding this dynamic interaction helps professionals view behaviour not simply as a symptom of illness but as a form of communication expressing unmet emotional or relational needs.</w:t>
      </w:r>
    </w:p>
    <w:p w:rsidR="58734E5B" w:rsidP="03C4324E" w:rsidRDefault="58734E5B" w14:paraId="02B95BC4" w14:textId="6B0DA76F">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58734E5B">
        <w:rPr>
          <w:rFonts w:ascii="Arial" w:hAnsi="Arial" w:eastAsia="Arial" w:cs="Arial"/>
          <w:noProof w:val="0"/>
          <w:color w:val="000000" w:themeColor="text1" w:themeTint="FF" w:themeShade="FF"/>
          <w:sz w:val="22"/>
          <w:szCs w:val="22"/>
          <w:lang w:val="en-US"/>
        </w:rPr>
        <w:t>When applied thoughtfully, these theories provide a strong foundation for compassionate and person-centred practice. Interventions such as life-story work, structured routines, sensory engagement, culturally meaningful activities, and stable caregiving relationships all support identity, belonging, and emotional security. By integrating Erikson’s focus on meaning with Bowlby’s emphasis on attachment, health and social care staff are better equipped to uphold dignity, reduce distress, and create supportive environments that value each resident as an individual with a unique history, personality, and emotional world. This holistic understanding ultimately enhances quality of life for older adults with dementia and promotes truly ethical, respectful care.</w:t>
      </w:r>
    </w:p>
    <w:p w:rsidR="03C4324E" w:rsidP="03C4324E" w:rsidRDefault="03C4324E" w14:paraId="0628278C" w14:textId="544634FC">
      <w:pPr>
        <w:pStyle w:val="Normal"/>
        <w:spacing w:line="360" w:lineRule="auto"/>
        <w:rPr>
          <w:rFonts w:ascii="Arial" w:hAnsi="Arial" w:eastAsia="Arial" w:cs="Arial"/>
          <w:noProof w:val="0"/>
          <w:color w:val="000000" w:themeColor="text1" w:themeTint="FF" w:themeShade="FF"/>
          <w:sz w:val="22"/>
          <w:szCs w:val="22"/>
          <w:lang w:val="en-US"/>
        </w:rPr>
      </w:pPr>
    </w:p>
    <w:p w:rsidR="03C4324E" w:rsidP="03C4324E" w:rsidRDefault="03C4324E" w14:paraId="1AA9A737" w14:textId="1B5888BA">
      <w:pPr>
        <w:pStyle w:val="Heading2"/>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03C4324E" w:rsidP="03C4324E" w:rsidRDefault="03C4324E" w14:paraId="383F1E65" w14:textId="5A3BF371">
      <w:pPr>
        <w:pStyle w:val="Heading2"/>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03C4324E" w:rsidP="03C4324E" w:rsidRDefault="03C4324E" w14:paraId="17AAE71B" w14:textId="4F419C6D">
      <w:pPr>
        <w:pStyle w:val="Heading2"/>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03C4324E" w:rsidP="03C4324E" w:rsidRDefault="03C4324E" w14:paraId="0BC8C780" w14:textId="48EA903C">
      <w:pPr>
        <w:pStyle w:val="Heading2"/>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0F52AF1C" w:rsidP="03C4324E" w:rsidRDefault="0F52AF1C" w14:paraId="4DF52BFF" w14:textId="12FF2748">
      <w:pPr>
        <w:pStyle w:val="Heading2"/>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03C4324E" w:rsidR="0F52AF1C">
        <w:rPr>
          <w:rFonts w:ascii="Arial" w:hAnsi="Arial" w:eastAsia="Arial" w:cs="Arial"/>
          <w:b w:val="1"/>
          <w:bCs w:val="1"/>
          <w:noProof w:val="0"/>
          <w:color w:val="000000" w:themeColor="text1" w:themeTint="FF" w:themeShade="FF"/>
          <w:sz w:val="22"/>
          <w:szCs w:val="22"/>
          <w:lang w:val="en-US"/>
        </w:rPr>
        <w:t xml:space="preserve">Reference List </w:t>
      </w:r>
    </w:p>
    <w:p w:rsidR="0F52AF1C" w:rsidP="03C4324E" w:rsidRDefault="0F52AF1C" w14:paraId="0AF1A6E2" w14:textId="055BA689">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Abbasi, M., Radfar, M., Jafarizadeh, H. and Khalkhali, H. (2024) ‘Does life story work based on Erikson’s theory enhance psychological well-being in elderly residents of nursing homes? A randomized controlled trial’, </w:t>
      </w:r>
      <w:r w:rsidRPr="03C4324E" w:rsidR="0F52AF1C">
        <w:rPr>
          <w:rFonts w:ascii="Arial" w:hAnsi="Arial" w:eastAsia="Arial" w:cs="Arial"/>
          <w:i w:val="1"/>
          <w:iCs w:val="1"/>
          <w:noProof w:val="0"/>
          <w:color w:val="000000" w:themeColor="text1" w:themeTint="FF" w:themeShade="FF"/>
          <w:sz w:val="22"/>
          <w:szCs w:val="22"/>
          <w:lang w:val="en-US"/>
        </w:rPr>
        <w:t>Geriatric Nursing</w:t>
      </w:r>
      <w:r w:rsidRPr="03C4324E" w:rsidR="0F52AF1C">
        <w:rPr>
          <w:rFonts w:ascii="Arial" w:hAnsi="Arial" w:eastAsia="Arial" w:cs="Arial"/>
          <w:noProof w:val="0"/>
          <w:color w:val="000000" w:themeColor="text1" w:themeTint="FF" w:themeShade="FF"/>
          <w:sz w:val="22"/>
          <w:szCs w:val="22"/>
          <w:lang w:val="en-US"/>
        </w:rPr>
        <w:t xml:space="preserve">, 61, pp. 140–148. doi: </w:t>
      </w:r>
      <w:hyperlink r:id="R3b414e1cdd4a4730">
        <w:r w:rsidRPr="03C4324E" w:rsidR="0F52AF1C">
          <w:rPr>
            <w:rStyle w:val="Hyperlink"/>
            <w:rFonts w:ascii="Arial" w:hAnsi="Arial" w:eastAsia="Arial" w:cs="Arial"/>
            <w:noProof w:val="0"/>
            <w:color w:val="000000" w:themeColor="text1" w:themeTint="FF" w:themeShade="FF"/>
            <w:sz w:val="22"/>
            <w:szCs w:val="22"/>
            <w:lang w:val="en-US"/>
          </w:rPr>
          <w:t>https://doi.org/10.1016/j.gerinurse.2024.10.066</w:t>
        </w:r>
      </w:hyperlink>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1937B29C" w14:textId="4EC74305">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Alzheimer’s Society (2023) </w:t>
      </w:r>
      <w:r w:rsidRPr="03C4324E" w:rsidR="0F52AF1C">
        <w:rPr>
          <w:rFonts w:ascii="Arial" w:hAnsi="Arial" w:eastAsia="Arial" w:cs="Arial"/>
          <w:i w:val="1"/>
          <w:iCs w:val="1"/>
          <w:noProof w:val="0"/>
          <w:color w:val="000000" w:themeColor="text1" w:themeTint="FF" w:themeShade="FF"/>
          <w:sz w:val="22"/>
          <w:szCs w:val="22"/>
          <w:lang w:val="en-US"/>
        </w:rPr>
        <w:t>Dementia Wellbeing and Activities Guide</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57C311C9" w14:textId="256EBFFC">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Beattie, J. and West, J. (2021) </w:t>
      </w:r>
      <w:r w:rsidRPr="03C4324E" w:rsidR="0F52AF1C">
        <w:rPr>
          <w:rFonts w:ascii="Arial" w:hAnsi="Arial" w:eastAsia="Arial" w:cs="Arial"/>
          <w:i w:val="1"/>
          <w:iCs w:val="1"/>
          <w:noProof w:val="0"/>
          <w:color w:val="000000" w:themeColor="text1" w:themeTint="FF" w:themeShade="FF"/>
          <w:sz w:val="22"/>
          <w:szCs w:val="22"/>
          <w:lang w:val="en-US"/>
        </w:rPr>
        <w:t>Dementia: Attachment Matters</w:t>
      </w:r>
      <w:r w:rsidRPr="03C4324E" w:rsidR="0F52AF1C">
        <w:rPr>
          <w:rFonts w:ascii="Arial" w:hAnsi="Arial" w:eastAsia="Arial" w:cs="Arial"/>
          <w:noProof w:val="0"/>
          <w:color w:val="000000" w:themeColor="text1" w:themeTint="FF" w:themeShade="FF"/>
          <w:sz w:val="22"/>
          <w:szCs w:val="22"/>
          <w:lang w:val="en-US"/>
        </w:rPr>
        <w:t xml:space="preserve">. [online] Iriss. Available at: </w:t>
      </w:r>
      <w:hyperlink r:id="Rbd4950edf11b42ea">
        <w:r w:rsidRPr="03C4324E" w:rsidR="0F52AF1C">
          <w:rPr>
            <w:rStyle w:val="Hyperlink"/>
            <w:rFonts w:ascii="Arial" w:hAnsi="Arial" w:eastAsia="Arial" w:cs="Arial"/>
            <w:noProof w:val="0"/>
            <w:color w:val="000000" w:themeColor="text1" w:themeTint="FF" w:themeShade="FF"/>
            <w:sz w:val="22"/>
            <w:szCs w:val="22"/>
            <w:lang w:val="en-US"/>
          </w:rPr>
          <w:t>https://www.iriss.org.uk/resources/insights/dementia-attachment-matters</w:t>
        </w:r>
        <w:r>
          <w:br/>
        </w:r>
      </w:hyperlink>
      <w:r w:rsidRPr="03C4324E" w:rsidR="0F52AF1C">
        <w:rPr>
          <w:rFonts w:ascii="Arial" w:hAnsi="Arial" w:eastAsia="Arial" w:cs="Arial"/>
          <w:noProof w:val="0"/>
          <w:color w:val="000000" w:themeColor="text1" w:themeTint="FF" w:themeShade="FF"/>
          <w:sz w:val="22"/>
          <w:szCs w:val="22"/>
          <w:lang w:val="en-US"/>
        </w:rPr>
        <w:t xml:space="preserve"> (Accessed: </w:t>
      </w:r>
      <w:r w:rsidRPr="03C4324E" w:rsidR="0F52AF1C">
        <w:rPr>
          <w:rFonts w:ascii="Arial" w:hAnsi="Arial" w:eastAsia="Arial" w:cs="Arial"/>
          <w:b w:val="1"/>
          <w:bCs w:val="1"/>
          <w:noProof w:val="0"/>
          <w:color w:val="000000" w:themeColor="text1" w:themeTint="FF" w:themeShade="FF"/>
          <w:sz w:val="22"/>
          <w:szCs w:val="22"/>
          <w:lang w:val="en-US"/>
        </w:rPr>
        <w:t>29 October 2025</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0EFC1498" w14:textId="7A85FB3F">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Cloak, N., Al Khalili, Y. and Schoo, C. (2024) </w:t>
      </w:r>
      <w:r w:rsidRPr="03C4324E" w:rsidR="0F52AF1C">
        <w:rPr>
          <w:rFonts w:ascii="Arial" w:hAnsi="Arial" w:eastAsia="Arial" w:cs="Arial"/>
          <w:i w:val="1"/>
          <w:iCs w:val="1"/>
          <w:noProof w:val="0"/>
          <w:color w:val="000000" w:themeColor="text1" w:themeTint="FF" w:themeShade="FF"/>
          <w:sz w:val="22"/>
          <w:szCs w:val="22"/>
          <w:lang w:val="en-US"/>
        </w:rPr>
        <w:t>Behavioral and psychological symptoms in dementia (BPSD)</w:t>
      </w:r>
      <w:r w:rsidRPr="03C4324E" w:rsidR="0F52AF1C">
        <w:rPr>
          <w:rFonts w:ascii="Arial" w:hAnsi="Arial" w:eastAsia="Arial" w:cs="Arial"/>
          <w:noProof w:val="0"/>
          <w:color w:val="000000" w:themeColor="text1" w:themeTint="FF" w:themeShade="FF"/>
          <w:sz w:val="22"/>
          <w:szCs w:val="22"/>
          <w:lang w:val="en-US"/>
        </w:rPr>
        <w:t xml:space="preserve">. [online] PubMed. Available at: </w:t>
      </w:r>
      <w:hyperlink r:id="R278c0d2704f541d2">
        <w:r w:rsidRPr="03C4324E" w:rsidR="0F52AF1C">
          <w:rPr>
            <w:rStyle w:val="Hyperlink"/>
            <w:rFonts w:ascii="Arial" w:hAnsi="Arial" w:eastAsia="Arial" w:cs="Arial"/>
            <w:noProof w:val="0"/>
            <w:color w:val="000000" w:themeColor="text1" w:themeTint="FF" w:themeShade="FF"/>
            <w:sz w:val="22"/>
            <w:szCs w:val="22"/>
            <w:lang w:val="en-US"/>
          </w:rPr>
          <w:t>https://www.ncbi.nlm.nih.gov/books/NBK551552/</w:t>
        </w:r>
        <w:r>
          <w:br/>
        </w:r>
      </w:hyperlink>
      <w:r w:rsidRPr="03C4324E" w:rsidR="0F52AF1C">
        <w:rPr>
          <w:rFonts w:ascii="Arial" w:hAnsi="Arial" w:eastAsia="Arial" w:cs="Arial"/>
          <w:noProof w:val="0"/>
          <w:color w:val="000000" w:themeColor="text1" w:themeTint="FF" w:themeShade="FF"/>
          <w:sz w:val="22"/>
          <w:szCs w:val="22"/>
          <w:lang w:val="en-US"/>
        </w:rPr>
        <w:t xml:space="preserve"> (Accessed: </w:t>
      </w:r>
      <w:r w:rsidRPr="03C4324E" w:rsidR="0F52AF1C">
        <w:rPr>
          <w:rFonts w:ascii="Arial" w:hAnsi="Arial" w:eastAsia="Arial" w:cs="Arial"/>
          <w:b w:val="1"/>
          <w:bCs w:val="1"/>
          <w:noProof w:val="0"/>
          <w:color w:val="000000" w:themeColor="text1" w:themeTint="FF" w:themeShade="FF"/>
          <w:sz w:val="22"/>
          <w:szCs w:val="22"/>
          <w:lang w:val="en-US"/>
        </w:rPr>
        <w:t>3 November 2025</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7CB3A0D4" w14:textId="0B2F5514">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GOV.UK (2021) </w:t>
      </w:r>
      <w:r w:rsidRPr="03C4324E" w:rsidR="0F52AF1C">
        <w:rPr>
          <w:rFonts w:ascii="Arial" w:hAnsi="Arial" w:eastAsia="Arial" w:cs="Arial"/>
          <w:i w:val="1"/>
          <w:iCs w:val="1"/>
          <w:noProof w:val="0"/>
          <w:color w:val="000000" w:themeColor="text1" w:themeTint="FF" w:themeShade="FF"/>
          <w:sz w:val="22"/>
          <w:szCs w:val="22"/>
          <w:lang w:val="en-US"/>
        </w:rPr>
        <w:t>Dementia-Friendly Environments: Updated Practice Guidance</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2D9D9F33" w14:textId="155812D1">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Main, P. (2023) </w:t>
      </w:r>
      <w:r w:rsidRPr="03C4324E" w:rsidR="0F52AF1C">
        <w:rPr>
          <w:rFonts w:ascii="Arial" w:hAnsi="Arial" w:eastAsia="Arial" w:cs="Arial"/>
          <w:i w:val="1"/>
          <w:iCs w:val="1"/>
          <w:noProof w:val="0"/>
          <w:color w:val="000000" w:themeColor="text1" w:themeTint="FF" w:themeShade="FF"/>
          <w:sz w:val="22"/>
          <w:szCs w:val="22"/>
          <w:lang w:val="en-US"/>
        </w:rPr>
        <w:t>Bowlby’s Attachment Theory</w:t>
      </w:r>
      <w:r w:rsidRPr="03C4324E" w:rsidR="0F52AF1C">
        <w:rPr>
          <w:rFonts w:ascii="Arial" w:hAnsi="Arial" w:eastAsia="Arial" w:cs="Arial"/>
          <w:noProof w:val="0"/>
          <w:color w:val="000000" w:themeColor="text1" w:themeTint="FF" w:themeShade="FF"/>
          <w:sz w:val="22"/>
          <w:szCs w:val="22"/>
          <w:lang w:val="en-US"/>
        </w:rPr>
        <w:t xml:space="preserve">. [online] Structural Learning. Available at: </w:t>
      </w:r>
      <w:hyperlink r:id="Rb57d49d9ce424ea0">
        <w:r w:rsidRPr="03C4324E" w:rsidR="0F52AF1C">
          <w:rPr>
            <w:rStyle w:val="Hyperlink"/>
            <w:rFonts w:ascii="Arial" w:hAnsi="Arial" w:eastAsia="Arial" w:cs="Arial"/>
            <w:noProof w:val="0"/>
            <w:color w:val="000000" w:themeColor="text1" w:themeTint="FF" w:themeShade="FF"/>
            <w:sz w:val="22"/>
            <w:szCs w:val="22"/>
            <w:lang w:val="en-US"/>
          </w:rPr>
          <w:t>https://www.structural-learning.com/post/bowlbys-attachment-theory</w:t>
        </w:r>
        <w:r>
          <w:br/>
        </w:r>
      </w:hyperlink>
      <w:r w:rsidRPr="03C4324E" w:rsidR="0F52AF1C">
        <w:rPr>
          <w:rFonts w:ascii="Arial" w:hAnsi="Arial" w:eastAsia="Arial" w:cs="Arial"/>
          <w:noProof w:val="0"/>
          <w:color w:val="000000" w:themeColor="text1" w:themeTint="FF" w:themeShade="FF"/>
          <w:sz w:val="22"/>
          <w:szCs w:val="22"/>
          <w:lang w:val="en-US"/>
        </w:rPr>
        <w:t xml:space="preserve"> (Accessed: </w:t>
      </w:r>
      <w:r w:rsidRPr="03C4324E" w:rsidR="0F52AF1C">
        <w:rPr>
          <w:rFonts w:ascii="Arial" w:hAnsi="Arial" w:eastAsia="Arial" w:cs="Arial"/>
          <w:b w:val="1"/>
          <w:bCs w:val="1"/>
          <w:noProof w:val="0"/>
          <w:color w:val="000000" w:themeColor="text1" w:themeTint="FF" w:themeShade="FF"/>
          <w:sz w:val="22"/>
          <w:szCs w:val="22"/>
          <w:lang w:val="en-US"/>
        </w:rPr>
        <w:t>8 November 2025</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3C4869AB" w14:textId="07361CA7">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Mikulincer, M. and Shaver, P. (2019) </w:t>
      </w:r>
      <w:r w:rsidRPr="03C4324E" w:rsidR="0F52AF1C">
        <w:rPr>
          <w:rFonts w:ascii="Arial" w:hAnsi="Arial" w:eastAsia="Arial" w:cs="Arial"/>
          <w:i w:val="1"/>
          <w:iCs w:val="1"/>
          <w:noProof w:val="0"/>
          <w:color w:val="000000" w:themeColor="text1" w:themeTint="FF" w:themeShade="FF"/>
          <w:sz w:val="22"/>
          <w:szCs w:val="22"/>
          <w:lang w:val="en-US"/>
        </w:rPr>
        <w:t>Attachment in Adulthood: Contemporary Theory and Research</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3B8654E1" w14:textId="2D3E0132">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NHS (2022) </w:t>
      </w:r>
      <w:r w:rsidRPr="03C4324E" w:rsidR="0F52AF1C">
        <w:rPr>
          <w:rFonts w:ascii="Arial" w:hAnsi="Arial" w:eastAsia="Arial" w:cs="Arial"/>
          <w:i w:val="1"/>
          <w:iCs w:val="1"/>
          <w:noProof w:val="0"/>
          <w:color w:val="000000" w:themeColor="text1" w:themeTint="FF" w:themeShade="FF"/>
          <w:sz w:val="22"/>
          <w:szCs w:val="22"/>
          <w:lang w:val="en-US"/>
        </w:rPr>
        <w:t>Person-Centred Approaches in Dementia Care</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2F2C5FC3" w14:textId="5BF2E907">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NHS England (2022) </w:t>
      </w:r>
      <w:r w:rsidRPr="03C4324E" w:rsidR="0F52AF1C">
        <w:rPr>
          <w:rFonts w:ascii="Arial" w:hAnsi="Arial" w:eastAsia="Arial" w:cs="Arial"/>
          <w:i w:val="1"/>
          <w:iCs w:val="1"/>
          <w:noProof w:val="0"/>
          <w:color w:val="000000" w:themeColor="text1" w:themeTint="FF" w:themeShade="FF"/>
          <w:sz w:val="22"/>
          <w:szCs w:val="22"/>
          <w:lang w:val="en-US"/>
        </w:rPr>
        <w:t>Psychological Support for People Living with Dementia</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52813769" w14:textId="2BFAABF4">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Orenstein, G. and Lewis, L. (2022) </w:t>
      </w:r>
      <w:r w:rsidRPr="03C4324E" w:rsidR="0F52AF1C">
        <w:rPr>
          <w:rFonts w:ascii="Arial" w:hAnsi="Arial" w:eastAsia="Arial" w:cs="Arial"/>
          <w:i w:val="1"/>
          <w:iCs w:val="1"/>
          <w:noProof w:val="0"/>
          <w:color w:val="000000" w:themeColor="text1" w:themeTint="FF" w:themeShade="FF"/>
          <w:sz w:val="22"/>
          <w:szCs w:val="22"/>
          <w:lang w:val="en-US"/>
        </w:rPr>
        <w:t>Erikson’s stages of psychosocial development</w:t>
      </w:r>
      <w:r w:rsidRPr="03C4324E" w:rsidR="0F52AF1C">
        <w:rPr>
          <w:rFonts w:ascii="Arial" w:hAnsi="Arial" w:eastAsia="Arial" w:cs="Arial"/>
          <w:noProof w:val="0"/>
          <w:color w:val="000000" w:themeColor="text1" w:themeTint="FF" w:themeShade="FF"/>
          <w:sz w:val="22"/>
          <w:szCs w:val="22"/>
          <w:lang w:val="en-US"/>
        </w:rPr>
        <w:t xml:space="preserve">. [online] National Library of Medicine. Available at: </w:t>
      </w:r>
      <w:hyperlink r:id="Rf316d33ad50c4126">
        <w:r w:rsidRPr="03C4324E" w:rsidR="0F52AF1C">
          <w:rPr>
            <w:rStyle w:val="Hyperlink"/>
            <w:rFonts w:ascii="Arial" w:hAnsi="Arial" w:eastAsia="Arial" w:cs="Arial"/>
            <w:noProof w:val="0"/>
            <w:color w:val="000000" w:themeColor="text1" w:themeTint="FF" w:themeShade="FF"/>
            <w:sz w:val="22"/>
            <w:szCs w:val="22"/>
            <w:lang w:val="en-US"/>
          </w:rPr>
          <w:t>https://www.ncbi.nlm.nih.gov/books/NBK556096/</w:t>
        </w:r>
        <w:r>
          <w:br/>
        </w:r>
      </w:hyperlink>
      <w:r w:rsidRPr="03C4324E" w:rsidR="0F52AF1C">
        <w:rPr>
          <w:rFonts w:ascii="Arial" w:hAnsi="Arial" w:eastAsia="Arial" w:cs="Arial"/>
          <w:noProof w:val="0"/>
          <w:color w:val="000000" w:themeColor="text1" w:themeTint="FF" w:themeShade="FF"/>
          <w:sz w:val="22"/>
          <w:szCs w:val="22"/>
          <w:lang w:val="en-US"/>
        </w:rPr>
        <w:t xml:space="preserve"> (Accessed: </w:t>
      </w:r>
      <w:r w:rsidRPr="03C4324E" w:rsidR="0F52AF1C">
        <w:rPr>
          <w:rFonts w:ascii="Arial" w:hAnsi="Arial" w:eastAsia="Arial" w:cs="Arial"/>
          <w:b w:val="1"/>
          <w:bCs w:val="1"/>
          <w:noProof w:val="0"/>
          <w:color w:val="000000" w:themeColor="text1" w:themeTint="FF" w:themeShade="FF"/>
          <w:sz w:val="22"/>
          <w:szCs w:val="22"/>
          <w:lang w:val="en-US"/>
        </w:rPr>
        <w:t>14 November 2025</w:t>
      </w:r>
      <w:r w:rsidRPr="03C4324E" w:rsidR="0F52AF1C">
        <w:rPr>
          <w:rFonts w:ascii="Arial" w:hAnsi="Arial" w:eastAsia="Arial" w:cs="Arial"/>
          <w:noProof w:val="0"/>
          <w:color w:val="000000" w:themeColor="text1" w:themeTint="FF" w:themeShade="FF"/>
          <w:sz w:val="22"/>
          <w:szCs w:val="22"/>
          <w:lang w:val="en-US"/>
        </w:rPr>
        <w:t>).</w:t>
      </w:r>
    </w:p>
    <w:p w:rsidR="0F52AF1C" w:rsidP="03C4324E" w:rsidRDefault="0F52AF1C" w14:paraId="002D7693" w14:textId="389A8983">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03C4324E" w:rsidR="0F52AF1C">
        <w:rPr>
          <w:rFonts w:ascii="Arial" w:hAnsi="Arial" w:eastAsia="Arial" w:cs="Arial"/>
          <w:noProof w:val="0"/>
          <w:color w:val="000000" w:themeColor="text1" w:themeTint="FF" w:themeShade="FF"/>
          <w:sz w:val="22"/>
          <w:szCs w:val="22"/>
          <w:lang w:val="en-US"/>
        </w:rPr>
        <w:t xml:space="preserve">Woods, B. et al. (2018) ‘Reminiscence therapy for dementia’, </w:t>
      </w:r>
      <w:r w:rsidRPr="03C4324E" w:rsidR="0F52AF1C">
        <w:rPr>
          <w:rFonts w:ascii="Arial" w:hAnsi="Arial" w:eastAsia="Arial" w:cs="Arial"/>
          <w:i w:val="1"/>
          <w:iCs w:val="1"/>
          <w:noProof w:val="0"/>
          <w:color w:val="000000" w:themeColor="text1" w:themeTint="FF" w:themeShade="FF"/>
          <w:sz w:val="22"/>
          <w:szCs w:val="22"/>
          <w:lang w:val="en-US"/>
        </w:rPr>
        <w:t>Cochrane Database of Systematic Reviews</w:t>
      </w:r>
      <w:r w:rsidRPr="03C4324E" w:rsidR="0F52AF1C">
        <w:rPr>
          <w:rFonts w:ascii="Arial" w:hAnsi="Arial" w:eastAsia="Arial" w:cs="Arial"/>
          <w:noProof w:val="0"/>
          <w:color w:val="000000" w:themeColor="text1" w:themeTint="FF" w:themeShade="FF"/>
          <w:sz w:val="22"/>
          <w:szCs w:val="22"/>
          <w:lang w:val="en-US"/>
        </w:rPr>
        <w:t>.</w:t>
      </w:r>
    </w:p>
    <w:p w:rsidR="03C4324E" w:rsidP="03C4324E" w:rsidRDefault="03C4324E" w14:paraId="4D2B8E73" w14:textId="378E146C">
      <w:pPr>
        <w:pStyle w:val="Normal"/>
        <w:spacing w:line="360" w:lineRule="auto"/>
        <w:rPr>
          <w:rFonts w:ascii="Arial" w:hAnsi="Arial" w:eastAsia="Arial" w:cs="Arial"/>
          <w:color w:val="000000" w:themeColor="text1" w:themeTint="FF" w:themeShade="FF"/>
          <w:sz w:val="22"/>
          <w:szCs w:val="22"/>
        </w:rPr>
      </w:pPr>
    </w:p>
    <w:sectPr>
      <w:pgSz w:w="12240" w:h="15840" w:orient="portrait"/>
      <w:pgMar w:top="1440" w:right="1440" w:bottom="1440" w:left="1440" w:header="720" w:footer="720" w:gutter="0"/>
      <w:cols w:space="720"/>
      <w:docGrid w:linePitch="360"/>
      <w:headerReference w:type="default" r:id="R632a396c26a640b1"/>
      <w:footerReference w:type="default" r:id="R55d56c47e6964f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3C4324E" w:rsidTr="03C4324E" w14:paraId="3520FD82">
      <w:trPr>
        <w:trHeight w:val="300"/>
      </w:trPr>
      <w:tc>
        <w:tcPr>
          <w:tcW w:w="3120" w:type="dxa"/>
          <w:tcMar/>
        </w:tcPr>
        <w:p w:rsidR="03C4324E" w:rsidP="03C4324E" w:rsidRDefault="03C4324E" w14:paraId="6029F319" w14:textId="55989701">
          <w:pPr>
            <w:pStyle w:val="Header"/>
            <w:bidi w:val="0"/>
            <w:ind w:left="-115"/>
            <w:jc w:val="left"/>
          </w:pPr>
        </w:p>
      </w:tc>
      <w:tc>
        <w:tcPr>
          <w:tcW w:w="3120" w:type="dxa"/>
          <w:tcMar/>
        </w:tcPr>
        <w:p w:rsidR="03C4324E" w:rsidP="03C4324E" w:rsidRDefault="03C4324E" w14:paraId="2395A1FE" w14:textId="7BB6359C">
          <w:pPr>
            <w:pStyle w:val="Header"/>
            <w:bidi w:val="0"/>
            <w:jc w:val="center"/>
          </w:pPr>
          <w:r>
            <w:fldChar w:fldCharType="begin"/>
          </w:r>
          <w:r>
            <w:instrText xml:space="preserve">PAGE</w:instrText>
          </w:r>
          <w:r>
            <w:fldChar w:fldCharType="separate"/>
          </w:r>
          <w:r>
            <w:fldChar w:fldCharType="end"/>
          </w:r>
        </w:p>
      </w:tc>
      <w:tc>
        <w:tcPr>
          <w:tcW w:w="3120" w:type="dxa"/>
          <w:tcMar/>
        </w:tcPr>
        <w:p w:rsidR="03C4324E" w:rsidP="03C4324E" w:rsidRDefault="03C4324E" w14:paraId="525D2C66" w14:textId="75670531">
          <w:pPr>
            <w:pStyle w:val="Header"/>
            <w:bidi w:val="0"/>
            <w:ind w:right="-115"/>
            <w:jc w:val="right"/>
          </w:pPr>
        </w:p>
      </w:tc>
    </w:tr>
  </w:tbl>
  <w:p w:rsidR="03C4324E" w:rsidP="03C4324E" w:rsidRDefault="03C4324E" w14:paraId="1B5FB9AF" w14:textId="3836A3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3C4324E" w:rsidTr="03C4324E" w14:paraId="00BC3714">
      <w:trPr>
        <w:trHeight w:val="300"/>
      </w:trPr>
      <w:tc>
        <w:tcPr>
          <w:tcW w:w="3120" w:type="dxa"/>
          <w:tcMar/>
        </w:tcPr>
        <w:p w:rsidR="03C4324E" w:rsidP="03C4324E" w:rsidRDefault="03C4324E" w14:paraId="3EDD71DD" w14:textId="6F636AA2">
          <w:pPr>
            <w:pStyle w:val="Header"/>
            <w:bidi w:val="0"/>
            <w:ind w:left="-115"/>
            <w:jc w:val="left"/>
          </w:pPr>
        </w:p>
      </w:tc>
      <w:tc>
        <w:tcPr>
          <w:tcW w:w="3120" w:type="dxa"/>
          <w:tcMar/>
        </w:tcPr>
        <w:p w:rsidR="03C4324E" w:rsidP="03C4324E" w:rsidRDefault="03C4324E" w14:paraId="48499B84" w14:textId="58E894EB">
          <w:pPr>
            <w:pStyle w:val="Header"/>
            <w:bidi w:val="0"/>
            <w:jc w:val="center"/>
          </w:pPr>
        </w:p>
      </w:tc>
      <w:tc>
        <w:tcPr>
          <w:tcW w:w="3120" w:type="dxa"/>
          <w:tcMar/>
        </w:tcPr>
        <w:p w:rsidR="03C4324E" w:rsidP="03C4324E" w:rsidRDefault="03C4324E" w14:paraId="197F12AA" w14:textId="4A54358F">
          <w:pPr>
            <w:pStyle w:val="Header"/>
            <w:bidi w:val="0"/>
            <w:ind w:right="-115"/>
            <w:jc w:val="right"/>
          </w:pPr>
        </w:p>
      </w:tc>
    </w:tr>
  </w:tbl>
  <w:p w:rsidR="03C4324E" w:rsidP="03C4324E" w:rsidRDefault="03C4324E" w14:paraId="0E25C10C" w14:textId="2D43F3C5">
    <w:pPr>
      <w:pStyle w:val="Header"/>
      <w:bidi w:val="0"/>
    </w:pPr>
  </w:p>
</w:hdr>
</file>

<file path=word/intelligence2.xml><?xml version="1.0" encoding="utf-8"?>
<int2:intelligence xmlns:int2="http://schemas.microsoft.com/office/intelligence/2020/intelligence">
  <int2:observations>
    <int2:textHash int2:hashCode="Dji+abMBs/wxDx" int2:id="eyRPJb20">
      <int2:state int2:type="spell" int2:value="Rejected"/>
    </int2:textHash>
    <int2:textHash int2:hashCode="edQaR+j+xVhWpq" int2:id="SagWmkBm">
      <int2:state int2:type="spell" int2:value="Rejected"/>
    </int2:textHash>
    <int2:textHash int2:hashCode="hN6B5b8f/AaH/i" int2:id="hKrP8TEl">
      <int2:state int2:type="spell" int2:value="Rejected"/>
    </int2:textHash>
    <int2:textHash int2:hashCode="PLZtS9B8ew8ND3" int2:id="YctoB4H0">
      <int2:state int2:type="spell" int2:value="Rejected"/>
    </int2:textHash>
    <int2:textHash int2:hashCode="gOigg3B4VG+1IR" int2:id="9zoffeE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8">
    <w:nsid w:val="341e5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73b8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0145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1d422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46c3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2cdcc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5b84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7023a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f318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293a6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7526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9e4a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9e6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8cc1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7025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b9d5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cc6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f66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3c8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464a7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552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f97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489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51547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67a0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f74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4fb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971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04384A"/>
    <w:rsid w:val="0339878F"/>
    <w:rsid w:val="03C4324E"/>
    <w:rsid w:val="03D5A9B4"/>
    <w:rsid w:val="060C17F6"/>
    <w:rsid w:val="071B7B11"/>
    <w:rsid w:val="09F188E8"/>
    <w:rsid w:val="0B40EF37"/>
    <w:rsid w:val="0F52AF1C"/>
    <w:rsid w:val="1148B6A1"/>
    <w:rsid w:val="11F126E6"/>
    <w:rsid w:val="127C9C11"/>
    <w:rsid w:val="135C4BD2"/>
    <w:rsid w:val="1848EDDC"/>
    <w:rsid w:val="1B82B2CB"/>
    <w:rsid w:val="1D7898AB"/>
    <w:rsid w:val="1D7AA804"/>
    <w:rsid w:val="1ED535DA"/>
    <w:rsid w:val="239F6E97"/>
    <w:rsid w:val="23E41959"/>
    <w:rsid w:val="248BEA4F"/>
    <w:rsid w:val="25556CA7"/>
    <w:rsid w:val="26BD6B71"/>
    <w:rsid w:val="27D4C68D"/>
    <w:rsid w:val="282771E9"/>
    <w:rsid w:val="28BB3F4C"/>
    <w:rsid w:val="2C00595C"/>
    <w:rsid w:val="2CCA7A66"/>
    <w:rsid w:val="2E3E48F8"/>
    <w:rsid w:val="2EA52DC9"/>
    <w:rsid w:val="320F210B"/>
    <w:rsid w:val="33056F7A"/>
    <w:rsid w:val="334CC4CB"/>
    <w:rsid w:val="34B5172B"/>
    <w:rsid w:val="37EDBCD7"/>
    <w:rsid w:val="382843DC"/>
    <w:rsid w:val="382A7D04"/>
    <w:rsid w:val="3913E87A"/>
    <w:rsid w:val="3C0B16E8"/>
    <w:rsid w:val="3F8C1A34"/>
    <w:rsid w:val="4024EF6D"/>
    <w:rsid w:val="40889282"/>
    <w:rsid w:val="41E24759"/>
    <w:rsid w:val="42833C00"/>
    <w:rsid w:val="42D9C28D"/>
    <w:rsid w:val="43CDE881"/>
    <w:rsid w:val="44861E72"/>
    <w:rsid w:val="458EE5B2"/>
    <w:rsid w:val="470E8A26"/>
    <w:rsid w:val="4AAB6D11"/>
    <w:rsid w:val="4B6623B2"/>
    <w:rsid w:val="4B6EDCE1"/>
    <w:rsid w:val="4C0C6EB5"/>
    <w:rsid w:val="4C712AAE"/>
    <w:rsid w:val="4CD483ED"/>
    <w:rsid w:val="4E8CDB3E"/>
    <w:rsid w:val="4F593FF2"/>
    <w:rsid w:val="57C2CF65"/>
    <w:rsid w:val="581741FB"/>
    <w:rsid w:val="58734E5B"/>
    <w:rsid w:val="591EB927"/>
    <w:rsid w:val="5C72B47E"/>
    <w:rsid w:val="5E274B80"/>
    <w:rsid w:val="5F04384A"/>
    <w:rsid w:val="6035E65C"/>
    <w:rsid w:val="60DDC7B3"/>
    <w:rsid w:val="62B79139"/>
    <w:rsid w:val="6EA9A7C8"/>
    <w:rsid w:val="6F2DCCC3"/>
    <w:rsid w:val="703CF884"/>
    <w:rsid w:val="72F97843"/>
    <w:rsid w:val="743E6813"/>
    <w:rsid w:val="7687AF43"/>
    <w:rsid w:val="770E95CB"/>
    <w:rsid w:val="77D473EF"/>
    <w:rsid w:val="7B1B0ED8"/>
    <w:rsid w:val="7CFC7456"/>
    <w:rsid w:val="7EA7408C"/>
    <w:rsid w:val="7F2DD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4384A"/>
  <w15:chartTrackingRefBased/>
  <w15:docId w15:val="{324CD2F3-9A95-4FAD-B065-E7F0359D39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3C4324E"/>
    <w:rPr>
      <w:color w:val="467886"/>
      <w:u w:val="single"/>
    </w:rPr>
  </w:style>
  <w:style w:type="paragraph" w:styleId="ListParagraph">
    <w:uiPriority w:val="34"/>
    <w:name w:val="List Paragraph"/>
    <w:basedOn w:val="Normal"/>
    <w:qFormat/>
    <w:rsid w:val="03C4324E"/>
    <w:pPr>
      <w:spacing/>
      <w:ind w:left="720"/>
      <w:contextualSpacing/>
    </w:pPr>
  </w:style>
  <w:style w:type="paragraph" w:styleId="Header">
    <w:uiPriority w:val="99"/>
    <w:name w:val="header"/>
    <w:basedOn w:val="Normal"/>
    <w:unhideWhenUsed/>
    <w:rsid w:val="03C4324E"/>
    <w:pPr>
      <w:tabs>
        <w:tab w:val="center" w:leader="none" w:pos="4680"/>
        <w:tab w:val="right" w:leader="none" w:pos="9360"/>
      </w:tabs>
      <w:spacing w:after="0" w:line="240" w:lineRule="auto"/>
    </w:pPr>
  </w:style>
  <w:style w:type="paragraph" w:styleId="Footer">
    <w:uiPriority w:val="99"/>
    <w:name w:val="footer"/>
    <w:basedOn w:val="Normal"/>
    <w:unhideWhenUsed/>
    <w:rsid w:val="03C4324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16/j.gerinurse.2024.10.066" TargetMode="External" Id="R3b414e1cdd4a4730" /><Relationship Type="http://schemas.openxmlformats.org/officeDocument/2006/relationships/hyperlink" Target="https://www.iriss.org.uk/resources/insights/dementia-attachment-matters" TargetMode="External" Id="Rbd4950edf11b42ea" /><Relationship Type="http://schemas.openxmlformats.org/officeDocument/2006/relationships/hyperlink" Target="https://www.ncbi.nlm.nih.gov/books/NBK551552/" TargetMode="External" Id="R278c0d2704f541d2" /><Relationship Type="http://schemas.openxmlformats.org/officeDocument/2006/relationships/hyperlink" Target="https://www.structural-learning.com/post/bowlbys-attachment-theory" TargetMode="External" Id="Rb57d49d9ce424ea0" /><Relationship Type="http://schemas.openxmlformats.org/officeDocument/2006/relationships/hyperlink" Target="https://www.ncbi.nlm.nih.gov/books/NBK556096/" TargetMode="External" Id="Rf316d33ad50c4126" /><Relationship Type="http://schemas.openxmlformats.org/officeDocument/2006/relationships/header" Target="header.xml" Id="R632a396c26a640b1" /><Relationship Type="http://schemas.openxmlformats.org/officeDocument/2006/relationships/footer" Target="footer.xml" Id="R55d56c47e6964f88" /><Relationship Type="http://schemas.microsoft.com/office/2020/10/relationships/intelligence" Target="intelligence2.xml" Id="R2713fb45deea4dbb" /><Relationship Type="http://schemas.openxmlformats.org/officeDocument/2006/relationships/numbering" Target="numbering.xml" Id="R7ca661eb5d6647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2025-11-17T17:31:28.0293771Z</dcterms:created>
  <dcterms:modified xsi:type="dcterms:W3CDTF">2025-11-18T21:01:37.5442105Z</dcterms:modified>
  <dc:creator>Saba Ansar (2426467)</dc:creator>
  <lastModifiedBy>Saba Ansar (2426467)</lastModifiedBy>
</coreProperties>
</file>