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E534F" w14:textId="77777777" w:rsidR="0020490D" w:rsidRDefault="0020490D" w:rsidP="0020490D">
      <w:r>
        <w:rPr>
          <w:noProof/>
        </w:rPr>
        <w:drawing>
          <wp:anchor distT="0" distB="0" distL="114300" distR="114300" simplePos="0" relativeHeight="251659264" behindDoc="0" locked="0" layoutInCell="1" allowOverlap="1" wp14:anchorId="264E8FFD" wp14:editId="2EF691E3">
            <wp:simplePos x="685800" y="914400"/>
            <wp:positionH relativeFrom="column">
              <wp:align>left</wp:align>
            </wp:positionH>
            <wp:positionV relativeFrom="paragraph">
              <wp:align>top</wp:align>
            </wp:positionV>
            <wp:extent cx="2028825" cy="704850"/>
            <wp:effectExtent l="0" t="0" r="9525" b="0"/>
            <wp:wrapSquare wrapText="bothSides"/>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anchor>
        </w:drawing>
      </w:r>
      <w:r>
        <w:br w:type="textWrapping" w:clear="all"/>
      </w:r>
    </w:p>
    <w:p w14:paraId="177EAEB5" w14:textId="77777777" w:rsidR="0020490D" w:rsidRPr="00A47621" w:rsidRDefault="0020490D" w:rsidP="0020490D">
      <w:pPr>
        <w:rPr>
          <w:rFonts w:ascii="Times New Roman" w:hAnsi="Times New Roman" w:cs="Times New Roman"/>
          <w:sz w:val="24"/>
          <w:szCs w:val="24"/>
        </w:rPr>
      </w:pPr>
    </w:p>
    <w:p w14:paraId="72010149" w14:textId="77777777" w:rsidR="0020490D" w:rsidRPr="00F927A1" w:rsidRDefault="0020490D" w:rsidP="0020490D">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2B9B3BD1" w14:textId="77777777" w:rsidR="0020490D" w:rsidRPr="00DC2924" w:rsidRDefault="0020490D" w:rsidP="0020490D">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7D5282C9" w14:textId="77777777" w:rsidR="0020490D" w:rsidRPr="0085230E" w:rsidRDefault="0020490D" w:rsidP="0020490D">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1704C42" w14:textId="77777777" w:rsidR="0020490D" w:rsidRDefault="0020490D" w:rsidP="0020490D">
      <w:pPr>
        <w:overflowPunct/>
        <w:autoSpaceDE/>
        <w:autoSpaceDN/>
        <w:adjustRightInd/>
        <w:ind w:right="-957"/>
        <w:textAlignment w:val="auto"/>
        <w:rPr>
          <w:rFonts w:ascii="Times New Roman" w:hAnsi="Times New Roman" w:cs="Times New Roman"/>
          <w:b/>
          <w:color w:val="auto"/>
          <w:sz w:val="48"/>
        </w:rPr>
      </w:pPr>
    </w:p>
    <w:p w14:paraId="2C2A67E7" w14:textId="77777777" w:rsidR="0020490D" w:rsidRPr="00FE5F90" w:rsidRDefault="0020490D" w:rsidP="0020490D">
      <w:pPr>
        <w:overflowPunct/>
        <w:autoSpaceDE/>
        <w:autoSpaceDN/>
        <w:adjustRightInd/>
        <w:ind w:right="-957"/>
        <w:textAlignment w:val="auto"/>
        <w:rPr>
          <w:rFonts w:ascii="Times New Roman" w:hAnsi="Times New Roman" w:cs="Times New Roman"/>
          <w:b/>
          <w:color w:val="auto"/>
          <w:sz w:val="18"/>
          <w:szCs w:val="2"/>
        </w:rPr>
      </w:pPr>
    </w:p>
    <w:p w14:paraId="71E0E048" w14:textId="77777777" w:rsidR="0020490D" w:rsidRPr="00F927A1" w:rsidRDefault="0020490D" w:rsidP="0020490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5B09226A" w14:textId="77777777" w:rsidR="0020490D" w:rsidRPr="00706BB5" w:rsidRDefault="0020490D" w:rsidP="0020490D">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087A2AE2" w14:textId="77777777" w:rsidR="0020490D" w:rsidRPr="00FE5F90" w:rsidRDefault="0020490D" w:rsidP="0020490D">
      <w:pPr>
        <w:overflowPunct/>
        <w:autoSpaceDE/>
        <w:autoSpaceDN/>
        <w:adjustRightInd/>
        <w:ind w:right="-957"/>
        <w:textAlignment w:val="auto"/>
        <w:rPr>
          <w:rFonts w:ascii="Times New Roman" w:hAnsi="Times New Roman" w:cs="Times New Roman"/>
          <w:b/>
          <w:color w:val="auto"/>
          <w:sz w:val="14"/>
          <w:szCs w:val="2"/>
        </w:rPr>
      </w:pPr>
    </w:p>
    <w:p w14:paraId="51CBC291" w14:textId="77777777" w:rsidR="0020490D" w:rsidRPr="00F927A1" w:rsidRDefault="0020490D" w:rsidP="0020490D">
      <w:pPr>
        <w:overflowPunct/>
        <w:autoSpaceDE/>
        <w:autoSpaceDN/>
        <w:adjustRightInd/>
        <w:ind w:right="-957"/>
        <w:textAlignment w:val="auto"/>
        <w:rPr>
          <w:rFonts w:ascii="Times New Roman" w:hAnsi="Times New Roman" w:cs="Times New Roman"/>
          <w:b/>
          <w:color w:val="auto"/>
          <w:sz w:val="48"/>
        </w:rPr>
      </w:pP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1"/>
      </w:tblGrid>
      <w:tr w:rsidR="0020490D" w:rsidRPr="005D3F07" w14:paraId="74177787" w14:textId="77777777" w:rsidTr="006D1883">
        <w:tc>
          <w:tcPr>
            <w:tcW w:w="11341" w:type="dxa"/>
            <w:shd w:val="clear" w:color="auto" w:fill="auto"/>
          </w:tcPr>
          <w:p w14:paraId="10F423CC" w14:textId="77777777" w:rsidR="0020490D" w:rsidRDefault="0020490D" w:rsidP="006D188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Angharad Mair Griffiths</w:t>
            </w:r>
          </w:p>
          <w:p w14:paraId="010E0AE7" w14:textId="77777777" w:rsidR="0020490D" w:rsidRDefault="0020490D" w:rsidP="006D1883">
            <w:pPr>
              <w:overflowPunct/>
              <w:autoSpaceDE/>
              <w:autoSpaceDN/>
              <w:adjustRightInd/>
              <w:ind w:right="-957"/>
              <w:textAlignment w:val="auto"/>
              <w:rPr>
                <w:rFonts w:ascii="Times New Roman" w:hAnsi="Times New Roman" w:cs="Times New Roman"/>
                <w:b/>
                <w:color w:val="auto"/>
                <w:sz w:val="48"/>
              </w:rPr>
            </w:pPr>
          </w:p>
          <w:p w14:paraId="12C4DF77" w14:textId="77777777" w:rsidR="0020490D" w:rsidRDefault="0020490D" w:rsidP="006D188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AMGriffiths@carmarthenshire.gov.uk</w:t>
            </w:r>
          </w:p>
          <w:p w14:paraId="25BD9DC4" w14:textId="77777777" w:rsidR="0020490D" w:rsidRDefault="0020490D" w:rsidP="006D1883">
            <w:pPr>
              <w:overflowPunct/>
              <w:autoSpaceDE/>
              <w:autoSpaceDN/>
              <w:adjustRightInd/>
              <w:ind w:right="-957"/>
              <w:textAlignment w:val="auto"/>
              <w:rPr>
                <w:rFonts w:ascii="Times New Roman" w:hAnsi="Times New Roman" w:cs="Times New Roman"/>
                <w:b/>
                <w:color w:val="auto"/>
                <w:sz w:val="48"/>
              </w:rPr>
            </w:pPr>
          </w:p>
          <w:p w14:paraId="765A3CC2" w14:textId="77777777" w:rsidR="0020490D" w:rsidRPr="005D3F07" w:rsidRDefault="0020490D" w:rsidP="006D1883">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0601684</w:t>
            </w:r>
          </w:p>
          <w:p w14:paraId="7ED9CAC8" w14:textId="77777777" w:rsidR="0020490D" w:rsidRPr="005D3F07" w:rsidRDefault="0020490D" w:rsidP="006D1883">
            <w:pPr>
              <w:overflowPunct/>
              <w:autoSpaceDE/>
              <w:autoSpaceDN/>
              <w:adjustRightInd/>
              <w:ind w:right="-957"/>
              <w:textAlignment w:val="auto"/>
              <w:rPr>
                <w:rFonts w:ascii="Times New Roman" w:hAnsi="Times New Roman" w:cs="Times New Roman"/>
                <w:b/>
                <w:color w:val="auto"/>
                <w:sz w:val="48"/>
              </w:rPr>
            </w:pPr>
          </w:p>
          <w:p w14:paraId="04455D43" w14:textId="77777777" w:rsidR="0020490D" w:rsidRPr="005D3F07" w:rsidRDefault="0020490D" w:rsidP="006D188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w:t>
            </w:r>
          </w:p>
        </w:tc>
      </w:tr>
    </w:tbl>
    <w:p w14:paraId="43516BFB" w14:textId="77777777" w:rsidR="0020490D" w:rsidRPr="00F927A1" w:rsidRDefault="0020490D" w:rsidP="0020490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25A8526E" w14:textId="77777777" w:rsidR="0020490D" w:rsidRPr="00F927A1" w:rsidRDefault="0020490D" w:rsidP="0020490D">
      <w:pPr>
        <w:overflowPunct/>
        <w:autoSpaceDE/>
        <w:autoSpaceDN/>
        <w:adjustRightInd/>
        <w:textAlignment w:val="auto"/>
        <w:rPr>
          <w:rFonts w:ascii="Times New Roman" w:hAnsi="Times New Roman" w:cs="Times New Roman"/>
          <w:color w:val="auto"/>
          <w:sz w:val="24"/>
        </w:rPr>
      </w:pPr>
    </w:p>
    <w:p w14:paraId="456EFC0F" w14:textId="77777777" w:rsidR="0020490D" w:rsidRPr="00F927A1" w:rsidRDefault="0020490D" w:rsidP="0020490D">
      <w:pPr>
        <w:overflowPunct/>
        <w:autoSpaceDE/>
        <w:autoSpaceDN/>
        <w:adjustRightInd/>
        <w:ind w:right="-957"/>
        <w:textAlignment w:val="auto"/>
        <w:rPr>
          <w:rFonts w:ascii="Times New Roman" w:hAnsi="Times New Roman" w:cs="Times New Roman"/>
          <w:b/>
          <w:color w:val="auto"/>
          <w:sz w:val="48"/>
        </w:rPr>
      </w:pPr>
    </w:p>
    <w:p w14:paraId="4DC8AAD5" w14:textId="77777777" w:rsidR="0020490D" w:rsidRPr="00706BB5" w:rsidRDefault="0020490D" w:rsidP="0020490D">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 xml:space="preserve">WALES ACADEMY OF PROFESSIONAL PRACTICE </w:t>
      </w:r>
    </w:p>
    <w:p w14:paraId="76FCF233" w14:textId="77777777" w:rsidR="00FC0334" w:rsidRDefault="00FC0334" w:rsidP="00FC0334">
      <w:pPr>
        <w:rPr>
          <w:sz w:val="24"/>
          <w:szCs w:val="24"/>
        </w:rPr>
      </w:pPr>
    </w:p>
    <w:p w14:paraId="4D21D5AA" w14:textId="77777777" w:rsidR="009E2312" w:rsidRPr="00EE5BC3" w:rsidRDefault="009E2312" w:rsidP="009E2312">
      <w:pPr>
        <w:jc w:val="center"/>
        <w:rPr>
          <w:b/>
          <w:sz w:val="28"/>
          <w:szCs w:val="28"/>
        </w:rPr>
      </w:pPr>
      <w:r w:rsidRPr="00EE5BC3">
        <w:rPr>
          <w:b/>
          <w:sz w:val="28"/>
          <w:szCs w:val="28"/>
        </w:rPr>
        <w:lastRenderedPageBreak/>
        <w:t>Task 4</w:t>
      </w:r>
    </w:p>
    <w:p w14:paraId="260EBEA4" w14:textId="77777777" w:rsidR="009E2312" w:rsidRPr="00EE5BC3" w:rsidRDefault="009E2312" w:rsidP="009E2312">
      <w:pPr>
        <w:jc w:val="center"/>
        <w:rPr>
          <w:b/>
          <w:sz w:val="28"/>
          <w:szCs w:val="28"/>
        </w:rPr>
      </w:pPr>
    </w:p>
    <w:p w14:paraId="1EB451ED" w14:textId="77777777" w:rsidR="009E2312" w:rsidRPr="00EE5BC3" w:rsidRDefault="009E2312" w:rsidP="009E2312">
      <w:pPr>
        <w:jc w:val="center"/>
        <w:rPr>
          <w:b/>
          <w:sz w:val="28"/>
          <w:szCs w:val="28"/>
        </w:rPr>
      </w:pPr>
      <w:r w:rsidRPr="00EE5BC3">
        <w:rPr>
          <w:b/>
          <w:sz w:val="28"/>
          <w:szCs w:val="28"/>
        </w:rPr>
        <w:t>Safeguarding</w:t>
      </w:r>
      <w:r>
        <w:rPr>
          <w:b/>
          <w:sz w:val="28"/>
          <w:szCs w:val="28"/>
        </w:rPr>
        <w:t xml:space="preserve"> in an area which is not your main area of </w:t>
      </w:r>
      <w:proofErr w:type="gramStart"/>
      <w:r>
        <w:rPr>
          <w:b/>
          <w:sz w:val="28"/>
          <w:szCs w:val="28"/>
        </w:rPr>
        <w:t>work</w:t>
      </w:r>
      <w:proofErr w:type="gramEnd"/>
    </w:p>
    <w:p w14:paraId="06B7BB5B" w14:textId="77777777" w:rsidR="009E2312" w:rsidRPr="008B28E7" w:rsidRDefault="009E2312" w:rsidP="009E2312">
      <w:pPr>
        <w:jc w:val="both"/>
        <w:rPr>
          <w:b/>
          <w:sz w:val="24"/>
          <w:szCs w:val="24"/>
        </w:rPr>
      </w:pPr>
    </w:p>
    <w:p w14:paraId="519B45C2" w14:textId="77777777" w:rsidR="009E2312" w:rsidRPr="00EE5BC3" w:rsidRDefault="009E2312" w:rsidP="009E2312">
      <w:pPr>
        <w:ind w:left="-90"/>
        <w:jc w:val="both"/>
        <w:rPr>
          <w:b/>
          <w:i/>
          <w:sz w:val="24"/>
          <w:szCs w:val="24"/>
        </w:rPr>
      </w:pPr>
      <w:r w:rsidRPr="00EE5BC3">
        <w:rPr>
          <w:b/>
          <w:i/>
          <w:sz w:val="24"/>
          <w:szCs w:val="24"/>
        </w:rPr>
        <w:t xml:space="preserve">Guidance: </w:t>
      </w:r>
    </w:p>
    <w:p w14:paraId="4CD00A0E" w14:textId="77777777" w:rsidR="009E2312" w:rsidRPr="00706BB5" w:rsidRDefault="009E2312" w:rsidP="009E2312">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w:t>
      </w:r>
      <w:proofErr w:type="gramStart"/>
      <w:r w:rsidRPr="00706BB5">
        <w:rPr>
          <w:i/>
          <w:iCs/>
          <w:sz w:val="24"/>
          <w:szCs w:val="24"/>
        </w:rPr>
        <w:t>children</w:t>
      </w:r>
      <w:proofErr w:type="gramEnd"/>
      <w:r w:rsidRPr="00706BB5">
        <w:rPr>
          <w:i/>
          <w:iCs/>
          <w:sz w:val="24"/>
          <w:szCs w:val="24"/>
        </w:rPr>
        <w:t xml:space="preserve">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641E881C" w14:textId="77777777" w:rsidR="009E2312" w:rsidRPr="008B28E7" w:rsidRDefault="009E2312" w:rsidP="009E2312">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9E2312" w:rsidRPr="008B28E7" w14:paraId="65173E9C" w14:textId="77777777" w:rsidTr="006D1883">
        <w:tc>
          <w:tcPr>
            <w:tcW w:w="10188" w:type="dxa"/>
            <w:shd w:val="clear" w:color="auto" w:fill="auto"/>
          </w:tcPr>
          <w:p w14:paraId="02588FE3" w14:textId="77777777" w:rsidR="009E2312" w:rsidRPr="00EB695F" w:rsidRDefault="009E2312" w:rsidP="006D1883">
            <w:pPr>
              <w:jc w:val="both"/>
              <w:rPr>
                <w:b/>
                <w:sz w:val="24"/>
                <w:szCs w:val="24"/>
              </w:rPr>
            </w:pPr>
            <w:r w:rsidRPr="00EB695F">
              <w:rPr>
                <w:b/>
                <w:sz w:val="24"/>
                <w:szCs w:val="24"/>
              </w:rPr>
              <w:t>Question</w:t>
            </w:r>
            <w:r>
              <w:rPr>
                <w:b/>
                <w:sz w:val="24"/>
                <w:szCs w:val="24"/>
              </w:rPr>
              <w:t xml:space="preserve"> a:</w:t>
            </w:r>
          </w:p>
          <w:p w14:paraId="1A94B8A8" w14:textId="77777777" w:rsidR="009E2312" w:rsidRDefault="009E2312" w:rsidP="006D1883">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14:paraId="567CB98F" w14:textId="77777777" w:rsidR="009E2312" w:rsidRDefault="009E2312" w:rsidP="006D1883">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09E77A18" w14:textId="77777777" w:rsidR="009E2312" w:rsidRDefault="009E2312" w:rsidP="006D1883">
            <w:pPr>
              <w:jc w:val="both"/>
              <w:rPr>
                <w:sz w:val="24"/>
                <w:szCs w:val="24"/>
              </w:rPr>
            </w:pPr>
          </w:p>
          <w:p w14:paraId="1043A7B7" w14:textId="77777777" w:rsidR="009E2312" w:rsidRDefault="009E2312" w:rsidP="006D1883">
            <w:pPr>
              <w:spacing w:before="240" w:after="240" w:line="360" w:lineRule="auto"/>
              <w:ind w:left="360"/>
              <w:jc w:val="both"/>
              <w:rPr>
                <w:sz w:val="24"/>
                <w:szCs w:val="24"/>
              </w:rPr>
            </w:pPr>
            <w:r>
              <w:rPr>
                <w:sz w:val="24"/>
                <w:szCs w:val="24"/>
              </w:rPr>
              <w:t>As I am employed within children’s social services, I will focus this task on adult safeguarding. The key piece of national safeguarding legislation is the Care Act 2014, which defines adult safeguarding as, “protecting a person’s right to live in safety, free from abuse and neglect” (Department of Health, 2014). The Care Act 2014 has six key principles which are, “empowerment, prevention, proportionality, protection, partnership and accountability” (Department of Health, 2014). In Wales the main piece of legislation is the Social Services and Well-Being (Wales) Act 2014 (SSWB(W)A 2014) which, places a duty on Local Authorities to assess and safeguard adults and children. Part 7, sections 126 to 129 refer to adult safeguarding. Section 127 of the SSWB(W)A 2014 allows a professional to apply to Court for an adult protection and support order, this is so that an adult who may be at risk can be spoken to in private to ascertain that they are making decisions freely and are not at risk of harm. Within the SSWB(W)A 2014 an adult “at risk” is defined as an adult who is either at risk of experiencing harm or is currently experiencing harm, this can be due to them having needs which are unmet.</w:t>
            </w:r>
          </w:p>
          <w:p w14:paraId="0E85C56A" w14:textId="77777777" w:rsidR="009E2312" w:rsidRDefault="009E2312" w:rsidP="006D1883">
            <w:pPr>
              <w:spacing w:before="240" w:after="240" w:line="360" w:lineRule="auto"/>
              <w:ind w:left="360"/>
              <w:jc w:val="both"/>
              <w:rPr>
                <w:sz w:val="24"/>
                <w:szCs w:val="24"/>
              </w:rPr>
            </w:pPr>
            <w:r>
              <w:rPr>
                <w:sz w:val="24"/>
                <w:szCs w:val="24"/>
              </w:rPr>
              <w:t xml:space="preserve">Under Section 126 of the SSWB(W)A 2014 the local authority has a duty to make enquiries where they believe an adult may be at risk. The Wales Safeguarding Procedures 2019 outlines the process that should be followed to ensure that adults are kept safe. Once </w:t>
            </w:r>
            <w:r>
              <w:rPr>
                <w:sz w:val="24"/>
                <w:szCs w:val="24"/>
              </w:rPr>
              <w:lastRenderedPageBreak/>
              <w:t xml:space="preserve">enquiries have been initiated then the local authority has a duty to ensure there is support in place to prevent further harm. </w:t>
            </w:r>
          </w:p>
          <w:p w14:paraId="3CF3343F" w14:textId="77777777" w:rsidR="009E2312" w:rsidRDefault="009E2312" w:rsidP="006D1883">
            <w:pPr>
              <w:spacing w:before="240" w:after="240" w:line="360" w:lineRule="auto"/>
              <w:ind w:left="360"/>
              <w:jc w:val="both"/>
              <w:rPr>
                <w:sz w:val="24"/>
                <w:szCs w:val="24"/>
              </w:rPr>
            </w:pPr>
            <w:r>
              <w:rPr>
                <w:sz w:val="24"/>
                <w:szCs w:val="24"/>
              </w:rPr>
              <w:t>Furthermore, there’s a Working Together to Safeguard People: Code of Safeguarding Practice (Welsh Government, 2022). The importance of this policy is so that everyone working with adults at risk of abuse can be made aware of how best to support them (Welsh Government, 2022). More importantly so that services understand how they can offer support to adults who are at risk. Other legislations that are relevant in safeguarding include, Mental Capacity Act 2005, Mental Health Act 1983 and the Equality Act 2010.</w:t>
            </w:r>
          </w:p>
          <w:p w14:paraId="59282C54" w14:textId="77777777" w:rsidR="009E2312" w:rsidRDefault="009E2312" w:rsidP="006D1883">
            <w:pPr>
              <w:spacing w:before="240" w:after="240" w:line="360" w:lineRule="auto"/>
              <w:ind w:left="360"/>
              <w:jc w:val="both"/>
              <w:rPr>
                <w:sz w:val="24"/>
                <w:szCs w:val="24"/>
              </w:rPr>
            </w:pPr>
            <w:r>
              <w:rPr>
                <w:sz w:val="24"/>
                <w:szCs w:val="24"/>
              </w:rPr>
              <w:t xml:space="preserve">The SSWB(W)A 2014 requires local authorities to be a part of safeguarding boards, so that further advice and guidance can be provided (National Independent Safeguarding Board Wales, 2022). The safeguarding board aims to support agencies with safeguarding adults and children at risk of harm and to ensure that appropriate steps have been taken (Mid and West Wales Safeguarding Board, 2022). The safeguarding board aim to do this by continuing to take a multi-agency approach to safeguarding (Mid and West Wales Safeguarding Board, 2022). </w:t>
            </w:r>
          </w:p>
          <w:p w14:paraId="75396B61" w14:textId="77777777" w:rsidR="009E2312" w:rsidRDefault="009E2312" w:rsidP="006D1883">
            <w:pPr>
              <w:spacing w:before="240" w:after="240" w:line="360" w:lineRule="auto"/>
              <w:ind w:left="360"/>
              <w:jc w:val="both"/>
              <w:rPr>
                <w:sz w:val="24"/>
                <w:szCs w:val="24"/>
              </w:rPr>
            </w:pPr>
            <w:r>
              <w:rPr>
                <w:sz w:val="24"/>
                <w:szCs w:val="24"/>
              </w:rPr>
              <w:t xml:space="preserve">Although my main area of work is with children who may be at risk of harm, it is important that I am aware of the procedures and guidelines to safeguard adults. As I come into contact with adults daily in my area of work and I need to be able to identify risks for them as well as with the children. For instance, if an adult I work with has learning disabilities or is being abused by a partner.  </w:t>
            </w:r>
          </w:p>
          <w:p w14:paraId="4A3B6ED2" w14:textId="1C50EC1E" w:rsidR="009E2312" w:rsidRPr="009E2312" w:rsidRDefault="009E2312" w:rsidP="009E2312">
            <w:pPr>
              <w:spacing w:before="240" w:after="240" w:line="360" w:lineRule="auto"/>
              <w:ind w:left="360"/>
              <w:jc w:val="both"/>
              <w:rPr>
                <w:b/>
                <w:bCs/>
                <w:sz w:val="24"/>
                <w:szCs w:val="24"/>
              </w:rPr>
            </w:pPr>
            <w:r>
              <w:rPr>
                <w:b/>
                <w:bCs/>
                <w:sz w:val="24"/>
                <w:szCs w:val="24"/>
              </w:rPr>
              <w:t>Word count - 513</w:t>
            </w:r>
          </w:p>
        </w:tc>
      </w:tr>
    </w:tbl>
    <w:p w14:paraId="7F73272D" w14:textId="77777777" w:rsidR="006B6093" w:rsidRDefault="006B6093" w:rsidP="00FC0334">
      <w:pPr>
        <w:rPr>
          <w:sz w:val="24"/>
          <w:szCs w:val="24"/>
        </w:rPr>
      </w:pPr>
    </w:p>
    <w:p w14:paraId="1694B821" w14:textId="77777777" w:rsidR="00F81D2A" w:rsidRDefault="00F81D2A" w:rsidP="00FC0334">
      <w:pPr>
        <w:rPr>
          <w:sz w:val="24"/>
          <w:szCs w:val="24"/>
        </w:rPr>
      </w:pPr>
    </w:p>
    <w:p w14:paraId="61CF5FCB" w14:textId="77777777" w:rsidR="00F81D2A" w:rsidRDefault="00F81D2A" w:rsidP="00FC0334">
      <w:pPr>
        <w:rPr>
          <w:sz w:val="24"/>
          <w:szCs w:val="24"/>
        </w:rPr>
      </w:pPr>
    </w:p>
    <w:p w14:paraId="2C36325B" w14:textId="77777777" w:rsidR="00F81D2A" w:rsidRDefault="00F81D2A" w:rsidP="00FC0334">
      <w:pPr>
        <w:rPr>
          <w:sz w:val="24"/>
          <w:szCs w:val="24"/>
        </w:rPr>
      </w:pPr>
    </w:p>
    <w:p w14:paraId="66B6B95E" w14:textId="77777777" w:rsidR="00F81D2A" w:rsidRDefault="00F81D2A" w:rsidP="00FC0334">
      <w:pPr>
        <w:rPr>
          <w:sz w:val="24"/>
          <w:szCs w:val="24"/>
        </w:rPr>
      </w:pPr>
    </w:p>
    <w:p w14:paraId="08817891" w14:textId="77777777" w:rsidR="00F81D2A" w:rsidRDefault="00F81D2A" w:rsidP="00FC0334">
      <w:pPr>
        <w:rPr>
          <w:sz w:val="24"/>
          <w:szCs w:val="24"/>
        </w:rPr>
      </w:pPr>
    </w:p>
    <w:p w14:paraId="5D6460A2" w14:textId="77777777" w:rsidR="00F81D2A" w:rsidRDefault="00F81D2A" w:rsidP="00FC0334">
      <w:pPr>
        <w:rPr>
          <w:sz w:val="24"/>
          <w:szCs w:val="24"/>
        </w:rPr>
      </w:pPr>
    </w:p>
    <w:p w14:paraId="1845D944" w14:textId="77777777" w:rsidR="004B58DB" w:rsidRDefault="004B58DB" w:rsidP="004B58D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B58DB" w:rsidRPr="008B28E7" w14:paraId="50821318" w14:textId="77777777" w:rsidTr="006D1883">
        <w:tc>
          <w:tcPr>
            <w:tcW w:w="10278" w:type="dxa"/>
            <w:shd w:val="clear" w:color="auto" w:fill="auto"/>
          </w:tcPr>
          <w:p w14:paraId="4AACC6BE" w14:textId="77777777" w:rsidR="004B58DB" w:rsidRPr="00EB695F" w:rsidRDefault="004B58DB" w:rsidP="006D1883">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615133F9" w14:textId="77777777" w:rsidR="004B58DB" w:rsidRPr="006108C9" w:rsidRDefault="004B58DB" w:rsidP="006D1883">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t>
            </w:r>
            <w:proofErr w:type="gramStart"/>
            <w:r w:rsidRPr="006108C9">
              <w:rPr>
                <w:sz w:val="24"/>
                <w:szCs w:val="24"/>
              </w:rPr>
              <w:t>work</w:t>
            </w:r>
            <w:proofErr w:type="gramEnd"/>
          </w:p>
          <w:p w14:paraId="0343C634" w14:textId="77777777" w:rsidR="004B58DB" w:rsidRDefault="004B58DB" w:rsidP="006D1883">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5A177E33" w14:textId="77777777" w:rsidR="004B58DB" w:rsidRDefault="004B58DB" w:rsidP="006D1883">
            <w:pPr>
              <w:jc w:val="both"/>
              <w:rPr>
                <w:sz w:val="24"/>
                <w:szCs w:val="24"/>
              </w:rPr>
            </w:pPr>
          </w:p>
          <w:p w14:paraId="5251450B" w14:textId="77777777" w:rsidR="004B58DB" w:rsidRDefault="004B58DB" w:rsidP="006D1883">
            <w:pPr>
              <w:spacing w:before="240" w:after="240" w:line="360" w:lineRule="auto"/>
              <w:jc w:val="both"/>
              <w:rPr>
                <w:sz w:val="24"/>
                <w:szCs w:val="24"/>
              </w:rPr>
            </w:pPr>
            <w:r>
              <w:rPr>
                <w:sz w:val="24"/>
                <w:szCs w:val="24"/>
              </w:rPr>
              <w:t xml:space="preserve">There are many differences between adults and children’s safeguarding, however the main difference is an adults right to self-determination, independence and choice (Social Care institute for excellence, 2019). This means that adults have the right to decline support where they may be at risk, due to an unmet need.  Article 5 of the European Convention of Human Rights states that “no one shall be subjected to torture or to cruel, inhuman or degrading treatment or punishment” (United Nations, ND). Although the Social Service and Well-being (Wales) Act 2014 (SSWB(W)A 2014) is the main piece of legislation to safeguard adults and children, there are also other legislation that are relevant. </w:t>
            </w:r>
          </w:p>
          <w:p w14:paraId="12D291AA" w14:textId="77777777" w:rsidR="004B58DB" w:rsidRDefault="004B58DB" w:rsidP="006D1883">
            <w:pPr>
              <w:spacing w:before="240" w:after="240" w:line="360" w:lineRule="auto"/>
              <w:jc w:val="both"/>
              <w:rPr>
                <w:sz w:val="24"/>
                <w:szCs w:val="24"/>
              </w:rPr>
            </w:pPr>
            <w:r>
              <w:rPr>
                <w:sz w:val="24"/>
                <w:szCs w:val="24"/>
              </w:rPr>
              <w:t xml:space="preserve">One of which is the Mental Capacity Act 2005, there is more than one purpose to this legislation, with one of them being to protect adult’s capacity and to ensure that decisions are being made in their best interests. The act has five key principles; 1 assume capacity, 2 the right to be supported to make a decision, 3 the right to make an unwise decision, 4 any decisions made must be in the best interest of the person and 5 any intervention must be least restrictive.  </w:t>
            </w:r>
          </w:p>
          <w:p w14:paraId="332AD1FE" w14:textId="77777777" w:rsidR="004B58DB" w:rsidRDefault="004B58DB" w:rsidP="006D1883">
            <w:pPr>
              <w:spacing w:before="240" w:after="240" w:line="360" w:lineRule="auto"/>
              <w:jc w:val="both"/>
              <w:rPr>
                <w:sz w:val="24"/>
                <w:szCs w:val="24"/>
              </w:rPr>
            </w:pPr>
            <w:r>
              <w:rPr>
                <w:sz w:val="24"/>
                <w:szCs w:val="24"/>
              </w:rPr>
              <w:t xml:space="preserve">Although there are some similarities within children and adult safeguarding, for instance, decisions made in the best interest of children. However, adults have a right to make unwise decisions and only in extreme circumstances with the Mental Capacity Act 2005 come into force to assess capacity. There is no such legislation in children’s social care, however there is Gillick competence to support with teenagers’ capacity to make decisions. Within my role I work with several young people, where mental health is a factor. Gillick competence guidance support professionals to assess whether a young person can make decisions without parents’ consent (The Medic Portal, 2021). </w:t>
            </w:r>
          </w:p>
          <w:p w14:paraId="0CC6CFB3" w14:textId="77777777" w:rsidR="004B58DB" w:rsidRDefault="004B58DB" w:rsidP="006D1883">
            <w:pPr>
              <w:spacing w:before="240" w:after="240" w:line="360" w:lineRule="auto"/>
              <w:jc w:val="both"/>
              <w:rPr>
                <w:sz w:val="24"/>
                <w:szCs w:val="24"/>
              </w:rPr>
            </w:pPr>
            <w:r>
              <w:rPr>
                <w:sz w:val="24"/>
                <w:szCs w:val="24"/>
              </w:rPr>
              <w:lastRenderedPageBreak/>
              <w:t xml:space="preserve">Furthermore, an assessment of care and support is voluntary, and adults are able to decline an assessment, as are parents for their children. If there are significant child protection concerns for the </w:t>
            </w:r>
            <w:proofErr w:type="gramStart"/>
            <w:r>
              <w:rPr>
                <w:sz w:val="24"/>
                <w:szCs w:val="24"/>
              </w:rPr>
              <w:t>child</w:t>
            </w:r>
            <w:proofErr w:type="gramEnd"/>
            <w:r>
              <w:rPr>
                <w:sz w:val="24"/>
                <w:szCs w:val="24"/>
              </w:rPr>
              <w:t xml:space="preserve"> then section 47 of the Children Act 1989 would come into force. As the Children Act 1989 and SSWB(W)A 2014 both state that the safety of a child is paramount, and the local authority has a legal responsibility to ensure children are kept safe from harm. For instance, if a parent would choose to live in poor home conditions, but they are unsafe for a child and would be paramount for their health. Another example would be if there was severe domestic violence happening between the parents and the child often witnesses them, then they could be at risk of physical or emotional harm.</w:t>
            </w:r>
          </w:p>
          <w:p w14:paraId="421AB203" w14:textId="77777777" w:rsidR="004B58DB" w:rsidRPr="0089084A" w:rsidRDefault="004B58DB" w:rsidP="006D1883">
            <w:pPr>
              <w:jc w:val="both"/>
              <w:rPr>
                <w:b/>
                <w:bCs/>
                <w:iCs/>
                <w:sz w:val="24"/>
                <w:szCs w:val="24"/>
              </w:rPr>
            </w:pPr>
            <w:r>
              <w:rPr>
                <w:b/>
                <w:bCs/>
                <w:iCs/>
                <w:sz w:val="24"/>
                <w:szCs w:val="24"/>
              </w:rPr>
              <w:t>Word count - 437</w:t>
            </w:r>
          </w:p>
          <w:p w14:paraId="152BE878" w14:textId="77777777" w:rsidR="004B58DB" w:rsidRPr="006108C9" w:rsidRDefault="004B58DB" w:rsidP="006D1883">
            <w:pPr>
              <w:jc w:val="both"/>
              <w:rPr>
                <w:sz w:val="24"/>
                <w:szCs w:val="24"/>
              </w:rPr>
            </w:pPr>
          </w:p>
        </w:tc>
      </w:tr>
    </w:tbl>
    <w:p w14:paraId="2D9D8579" w14:textId="77777777" w:rsidR="00F81D2A" w:rsidRDefault="00F81D2A" w:rsidP="00FC0334">
      <w:pPr>
        <w:rPr>
          <w:sz w:val="24"/>
          <w:szCs w:val="24"/>
        </w:rPr>
      </w:pPr>
    </w:p>
    <w:sectPr w:rsidR="00F81D2A"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Microsoft YaHei"/>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90D"/>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06F5"/>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58DB"/>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4679"/>
    <w:rsid w:val="006B5E67"/>
    <w:rsid w:val="006B6093"/>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2312"/>
    <w:rsid w:val="009E4D2C"/>
    <w:rsid w:val="009E545E"/>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01C"/>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D2A"/>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1164</Words>
  <Characters>5932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Angharad</cp:lastModifiedBy>
  <cp:revision>10</cp:revision>
  <cp:lastPrinted>2020-02-11T19:20:00Z</cp:lastPrinted>
  <dcterms:created xsi:type="dcterms:W3CDTF">2022-10-05T19:31:00Z</dcterms:created>
  <dcterms:modified xsi:type="dcterms:W3CDTF">2023-02-26T21:05:00Z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