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214F9" w14:textId="77777777" w:rsidR="00702CB7" w:rsidRPr="00702CB7" w:rsidRDefault="00702CB7" w:rsidP="00702CB7">
      <w:pPr>
        <w:spacing w:line="360" w:lineRule="auto"/>
        <w:jc w:val="center"/>
        <w:rPr>
          <w:rFonts w:ascii="Aptos" w:eastAsia="Aptos" w:hAnsi="Aptos"/>
          <w:b/>
          <w:color w:val="000000"/>
          <w:sz w:val="52"/>
          <w:szCs w:val="52"/>
          <w:lang w:val="en-IN" w:eastAsia="en-IN"/>
        </w:rPr>
      </w:pPr>
      <w:r w:rsidRPr="00702CB7">
        <w:rPr>
          <w:rFonts w:ascii="Aptos" w:eastAsia="Aptos" w:hAnsi="Aptos"/>
          <w:b/>
          <w:color w:val="000000"/>
          <w:sz w:val="52"/>
          <w:szCs w:val="52"/>
          <w:lang w:val="en-IN" w:eastAsia="en-IN"/>
        </w:rPr>
        <w:t>Module name: Entrepreneurship</w:t>
      </w:r>
    </w:p>
    <w:p w14:paraId="0B4B6A8E" w14:textId="77777777" w:rsidR="00702CB7" w:rsidRPr="00702CB7" w:rsidRDefault="00702CB7" w:rsidP="00702CB7">
      <w:pPr>
        <w:spacing w:line="360" w:lineRule="auto"/>
        <w:jc w:val="center"/>
        <w:rPr>
          <w:rFonts w:ascii="Aptos" w:eastAsia="Aptos" w:hAnsi="Aptos"/>
          <w:b/>
          <w:color w:val="000000"/>
          <w:sz w:val="52"/>
          <w:szCs w:val="52"/>
          <w:lang w:val="en-IN" w:eastAsia="en-IN"/>
        </w:rPr>
      </w:pPr>
      <w:r w:rsidRPr="00702CB7">
        <w:rPr>
          <w:rFonts w:ascii="Aptos" w:eastAsia="Aptos" w:hAnsi="Aptos"/>
          <w:b/>
          <w:color w:val="000000"/>
          <w:sz w:val="52"/>
          <w:szCs w:val="52"/>
          <w:lang w:val="en-IN" w:eastAsia="en-IN"/>
        </w:rPr>
        <w:t xml:space="preserve">Assessment: Task 3 Business Plan Development </w:t>
      </w:r>
    </w:p>
    <w:p w14:paraId="674371BF" w14:textId="77777777" w:rsidR="00702CB7" w:rsidRPr="00702CB7" w:rsidRDefault="00702CB7" w:rsidP="00702CB7">
      <w:pPr>
        <w:spacing w:line="360" w:lineRule="auto"/>
        <w:jc w:val="center"/>
        <w:rPr>
          <w:rFonts w:ascii="Aptos" w:eastAsia="Aptos" w:hAnsi="Aptos"/>
          <w:b/>
          <w:color w:val="000000"/>
          <w:sz w:val="52"/>
          <w:szCs w:val="52"/>
          <w:lang w:val="en-IN" w:eastAsia="en-IN"/>
        </w:rPr>
      </w:pPr>
      <w:r w:rsidRPr="00702CB7">
        <w:rPr>
          <w:rFonts w:ascii="Aptos" w:eastAsia="Aptos" w:hAnsi="Aptos"/>
          <w:b/>
          <w:color w:val="000000"/>
          <w:sz w:val="52"/>
          <w:szCs w:val="52"/>
          <w:lang w:val="en-IN" w:eastAsia="en-IN"/>
        </w:rPr>
        <w:t>Module code: LCBB5013</w:t>
      </w:r>
    </w:p>
    <w:p w14:paraId="216F9404" w14:textId="77777777" w:rsidR="00702CB7" w:rsidRPr="00702CB7" w:rsidRDefault="00702CB7" w:rsidP="00702CB7">
      <w:pPr>
        <w:spacing w:line="360" w:lineRule="auto"/>
        <w:jc w:val="center"/>
        <w:rPr>
          <w:rFonts w:ascii="Aptos" w:eastAsia="Aptos" w:hAnsi="Aptos"/>
          <w:b/>
          <w:color w:val="000000"/>
          <w:sz w:val="52"/>
          <w:szCs w:val="52"/>
          <w:lang w:val="en-IN" w:eastAsia="en-IN"/>
        </w:rPr>
      </w:pPr>
      <w:r w:rsidRPr="00702CB7">
        <w:rPr>
          <w:rFonts w:ascii="Aptos" w:eastAsia="Aptos" w:hAnsi="Aptos"/>
          <w:b/>
          <w:color w:val="000000"/>
          <w:sz w:val="52"/>
          <w:szCs w:val="52"/>
          <w:lang w:val="en-IN" w:eastAsia="en-IN"/>
        </w:rPr>
        <w:t xml:space="preserve">Lecturer: </w:t>
      </w:r>
      <w:proofErr w:type="spellStart"/>
      <w:r w:rsidRPr="00702CB7">
        <w:rPr>
          <w:rFonts w:ascii="Aptos" w:eastAsia="Aptos" w:hAnsi="Aptos"/>
          <w:b/>
          <w:color w:val="000000"/>
          <w:sz w:val="52"/>
          <w:szCs w:val="52"/>
          <w:lang w:val="en-IN" w:eastAsia="en-IN"/>
        </w:rPr>
        <w:t>Balendran</w:t>
      </w:r>
      <w:proofErr w:type="spellEnd"/>
      <w:r w:rsidRPr="00702CB7">
        <w:rPr>
          <w:rFonts w:ascii="Aptos" w:eastAsia="Aptos" w:hAnsi="Aptos"/>
          <w:b/>
          <w:color w:val="000000"/>
          <w:sz w:val="52"/>
          <w:szCs w:val="52"/>
          <w:lang w:val="en-IN" w:eastAsia="en-IN"/>
        </w:rPr>
        <w:t xml:space="preserve"> Kandasamy</w:t>
      </w:r>
    </w:p>
    <w:p w14:paraId="508E18F2" w14:textId="77777777" w:rsidR="00702CB7" w:rsidRPr="00702CB7" w:rsidRDefault="00702CB7" w:rsidP="00702CB7">
      <w:pPr>
        <w:spacing w:line="360" w:lineRule="auto"/>
        <w:jc w:val="center"/>
        <w:rPr>
          <w:rFonts w:ascii="Aptos" w:eastAsia="Aptos" w:hAnsi="Aptos"/>
          <w:b/>
          <w:color w:val="000000"/>
          <w:sz w:val="52"/>
          <w:szCs w:val="52"/>
          <w:lang w:val="en-IN" w:eastAsia="en-IN"/>
        </w:rPr>
      </w:pPr>
      <w:r w:rsidRPr="00702CB7">
        <w:rPr>
          <w:rFonts w:ascii="Aptos" w:eastAsia="Aptos" w:hAnsi="Aptos"/>
          <w:b/>
          <w:color w:val="000000"/>
          <w:sz w:val="52"/>
          <w:szCs w:val="52"/>
          <w:lang w:val="en-IN" w:eastAsia="en-IN"/>
        </w:rPr>
        <w:t>Student ID: 1921604</w:t>
      </w:r>
    </w:p>
    <w:p w14:paraId="765FDE4B" w14:textId="77777777" w:rsidR="00702CB7" w:rsidRPr="00702CB7" w:rsidRDefault="00702CB7" w:rsidP="00702CB7">
      <w:pPr>
        <w:spacing w:line="360" w:lineRule="auto"/>
        <w:jc w:val="center"/>
        <w:rPr>
          <w:rFonts w:ascii="Aptos" w:eastAsia="Aptos" w:hAnsi="Aptos"/>
          <w:b/>
          <w:bCs/>
          <w:sz w:val="24"/>
          <w:szCs w:val="24"/>
          <w:lang w:val="en-IN" w:eastAsia="en-IN"/>
        </w:rPr>
      </w:pPr>
      <w:r w:rsidRPr="00702CB7">
        <w:rPr>
          <w:rFonts w:ascii="Aptos" w:eastAsia="Aptos" w:hAnsi="Aptos"/>
          <w:b/>
          <w:color w:val="000000"/>
          <w:sz w:val="52"/>
          <w:szCs w:val="52"/>
          <w:lang w:val="en-IN" w:eastAsia="en-IN"/>
        </w:rPr>
        <w:t>Student name: Vasile-Claudiu Neacsu.</w:t>
      </w:r>
    </w:p>
    <w:p w14:paraId="262A838A" w14:textId="77777777" w:rsidR="00702CB7" w:rsidRDefault="00702CB7">
      <w:pPr>
        <w:pStyle w:val="Heading1"/>
        <w:spacing w:after="120"/>
      </w:pPr>
    </w:p>
    <w:p w14:paraId="5D9AB097" w14:textId="77777777" w:rsidR="00702CB7" w:rsidRDefault="00702CB7">
      <w:pPr>
        <w:pStyle w:val="Heading1"/>
        <w:spacing w:after="120"/>
      </w:pPr>
    </w:p>
    <w:p w14:paraId="3FBB871E" w14:textId="77777777" w:rsidR="00702CB7" w:rsidRDefault="00702CB7">
      <w:pPr>
        <w:pStyle w:val="Heading1"/>
        <w:spacing w:after="120"/>
      </w:pPr>
    </w:p>
    <w:p w14:paraId="39AA789E" w14:textId="77777777" w:rsidR="00702CB7" w:rsidRDefault="00702CB7">
      <w:pPr>
        <w:pStyle w:val="Heading1"/>
        <w:spacing w:after="120"/>
      </w:pPr>
    </w:p>
    <w:p w14:paraId="388B3207" w14:textId="77777777" w:rsidR="00702CB7" w:rsidRDefault="00702CB7">
      <w:pPr>
        <w:pStyle w:val="Heading1"/>
        <w:spacing w:after="120"/>
      </w:pPr>
    </w:p>
    <w:p w14:paraId="74B465F6" w14:textId="77777777" w:rsidR="00702CB7" w:rsidRDefault="00702CB7">
      <w:pPr>
        <w:pStyle w:val="Heading1"/>
        <w:spacing w:after="120"/>
      </w:pPr>
    </w:p>
    <w:p w14:paraId="0F44FD26" w14:textId="77777777" w:rsidR="00702CB7" w:rsidRDefault="00702CB7">
      <w:pPr>
        <w:pStyle w:val="Heading1"/>
        <w:spacing w:after="120"/>
      </w:pPr>
    </w:p>
    <w:p w14:paraId="0E2316AC" w14:textId="77777777" w:rsidR="00702CB7" w:rsidRDefault="00702CB7">
      <w:pPr>
        <w:pStyle w:val="Heading1"/>
        <w:spacing w:after="120"/>
      </w:pPr>
    </w:p>
    <w:p w14:paraId="16F7C08B" w14:textId="77777777" w:rsidR="00702CB7" w:rsidRDefault="00702CB7">
      <w:pPr>
        <w:pStyle w:val="Heading1"/>
        <w:spacing w:after="120"/>
      </w:pPr>
    </w:p>
    <w:p w14:paraId="25984020" w14:textId="77777777" w:rsidR="00702CB7" w:rsidRDefault="00702CB7">
      <w:pPr>
        <w:pStyle w:val="Heading1"/>
        <w:spacing w:after="120"/>
      </w:pPr>
    </w:p>
    <w:p w14:paraId="068DB320" w14:textId="77777777" w:rsidR="00702CB7" w:rsidRDefault="00702CB7">
      <w:pPr>
        <w:pStyle w:val="Heading1"/>
        <w:spacing w:after="120"/>
      </w:pPr>
    </w:p>
    <w:p w14:paraId="595DBD3A" w14:textId="77777777" w:rsidR="00702CB7" w:rsidRDefault="00702CB7">
      <w:pPr>
        <w:pStyle w:val="Heading1"/>
        <w:spacing w:after="120"/>
      </w:pPr>
    </w:p>
    <w:p w14:paraId="0922467B" w14:textId="77777777" w:rsidR="00702CB7" w:rsidRDefault="00702CB7">
      <w:pPr>
        <w:pStyle w:val="Heading1"/>
        <w:spacing w:after="120"/>
      </w:pPr>
    </w:p>
    <w:p w14:paraId="4839043D" w14:textId="77777777" w:rsidR="00702CB7" w:rsidRDefault="00702CB7">
      <w:pPr>
        <w:pStyle w:val="Heading1"/>
        <w:spacing w:after="120"/>
      </w:pPr>
    </w:p>
    <w:p w14:paraId="7EC6CF0D" w14:textId="77777777" w:rsidR="00702CB7" w:rsidRDefault="00702CB7">
      <w:pPr>
        <w:pStyle w:val="Heading1"/>
        <w:spacing w:after="120"/>
      </w:pPr>
    </w:p>
    <w:p w14:paraId="67FD37B6" w14:textId="77777777" w:rsidR="00702CB7" w:rsidRDefault="00702CB7">
      <w:pPr>
        <w:pStyle w:val="Heading1"/>
        <w:spacing w:after="120"/>
      </w:pPr>
    </w:p>
    <w:p w14:paraId="628357D1" w14:textId="3A2485B7" w:rsidR="00550BE6" w:rsidRDefault="00000000">
      <w:pPr>
        <w:pStyle w:val="Heading1"/>
        <w:spacing w:after="120"/>
      </w:pPr>
      <w:r>
        <w:t>TASK 3: REFLECTION</w:t>
      </w:r>
    </w:p>
    <w:p w14:paraId="63CCDDEA" w14:textId="77777777" w:rsidR="00550BE6" w:rsidRDefault="00000000">
      <w:pPr>
        <w:spacing w:after="300"/>
      </w:pPr>
      <w:r>
        <w:rPr>
          <w:i/>
          <w:iCs/>
        </w:rPr>
        <w:t>Element 6: Reflection on the Development of the OmniCover Life Business Plan</w:t>
      </w:r>
    </w:p>
    <w:p w14:paraId="456A56EA" w14:textId="77777777" w:rsidR="00550BE6" w:rsidRDefault="00000000">
      <w:pPr>
        <w:spacing w:after="240" w:line="360" w:lineRule="auto"/>
        <w:jc w:val="both"/>
      </w:pPr>
      <w:r>
        <w:rPr>
          <w:rFonts w:ascii="Calibri" w:eastAsia="Calibri" w:hAnsi="Calibri" w:cs="Calibri"/>
          <w:sz w:val="24"/>
          <w:szCs w:val="24"/>
        </w:rPr>
        <w:t>Reflecting on the process of developing the OmniCover Life business plan, the most significant learning point was understanding the practical distinction between an insurance broker and an insurance underwriter, and why that distinction is foundational to the entire plan rather than a matter of wording. My initial draft of Element 1 described OmniCover Life in ways that blurred this line, implying the business would assess risk and pay claims itself. Feedback highlighted that establishing an underwriting insurer was unrealistic within the scope of this module and the proposed start-up funding, since it would require PRA/FCA authorisation, substantial regulatory capital, claims reserves, actuarial expertise, and reinsurance arrangements that the original financial projections did not account for.</w:t>
      </w:r>
    </w:p>
    <w:p w14:paraId="1B9520FB" w14:textId="77777777" w:rsidR="00550BE6" w:rsidRDefault="00000000">
      <w:pPr>
        <w:spacing w:after="240" w:line="360" w:lineRule="auto"/>
        <w:jc w:val="both"/>
      </w:pPr>
      <w:r>
        <w:rPr>
          <w:rFonts w:ascii="Calibri" w:eastAsia="Calibri" w:hAnsi="Calibri" w:cs="Calibri"/>
          <w:sz w:val="24"/>
          <w:szCs w:val="24"/>
        </w:rPr>
        <w:t xml:space="preserve">Revisiting the plan against this feedback meant reconsidering the underlying business model, not just the wording. I repositioned OmniCover Life explicitly as a broker and comparison platform working with a panel of already-authorised insurers, who would issue policies and retain claims responsibility, while the business earned commission and fees. This meant revising the financial planning section so that fixed and start-up costs reflected platform, marketing, and onboarding costs rather than capital reserves, for example making clear that the £159,586 initial investment covered platform development and working capital, not claims funding. This experience taught me that a business idea </w:t>
      </w:r>
      <w:proofErr w:type="gramStart"/>
      <w:r>
        <w:rPr>
          <w:rFonts w:ascii="Calibri" w:eastAsia="Calibri" w:hAnsi="Calibri" w:cs="Calibri"/>
          <w:sz w:val="24"/>
          <w:szCs w:val="24"/>
        </w:rPr>
        <w:t>has to</w:t>
      </w:r>
      <w:proofErr w:type="gramEnd"/>
      <w:r>
        <w:rPr>
          <w:rFonts w:ascii="Calibri" w:eastAsia="Calibri" w:hAnsi="Calibri" w:cs="Calibri"/>
          <w:sz w:val="24"/>
          <w:szCs w:val="24"/>
        </w:rPr>
        <w:t xml:space="preserve"> be tested against real regulatory and financial constraints, not only market opportunity; an idea that looks strong from a customer or marketing perspective can still be structurally unworkable if the underlying financial and regulatory model does not hold up.</w:t>
      </w:r>
    </w:p>
    <w:p w14:paraId="431F0C15" w14:textId="77777777" w:rsidR="00550BE6" w:rsidRDefault="00000000">
      <w:pPr>
        <w:spacing w:after="240" w:line="360" w:lineRule="auto"/>
        <w:jc w:val="both"/>
      </w:pPr>
      <w:r>
        <w:rPr>
          <w:rFonts w:ascii="Calibri" w:eastAsia="Calibri" w:hAnsi="Calibri" w:cs="Calibri"/>
          <w:sz w:val="24"/>
          <w:szCs w:val="24"/>
        </w:rPr>
        <w:t xml:space="preserve">A second significant challenge was the competitor and SWOT analysis. Unlike the financial or marketing sections, which could largely be built from course frameworks and reasoned assumptions, the competitor analysis required me to accurately characterise how real, currently operating businesses, including Compare the Market, Jointly AI, </w:t>
      </w:r>
      <w:proofErr w:type="spellStart"/>
      <w:r>
        <w:rPr>
          <w:rFonts w:ascii="Calibri" w:eastAsia="Calibri" w:hAnsi="Calibri" w:cs="Calibri"/>
          <w:sz w:val="24"/>
          <w:szCs w:val="24"/>
        </w:rPr>
        <w:t>Hyperexponential</w:t>
      </w:r>
      <w:proofErr w:type="spellEnd"/>
      <w:r>
        <w:rPr>
          <w:rFonts w:ascii="Calibri" w:eastAsia="Calibri" w:hAnsi="Calibri" w:cs="Calibri"/>
          <w:sz w:val="24"/>
          <w:szCs w:val="24"/>
        </w:rPr>
        <w:t xml:space="preserve">, and </w:t>
      </w:r>
      <w:proofErr w:type="spellStart"/>
      <w:r>
        <w:rPr>
          <w:rFonts w:ascii="Calibri" w:eastAsia="Calibri" w:hAnsi="Calibri" w:cs="Calibri"/>
          <w:sz w:val="24"/>
          <w:szCs w:val="24"/>
        </w:rPr>
        <w:lastRenderedPageBreak/>
        <w:t>FintechOS</w:t>
      </w:r>
      <w:proofErr w:type="spellEnd"/>
      <w:r>
        <w:rPr>
          <w:rFonts w:ascii="Calibri" w:eastAsia="Calibri" w:hAnsi="Calibri" w:cs="Calibri"/>
          <w:sz w:val="24"/>
          <w:szCs w:val="24"/>
        </w:rPr>
        <w:t xml:space="preserve">, position themselves, since getting this wrong would misrepresent the competitive landscape. It was genuinely difficult to draw a clear line between direct and indirect competitors, since several of these companies, particularly the newer AI-native entrants, operate in ways that overlap with more than one category. I addressed this by returning to core marketing and strategy literature on market segmentation and competitive positioning to reason more carefully about what </w:t>
      </w:r>
      <w:proofErr w:type="gramStart"/>
      <w:r>
        <w:rPr>
          <w:rFonts w:ascii="Calibri" w:eastAsia="Calibri" w:hAnsi="Calibri" w:cs="Calibri"/>
          <w:sz w:val="24"/>
          <w:szCs w:val="24"/>
        </w:rPr>
        <w:t>actually defines</w:t>
      </w:r>
      <w:proofErr w:type="gramEnd"/>
      <w:r>
        <w:rPr>
          <w:rFonts w:ascii="Calibri" w:eastAsia="Calibri" w:hAnsi="Calibri" w:cs="Calibri"/>
          <w:sz w:val="24"/>
          <w:szCs w:val="24"/>
        </w:rPr>
        <w:t xml:space="preserve"> a direct versus indirect competitor in this context, and by researching how each real company currently operates and where it sits relative to OmniCover Life. I also revised this section more than once after reviewing feedback on earlier drafts, tightening the distinction between companies that compete for the same customer decision, which are direct, and those that compete indirectly by reducing insurers' need for a broker at all, such as </w:t>
      </w:r>
      <w:proofErr w:type="spellStart"/>
      <w:r>
        <w:rPr>
          <w:rFonts w:ascii="Calibri" w:eastAsia="Calibri" w:hAnsi="Calibri" w:cs="Calibri"/>
          <w:sz w:val="24"/>
          <w:szCs w:val="24"/>
        </w:rPr>
        <w:t>Hyperexponential</w:t>
      </w:r>
      <w:proofErr w:type="spellEnd"/>
      <w:r>
        <w:rPr>
          <w:rFonts w:ascii="Calibri" w:eastAsia="Calibri" w:hAnsi="Calibri" w:cs="Calibri"/>
          <w:sz w:val="24"/>
          <w:szCs w:val="24"/>
        </w:rPr>
        <w:t xml:space="preserve"> and </w:t>
      </w:r>
      <w:proofErr w:type="spellStart"/>
      <w:r>
        <w:rPr>
          <w:rFonts w:ascii="Calibri" w:eastAsia="Calibri" w:hAnsi="Calibri" w:cs="Calibri"/>
          <w:sz w:val="24"/>
          <w:szCs w:val="24"/>
        </w:rPr>
        <w:t>FintechOS</w:t>
      </w:r>
      <w:proofErr w:type="spellEnd"/>
      <w:r>
        <w:rPr>
          <w:rFonts w:ascii="Calibri" w:eastAsia="Calibri" w:hAnsi="Calibri" w:cs="Calibri"/>
          <w:sz w:val="24"/>
          <w:szCs w:val="24"/>
        </w:rPr>
        <w:t>. This iterative process of drafting, researching, receiving feedback, and revising was, in practice, how I worked through most of the difficulties in this assignment, rather than any single method solving problems on its own.</w:t>
      </w:r>
    </w:p>
    <w:p w14:paraId="191F65BC" w14:textId="77777777" w:rsidR="00550BE6" w:rsidRDefault="00000000">
      <w:pPr>
        <w:spacing w:after="240" w:line="360" w:lineRule="auto"/>
        <w:jc w:val="both"/>
      </w:pPr>
      <w:r>
        <w:rPr>
          <w:rFonts w:ascii="Calibri" w:eastAsia="Calibri" w:hAnsi="Calibri" w:cs="Calibri"/>
          <w:sz w:val="24"/>
          <w:szCs w:val="24"/>
        </w:rPr>
        <w:t>Together, these two challenges reinforced a broader learning point: that critical thinking in business planning is less about generating ideas and more about stress-testing them against constraints, regulatory, financial, and competitive, that are not always visible at the ideation stage. The process also highlighted the value of revising in response to feedback rather than treating a first draft as final. Several of the strongest parts of the finished plan, including the broker-model financial reasoning, only emerged after a deliberate revision cycle rather than from the initial draft.</w:t>
      </w:r>
    </w:p>
    <w:p w14:paraId="648EAA8C" w14:textId="77777777" w:rsidR="00550BE6" w:rsidRDefault="00000000">
      <w:pPr>
        <w:spacing w:after="240" w:line="360" w:lineRule="auto"/>
        <w:jc w:val="both"/>
      </w:pPr>
      <w:r>
        <w:rPr>
          <w:rFonts w:ascii="Calibri" w:eastAsia="Calibri" w:hAnsi="Calibri" w:cs="Calibri"/>
          <w:sz w:val="24"/>
          <w:szCs w:val="24"/>
        </w:rPr>
        <w:t xml:space="preserve">If I were to develop OmniCover Life further, the priority would be to obtain far more precise detail on the FCA regulatory requirements for insurance intermediaries, rather than relying on the general awareness reflected in the current plan. Areas such as conduct-of-business rules, commission disclosure requirements, and consumer duty obligations are referenced at a fairly high level throughout the plan, and I recognise that a genuinely investable version of this business would need a much more detailed compliance framework, ideally informed by direct guidance from the FCA or a regulatory specialist, before any panel agreements or distribution partnerships could realistically be formed. This would also likely affect the financial planning, since compliance </w:t>
      </w:r>
      <w:r>
        <w:rPr>
          <w:rFonts w:ascii="Calibri" w:eastAsia="Calibri" w:hAnsi="Calibri" w:cs="Calibri"/>
          <w:sz w:val="24"/>
          <w:szCs w:val="24"/>
        </w:rPr>
        <w:lastRenderedPageBreak/>
        <w:t>costs and timelines are probably understated in the current projections. More broadly, this experience has shown me that regulatory feasibility should be established early in the planning process, before detailed marketing or financial work is built on top of it, rather than being treated as a constraint to check at the end.</w:t>
      </w:r>
    </w:p>
    <w:sectPr w:rsidR="00550BE6">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C93D35"/>
    <w:multiLevelType w:val="hybridMultilevel"/>
    <w:tmpl w:val="9CA02B9C"/>
    <w:lvl w:ilvl="0" w:tplc="82E0347E">
      <w:start w:val="1"/>
      <w:numFmt w:val="bullet"/>
      <w:lvlText w:val="●"/>
      <w:lvlJc w:val="left"/>
      <w:pPr>
        <w:ind w:left="720" w:hanging="360"/>
      </w:pPr>
    </w:lvl>
    <w:lvl w:ilvl="1" w:tplc="18108246">
      <w:start w:val="1"/>
      <w:numFmt w:val="bullet"/>
      <w:lvlText w:val="○"/>
      <w:lvlJc w:val="left"/>
      <w:pPr>
        <w:ind w:left="1440" w:hanging="360"/>
      </w:pPr>
    </w:lvl>
    <w:lvl w:ilvl="2" w:tplc="219CBAE6">
      <w:start w:val="1"/>
      <w:numFmt w:val="bullet"/>
      <w:lvlText w:val="■"/>
      <w:lvlJc w:val="left"/>
      <w:pPr>
        <w:ind w:left="2160" w:hanging="360"/>
      </w:pPr>
    </w:lvl>
    <w:lvl w:ilvl="3" w:tplc="B290CA34">
      <w:start w:val="1"/>
      <w:numFmt w:val="bullet"/>
      <w:lvlText w:val="●"/>
      <w:lvlJc w:val="left"/>
      <w:pPr>
        <w:ind w:left="2880" w:hanging="360"/>
      </w:pPr>
    </w:lvl>
    <w:lvl w:ilvl="4" w:tplc="E8C42FB2">
      <w:start w:val="1"/>
      <w:numFmt w:val="bullet"/>
      <w:lvlText w:val="○"/>
      <w:lvlJc w:val="left"/>
      <w:pPr>
        <w:ind w:left="3600" w:hanging="360"/>
      </w:pPr>
    </w:lvl>
    <w:lvl w:ilvl="5" w:tplc="0C2401C2">
      <w:start w:val="1"/>
      <w:numFmt w:val="bullet"/>
      <w:lvlText w:val="■"/>
      <w:lvlJc w:val="left"/>
      <w:pPr>
        <w:ind w:left="4320" w:hanging="360"/>
      </w:pPr>
    </w:lvl>
    <w:lvl w:ilvl="6" w:tplc="D576C58A">
      <w:start w:val="1"/>
      <w:numFmt w:val="bullet"/>
      <w:lvlText w:val="●"/>
      <w:lvlJc w:val="left"/>
      <w:pPr>
        <w:ind w:left="5040" w:hanging="360"/>
      </w:pPr>
    </w:lvl>
    <w:lvl w:ilvl="7" w:tplc="DE2845A2">
      <w:start w:val="1"/>
      <w:numFmt w:val="bullet"/>
      <w:lvlText w:val="●"/>
      <w:lvlJc w:val="left"/>
      <w:pPr>
        <w:ind w:left="5760" w:hanging="360"/>
      </w:pPr>
    </w:lvl>
    <w:lvl w:ilvl="8" w:tplc="D7E0664C">
      <w:start w:val="1"/>
      <w:numFmt w:val="bullet"/>
      <w:lvlText w:val="●"/>
      <w:lvlJc w:val="left"/>
      <w:pPr>
        <w:ind w:left="6480" w:hanging="360"/>
      </w:pPr>
    </w:lvl>
  </w:abstractNum>
  <w:num w:numId="1" w16cid:durableId="178614920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0BE6"/>
    <w:rsid w:val="004D1BBC"/>
    <w:rsid w:val="00550BE6"/>
    <w:rsid w:val="006E1380"/>
    <w:rsid w:val="00702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99149"/>
  <w15:docId w15:val="{98259966-F082-4903-97D2-937966D9F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794</Words>
  <Characters>4526</Characters>
  <Application>Microsoft Office Word</Application>
  <DocSecurity>0</DocSecurity>
  <Lines>37</Lines>
  <Paragraphs>10</Paragraphs>
  <ScaleCrop>false</ScaleCrop>
  <Company/>
  <LinksUpToDate>false</LinksUpToDate>
  <CharactersWithSpaces>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Vasile Claudiu Neacsu</cp:lastModifiedBy>
  <cp:revision>3</cp:revision>
  <dcterms:created xsi:type="dcterms:W3CDTF">2026-08-13T20:57:00Z</dcterms:created>
  <dcterms:modified xsi:type="dcterms:W3CDTF">2026-08-13T21:15:00Z</dcterms:modified>
</cp:coreProperties>
</file>