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color w:val="000000" w:themeColor="text1"/>
        </w:rPr>
        <w:id w:val="1089352856"/>
        <w:docPartObj>
          <w:docPartGallery w:val="Cover Pages"/>
          <w:docPartUnique/>
        </w:docPartObj>
      </w:sdtPr>
      <w:sdtEndPr>
        <w:rPr>
          <w:sz w:val="23"/>
          <w:szCs w:val="23"/>
        </w:rPr>
      </w:sdtEndPr>
      <w:sdtContent>
        <w:p w14:paraId="5B36FDF4" w14:textId="209A19CB" w:rsidR="005731DE" w:rsidRPr="00182CE2" w:rsidRDefault="005731DE">
          <w:pPr>
            <w:rPr>
              <w:color w:val="000000" w:themeColor="text1"/>
            </w:rPr>
          </w:pPr>
          <w:r w:rsidRPr="00182CE2">
            <w:rPr>
              <w:noProof/>
              <w:color w:val="000000" w:themeColor="text1"/>
              <w:lang w:eastAsia="en-GB"/>
            </w:rPr>
            <mc:AlternateContent>
              <mc:Choice Requires="wpg">
                <w:drawing>
                  <wp:anchor distT="0" distB="0" distL="114300" distR="114300" simplePos="0" relativeHeight="251662336" behindDoc="0" locked="0" layoutInCell="1" allowOverlap="1" wp14:anchorId="67B96A8E" wp14:editId="4F39BF86">
                    <wp:simplePos x="0" y="0"/>
                    <wp:positionH relativeFrom="page">
                      <wp:align>center</wp:align>
                    </wp:positionH>
                    <mc:AlternateContent>
                      <mc:Choice Requires="wp14">
                        <wp:positionV relativeFrom="page">
                          <wp14:pctPosVOffset>2300</wp14:pctPosVOffset>
                        </wp:positionV>
                      </mc:Choice>
                      <mc:Fallback>
                        <wp:positionV relativeFrom="page">
                          <wp:posOffset>252730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D63F4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182CE2">
            <w:rPr>
              <w:noProof/>
              <w:color w:val="000000" w:themeColor="text1"/>
              <w:lang w:eastAsia="en-GB"/>
            </w:rPr>
            <mc:AlternateContent>
              <mc:Choice Requires="wps">
                <w:drawing>
                  <wp:anchor distT="0" distB="0" distL="114300" distR="114300" simplePos="0" relativeHeight="251661312" behindDoc="0" locked="0" layoutInCell="1" allowOverlap="1" wp14:anchorId="0D9B10C5" wp14:editId="051FB492">
                    <wp:simplePos x="0" y="0"/>
                    <wp:positionH relativeFrom="page">
                      <wp:align>center</wp:align>
                    </wp:positionH>
                    <mc:AlternateContent>
                      <mc:Choice Requires="wp14">
                        <wp:positionV relativeFrom="page">
                          <wp14:pctPosVOffset>70000</wp14:pctPosVOffset>
                        </wp:positionV>
                      </mc:Choice>
                      <mc:Fallback>
                        <wp:positionV relativeFrom="page">
                          <wp:posOffset>7706360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C0933BD" w14:textId="280BDB7E" w:rsidR="005731DE" w:rsidRDefault="005731D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D9B10C5"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C0933BD" w14:textId="280BDB7E" w:rsidR="005731DE" w:rsidRDefault="005731D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182CE2">
            <w:rPr>
              <w:noProof/>
              <w:color w:val="000000" w:themeColor="text1"/>
              <w:lang w:eastAsia="en-GB"/>
            </w:rPr>
            <mc:AlternateContent>
              <mc:Choice Requires="wps">
                <w:drawing>
                  <wp:anchor distT="0" distB="0" distL="114300" distR="114300" simplePos="0" relativeHeight="251659264" behindDoc="0" locked="0" layoutInCell="1" allowOverlap="1" wp14:anchorId="589E4ED4" wp14:editId="4C4307D0">
                    <wp:simplePos x="0" y="0"/>
                    <wp:positionH relativeFrom="page">
                      <wp:align>center</wp:align>
                    </wp:positionH>
                    <mc:AlternateContent>
                      <mc:Choice Requires="wp14">
                        <wp:positionV relativeFrom="page">
                          <wp14:pctPosVOffset>30000</wp14:pctPosVOffset>
                        </wp:positionV>
                      </mc:Choice>
                      <mc:Fallback>
                        <wp:positionV relativeFrom="page">
                          <wp:posOffset>3302635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FAFEF4" w14:textId="2A6A3CC9" w:rsidR="005731DE" w:rsidRDefault="007463E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2FDF">
                                      <w:rPr>
                                        <w:caps/>
                                        <w:color w:val="5B9BD5" w:themeColor="accent1"/>
                                        <w:sz w:val="64"/>
                                        <w:szCs w:val="64"/>
                                      </w:rPr>
                                      <w:t>PORTFOLIO OF ACTIVITIES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F13A05F" w14:textId="57695EF5" w:rsidR="005731DE" w:rsidRDefault="005731D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9E4ED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3FAFEF4" w14:textId="2A6A3CC9" w:rsidR="005731DE" w:rsidRDefault="007463E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2FDF">
                                <w:rPr>
                                  <w:caps/>
                                  <w:color w:val="5B9BD5" w:themeColor="accent1"/>
                                  <w:sz w:val="64"/>
                                  <w:szCs w:val="64"/>
                                </w:rPr>
                                <w:t>PORTFOLIO OF ACTIVITIES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F13A05F" w14:textId="57695EF5" w:rsidR="005731DE" w:rsidRDefault="005731D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2CFB940" w14:textId="10A078AC" w:rsidR="005731DE" w:rsidRPr="00182CE2" w:rsidRDefault="005731DE">
          <w:pPr>
            <w:rPr>
              <w:rFonts w:ascii="Arial" w:hAnsi="Arial" w:cs="Arial"/>
              <w:color w:val="000000" w:themeColor="text1"/>
              <w:sz w:val="23"/>
              <w:szCs w:val="23"/>
            </w:rPr>
          </w:pPr>
          <w:r w:rsidRPr="00182CE2">
            <w:rPr>
              <w:color w:val="000000" w:themeColor="text1"/>
              <w:sz w:val="23"/>
              <w:szCs w:val="23"/>
            </w:rPr>
            <w:br w:type="page"/>
          </w:r>
        </w:p>
      </w:sdtContent>
    </w:sdt>
    <w:p w14:paraId="5C9B4067" w14:textId="77777777" w:rsidR="00AA0AF2" w:rsidRPr="00BE2366" w:rsidRDefault="00AA0AF2" w:rsidP="00AA0AF2">
      <w:pPr>
        <w:jc w:val="center"/>
        <w:rPr>
          <w:rFonts w:ascii="Arial" w:hAnsi="Arial" w:cs="Arial"/>
          <w:sz w:val="23"/>
          <w:szCs w:val="23"/>
        </w:rPr>
      </w:pPr>
      <w:r w:rsidRPr="00BE2366">
        <w:rPr>
          <w:rFonts w:ascii="Arial" w:hAnsi="Arial" w:cs="Arial"/>
          <w:sz w:val="23"/>
          <w:szCs w:val="23"/>
        </w:rPr>
        <w:lastRenderedPageBreak/>
        <w:t>Puberty Chapter 37</w:t>
      </w:r>
    </w:p>
    <w:p w14:paraId="4B02935F" w14:textId="77777777" w:rsidR="00AA0AF2" w:rsidRPr="00BE2366" w:rsidRDefault="00AA0AF2" w:rsidP="00AA0AF2">
      <w:pPr>
        <w:rPr>
          <w:rFonts w:ascii="Arial" w:hAnsi="Arial" w:cs="Arial"/>
          <w:sz w:val="23"/>
          <w:szCs w:val="23"/>
        </w:rPr>
      </w:pPr>
      <w:r w:rsidRPr="00BE2366">
        <w:rPr>
          <w:rFonts w:ascii="Arial" w:hAnsi="Arial" w:cs="Arial"/>
          <w:sz w:val="23"/>
          <w:szCs w:val="23"/>
        </w:rPr>
        <w:t>When puberty starts it is a big milestone for both males and females. It takes a lot of getting used to, as puberty is a very complicated process and makes a lot of changes to the body. In men puberty begins when the glands in the pelvis and the prostate glands are fully developed. However, with female’s puberty starts when the ovaries become larger. Males and females both experience an increase of height and weight during this time. Men’s voices break, they begin to grow facial and chest hair and begin to produce sperm. Female’s breasts get bigger, their bodies change shape as they put weight on and their periods will soon begin. In puberty there is big differences for males and females. There is a specific idea of what puberty means for different sexes. Simmons and Blyth, 1987 tell us that puberty will make males happier with their body image as they begin to develop muscle and strength. However, for females his development has adverse effects on their bodies as they are likely to put on weight, this results in them moving further away from their ideal body image. On top of this females will begin having periods which are negative for them. Davies and Furnham (1986) tells us that adolescents are hard on themselves due to the physical change’s puberty faces them with. As these changes take place adolescents begin noticing sexual development and attractions taking shape within them. This leads to extra pressure on them from the media and the ways others perceive them. This can then lead to them having a poor view of themselves. Many issues develop as a result of this, as many young people can develop eating disorders and mental health illnesses such as depression. These issues can also be a result of bullying by their peers. (kloep and Hendry, 1999). Even though puberty is the same for all females, they may reach different points at different times. Belsky et al’s (1991) psychological acceleration theory states that if a female comes from a broken home, they are more likely to become sexually active and pregnant due to earlier puberty caused by the break down in the home. These circumstances can lead to puberty starting as much as half a year earlier than it would usually have if the female had a stable environment to grow up in. Another factor that plays a big part in early puberty is a female’s father being absent, this also leads to female’s being more likely to have underage sex. Also, this works in the opposite direction. If a father and daughter have a good bond, then the female is less likely to engage in underage sex and her puberty would usually develop according to her age. Even though early puberty may not prove it is due to their environment or a father’s absence, it could mean they are not equipped with the life experience or emotional knowledge to become sexually active and have children.</w:t>
      </w:r>
    </w:p>
    <w:p w14:paraId="3CDC8931" w14:textId="77777777" w:rsidR="00AA0AF2" w:rsidRPr="00BE2366" w:rsidRDefault="00AA0AF2" w:rsidP="00AA0AF2">
      <w:pPr>
        <w:rPr>
          <w:rFonts w:ascii="Arial" w:hAnsi="Arial" w:cs="Arial"/>
          <w:sz w:val="23"/>
          <w:szCs w:val="23"/>
        </w:rPr>
      </w:pPr>
      <w:r w:rsidRPr="00BE2366">
        <w:rPr>
          <w:rFonts w:ascii="Arial" w:hAnsi="Arial" w:cs="Arial"/>
          <w:sz w:val="23"/>
          <w:szCs w:val="23"/>
        </w:rPr>
        <w:t xml:space="preserve">Gross, R. (2010). Adolescence. </w:t>
      </w:r>
    </w:p>
    <w:p w14:paraId="3EE07FF9" w14:textId="322330C0" w:rsidR="007B2C43" w:rsidRDefault="007B2C43" w:rsidP="00CF4B07">
      <w:pPr>
        <w:pStyle w:val="Default"/>
        <w:spacing w:line="480" w:lineRule="auto"/>
        <w:ind w:hanging="720"/>
        <w:rPr>
          <w:rFonts w:eastAsia="Times New Roman"/>
          <w:color w:val="000000" w:themeColor="text1"/>
          <w:sz w:val="23"/>
          <w:szCs w:val="23"/>
          <w:u w:val="single"/>
          <w:shd w:val="clear" w:color="auto" w:fill="FFFFFF"/>
          <w:lang w:eastAsia="en-GB"/>
        </w:rPr>
      </w:pPr>
    </w:p>
    <w:p w14:paraId="29330FC3" w14:textId="7746B72E" w:rsidR="00AA0AF2" w:rsidRDefault="00AA0AF2" w:rsidP="00AA0AF2">
      <w:pPr>
        <w:pStyle w:val="Default"/>
        <w:spacing w:line="480" w:lineRule="auto"/>
        <w:rPr>
          <w:rFonts w:eastAsia="Times New Roman"/>
          <w:color w:val="000000" w:themeColor="text1"/>
          <w:sz w:val="23"/>
          <w:szCs w:val="23"/>
          <w:u w:val="single"/>
          <w:shd w:val="clear" w:color="auto" w:fill="FFFFFF"/>
          <w:lang w:eastAsia="en-GB"/>
        </w:rPr>
      </w:pPr>
    </w:p>
    <w:p w14:paraId="6EEE6A07" w14:textId="52CC712C" w:rsidR="00AA0AF2" w:rsidRDefault="00AA0AF2" w:rsidP="00AA0AF2">
      <w:pPr>
        <w:pStyle w:val="Default"/>
        <w:spacing w:line="480" w:lineRule="auto"/>
        <w:rPr>
          <w:rFonts w:eastAsia="Times New Roman"/>
          <w:color w:val="000000" w:themeColor="text1"/>
          <w:sz w:val="23"/>
          <w:szCs w:val="23"/>
          <w:u w:val="single"/>
          <w:shd w:val="clear" w:color="auto" w:fill="FFFFFF"/>
          <w:lang w:eastAsia="en-GB"/>
        </w:rPr>
      </w:pPr>
    </w:p>
    <w:p w14:paraId="081E7F47" w14:textId="60C3487D" w:rsidR="00AA0AF2" w:rsidRDefault="00AA0AF2" w:rsidP="00AA0AF2">
      <w:pPr>
        <w:pStyle w:val="Default"/>
        <w:spacing w:line="480" w:lineRule="auto"/>
        <w:rPr>
          <w:rFonts w:eastAsia="Times New Roman"/>
          <w:color w:val="000000" w:themeColor="text1"/>
          <w:sz w:val="23"/>
          <w:szCs w:val="23"/>
          <w:u w:val="single"/>
          <w:shd w:val="clear" w:color="auto" w:fill="FFFFFF"/>
          <w:lang w:eastAsia="en-GB"/>
        </w:rPr>
      </w:pPr>
    </w:p>
    <w:p w14:paraId="3EC0C0B2" w14:textId="56F7861E" w:rsidR="00AA0AF2" w:rsidRDefault="00AA0AF2" w:rsidP="00AA0AF2">
      <w:pPr>
        <w:pStyle w:val="Default"/>
        <w:spacing w:line="480" w:lineRule="auto"/>
        <w:rPr>
          <w:rFonts w:eastAsia="Times New Roman"/>
          <w:color w:val="000000" w:themeColor="text1"/>
          <w:sz w:val="23"/>
          <w:szCs w:val="23"/>
          <w:u w:val="single"/>
          <w:shd w:val="clear" w:color="auto" w:fill="FFFFFF"/>
          <w:lang w:eastAsia="en-GB"/>
        </w:rPr>
      </w:pPr>
    </w:p>
    <w:p w14:paraId="70E1145F" w14:textId="15C0FA7B" w:rsidR="00AA0AF2" w:rsidRDefault="00AA0AF2" w:rsidP="00AA0AF2">
      <w:pPr>
        <w:pStyle w:val="Default"/>
        <w:spacing w:line="480" w:lineRule="auto"/>
        <w:rPr>
          <w:rFonts w:eastAsia="Times New Roman"/>
          <w:color w:val="000000" w:themeColor="text1"/>
          <w:sz w:val="23"/>
          <w:szCs w:val="23"/>
          <w:u w:val="single"/>
          <w:shd w:val="clear" w:color="auto" w:fill="FFFFFF"/>
          <w:lang w:eastAsia="en-GB"/>
        </w:rPr>
      </w:pPr>
    </w:p>
    <w:p w14:paraId="2755FB21" w14:textId="07C362C9" w:rsidR="00AA0AF2" w:rsidRDefault="00AA0AF2" w:rsidP="00AA0AF2">
      <w:pPr>
        <w:pStyle w:val="Default"/>
        <w:spacing w:line="480" w:lineRule="auto"/>
        <w:rPr>
          <w:rFonts w:eastAsia="Times New Roman"/>
          <w:color w:val="000000" w:themeColor="text1"/>
          <w:sz w:val="23"/>
          <w:szCs w:val="23"/>
          <w:u w:val="single"/>
          <w:shd w:val="clear" w:color="auto" w:fill="FFFFFF"/>
          <w:lang w:eastAsia="en-GB"/>
        </w:rPr>
      </w:pPr>
    </w:p>
    <w:p w14:paraId="4608EDC8" w14:textId="77777777" w:rsidR="00AA0AF2" w:rsidRPr="00212FDF" w:rsidRDefault="00AA0AF2" w:rsidP="00AA0AF2">
      <w:pPr>
        <w:pStyle w:val="Default"/>
        <w:spacing w:line="480" w:lineRule="auto"/>
        <w:ind w:hanging="720"/>
        <w:jc w:val="center"/>
        <w:rPr>
          <w:color w:val="0461C1"/>
          <w:sz w:val="23"/>
          <w:szCs w:val="23"/>
        </w:rPr>
      </w:pPr>
      <w:r w:rsidRPr="00BE2366">
        <w:rPr>
          <w:sz w:val="23"/>
          <w:szCs w:val="23"/>
          <w:u w:val="single"/>
        </w:rPr>
        <w:lastRenderedPageBreak/>
        <w:t>Abstract one</w:t>
      </w:r>
    </w:p>
    <w:p w14:paraId="5F96E486" w14:textId="77777777" w:rsidR="00AA0AF2" w:rsidRPr="00BE2366" w:rsidRDefault="00AA0AF2" w:rsidP="00AA0AF2">
      <w:pPr>
        <w:rPr>
          <w:rFonts w:ascii="Arial" w:hAnsi="Arial" w:cs="Arial"/>
          <w:sz w:val="23"/>
          <w:szCs w:val="23"/>
        </w:rPr>
      </w:pPr>
      <w:r w:rsidRPr="00BE2366">
        <w:rPr>
          <w:rFonts w:ascii="Arial" w:hAnsi="Arial" w:cs="Arial"/>
          <w:sz w:val="23"/>
          <w:szCs w:val="23"/>
        </w:rPr>
        <w:t>This paper examines how authors can write a good abstract. Abstract background is brief and only outlines current topic knowledge and knowledge authors hope to discover. Also highlight the different aspects of information. Methods is a large section of an abstract as this detail the information needed to give an understanding of what was done. Abstracts often miss out vital parts of information containing important issues. Results are key factors; this section should be good quality and quantity as readers want to know what the research found out about the topic. As this section highlights significant findings it should be the lengthiest part for reader understanding. Information should be shown in both abstract and article. This section is vital as it is what draws most people to read about the topic. An abstract conclusion will draw an end to the article. This will state facts surrounding the findings, additional findings.</w:t>
      </w:r>
    </w:p>
    <w:p w14:paraId="3AC9E4D6" w14:textId="77777777" w:rsidR="00AA0AF2" w:rsidRPr="00BE2366" w:rsidRDefault="00AA0AF2" w:rsidP="00AA0AF2">
      <w:pPr>
        <w:jc w:val="center"/>
        <w:rPr>
          <w:rFonts w:ascii="Arial" w:hAnsi="Arial" w:cs="Arial"/>
          <w:sz w:val="23"/>
          <w:szCs w:val="23"/>
          <w:u w:val="single"/>
        </w:rPr>
      </w:pPr>
      <w:r w:rsidRPr="00BE2366">
        <w:rPr>
          <w:rFonts w:ascii="Arial" w:hAnsi="Arial" w:cs="Arial"/>
          <w:sz w:val="23"/>
          <w:szCs w:val="23"/>
          <w:u w:val="single"/>
        </w:rPr>
        <w:t>Abstract two</w:t>
      </w:r>
    </w:p>
    <w:p w14:paraId="6E5CBEC1" w14:textId="77777777" w:rsidR="00AA0AF2" w:rsidRPr="00BE2366" w:rsidRDefault="00AA0AF2" w:rsidP="00AA0AF2">
      <w:pPr>
        <w:rPr>
          <w:rFonts w:ascii="Arial" w:hAnsi="Arial" w:cs="Arial"/>
          <w:sz w:val="23"/>
          <w:szCs w:val="23"/>
        </w:rPr>
      </w:pPr>
      <w:r w:rsidRPr="00BE2366">
        <w:rPr>
          <w:rFonts w:ascii="Arial" w:hAnsi="Arial" w:cs="Arial"/>
          <w:sz w:val="23"/>
          <w:szCs w:val="23"/>
        </w:rPr>
        <w:t xml:space="preserve">This article looks at narcissism and how it links to health-risk and health-protective behaviours. A test using regression models were used on 365 students to test this theory using questionnaires. These looked at the influence of narcissism on alcohol, marijuana use and driving behaviours. It also addressed narcissism as a personality trait and how health protective behaviours were usually due to physical appearance and linked to healthy eating patterns and exercise behaviours which shows us a relationship between narcissism and health. Due to this research we are shown there is a need for further research as there is no clear link between other illegal substances and narcissism. Also further research on the links between dietary patterns and narcissism would be beneficial. We can see a clear link shown between long and short-term health implications however the need for further research on this is important to define these links further. </w:t>
      </w:r>
    </w:p>
    <w:p w14:paraId="770EEA38" w14:textId="77777777" w:rsidR="00AA0AF2" w:rsidRPr="00BE2366" w:rsidRDefault="00AA0AF2" w:rsidP="00AA0AF2">
      <w:pPr>
        <w:jc w:val="center"/>
        <w:rPr>
          <w:rFonts w:ascii="Arial" w:hAnsi="Arial" w:cs="Arial"/>
          <w:sz w:val="23"/>
          <w:szCs w:val="23"/>
          <w:u w:val="single"/>
        </w:rPr>
      </w:pPr>
      <w:r w:rsidRPr="00BE2366">
        <w:rPr>
          <w:rFonts w:ascii="Arial" w:hAnsi="Arial" w:cs="Arial"/>
          <w:sz w:val="23"/>
          <w:szCs w:val="23"/>
          <w:u w:val="single"/>
        </w:rPr>
        <w:t>Abstract three</w:t>
      </w:r>
    </w:p>
    <w:p w14:paraId="123C6D25" w14:textId="77777777" w:rsidR="00AA0AF2" w:rsidRPr="00BE2366" w:rsidRDefault="00AA0AF2" w:rsidP="00AA0AF2">
      <w:pPr>
        <w:rPr>
          <w:rFonts w:ascii="Arial" w:hAnsi="Arial" w:cs="Arial"/>
          <w:sz w:val="23"/>
          <w:szCs w:val="23"/>
        </w:rPr>
      </w:pPr>
      <w:r w:rsidRPr="00BE2366">
        <w:rPr>
          <w:rFonts w:ascii="Arial" w:hAnsi="Arial" w:cs="Arial"/>
          <w:sz w:val="23"/>
          <w:szCs w:val="23"/>
        </w:rPr>
        <w:t>This article looks at concerns surrounding gambling by conducting a survey that addressed gambling behaviours to gain a better understanding, of the role that the theory of planned behaviour plays within gambling and students. This shows us data that supports the TPB and the vulnerability of students. Also, the influence subjective norms have on their behaviour. Gambling frequency was measured through assessments that showed Behavioural control played a part in this. We can see negatives of gambling greatly out way positives as those who engage in gambling maybe likely to drink; smoke or face social/financial issues. Assessments showed that gender, status and attitudes determined students gambling behaviour. Limitations arise as the assessments rely on honesty about gambling behaviours, this shows a need for further research. However considering these factors, research supports the use of TPB model and shows us that by targeting these behaviours this could reduce gambling intentions.</w:t>
      </w:r>
    </w:p>
    <w:p w14:paraId="3333CF3A" w14:textId="77777777" w:rsidR="00AA0AF2" w:rsidRPr="00BE2366" w:rsidRDefault="00AA0AF2" w:rsidP="00AA0AF2">
      <w:pPr>
        <w:rPr>
          <w:rFonts w:ascii="Arial" w:hAnsi="Arial" w:cs="Arial"/>
          <w:sz w:val="23"/>
          <w:szCs w:val="23"/>
        </w:rPr>
      </w:pPr>
      <w:r w:rsidRPr="00BE2366">
        <w:rPr>
          <w:rFonts w:ascii="Arial" w:hAnsi="Arial" w:cs="Arial"/>
          <w:sz w:val="23"/>
          <w:szCs w:val="23"/>
        </w:rPr>
        <w:t xml:space="preserve">Andrade. C. (2011). How to write a good abstract for a scientific paper or conference presentation. </w:t>
      </w:r>
      <w:r w:rsidRPr="00BE2366">
        <w:rPr>
          <w:rFonts w:ascii="Arial" w:hAnsi="Arial" w:cs="Arial"/>
          <w:i/>
          <w:sz w:val="23"/>
          <w:szCs w:val="23"/>
        </w:rPr>
        <w:t xml:space="preserve">Indian Journal of Psychology. 53 </w:t>
      </w:r>
      <w:r w:rsidRPr="00BE2366">
        <w:rPr>
          <w:rFonts w:ascii="Arial" w:hAnsi="Arial" w:cs="Arial"/>
          <w:sz w:val="23"/>
          <w:szCs w:val="23"/>
        </w:rPr>
        <w:t>(2). 172-175.</w:t>
      </w:r>
    </w:p>
    <w:p w14:paraId="65A1B30B" w14:textId="77777777" w:rsidR="00AA0AF2" w:rsidRPr="00BE2366" w:rsidRDefault="00AA0AF2" w:rsidP="00AA0AF2">
      <w:pPr>
        <w:rPr>
          <w:rFonts w:ascii="Arial" w:hAnsi="Arial" w:cs="Arial"/>
          <w:sz w:val="23"/>
          <w:szCs w:val="23"/>
        </w:rPr>
      </w:pPr>
      <w:r w:rsidRPr="00BE2366">
        <w:rPr>
          <w:rFonts w:ascii="Arial" w:hAnsi="Arial" w:cs="Arial"/>
          <w:sz w:val="23"/>
          <w:szCs w:val="23"/>
        </w:rPr>
        <w:t xml:space="preserve">Hill. M. E. (2015). The role of narcissism in health- risk and health- protective behaviours. </w:t>
      </w:r>
      <w:r w:rsidRPr="00BE2366">
        <w:rPr>
          <w:rFonts w:ascii="Arial" w:hAnsi="Arial" w:cs="Arial"/>
          <w:i/>
          <w:sz w:val="23"/>
          <w:szCs w:val="23"/>
        </w:rPr>
        <w:t>Journal of health psychology.</w:t>
      </w:r>
      <w:r w:rsidRPr="00BE2366">
        <w:rPr>
          <w:rFonts w:ascii="Arial" w:hAnsi="Arial" w:cs="Arial"/>
          <w:sz w:val="23"/>
          <w:szCs w:val="23"/>
        </w:rPr>
        <w:t xml:space="preserve"> 1-20.</w:t>
      </w:r>
    </w:p>
    <w:p w14:paraId="4D15DE76" w14:textId="77777777" w:rsidR="00AA0AF2" w:rsidRDefault="00AA0AF2" w:rsidP="00AA0AF2">
      <w:pPr>
        <w:rPr>
          <w:rFonts w:ascii="Arial" w:hAnsi="Arial" w:cs="Arial"/>
          <w:sz w:val="23"/>
          <w:szCs w:val="23"/>
        </w:rPr>
      </w:pPr>
      <w:r w:rsidRPr="00BE2366">
        <w:rPr>
          <w:rFonts w:ascii="Arial" w:hAnsi="Arial" w:cs="Arial"/>
          <w:sz w:val="23"/>
          <w:szCs w:val="23"/>
        </w:rPr>
        <w:t xml:space="preserve">Martin, R. J. Et Al. (2010). Using the theory of planned behaviour to predict gambling behaviour. </w:t>
      </w:r>
      <w:r w:rsidRPr="00BE2366">
        <w:rPr>
          <w:rFonts w:ascii="Arial" w:hAnsi="Arial" w:cs="Arial"/>
          <w:i/>
          <w:sz w:val="23"/>
          <w:szCs w:val="23"/>
        </w:rPr>
        <w:t>Psychology of addicted behaviours. 24</w:t>
      </w:r>
      <w:r>
        <w:rPr>
          <w:rFonts w:ascii="Arial" w:hAnsi="Arial" w:cs="Arial"/>
          <w:sz w:val="23"/>
          <w:szCs w:val="23"/>
        </w:rPr>
        <w:t xml:space="preserve"> (1). 89-97</w:t>
      </w:r>
    </w:p>
    <w:p w14:paraId="4D4D3FFA" w14:textId="156612B4" w:rsidR="00AA0AF2" w:rsidRPr="00AA0AF2" w:rsidRDefault="007B2C43" w:rsidP="00AA0AF2">
      <w:pPr>
        <w:ind w:hanging="720"/>
        <w:jc w:val="both"/>
        <w:rPr>
          <w:rFonts w:ascii="Arial" w:hAnsi="Arial" w:cs="Arial"/>
          <w:sz w:val="23"/>
          <w:szCs w:val="23"/>
        </w:rPr>
      </w:pPr>
      <w:r w:rsidRPr="00AA0AF2">
        <w:rPr>
          <w:rFonts w:ascii="Arial" w:hAnsi="Arial" w:cs="Arial"/>
          <w:sz w:val="23"/>
          <w:szCs w:val="23"/>
        </w:rPr>
        <w:lastRenderedPageBreak/>
        <w:t>Bennett.P (2011). Abnormal and clinical psychology: an introductory textbook. (3</w:t>
      </w:r>
      <w:r w:rsidRPr="00AA0AF2">
        <w:rPr>
          <w:rFonts w:ascii="Arial" w:hAnsi="Arial" w:cs="Arial"/>
          <w:sz w:val="23"/>
          <w:szCs w:val="23"/>
          <w:vertAlign w:val="superscript"/>
        </w:rPr>
        <w:t>rd</w:t>
      </w:r>
      <w:r w:rsidRPr="00AA0AF2">
        <w:rPr>
          <w:rFonts w:ascii="Arial" w:hAnsi="Arial" w:cs="Arial"/>
          <w:sz w:val="23"/>
          <w:szCs w:val="23"/>
        </w:rPr>
        <w:t xml:space="preserve"> ed). Milton </w:t>
      </w:r>
      <w:r w:rsidR="00AA0AF2" w:rsidRPr="00AA0AF2">
        <w:rPr>
          <w:rFonts w:ascii="Arial" w:hAnsi="Arial" w:cs="Arial"/>
          <w:sz w:val="23"/>
          <w:szCs w:val="23"/>
        </w:rPr>
        <w:t xml:space="preserve">     </w:t>
      </w:r>
    </w:p>
    <w:p w14:paraId="459A3D43" w14:textId="0E3EADE4" w:rsidR="007B2C43" w:rsidRPr="005F0B69" w:rsidRDefault="00AA0AF2" w:rsidP="00AA0AF2">
      <w:pPr>
        <w:pStyle w:val="Default"/>
        <w:spacing w:line="480" w:lineRule="auto"/>
        <w:ind w:left="720" w:hanging="720"/>
        <w:rPr>
          <w:sz w:val="23"/>
          <w:szCs w:val="23"/>
        </w:rPr>
      </w:pPr>
      <w:r>
        <w:rPr>
          <w:color w:val="auto"/>
          <w:sz w:val="23"/>
          <w:szCs w:val="23"/>
        </w:rPr>
        <w:t xml:space="preserve">       </w:t>
      </w:r>
      <w:r w:rsidR="007B2C43" w:rsidRPr="00AA0AF2">
        <w:rPr>
          <w:color w:val="auto"/>
          <w:sz w:val="23"/>
          <w:szCs w:val="23"/>
        </w:rPr>
        <w:t xml:space="preserve">Keynes, England. </w:t>
      </w:r>
      <w:r w:rsidR="007B2C43" w:rsidRPr="00AA0AF2">
        <w:rPr>
          <w:sz w:val="23"/>
          <w:szCs w:val="23"/>
        </w:rPr>
        <w:t>Open university</w:t>
      </w:r>
      <w:r w:rsidR="007B2C43" w:rsidRPr="005F0B69">
        <w:rPr>
          <w:sz w:val="23"/>
          <w:szCs w:val="23"/>
        </w:rPr>
        <w:t xml:space="preserve"> press.</w:t>
      </w:r>
    </w:p>
    <w:p w14:paraId="492D09F5" w14:textId="77777777" w:rsidR="007B2C43" w:rsidRPr="005F0B69" w:rsidRDefault="007B2C43" w:rsidP="00AA0AF2">
      <w:pPr>
        <w:pStyle w:val="Default"/>
        <w:spacing w:line="480" w:lineRule="auto"/>
        <w:ind w:hanging="720"/>
        <w:rPr>
          <w:color w:val="0461C1"/>
          <w:sz w:val="23"/>
          <w:szCs w:val="23"/>
        </w:rPr>
      </w:pPr>
      <w:r>
        <w:rPr>
          <w:sz w:val="23"/>
          <w:szCs w:val="23"/>
        </w:rPr>
        <w:t>C</w:t>
      </w:r>
      <w:r w:rsidRPr="005F0B69">
        <w:rPr>
          <w:sz w:val="23"/>
          <w:szCs w:val="23"/>
        </w:rPr>
        <w:t xml:space="preserve">hakkalackal. L. (senior researcher). Kandola. A. (research officer) and Tracy. D. (consultant psychiatrist). (2017, September 10). </w:t>
      </w:r>
      <w:r w:rsidRPr="005F0B69">
        <w:rPr>
          <w:i/>
          <w:sz w:val="23"/>
          <w:szCs w:val="23"/>
        </w:rPr>
        <w:t xml:space="preserve">Computerised cognitive behavioural therapy. Mental Health Foundation </w:t>
      </w:r>
      <w:r w:rsidRPr="005F0B69">
        <w:rPr>
          <w:sz w:val="23"/>
          <w:szCs w:val="23"/>
        </w:rPr>
        <w:t>(Audio podcast). Retrieved from https://www.mentalhealth.org.uk</w:t>
      </w:r>
    </w:p>
    <w:p w14:paraId="5FE3D4F1" w14:textId="77777777" w:rsidR="007B2C43" w:rsidRPr="005F0B69" w:rsidRDefault="007B2C43" w:rsidP="00AA0AF2">
      <w:pPr>
        <w:pStyle w:val="Default"/>
        <w:spacing w:line="480" w:lineRule="auto"/>
        <w:ind w:hanging="720"/>
        <w:rPr>
          <w:sz w:val="23"/>
          <w:szCs w:val="23"/>
        </w:rPr>
      </w:pPr>
      <w:r w:rsidRPr="005F0B69">
        <w:rPr>
          <w:sz w:val="23"/>
          <w:szCs w:val="23"/>
        </w:rPr>
        <w:t xml:space="preserve">Davey.C. G. (2014). </w:t>
      </w:r>
      <w:r w:rsidRPr="005F0B69">
        <w:rPr>
          <w:i/>
          <w:sz w:val="23"/>
          <w:szCs w:val="23"/>
        </w:rPr>
        <w:t>Psychopathology: Research, Assessment, and Treatment in Clinical Psychology</w:t>
      </w:r>
      <w:r w:rsidRPr="005F0B69">
        <w:rPr>
          <w:sz w:val="23"/>
          <w:szCs w:val="23"/>
        </w:rPr>
        <w:t>. (2</w:t>
      </w:r>
      <w:r w:rsidRPr="0098108C">
        <w:rPr>
          <w:sz w:val="23"/>
          <w:szCs w:val="23"/>
          <w:vertAlign w:val="superscript"/>
        </w:rPr>
        <w:t>nd</w:t>
      </w:r>
      <w:r>
        <w:rPr>
          <w:sz w:val="23"/>
          <w:szCs w:val="23"/>
        </w:rPr>
        <w:t xml:space="preserve"> E</w:t>
      </w:r>
      <w:r w:rsidRPr="005F0B69">
        <w:rPr>
          <w:sz w:val="23"/>
          <w:szCs w:val="23"/>
        </w:rPr>
        <w:t>d)</w:t>
      </w:r>
      <w:r>
        <w:rPr>
          <w:sz w:val="23"/>
          <w:szCs w:val="23"/>
        </w:rPr>
        <w:t>. NY</w:t>
      </w:r>
      <w:r w:rsidRPr="005F0B69">
        <w:rPr>
          <w:sz w:val="23"/>
          <w:szCs w:val="23"/>
        </w:rPr>
        <w:t>. John Wiley</w:t>
      </w:r>
      <w:r>
        <w:rPr>
          <w:sz w:val="23"/>
          <w:szCs w:val="23"/>
        </w:rPr>
        <w:t xml:space="preserve"> </w:t>
      </w:r>
      <w:r w:rsidRPr="005F0B69">
        <w:rPr>
          <w:sz w:val="23"/>
          <w:szCs w:val="23"/>
        </w:rPr>
        <w:t>&amp;</w:t>
      </w:r>
      <w:r>
        <w:rPr>
          <w:sz w:val="23"/>
          <w:szCs w:val="23"/>
        </w:rPr>
        <w:t xml:space="preserve"> </w:t>
      </w:r>
      <w:r w:rsidRPr="005F0B69">
        <w:rPr>
          <w:sz w:val="23"/>
          <w:szCs w:val="23"/>
        </w:rPr>
        <w:t>Sons.</w:t>
      </w:r>
    </w:p>
    <w:p w14:paraId="426D12B1" w14:textId="77777777" w:rsidR="007B2C43" w:rsidRPr="008F0B0E" w:rsidRDefault="007B2C43" w:rsidP="00AA0AF2">
      <w:pPr>
        <w:pStyle w:val="Default"/>
        <w:spacing w:line="480" w:lineRule="auto"/>
        <w:ind w:hanging="720"/>
        <w:rPr>
          <w:color w:val="auto"/>
          <w:sz w:val="23"/>
          <w:szCs w:val="23"/>
        </w:rPr>
      </w:pPr>
      <w:r w:rsidRPr="008F0B0E">
        <w:rPr>
          <w:color w:val="auto"/>
          <w:sz w:val="23"/>
          <w:szCs w:val="23"/>
        </w:rPr>
        <w:t xml:space="preserve">Day. S. (2015, September). </w:t>
      </w:r>
      <w:r w:rsidRPr="008F0B0E">
        <w:rPr>
          <w:i/>
          <w:color w:val="auto"/>
          <w:sz w:val="23"/>
          <w:szCs w:val="23"/>
        </w:rPr>
        <w:t>Families experience of Poverty Stigma in Education</w:t>
      </w:r>
      <w:r w:rsidRPr="008F0B0E">
        <w:rPr>
          <w:color w:val="auto"/>
          <w:sz w:val="23"/>
          <w:szCs w:val="23"/>
        </w:rPr>
        <w:t>. In developmental psychology</w:t>
      </w:r>
      <w:r>
        <w:rPr>
          <w:color w:val="auto"/>
          <w:sz w:val="23"/>
          <w:szCs w:val="23"/>
        </w:rPr>
        <w:t xml:space="preserve"> (2016).</w:t>
      </w:r>
      <w:r>
        <w:rPr>
          <w:i/>
          <w:color w:val="auto"/>
          <w:sz w:val="23"/>
          <w:szCs w:val="23"/>
        </w:rPr>
        <w:t xml:space="preserve"> </w:t>
      </w:r>
      <w:r w:rsidRPr="008F0B0E">
        <w:rPr>
          <w:color w:val="auto"/>
          <w:sz w:val="23"/>
          <w:szCs w:val="23"/>
        </w:rPr>
        <w:t xml:space="preserve"> Oral </w:t>
      </w:r>
      <w:r>
        <w:rPr>
          <w:color w:val="auto"/>
          <w:sz w:val="23"/>
          <w:szCs w:val="23"/>
        </w:rPr>
        <w:t xml:space="preserve">presentation at university central Lancashire, UK: </w:t>
      </w:r>
      <w:r w:rsidRPr="008F0B0E">
        <w:rPr>
          <w:color w:val="auto"/>
          <w:sz w:val="23"/>
          <w:szCs w:val="23"/>
        </w:rPr>
        <w:t xml:space="preserve"> </w:t>
      </w:r>
      <w:r>
        <w:rPr>
          <w:color w:val="auto"/>
          <w:sz w:val="23"/>
          <w:szCs w:val="23"/>
        </w:rPr>
        <w:t xml:space="preserve">British psychology society. </w:t>
      </w:r>
    </w:p>
    <w:p w14:paraId="6D72F4C7" w14:textId="77777777" w:rsidR="007B2C43" w:rsidRPr="00182CE2" w:rsidRDefault="007B2C43" w:rsidP="00AA0AF2">
      <w:pPr>
        <w:pStyle w:val="Default"/>
        <w:spacing w:line="480" w:lineRule="auto"/>
        <w:ind w:hanging="720"/>
        <w:rPr>
          <w:color w:val="000000" w:themeColor="text1"/>
          <w:sz w:val="23"/>
          <w:szCs w:val="23"/>
        </w:rPr>
      </w:pPr>
      <w:r w:rsidRPr="00182CE2">
        <w:rPr>
          <w:color w:val="000000" w:themeColor="text1"/>
          <w:sz w:val="23"/>
          <w:szCs w:val="23"/>
        </w:rPr>
        <w:t xml:space="preserve">Evans. L. Mitchell. I. D. Jones. S. (2006) Psychological responses to sports injury. In s, Hampton &amp; S. D Mellalieu (Ed). Literature reviews in sport psychology. Pp 289-319. </w:t>
      </w:r>
      <w:r>
        <w:rPr>
          <w:color w:val="000000" w:themeColor="text1"/>
          <w:sz w:val="23"/>
          <w:szCs w:val="23"/>
        </w:rPr>
        <w:t>Hauppage, N</w:t>
      </w:r>
      <w:r w:rsidRPr="00182CE2">
        <w:rPr>
          <w:color w:val="000000" w:themeColor="text1"/>
          <w:sz w:val="23"/>
          <w:szCs w:val="23"/>
        </w:rPr>
        <w:t xml:space="preserve">York. Nova science publications. </w:t>
      </w:r>
    </w:p>
    <w:p w14:paraId="6E256662" w14:textId="77777777" w:rsidR="007B2C43" w:rsidRPr="005F0B69" w:rsidRDefault="007B2C43" w:rsidP="00AA0AF2">
      <w:pPr>
        <w:pStyle w:val="Default"/>
        <w:spacing w:line="480" w:lineRule="auto"/>
        <w:ind w:hanging="720"/>
        <w:rPr>
          <w:color w:val="0461C1"/>
          <w:sz w:val="23"/>
          <w:szCs w:val="23"/>
        </w:rPr>
      </w:pPr>
      <w:r w:rsidRPr="005F0B69">
        <w:rPr>
          <w:sz w:val="23"/>
          <w:szCs w:val="23"/>
        </w:rPr>
        <w:t xml:space="preserve">Geekie, J., Read, J. (2009). </w:t>
      </w:r>
      <w:r w:rsidRPr="005F0B69">
        <w:rPr>
          <w:i/>
          <w:sz w:val="23"/>
          <w:szCs w:val="23"/>
        </w:rPr>
        <w:t xml:space="preserve">Making sense of madness: Contesting the meaning of schizophrenia. </w:t>
      </w:r>
      <w:r w:rsidRPr="005F0B69">
        <w:rPr>
          <w:sz w:val="23"/>
          <w:szCs w:val="23"/>
        </w:rPr>
        <w:t>London, England. (1</w:t>
      </w:r>
      <w:r w:rsidRPr="005F0B69">
        <w:rPr>
          <w:sz w:val="23"/>
          <w:szCs w:val="23"/>
          <w:vertAlign w:val="superscript"/>
        </w:rPr>
        <w:t>st</w:t>
      </w:r>
      <w:r w:rsidRPr="005F0B69">
        <w:rPr>
          <w:sz w:val="23"/>
          <w:szCs w:val="23"/>
        </w:rPr>
        <w:t xml:space="preserve"> ed). Taylor &amp; Francis Ltd.</w:t>
      </w:r>
    </w:p>
    <w:p w14:paraId="2BD5B39D" w14:textId="77777777" w:rsidR="007B2C43" w:rsidRPr="00182CE2" w:rsidRDefault="007B2C43" w:rsidP="00AA0AF2">
      <w:pPr>
        <w:pStyle w:val="Default"/>
        <w:spacing w:line="480" w:lineRule="auto"/>
        <w:ind w:hanging="720"/>
        <w:rPr>
          <w:color w:val="000000" w:themeColor="text1"/>
          <w:sz w:val="23"/>
          <w:szCs w:val="23"/>
        </w:rPr>
      </w:pPr>
      <w:r w:rsidRPr="00182CE2">
        <w:rPr>
          <w:color w:val="000000" w:themeColor="text1"/>
          <w:spacing w:val="2"/>
          <w:sz w:val="23"/>
          <w:szCs w:val="23"/>
        </w:rPr>
        <w:t xml:space="preserve">Hefferon .k. Boniwell. I. (2011). </w:t>
      </w:r>
      <w:r w:rsidRPr="00182CE2">
        <w:rPr>
          <w:i/>
          <w:color w:val="000000" w:themeColor="text1"/>
          <w:spacing w:val="2"/>
          <w:sz w:val="23"/>
          <w:szCs w:val="23"/>
        </w:rPr>
        <w:t>Positive Psychology: Theory, Research and Applications.</w:t>
      </w:r>
      <w:r w:rsidRPr="00182CE2">
        <w:rPr>
          <w:color w:val="000000" w:themeColor="text1"/>
          <w:sz w:val="23"/>
          <w:szCs w:val="23"/>
        </w:rPr>
        <w:t xml:space="preserve"> </w:t>
      </w:r>
      <w:r w:rsidRPr="00182CE2">
        <w:rPr>
          <w:rFonts w:eastAsia="Times New Roman"/>
          <w:color w:val="000000" w:themeColor="text1"/>
          <w:sz w:val="23"/>
          <w:szCs w:val="23"/>
          <w:lang w:eastAsia="en-GB"/>
        </w:rPr>
        <w:t>Milton Keynes., Open University press.</w:t>
      </w:r>
    </w:p>
    <w:p w14:paraId="40586B2C" w14:textId="77777777" w:rsidR="007B2C43" w:rsidRPr="005F0B69" w:rsidRDefault="007B2C43" w:rsidP="00AA0AF2">
      <w:pPr>
        <w:pStyle w:val="Default"/>
        <w:spacing w:line="480" w:lineRule="auto"/>
        <w:ind w:hanging="720"/>
        <w:rPr>
          <w:sz w:val="23"/>
          <w:szCs w:val="23"/>
        </w:rPr>
      </w:pPr>
      <w:r w:rsidRPr="005F0B69">
        <w:rPr>
          <w:sz w:val="23"/>
          <w:szCs w:val="23"/>
        </w:rPr>
        <w:t xml:space="preserve">Hill. M. E. (2015). The role of narcissism in health- risk and health- protective behaviours. </w:t>
      </w:r>
      <w:r w:rsidRPr="005F0B69">
        <w:rPr>
          <w:i/>
          <w:sz w:val="23"/>
          <w:szCs w:val="23"/>
        </w:rPr>
        <w:t>Journal of health psychology.</w:t>
      </w:r>
      <w:r w:rsidRPr="005F0B69">
        <w:rPr>
          <w:sz w:val="23"/>
          <w:szCs w:val="23"/>
        </w:rPr>
        <w:t xml:space="preserve"> </w:t>
      </w:r>
      <w:r w:rsidRPr="00182CE2">
        <w:rPr>
          <w:i/>
          <w:sz w:val="23"/>
          <w:szCs w:val="23"/>
        </w:rPr>
        <w:t>21</w:t>
      </w:r>
      <w:r>
        <w:rPr>
          <w:sz w:val="23"/>
          <w:szCs w:val="23"/>
        </w:rPr>
        <w:t xml:space="preserve">(9). Pp </w:t>
      </w:r>
      <w:r w:rsidRPr="005F0B69">
        <w:rPr>
          <w:sz w:val="23"/>
          <w:szCs w:val="23"/>
        </w:rPr>
        <w:t>1-20.</w:t>
      </w:r>
      <w:r>
        <w:rPr>
          <w:sz w:val="23"/>
          <w:szCs w:val="23"/>
        </w:rPr>
        <w:t xml:space="preserve"> </w:t>
      </w:r>
      <w:hyperlink r:id="rId9" w:history="1">
        <w:r w:rsidRPr="005F0B69">
          <w:rPr>
            <w:rStyle w:val="Hyperlink"/>
            <w:sz w:val="23"/>
            <w:szCs w:val="23"/>
          </w:rPr>
          <w:t>https://doi.org/10.1177%2F1359105315569858</w:t>
        </w:r>
      </w:hyperlink>
    </w:p>
    <w:p w14:paraId="1B14485C" w14:textId="77777777" w:rsidR="007B2C43" w:rsidRPr="00182CE2" w:rsidRDefault="007B2C43" w:rsidP="00AA0AF2">
      <w:pPr>
        <w:pStyle w:val="Default"/>
        <w:spacing w:line="480" w:lineRule="auto"/>
        <w:ind w:hanging="720"/>
        <w:rPr>
          <w:color w:val="000000" w:themeColor="text1"/>
          <w:sz w:val="23"/>
          <w:szCs w:val="23"/>
        </w:rPr>
      </w:pPr>
      <w:r w:rsidRPr="00182CE2">
        <w:rPr>
          <w:color w:val="000000" w:themeColor="text1"/>
          <w:sz w:val="23"/>
          <w:szCs w:val="23"/>
        </w:rPr>
        <w:t xml:space="preserve">Mazzetti. G., Shaufeli, W.B., &amp; Guglielmi, D. (2014). </w:t>
      </w:r>
      <w:r w:rsidRPr="00182CE2">
        <w:rPr>
          <w:i/>
          <w:color w:val="000000" w:themeColor="text1"/>
          <w:sz w:val="23"/>
          <w:szCs w:val="23"/>
        </w:rPr>
        <w:t>Are workaholics born or made? Relations of workaholism with person characteristics and overwork climate. International journal of stress management, 21</w:t>
      </w:r>
      <w:r w:rsidRPr="00182CE2">
        <w:rPr>
          <w:color w:val="000000" w:themeColor="text1"/>
          <w:sz w:val="23"/>
          <w:szCs w:val="23"/>
        </w:rPr>
        <w:t xml:space="preserve">(3), 227-254. </w:t>
      </w:r>
      <w:hyperlink r:id="rId10" w:tgtFrame="_blank" w:history="1">
        <w:r w:rsidRPr="00182CE2">
          <w:rPr>
            <w:rFonts w:eastAsia="Times New Roman"/>
            <w:color w:val="000000" w:themeColor="text1"/>
            <w:sz w:val="23"/>
            <w:szCs w:val="23"/>
            <w:u w:val="single"/>
            <w:shd w:val="clear" w:color="auto" w:fill="FFFFFF"/>
            <w:lang w:eastAsia="en-GB"/>
          </w:rPr>
          <w:t>doi: 10.1037/a0035700</w:t>
        </w:r>
      </w:hyperlink>
    </w:p>
    <w:p w14:paraId="7428AEEF" w14:textId="77777777" w:rsidR="007B2C43" w:rsidRPr="005F0B69" w:rsidRDefault="007B2C43" w:rsidP="00AA0AF2">
      <w:pPr>
        <w:pStyle w:val="Default"/>
        <w:spacing w:line="480" w:lineRule="auto"/>
        <w:ind w:hanging="720"/>
        <w:rPr>
          <w:sz w:val="23"/>
          <w:szCs w:val="23"/>
        </w:rPr>
      </w:pPr>
      <w:r w:rsidRPr="005F0B69">
        <w:rPr>
          <w:sz w:val="23"/>
          <w:szCs w:val="23"/>
        </w:rPr>
        <w:t>Mohamed. S. (2011).</w:t>
      </w:r>
      <w:r w:rsidRPr="005F0B69">
        <w:rPr>
          <w:i/>
          <w:sz w:val="23"/>
          <w:szCs w:val="23"/>
        </w:rPr>
        <w:t>Stigma and mental illness: are there cultural differences?</w:t>
      </w:r>
      <w:r w:rsidRPr="005F0B69">
        <w:rPr>
          <w:sz w:val="23"/>
          <w:szCs w:val="23"/>
        </w:rPr>
        <w:t>. (Doctoral dissertation). Retrieved from https://ueaeprints.uea.ac.uk</w:t>
      </w:r>
    </w:p>
    <w:p w14:paraId="57CC0BE5" w14:textId="77777777" w:rsidR="007B2C43" w:rsidRPr="00182CE2" w:rsidRDefault="007B2C43" w:rsidP="00AA0AF2">
      <w:pPr>
        <w:pStyle w:val="Default"/>
        <w:spacing w:line="480" w:lineRule="auto"/>
        <w:ind w:hanging="720"/>
        <w:rPr>
          <w:rFonts w:eastAsia="Times New Roman"/>
          <w:bCs/>
          <w:color w:val="000000" w:themeColor="text1"/>
          <w:spacing w:val="2"/>
          <w:kern w:val="36"/>
          <w:sz w:val="23"/>
          <w:szCs w:val="23"/>
          <w:lang w:eastAsia="en-GB"/>
        </w:rPr>
      </w:pPr>
      <w:r w:rsidRPr="00182CE2">
        <w:rPr>
          <w:color w:val="000000" w:themeColor="text1"/>
          <w:sz w:val="23"/>
          <w:szCs w:val="23"/>
        </w:rPr>
        <w:t>Office for National Statistics. (2016).</w:t>
      </w:r>
      <w:r w:rsidRPr="00182CE2">
        <w:rPr>
          <w:rFonts w:eastAsia="Times New Roman"/>
          <w:bCs/>
          <w:color w:val="000000" w:themeColor="text1"/>
          <w:spacing w:val="2"/>
          <w:kern w:val="36"/>
          <w:sz w:val="23"/>
          <w:szCs w:val="23"/>
          <w:lang w:eastAsia="en-GB"/>
        </w:rPr>
        <w:t xml:space="preserve"> </w:t>
      </w:r>
      <w:r w:rsidRPr="00182CE2">
        <w:rPr>
          <w:i/>
          <w:color w:val="000000" w:themeColor="text1"/>
          <w:sz w:val="23"/>
          <w:szCs w:val="23"/>
        </w:rPr>
        <w:t>Adult drinking habits in Great Britain: 2005 to 2016</w:t>
      </w:r>
      <w:r w:rsidRPr="00182CE2">
        <w:rPr>
          <w:color w:val="000000" w:themeColor="text1"/>
          <w:sz w:val="23"/>
          <w:szCs w:val="23"/>
        </w:rPr>
        <w:t>. https://www.ons.gov.uk/peoplepopulationandcommunity/healthandsocialcare/drugusealcoholandsmoking/bulletins/opinionsandlifestylesurveyadultdrinkinghabit singreatbritain/2005to2016</w:t>
      </w:r>
    </w:p>
    <w:p w14:paraId="49F140CF" w14:textId="3AD2F647" w:rsidR="007B2C43" w:rsidRPr="005F0B69" w:rsidRDefault="007B2C43" w:rsidP="00AA0AF2">
      <w:pPr>
        <w:pStyle w:val="Default"/>
        <w:spacing w:line="480" w:lineRule="auto"/>
        <w:ind w:hanging="720"/>
        <w:rPr>
          <w:sz w:val="23"/>
          <w:szCs w:val="23"/>
        </w:rPr>
      </w:pPr>
      <w:r w:rsidRPr="005F0B69">
        <w:rPr>
          <w:sz w:val="23"/>
          <w:szCs w:val="23"/>
        </w:rPr>
        <w:lastRenderedPageBreak/>
        <w:t xml:space="preserve"> </w:t>
      </w:r>
      <w:r>
        <w:rPr>
          <w:sz w:val="23"/>
          <w:szCs w:val="23"/>
        </w:rPr>
        <w:t>Phelps. C. Masoumeh. M. baker. A</w:t>
      </w:r>
      <w:r w:rsidR="00561F54">
        <w:rPr>
          <w:sz w:val="23"/>
          <w:szCs w:val="23"/>
        </w:rPr>
        <w:t>. H</w:t>
      </w:r>
      <w:r>
        <w:rPr>
          <w:sz w:val="23"/>
          <w:szCs w:val="23"/>
        </w:rPr>
        <w:t>ughes. C. French. H. Hawkins. W…</w:t>
      </w:r>
      <w:r w:rsidR="00561F54">
        <w:rPr>
          <w:sz w:val="23"/>
          <w:szCs w:val="23"/>
        </w:rPr>
        <w:t xml:space="preserve"> &amp; H</w:t>
      </w:r>
      <w:r>
        <w:rPr>
          <w:sz w:val="23"/>
          <w:szCs w:val="23"/>
        </w:rPr>
        <w:t xml:space="preserve">utchings. B. P. </w:t>
      </w:r>
      <w:r w:rsidRPr="005F0B69">
        <w:rPr>
          <w:sz w:val="23"/>
          <w:szCs w:val="23"/>
        </w:rPr>
        <w:t>(2016).  Necessary but not sufficient? Engaging young people in the development of an avatar</w:t>
      </w:r>
      <w:r w:rsidRPr="005F0B69">
        <w:rPr>
          <w:rFonts w:ascii="Cambria Math" w:hAnsi="Cambria Math" w:cs="Cambria Math"/>
          <w:sz w:val="23"/>
          <w:szCs w:val="23"/>
        </w:rPr>
        <w:t>‐</w:t>
      </w:r>
      <w:r w:rsidRPr="005F0B69">
        <w:rPr>
          <w:sz w:val="23"/>
          <w:szCs w:val="23"/>
        </w:rPr>
        <w:t xml:space="preserve">based online intervention designed to provide psychosocial support to young people affected by their own or a family member's cancer diagnosis. </w:t>
      </w:r>
      <w:r w:rsidRPr="0098108C">
        <w:rPr>
          <w:i/>
          <w:sz w:val="23"/>
          <w:szCs w:val="23"/>
        </w:rPr>
        <w:t>Health Expectations 20</w:t>
      </w:r>
      <w:r w:rsidRPr="005F0B69">
        <w:rPr>
          <w:sz w:val="23"/>
          <w:szCs w:val="23"/>
        </w:rPr>
        <w:t xml:space="preserve">. </w:t>
      </w:r>
      <w:r>
        <w:rPr>
          <w:sz w:val="23"/>
          <w:szCs w:val="23"/>
        </w:rPr>
        <w:t xml:space="preserve"> </w:t>
      </w:r>
      <w:r w:rsidRPr="005F0B69">
        <w:rPr>
          <w:sz w:val="23"/>
          <w:szCs w:val="23"/>
        </w:rPr>
        <w:t>459-470.</w:t>
      </w:r>
      <w:r>
        <w:rPr>
          <w:sz w:val="23"/>
          <w:szCs w:val="23"/>
        </w:rPr>
        <w:t xml:space="preserve"> </w:t>
      </w:r>
      <w:r w:rsidRPr="005F0B69">
        <w:rPr>
          <w:sz w:val="23"/>
          <w:szCs w:val="23"/>
        </w:rPr>
        <w:t>doi.org/10.1111/hex.12473</w:t>
      </w:r>
    </w:p>
    <w:p w14:paraId="47501F43" w14:textId="77777777" w:rsidR="007B2C43" w:rsidRPr="005F0B69" w:rsidRDefault="007B2C43" w:rsidP="00AA0AF2">
      <w:pPr>
        <w:pStyle w:val="Default"/>
        <w:spacing w:line="480" w:lineRule="auto"/>
        <w:ind w:hanging="720"/>
        <w:rPr>
          <w:sz w:val="23"/>
          <w:szCs w:val="23"/>
        </w:rPr>
      </w:pPr>
      <w:r w:rsidRPr="005F0B69">
        <w:rPr>
          <w:sz w:val="23"/>
          <w:szCs w:val="23"/>
        </w:rPr>
        <w:t xml:space="preserve">Tarrier. N., Liversidge. T &amp; Gregg. L. (2006). Behaviour, research and therapy. </w:t>
      </w:r>
      <w:r w:rsidRPr="005F0B69">
        <w:rPr>
          <w:i/>
          <w:sz w:val="23"/>
          <w:szCs w:val="23"/>
        </w:rPr>
        <w:t>The acceptability and preference for the psychological treatment of PTSD. 44(</w:t>
      </w:r>
      <w:r w:rsidRPr="005F0B69">
        <w:rPr>
          <w:sz w:val="23"/>
          <w:szCs w:val="23"/>
        </w:rPr>
        <w:t>11</w:t>
      </w:r>
      <w:r w:rsidRPr="005F0B69">
        <w:rPr>
          <w:i/>
          <w:sz w:val="23"/>
          <w:szCs w:val="23"/>
        </w:rPr>
        <w:t>)</w:t>
      </w:r>
      <w:r w:rsidRPr="005F0B69">
        <w:rPr>
          <w:sz w:val="23"/>
          <w:szCs w:val="23"/>
        </w:rPr>
        <w:t>. 1643-1656.</w:t>
      </w:r>
      <w:r>
        <w:rPr>
          <w:sz w:val="23"/>
          <w:szCs w:val="23"/>
        </w:rPr>
        <w:t xml:space="preserve"> </w:t>
      </w:r>
    </w:p>
    <w:p w14:paraId="67CC33EA" w14:textId="7DC42AE4" w:rsidR="007B2C43" w:rsidRPr="005F0B69" w:rsidRDefault="007B2C43" w:rsidP="00AA0AF2">
      <w:pPr>
        <w:pStyle w:val="Default"/>
        <w:spacing w:line="480" w:lineRule="auto"/>
        <w:ind w:hanging="720"/>
        <w:rPr>
          <w:sz w:val="23"/>
          <w:szCs w:val="23"/>
        </w:rPr>
      </w:pPr>
      <w:r w:rsidRPr="005F0B69">
        <w:rPr>
          <w:sz w:val="23"/>
          <w:szCs w:val="23"/>
        </w:rPr>
        <w:t xml:space="preserve">Ulleberg. P </w:t>
      </w:r>
      <w:r w:rsidR="00561F54" w:rsidRPr="005F0B69">
        <w:rPr>
          <w:sz w:val="23"/>
          <w:szCs w:val="23"/>
        </w:rPr>
        <w:t>and Rundmo.T</w:t>
      </w:r>
      <w:r w:rsidRPr="005F0B69">
        <w:rPr>
          <w:sz w:val="23"/>
          <w:szCs w:val="23"/>
        </w:rPr>
        <w:t>. (2003). ‘Personality, attitudes and risk perception as predictors of risky driving behaviour among young drivers.’ Safety Science. 41(5), 427-443.</w:t>
      </w:r>
      <w:r>
        <w:rPr>
          <w:sz w:val="23"/>
          <w:szCs w:val="23"/>
        </w:rPr>
        <w:t xml:space="preserve"> </w:t>
      </w:r>
      <w:hyperlink r:id="rId11" w:history="1">
        <w:r w:rsidRPr="005F0B69">
          <w:rPr>
            <w:rStyle w:val="Hyperlink"/>
            <w:sz w:val="23"/>
            <w:szCs w:val="23"/>
          </w:rPr>
          <w:t>http://www.sciencedirect.com/science/journal/09257535%22</w:t>
        </w:r>
      </w:hyperlink>
    </w:p>
    <w:p w14:paraId="1FF08B66" w14:textId="77777777" w:rsidR="007B2C43" w:rsidRPr="005F0B69" w:rsidRDefault="007B2C43" w:rsidP="00AA0AF2">
      <w:pPr>
        <w:pStyle w:val="Default"/>
        <w:spacing w:line="480" w:lineRule="auto"/>
        <w:ind w:hanging="720"/>
        <w:rPr>
          <w:sz w:val="23"/>
          <w:szCs w:val="23"/>
        </w:rPr>
      </w:pPr>
      <w:r w:rsidRPr="005F0B69">
        <w:rPr>
          <w:sz w:val="23"/>
          <w:szCs w:val="23"/>
        </w:rPr>
        <w:t xml:space="preserve">Van Hasslet. B. B. romano. J. S. Vecchi and M. G. (2008). Role playing: Applications in hostage and crisis negotiation skills training. </w:t>
      </w:r>
      <w:r w:rsidRPr="005F0B69">
        <w:rPr>
          <w:i/>
          <w:sz w:val="23"/>
          <w:szCs w:val="23"/>
        </w:rPr>
        <w:t>Behavior Modification. 32</w:t>
      </w:r>
      <w:r w:rsidRPr="005F0B69">
        <w:rPr>
          <w:sz w:val="23"/>
          <w:szCs w:val="23"/>
        </w:rPr>
        <w:t>(2). 248-263. DOI: 10.1177/0145445507308281</w:t>
      </w:r>
    </w:p>
    <w:p w14:paraId="6A209767" w14:textId="77777777" w:rsidR="007B2C43" w:rsidRPr="005F0B69" w:rsidRDefault="007B2C43" w:rsidP="00AA0AF2">
      <w:pPr>
        <w:pStyle w:val="Default"/>
        <w:spacing w:line="480" w:lineRule="auto"/>
        <w:ind w:hanging="720"/>
        <w:rPr>
          <w:color w:val="auto"/>
          <w:sz w:val="23"/>
          <w:szCs w:val="23"/>
        </w:rPr>
      </w:pPr>
      <w:r w:rsidRPr="005F0B69">
        <w:rPr>
          <w:color w:val="auto"/>
          <w:sz w:val="23"/>
          <w:szCs w:val="23"/>
        </w:rPr>
        <w:t xml:space="preserve">Vartanian.R. L, Trewartha. T. &amp; Vanmain. J. E. (2016). Journal of Applied Social Psychology. </w:t>
      </w:r>
      <w:r w:rsidRPr="005F0B69">
        <w:rPr>
          <w:i/>
          <w:color w:val="auto"/>
          <w:sz w:val="23"/>
          <w:szCs w:val="23"/>
        </w:rPr>
        <w:t>Disgust predicts prejudice and discrimination toward individuals with obesity</w:t>
      </w:r>
      <w:r w:rsidRPr="005F0B69">
        <w:rPr>
          <w:color w:val="auto"/>
          <w:sz w:val="23"/>
          <w:szCs w:val="23"/>
        </w:rPr>
        <w:t xml:space="preserve">. </w:t>
      </w:r>
      <w:r w:rsidRPr="005F0B69">
        <w:rPr>
          <w:i/>
          <w:color w:val="auto"/>
          <w:sz w:val="23"/>
          <w:szCs w:val="23"/>
        </w:rPr>
        <w:t>46</w:t>
      </w:r>
      <w:r w:rsidRPr="005F0B69">
        <w:rPr>
          <w:color w:val="auto"/>
          <w:sz w:val="23"/>
          <w:szCs w:val="23"/>
        </w:rPr>
        <w:t xml:space="preserve"> (2). 369-375.</w:t>
      </w:r>
    </w:p>
    <w:p w14:paraId="7F5D31F7" w14:textId="77777777" w:rsidR="007B2C43" w:rsidRPr="005F0B69" w:rsidRDefault="007B2C43" w:rsidP="00AA0AF2">
      <w:pPr>
        <w:pStyle w:val="Default"/>
        <w:spacing w:line="480" w:lineRule="auto"/>
        <w:ind w:hanging="720"/>
        <w:rPr>
          <w:sz w:val="23"/>
          <w:szCs w:val="23"/>
        </w:rPr>
      </w:pPr>
      <w:r w:rsidRPr="005F0B69">
        <w:rPr>
          <w:sz w:val="23"/>
          <w:szCs w:val="23"/>
        </w:rPr>
        <w:t xml:space="preserve">Voigt. C. D. Et Al. (2009). “Carver and White’s (1994) BIS/BAS scales and their relationship to risky health behaviours., </w:t>
      </w:r>
      <w:r w:rsidRPr="005F0B69">
        <w:rPr>
          <w:i/>
          <w:sz w:val="23"/>
          <w:szCs w:val="23"/>
        </w:rPr>
        <w:t>Personality and individual differences.47</w:t>
      </w:r>
      <w:r w:rsidRPr="005F0B69">
        <w:rPr>
          <w:sz w:val="23"/>
          <w:szCs w:val="23"/>
        </w:rPr>
        <w:t>(2). 89-93.</w:t>
      </w:r>
      <w:r>
        <w:rPr>
          <w:sz w:val="23"/>
          <w:szCs w:val="23"/>
        </w:rPr>
        <w:t xml:space="preserve"> </w:t>
      </w:r>
    </w:p>
    <w:p w14:paraId="3552D1FC" w14:textId="77777777" w:rsidR="007B2C43" w:rsidRPr="005F0B69" w:rsidRDefault="007B2C43" w:rsidP="00AA0AF2">
      <w:pPr>
        <w:pStyle w:val="Default"/>
        <w:spacing w:line="480" w:lineRule="auto"/>
        <w:ind w:hanging="720"/>
        <w:rPr>
          <w:sz w:val="23"/>
          <w:szCs w:val="23"/>
        </w:rPr>
      </w:pPr>
      <w:r w:rsidRPr="005F0B69">
        <w:rPr>
          <w:sz w:val="23"/>
          <w:szCs w:val="23"/>
        </w:rPr>
        <w:t>Welsh government</w:t>
      </w:r>
      <w:r w:rsidRPr="005F0B69">
        <w:rPr>
          <w:i/>
          <w:sz w:val="23"/>
          <w:szCs w:val="23"/>
        </w:rPr>
        <w:t>.</w:t>
      </w:r>
      <w:r w:rsidRPr="005F0B69">
        <w:rPr>
          <w:sz w:val="23"/>
          <w:szCs w:val="23"/>
        </w:rPr>
        <w:t xml:space="preserve"> (2016).</w:t>
      </w:r>
      <w:r w:rsidRPr="005F0B69">
        <w:rPr>
          <w:i/>
          <w:sz w:val="23"/>
          <w:szCs w:val="23"/>
        </w:rPr>
        <w:t xml:space="preserve"> Well-being of future generations (wales) act.</w:t>
      </w:r>
      <w:r w:rsidRPr="005F0B69">
        <w:rPr>
          <w:color w:val="333333"/>
          <w:sz w:val="23"/>
          <w:szCs w:val="23"/>
          <w:shd w:val="clear" w:color="auto" w:fill="FFFFFF"/>
        </w:rPr>
        <w:t xml:space="preserve"> Welsh Assembly:Wales</w:t>
      </w:r>
      <w:r w:rsidRPr="005F0B69">
        <w:rPr>
          <w:sz w:val="23"/>
          <w:szCs w:val="23"/>
        </w:rPr>
        <w:t xml:space="preserve">. </w:t>
      </w:r>
      <w:hyperlink r:id="rId12" w:history="1">
        <w:r w:rsidRPr="005F0B69">
          <w:rPr>
            <w:rStyle w:val="Hyperlink"/>
            <w:sz w:val="23"/>
            <w:szCs w:val="23"/>
          </w:rPr>
          <w:t>https://gov.wales</w:t>
        </w:r>
      </w:hyperlink>
    </w:p>
    <w:p w14:paraId="454E70C3" w14:textId="77777777" w:rsidR="007B2C43" w:rsidRPr="005F0B69" w:rsidRDefault="007B2C43" w:rsidP="00AA0AF2">
      <w:pPr>
        <w:pStyle w:val="Default"/>
        <w:spacing w:line="480" w:lineRule="auto"/>
        <w:ind w:hanging="720"/>
        <w:rPr>
          <w:color w:val="auto"/>
          <w:sz w:val="23"/>
          <w:szCs w:val="23"/>
        </w:rPr>
      </w:pPr>
      <w:r w:rsidRPr="005F0B69">
        <w:rPr>
          <w:color w:val="auto"/>
          <w:sz w:val="23"/>
          <w:szCs w:val="23"/>
        </w:rPr>
        <w:t xml:space="preserve">Williamson. H. (2016). BMJ Open. </w:t>
      </w:r>
      <w:r w:rsidRPr="005F0B69">
        <w:rPr>
          <w:i/>
          <w:color w:val="auto"/>
          <w:sz w:val="23"/>
          <w:szCs w:val="23"/>
          <w:shd w:val="clear" w:color="auto" w:fill="FFFFFF"/>
        </w:rPr>
        <w:t>Study protocol of the YP Face IT feasibility study: comparing an online psychosocial intervention versus treatment as usual for adolescents distressed by appearance-altering conditions/injuries.</w:t>
      </w:r>
      <w:r w:rsidRPr="005F0B69">
        <w:rPr>
          <w:color w:val="auto"/>
          <w:sz w:val="23"/>
          <w:szCs w:val="23"/>
          <w:shd w:val="clear" w:color="auto" w:fill="FFFFFF"/>
        </w:rPr>
        <w:t xml:space="preserve"> </w:t>
      </w:r>
      <w:r w:rsidRPr="005F0B69">
        <w:rPr>
          <w:i/>
          <w:color w:val="auto"/>
          <w:sz w:val="23"/>
          <w:szCs w:val="23"/>
          <w:shd w:val="clear" w:color="auto" w:fill="FFFFFF"/>
        </w:rPr>
        <w:t>6</w:t>
      </w:r>
      <w:r w:rsidRPr="005F0B69">
        <w:rPr>
          <w:color w:val="auto"/>
          <w:sz w:val="23"/>
          <w:szCs w:val="23"/>
          <w:shd w:val="clear" w:color="auto" w:fill="FFFFFF"/>
        </w:rPr>
        <w:t xml:space="preserve">(10). </w:t>
      </w:r>
      <w:r>
        <w:rPr>
          <w:color w:val="auto"/>
          <w:sz w:val="23"/>
          <w:szCs w:val="23"/>
          <w:shd w:val="clear" w:color="auto" w:fill="FFFFFF"/>
        </w:rPr>
        <w:t xml:space="preserve">Pp. </w:t>
      </w:r>
      <w:r w:rsidRPr="005F0B69">
        <w:rPr>
          <w:color w:val="auto"/>
          <w:sz w:val="23"/>
          <w:szCs w:val="23"/>
          <w:shd w:val="clear" w:color="auto" w:fill="FFFFFF"/>
        </w:rPr>
        <w:t>1-18.</w:t>
      </w:r>
    </w:p>
    <w:p w14:paraId="6D48B5DD" w14:textId="77777777" w:rsidR="007B2C43" w:rsidRDefault="007B2C43" w:rsidP="00AA0AF2">
      <w:pPr>
        <w:pStyle w:val="Default"/>
        <w:spacing w:line="480" w:lineRule="auto"/>
        <w:ind w:hanging="720"/>
        <w:rPr>
          <w:color w:val="0461C1"/>
          <w:sz w:val="23"/>
          <w:szCs w:val="23"/>
        </w:rPr>
      </w:pPr>
      <w:r w:rsidRPr="005F0B69">
        <w:rPr>
          <w:color w:val="auto"/>
          <w:sz w:val="23"/>
          <w:szCs w:val="23"/>
        </w:rPr>
        <w:t xml:space="preserve">Young. E. (2017,09,18).   Women know better than men what other women are thinking and feeling, ( Research Digest, The British Psychological Society). </w:t>
      </w:r>
      <w:hyperlink r:id="rId13" w:history="1">
        <w:r w:rsidRPr="00D33346">
          <w:rPr>
            <w:rStyle w:val="Hyperlink"/>
            <w:sz w:val="23"/>
            <w:szCs w:val="23"/>
          </w:rPr>
          <w:t>https://digest.bps.org.uk/2017/09/18/women-know-better-than-menwhat-other-women-are-thinking-and-feeling/</w:t>
        </w:r>
      </w:hyperlink>
    </w:p>
    <w:p w14:paraId="08CD9F9F" w14:textId="155BD7C7" w:rsidR="0067690A" w:rsidRDefault="0067690A"/>
    <w:sectPr w:rsidR="0067690A" w:rsidSect="005731DE">
      <w:footerReference w:type="default" r:id="rId14"/>
      <w:pgSz w:w="11906" w:h="17338"/>
      <w:pgMar w:top="1864" w:right="871" w:bottom="1440" w:left="1544"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8D49B8" w14:textId="77777777" w:rsidR="005731DE" w:rsidRDefault="005731DE" w:rsidP="005731DE">
      <w:pPr>
        <w:spacing w:after="0" w:line="240" w:lineRule="auto"/>
      </w:pPr>
      <w:r>
        <w:separator/>
      </w:r>
    </w:p>
  </w:endnote>
  <w:endnote w:type="continuationSeparator" w:id="0">
    <w:p w14:paraId="13F9BB07" w14:textId="77777777" w:rsidR="005731DE" w:rsidRDefault="005731DE" w:rsidP="00573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596533"/>
      <w:docPartObj>
        <w:docPartGallery w:val="Page Numbers (Bottom of Page)"/>
        <w:docPartUnique/>
      </w:docPartObj>
    </w:sdtPr>
    <w:sdtEndPr>
      <w:rPr>
        <w:noProof/>
      </w:rPr>
    </w:sdtEndPr>
    <w:sdtContent>
      <w:p w14:paraId="2EE02153" w14:textId="500B4990" w:rsidR="005731DE" w:rsidRDefault="005731DE">
        <w:pPr>
          <w:pStyle w:val="Footer"/>
        </w:pPr>
        <w:r>
          <w:t xml:space="preserve">Page | </w:t>
        </w:r>
        <w:r>
          <w:fldChar w:fldCharType="begin"/>
        </w:r>
        <w:r>
          <w:instrText xml:space="preserve"> PAGE   \* MERGEFORMAT </w:instrText>
        </w:r>
        <w:r>
          <w:fldChar w:fldCharType="separate"/>
        </w:r>
        <w:r w:rsidR="007463E6">
          <w:rPr>
            <w:noProof/>
          </w:rPr>
          <w:t>1</w:t>
        </w:r>
        <w:r>
          <w:rPr>
            <w:noProof/>
          </w:rPr>
          <w:fldChar w:fldCharType="end"/>
        </w:r>
      </w:p>
    </w:sdtContent>
  </w:sdt>
  <w:p w14:paraId="1EBC5C45" w14:textId="77777777" w:rsidR="005731DE" w:rsidRDefault="00573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6BAD46" w14:textId="77777777" w:rsidR="005731DE" w:rsidRDefault="005731DE" w:rsidP="005731DE">
      <w:pPr>
        <w:spacing w:after="0" w:line="240" w:lineRule="auto"/>
      </w:pPr>
      <w:r>
        <w:separator/>
      </w:r>
    </w:p>
  </w:footnote>
  <w:footnote w:type="continuationSeparator" w:id="0">
    <w:p w14:paraId="387D3B20" w14:textId="77777777" w:rsidR="005731DE" w:rsidRDefault="005731DE" w:rsidP="005731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66AA2"/>
    <w:multiLevelType w:val="hybridMultilevel"/>
    <w:tmpl w:val="F9EA1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D16464"/>
    <w:multiLevelType w:val="multilevel"/>
    <w:tmpl w:val="536E2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3E0E94"/>
    <w:multiLevelType w:val="hybridMultilevel"/>
    <w:tmpl w:val="8D7EBD1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AD3233"/>
    <w:multiLevelType w:val="hybridMultilevel"/>
    <w:tmpl w:val="699ABC0E"/>
    <w:lvl w:ilvl="0" w:tplc="F8742D76">
      <w:start w:val="1"/>
      <w:numFmt w:val="decimal"/>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90A"/>
    <w:rsid w:val="00013B6C"/>
    <w:rsid w:val="00077551"/>
    <w:rsid w:val="000C0237"/>
    <w:rsid w:val="00131308"/>
    <w:rsid w:val="00137C45"/>
    <w:rsid w:val="00166BB7"/>
    <w:rsid w:val="00182CE2"/>
    <w:rsid w:val="00212FDF"/>
    <w:rsid w:val="002C2E18"/>
    <w:rsid w:val="00444564"/>
    <w:rsid w:val="00463387"/>
    <w:rsid w:val="00504CE7"/>
    <w:rsid w:val="00561F54"/>
    <w:rsid w:val="005731DE"/>
    <w:rsid w:val="005F0B69"/>
    <w:rsid w:val="0067690A"/>
    <w:rsid w:val="007463E6"/>
    <w:rsid w:val="00770F9E"/>
    <w:rsid w:val="007B2C43"/>
    <w:rsid w:val="008A7B78"/>
    <w:rsid w:val="008B4A71"/>
    <w:rsid w:val="008B556D"/>
    <w:rsid w:val="008F0B0E"/>
    <w:rsid w:val="0098108C"/>
    <w:rsid w:val="009C7D3E"/>
    <w:rsid w:val="00AA0AF2"/>
    <w:rsid w:val="00B63C6B"/>
    <w:rsid w:val="00BE2366"/>
    <w:rsid w:val="00C0659B"/>
    <w:rsid w:val="00C15CD6"/>
    <w:rsid w:val="00CF4B07"/>
    <w:rsid w:val="00DD6567"/>
    <w:rsid w:val="00F342E6"/>
    <w:rsid w:val="00F81694"/>
    <w:rsid w:val="00FD767A"/>
    <w:rsid w:val="00FE7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23B61"/>
  <w15:chartTrackingRefBased/>
  <w15:docId w15:val="{C66E3F27-52B3-4404-9542-A1EB37299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769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7690A"/>
    <w:pPr>
      <w:autoSpaceDE w:val="0"/>
      <w:autoSpaceDN w:val="0"/>
      <w:adjustRightInd w:val="0"/>
      <w:spacing w:after="0" w:line="240" w:lineRule="auto"/>
    </w:pPr>
    <w:rPr>
      <w:rFonts w:ascii="Arial" w:hAnsi="Arial" w:cs="Arial"/>
      <w:color w:val="000000"/>
      <w:sz w:val="24"/>
      <w:szCs w:val="24"/>
    </w:rPr>
  </w:style>
  <w:style w:type="character" w:customStyle="1" w:styleId="hilite">
    <w:name w:val="hilite"/>
    <w:basedOn w:val="DefaultParagraphFont"/>
    <w:rsid w:val="0067690A"/>
  </w:style>
  <w:style w:type="character" w:styleId="Emphasis">
    <w:name w:val="Emphasis"/>
    <w:basedOn w:val="DefaultParagraphFont"/>
    <w:uiPriority w:val="20"/>
    <w:qFormat/>
    <w:rsid w:val="0067690A"/>
    <w:rPr>
      <w:i/>
      <w:iCs/>
    </w:rPr>
  </w:style>
  <w:style w:type="character" w:styleId="Hyperlink">
    <w:name w:val="Hyperlink"/>
    <w:basedOn w:val="DefaultParagraphFont"/>
    <w:uiPriority w:val="99"/>
    <w:unhideWhenUsed/>
    <w:rsid w:val="0067690A"/>
    <w:rPr>
      <w:color w:val="0000FF"/>
      <w:u w:val="single"/>
    </w:rPr>
  </w:style>
  <w:style w:type="character" w:customStyle="1" w:styleId="Heading1Char">
    <w:name w:val="Heading 1 Char"/>
    <w:basedOn w:val="DefaultParagraphFont"/>
    <w:link w:val="Heading1"/>
    <w:uiPriority w:val="9"/>
    <w:rsid w:val="0067690A"/>
    <w:rPr>
      <w:rFonts w:ascii="Times New Roman" w:eastAsia="Times New Roman" w:hAnsi="Times New Roman" w:cs="Times New Roman"/>
      <w:b/>
      <w:bCs/>
      <w:kern w:val="36"/>
      <w:sz w:val="48"/>
      <w:szCs w:val="48"/>
      <w:lang w:eastAsia="en-GB"/>
    </w:rPr>
  </w:style>
  <w:style w:type="character" w:customStyle="1" w:styleId="UnresolvedMention">
    <w:name w:val="Unresolved Mention"/>
    <w:basedOn w:val="DefaultParagraphFont"/>
    <w:uiPriority w:val="99"/>
    <w:semiHidden/>
    <w:unhideWhenUsed/>
    <w:rsid w:val="000C0237"/>
    <w:rPr>
      <w:color w:val="605E5C"/>
      <w:shd w:val="clear" w:color="auto" w:fill="E1DFDD"/>
    </w:rPr>
  </w:style>
  <w:style w:type="character" w:styleId="FollowedHyperlink">
    <w:name w:val="FollowedHyperlink"/>
    <w:basedOn w:val="DefaultParagraphFont"/>
    <w:uiPriority w:val="99"/>
    <w:semiHidden/>
    <w:unhideWhenUsed/>
    <w:rsid w:val="00FE72E9"/>
    <w:rPr>
      <w:color w:val="954F72" w:themeColor="followedHyperlink"/>
      <w:u w:val="single"/>
    </w:rPr>
  </w:style>
  <w:style w:type="paragraph" w:styleId="NoSpacing">
    <w:name w:val="No Spacing"/>
    <w:link w:val="NoSpacingChar"/>
    <w:uiPriority w:val="1"/>
    <w:qFormat/>
    <w:rsid w:val="005731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31DE"/>
    <w:rPr>
      <w:rFonts w:eastAsiaTheme="minorEastAsia"/>
      <w:lang w:val="en-US"/>
    </w:rPr>
  </w:style>
  <w:style w:type="paragraph" w:styleId="Header">
    <w:name w:val="header"/>
    <w:basedOn w:val="Normal"/>
    <w:link w:val="HeaderChar"/>
    <w:uiPriority w:val="99"/>
    <w:unhideWhenUsed/>
    <w:rsid w:val="005731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1DE"/>
  </w:style>
  <w:style w:type="paragraph" w:styleId="Footer">
    <w:name w:val="footer"/>
    <w:basedOn w:val="Normal"/>
    <w:link w:val="FooterChar"/>
    <w:uiPriority w:val="99"/>
    <w:unhideWhenUsed/>
    <w:rsid w:val="005731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993801">
      <w:bodyDiv w:val="1"/>
      <w:marLeft w:val="0"/>
      <w:marRight w:val="0"/>
      <w:marTop w:val="0"/>
      <w:marBottom w:val="0"/>
      <w:divBdr>
        <w:top w:val="none" w:sz="0" w:space="0" w:color="auto"/>
        <w:left w:val="none" w:sz="0" w:space="0" w:color="auto"/>
        <w:bottom w:val="none" w:sz="0" w:space="0" w:color="auto"/>
        <w:right w:val="none" w:sz="0" w:space="0" w:color="auto"/>
      </w:divBdr>
      <w:divsChild>
        <w:div w:id="118184165">
          <w:marLeft w:val="356"/>
          <w:marRight w:val="0"/>
          <w:marTop w:val="0"/>
          <w:marBottom w:val="0"/>
          <w:divBdr>
            <w:top w:val="none" w:sz="0" w:space="0" w:color="auto"/>
            <w:left w:val="none" w:sz="0" w:space="0" w:color="auto"/>
            <w:bottom w:val="none" w:sz="0" w:space="0" w:color="auto"/>
            <w:right w:val="none" w:sz="0" w:space="0" w:color="auto"/>
          </w:divBdr>
        </w:div>
        <w:div w:id="1913269676">
          <w:marLeft w:val="0"/>
          <w:marRight w:val="0"/>
          <w:marTop w:val="0"/>
          <w:marBottom w:val="0"/>
          <w:divBdr>
            <w:top w:val="none" w:sz="0" w:space="0" w:color="auto"/>
            <w:left w:val="none" w:sz="0" w:space="0" w:color="auto"/>
            <w:bottom w:val="none" w:sz="0" w:space="0" w:color="auto"/>
            <w:right w:val="none" w:sz="0" w:space="0" w:color="auto"/>
          </w:divBdr>
        </w:div>
        <w:div w:id="694580443">
          <w:marLeft w:val="356"/>
          <w:marRight w:val="0"/>
          <w:marTop w:val="0"/>
          <w:marBottom w:val="0"/>
          <w:divBdr>
            <w:top w:val="none" w:sz="0" w:space="0" w:color="auto"/>
            <w:left w:val="none" w:sz="0" w:space="0" w:color="auto"/>
            <w:bottom w:val="none" w:sz="0" w:space="0" w:color="auto"/>
            <w:right w:val="none" w:sz="0" w:space="0" w:color="auto"/>
          </w:divBdr>
        </w:div>
      </w:divsChild>
    </w:div>
    <w:div w:id="454761777">
      <w:bodyDiv w:val="1"/>
      <w:marLeft w:val="0"/>
      <w:marRight w:val="0"/>
      <w:marTop w:val="0"/>
      <w:marBottom w:val="0"/>
      <w:divBdr>
        <w:top w:val="none" w:sz="0" w:space="0" w:color="auto"/>
        <w:left w:val="none" w:sz="0" w:space="0" w:color="auto"/>
        <w:bottom w:val="none" w:sz="0" w:space="0" w:color="auto"/>
        <w:right w:val="none" w:sz="0" w:space="0" w:color="auto"/>
      </w:divBdr>
    </w:div>
    <w:div w:id="663709052">
      <w:bodyDiv w:val="1"/>
      <w:marLeft w:val="0"/>
      <w:marRight w:val="0"/>
      <w:marTop w:val="0"/>
      <w:marBottom w:val="0"/>
      <w:divBdr>
        <w:top w:val="none" w:sz="0" w:space="0" w:color="auto"/>
        <w:left w:val="none" w:sz="0" w:space="0" w:color="auto"/>
        <w:bottom w:val="none" w:sz="0" w:space="0" w:color="auto"/>
        <w:right w:val="none" w:sz="0" w:space="0" w:color="auto"/>
      </w:divBdr>
      <w:divsChild>
        <w:div w:id="1925260168">
          <w:marLeft w:val="0"/>
          <w:marRight w:val="0"/>
          <w:marTop w:val="0"/>
          <w:marBottom w:val="0"/>
          <w:divBdr>
            <w:top w:val="none" w:sz="0" w:space="0" w:color="auto"/>
            <w:left w:val="none" w:sz="0" w:space="0" w:color="auto"/>
            <w:bottom w:val="none" w:sz="0" w:space="0" w:color="auto"/>
            <w:right w:val="none" w:sz="0" w:space="0" w:color="auto"/>
          </w:divBdr>
        </w:div>
      </w:divsChild>
    </w:div>
    <w:div w:id="1109352632">
      <w:bodyDiv w:val="1"/>
      <w:marLeft w:val="0"/>
      <w:marRight w:val="0"/>
      <w:marTop w:val="0"/>
      <w:marBottom w:val="0"/>
      <w:divBdr>
        <w:top w:val="none" w:sz="0" w:space="0" w:color="auto"/>
        <w:left w:val="none" w:sz="0" w:space="0" w:color="auto"/>
        <w:bottom w:val="none" w:sz="0" w:space="0" w:color="auto"/>
        <w:right w:val="none" w:sz="0" w:space="0" w:color="auto"/>
      </w:divBdr>
    </w:div>
    <w:div w:id="162210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igest.bps.org.uk/2017/09/18/women-know-better-than-menwhat-other-women-are-thinking-and-feel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ov.wal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iencedirect.com/science/journal/09257535%2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psycnet.apa.org/doi/10.1037/a0035700" TargetMode="External"/><Relationship Id="rId4" Type="http://schemas.openxmlformats.org/officeDocument/2006/relationships/webSettings" Target="webSettings.xml"/><Relationship Id="rId9" Type="http://schemas.openxmlformats.org/officeDocument/2006/relationships/hyperlink" Target="https://doi.org/10.1177%2F135910531556985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1596</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PORTFOLIO OF ACTIVITIES</vt:lpstr>
    </vt:vector>
  </TitlesOfParts>
  <Company>University of Wales Trinity Saint David</Company>
  <LinksUpToDate>false</LinksUpToDate>
  <CharactersWithSpaces>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ACTIVITIES</dc:title>
  <dc:subject/>
  <dc:creator>Leanne Merchant</dc:creator>
  <cp:keywords/>
  <dc:description/>
  <cp:lastModifiedBy>Neassa Cahill (1802401)</cp:lastModifiedBy>
  <cp:revision>2</cp:revision>
  <dcterms:created xsi:type="dcterms:W3CDTF">2018-10-22T10:20:00Z</dcterms:created>
  <dcterms:modified xsi:type="dcterms:W3CDTF">2018-10-22T10:20:00Z</dcterms:modified>
</cp:coreProperties>
</file>