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BDF9C" w14:textId="77777777" w:rsidR="000E62BF" w:rsidRDefault="000E62BF">
      <w:pPr>
        <w:rPr>
          <w:b/>
          <w:sz w:val="32"/>
          <w:szCs w:val="32"/>
        </w:rPr>
      </w:pPr>
    </w:p>
    <w:p w14:paraId="319BDF9D" w14:textId="77777777" w:rsidR="009E034E" w:rsidRDefault="009E034E">
      <w:pPr>
        <w:jc w:val="center"/>
        <w:rPr>
          <w:b/>
          <w:sz w:val="32"/>
          <w:szCs w:val="32"/>
        </w:rPr>
      </w:pPr>
    </w:p>
    <w:p w14:paraId="319BDF9E" w14:textId="77777777" w:rsidR="009E034E" w:rsidRDefault="009E034E">
      <w:pPr>
        <w:jc w:val="center"/>
        <w:rPr>
          <w:b/>
          <w:sz w:val="32"/>
          <w:szCs w:val="32"/>
        </w:rPr>
      </w:pPr>
    </w:p>
    <w:p w14:paraId="319BDF9F" w14:textId="77777777" w:rsidR="009E034E" w:rsidRDefault="009E034E">
      <w:pPr>
        <w:jc w:val="center"/>
        <w:rPr>
          <w:b/>
          <w:sz w:val="32"/>
          <w:szCs w:val="32"/>
        </w:rPr>
      </w:pPr>
    </w:p>
    <w:p w14:paraId="319BDFA5" w14:textId="5BFD4B48" w:rsidR="000E62BF" w:rsidRDefault="00724255" w:rsidP="0084597E">
      <w:pPr>
        <w:jc w:val="center"/>
        <w:rPr>
          <w:b/>
          <w:sz w:val="32"/>
          <w:szCs w:val="32"/>
        </w:rPr>
      </w:pPr>
      <w:r w:rsidRPr="0084597E">
        <w:rPr>
          <w:b/>
          <w:sz w:val="32"/>
          <w:szCs w:val="32"/>
          <w:lang w:val="en-GB"/>
        </w:rPr>
        <w:t>Student name :Irina Dode</w:t>
      </w:r>
      <w:r w:rsidR="00000000" w:rsidRPr="0084597E">
        <w:rPr>
          <w:b/>
          <w:sz w:val="32"/>
          <w:szCs w:val="32"/>
          <w:lang w:val="en-GB"/>
        </w:rPr>
        <w:t xml:space="preserve"> </w:t>
      </w:r>
      <w:r w:rsidRPr="0084597E">
        <w:rPr>
          <w:b/>
          <w:sz w:val="32"/>
          <w:szCs w:val="32"/>
          <w:lang w:val="en-GB"/>
        </w:rPr>
        <w:t xml:space="preserve"> </w:t>
      </w:r>
      <w:r w:rsidR="0084597E">
        <w:rPr>
          <w:b/>
          <w:sz w:val="32"/>
          <w:szCs w:val="32"/>
          <w:lang w:val="en-GB"/>
        </w:rPr>
        <w:t xml:space="preserve">                                                                                          </w:t>
      </w:r>
      <w:r w:rsidRPr="0084597E">
        <w:rPr>
          <w:b/>
          <w:sz w:val="32"/>
          <w:szCs w:val="32"/>
          <w:lang w:val="en-GB"/>
        </w:rPr>
        <w:t xml:space="preserve">Student Id. : 2123684 </w:t>
      </w:r>
      <w:r w:rsidR="0084597E">
        <w:rPr>
          <w:b/>
          <w:sz w:val="32"/>
          <w:szCs w:val="32"/>
          <w:lang w:val="en-GB"/>
        </w:rPr>
        <w:t xml:space="preserve">                                                                         </w:t>
      </w:r>
      <w:r w:rsidR="007B45D7" w:rsidRPr="0084597E">
        <w:rPr>
          <w:b/>
          <w:sz w:val="32"/>
          <w:szCs w:val="32"/>
          <w:lang w:val="en-GB"/>
        </w:rPr>
        <w:t xml:space="preserve"> Lecturer Name: Tristan Hawkins</w:t>
      </w:r>
      <w:r w:rsidR="0084597E" w:rsidRPr="0084597E">
        <w:rPr>
          <w:b/>
          <w:sz w:val="32"/>
          <w:szCs w:val="32"/>
          <w:lang w:val="en-GB"/>
        </w:rPr>
        <w:t xml:space="preserve"> </w:t>
      </w:r>
      <w:r w:rsidR="0084597E">
        <w:rPr>
          <w:b/>
          <w:sz w:val="32"/>
          <w:szCs w:val="32"/>
          <w:lang w:val="en-GB"/>
        </w:rPr>
        <w:t xml:space="preserve">                                                                          </w:t>
      </w:r>
      <w:r w:rsidR="00000000">
        <w:rPr>
          <w:b/>
          <w:sz w:val="32"/>
          <w:szCs w:val="32"/>
        </w:rPr>
        <w:t>The Seacrest Lodge</w:t>
      </w:r>
    </w:p>
    <w:p w14:paraId="319BDFA6" w14:textId="77777777" w:rsidR="000E62BF" w:rsidRDefault="00000000">
      <w:pPr>
        <w:jc w:val="center"/>
        <w:rPr>
          <w:b/>
          <w:sz w:val="32"/>
          <w:szCs w:val="32"/>
        </w:rPr>
      </w:pPr>
      <w:r>
        <w:rPr>
          <w:b/>
          <w:sz w:val="32"/>
          <w:szCs w:val="32"/>
        </w:rPr>
        <w:t>ASSIGNMENT 2</w:t>
      </w:r>
    </w:p>
    <w:p w14:paraId="319BDFA7" w14:textId="77777777" w:rsidR="000E62BF" w:rsidRDefault="00000000">
      <w:pPr>
        <w:jc w:val="center"/>
        <w:rPr>
          <w:b/>
          <w:sz w:val="32"/>
          <w:szCs w:val="32"/>
        </w:rPr>
      </w:pPr>
      <w:r>
        <w:br w:type="page"/>
      </w:r>
    </w:p>
    <w:bookmarkStart w:id="0" w:name="_u94soibwg8nj" w:colFirst="0" w:colLast="0" w:displacedByCustomXml="next"/>
    <w:bookmarkEnd w:id="0" w:displacedByCustomXml="next"/>
    <w:sdt>
      <w:sdtPr>
        <w:rPr>
          <w:rFonts w:ascii="Times New Roman" w:eastAsia="Times New Roman" w:hAnsi="Times New Roman" w:cs="Times New Roman"/>
          <w:color w:val="auto"/>
          <w:sz w:val="24"/>
          <w:szCs w:val="24"/>
          <w:lang w:val="en" w:eastAsia="en-IN"/>
        </w:rPr>
        <w:id w:val="20364060"/>
        <w:docPartObj>
          <w:docPartGallery w:val="Table of Contents"/>
          <w:docPartUnique/>
        </w:docPartObj>
      </w:sdtPr>
      <w:sdtEndPr>
        <w:rPr>
          <w:b/>
          <w:bCs/>
          <w:noProof/>
        </w:rPr>
      </w:sdtEndPr>
      <w:sdtContent>
        <w:p w14:paraId="319BDFA8" w14:textId="77777777" w:rsidR="00910D93" w:rsidRPr="00910D93" w:rsidRDefault="00000000" w:rsidP="00910D93">
          <w:pPr>
            <w:pStyle w:val="TOCHeading"/>
            <w:jc w:val="center"/>
            <w:rPr>
              <w:rFonts w:ascii="Times New Roman" w:hAnsi="Times New Roman" w:cs="Times New Roman"/>
              <w:b/>
              <w:color w:val="auto"/>
              <w:sz w:val="28"/>
            </w:rPr>
          </w:pPr>
          <w:r w:rsidRPr="00910D93">
            <w:rPr>
              <w:rFonts w:ascii="Times New Roman" w:hAnsi="Times New Roman" w:cs="Times New Roman"/>
              <w:b/>
              <w:color w:val="auto"/>
              <w:sz w:val="28"/>
            </w:rPr>
            <w:t>Table of Contents</w:t>
          </w:r>
        </w:p>
        <w:p w14:paraId="319BDFA9" w14:textId="77777777" w:rsidR="00910D93" w:rsidRDefault="00000000">
          <w:pPr>
            <w:pStyle w:val="TOC1"/>
            <w:tabs>
              <w:tab w:val="right" w:leader="dot" w:pos="9350"/>
            </w:tabs>
            <w:rPr>
              <w:rFonts w:asciiTheme="minorHAnsi" w:eastAsiaTheme="minorEastAsia" w:hAnsiTheme="minorHAnsi" w:cstheme="minorBidi"/>
              <w:noProof/>
              <w:sz w:val="22"/>
              <w:szCs w:val="22"/>
              <w:lang w:val="en-IN"/>
            </w:rPr>
          </w:pPr>
          <w:r>
            <w:rPr>
              <w:b/>
              <w:bCs/>
              <w:noProof/>
            </w:rPr>
            <w:fldChar w:fldCharType="begin"/>
          </w:r>
          <w:r>
            <w:rPr>
              <w:b/>
              <w:bCs/>
              <w:noProof/>
            </w:rPr>
            <w:instrText xml:space="preserve"> TOC \o "1-3" \h \z \u </w:instrText>
          </w:r>
          <w:r>
            <w:rPr>
              <w:b/>
              <w:bCs/>
              <w:noProof/>
            </w:rPr>
            <w:fldChar w:fldCharType="separate"/>
          </w:r>
          <w:hyperlink w:anchor="_Toc156479502" w:history="1">
            <w:r w:rsidRPr="006314B6">
              <w:rPr>
                <w:rStyle w:val="Hyperlink"/>
                <w:noProof/>
              </w:rPr>
              <w:t>Introduction</w:t>
            </w:r>
            <w:r>
              <w:rPr>
                <w:noProof/>
                <w:webHidden/>
              </w:rPr>
              <w:tab/>
            </w:r>
            <w:r>
              <w:rPr>
                <w:noProof/>
                <w:webHidden/>
              </w:rPr>
              <w:fldChar w:fldCharType="begin"/>
            </w:r>
            <w:r>
              <w:rPr>
                <w:noProof/>
                <w:webHidden/>
              </w:rPr>
              <w:instrText xml:space="preserve"> PAGEREF _Toc156479502 \h </w:instrText>
            </w:r>
            <w:r>
              <w:rPr>
                <w:noProof/>
                <w:webHidden/>
              </w:rPr>
            </w:r>
            <w:r>
              <w:rPr>
                <w:noProof/>
                <w:webHidden/>
              </w:rPr>
              <w:fldChar w:fldCharType="separate"/>
            </w:r>
            <w:r>
              <w:rPr>
                <w:noProof/>
                <w:webHidden/>
              </w:rPr>
              <w:t>3</w:t>
            </w:r>
            <w:r>
              <w:rPr>
                <w:noProof/>
                <w:webHidden/>
              </w:rPr>
              <w:fldChar w:fldCharType="end"/>
            </w:r>
          </w:hyperlink>
        </w:p>
        <w:p w14:paraId="319BDFAA" w14:textId="77777777" w:rsidR="00910D93" w:rsidRDefault="00000000">
          <w:pPr>
            <w:pStyle w:val="TOC1"/>
            <w:tabs>
              <w:tab w:val="right" w:leader="dot" w:pos="9350"/>
            </w:tabs>
            <w:rPr>
              <w:rFonts w:asciiTheme="minorHAnsi" w:eastAsiaTheme="minorEastAsia" w:hAnsiTheme="minorHAnsi" w:cstheme="minorBidi"/>
              <w:noProof/>
              <w:sz w:val="22"/>
              <w:szCs w:val="22"/>
              <w:lang w:val="en-IN"/>
            </w:rPr>
          </w:pPr>
          <w:hyperlink w:anchor="_Toc156479503" w:history="1">
            <w:r w:rsidRPr="006314B6">
              <w:rPr>
                <w:rStyle w:val="Hyperlink"/>
                <w:noProof/>
              </w:rPr>
              <w:t>Analyze the Seacrest Lodge's financial performance over the past three years</w:t>
            </w:r>
            <w:r>
              <w:rPr>
                <w:noProof/>
                <w:webHidden/>
              </w:rPr>
              <w:tab/>
            </w:r>
            <w:r>
              <w:rPr>
                <w:noProof/>
                <w:webHidden/>
              </w:rPr>
              <w:fldChar w:fldCharType="begin"/>
            </w:r>
            <w:r>
              <w:rPr>
                <w:noProof/>
                <w:webHidden/>
              </w:rPr>
              <w:instrText xml:space="preserve"> PAGEREF _Toc156479503 \h </w:instrText>
            </w:r>
            <w:r>
              <w:rPr>
                <w:noProof/>
                <w:webHidden/>
              </w:rPr>
            </w:r>
            <w:r>
              <w:rPr>
                <w:noProof/>
                <w:webHidden/>
              </w:rPr>
              <w:fldChar w:fldCharType="separate"/>
            </w:r>
            <w:r>
              <w:rPr>
                <w:noProof/>
                <w:webHidden/>
              </w:rPr>
              <w:t>3</w:t>
            </w:r>
            <w:r>
              <w:rPr>
                <w:noProof/>
                <w:webHidden/>
              </w:rPr>
              <w:fldChar w:fldCharType="end"/>
            </w:r>
          </w:hyperlink>
        </w:p>
        <w:p w14:paraId="319BDFAB" w14:textId="77777777" w:rsidR="00910D93" w:rsidRDefault="00000000">
          <w:pPr>
            <w:pStyle w:val="TOC2"/>
            <w:tabs>
              <w:tab w:val="right" w:leader="dot" w:pos="9350"/>
            </w:tabs>
            <w:rPr>
              <w:rFonts w:asciiTheme="minorHAnsi" w:eastAsiaTheme="minorEastAsia" w:hAnsiTheme="minorHAnsi" w:cstheme="minorBidi"/>
              <w:noProof/>
              <w:sz w:val="22"/>
              <w:szCs w:val="22"/>
              <w:lang w:val="en-IN"/>
            </w:rPr>
          </w:pPr>
          <w:hyperlink w:anchor="_Toc156479504" w:history="1">
            <w:r w:rsidRPr="006314B6">
              <w:rPr>
                <w:rStyle w:val="Hyperlink"/>
                <w:noProof/>
              </w:rPr>
              <w:t>Estimation of the financial ratios of Seacrest Lodge in terms of profitability</w:t>
            </w:r>
            <w:r>
              <w:rPr>
                <w:noProof/>
                <w:webHidden/>
              </w:rPr>
              <w:tab/>
            </w:r>
            <w:r>
              <w:rPr>
                <w:noProof/>
                <w:webHidden/>
              </w:rPr>
              <w:fldChar w:fldCharType="begin"/>
            </w:r>
            <w:r>
              <w:rPr>
                <w:noProof/>
                <w:webHidden/>
              </w:rPr>
              <w:instrText xml:space="preserve"> PAGEREF _Toc156479504 \h </w:instrText>
            </w:r>
            <w:r>
              <w:rPr>
                <w:noProof/>
                <w:webHidden/>
              </w:rPr>
            </w:r>
            <w:r>
              <w:rPr>
                <w:noProof/>
                <w:webHidden/>
              </w:rPr>
              <w:fldChar w:fldCharType="separate"/>
            </w:r>
            <w:r>
              <w:rPr>
                <w:noProof/>
                <w:webHidden/>
              </w:rPr>
              <w:t>3</w:t>
            </w:r>
            <w:r>
              <w:rPr>
                <w:noProof/>
                <w:webHidden/>
              </w:rPr>
              <w:fldChar w:fldCharType="end"/>
            </w:r>
          </w:hyperlink>
        </w:p>
        <w:p w14:paraId="319BDFAC" w14:textId="77777777" w:rsidR="00910D93" w:rsidRDefault="00000000">
          <w:pPr>
            <w:pStyle w:val="TOC1"/>
            <w:tabs>
              <w:tab w:val="right" w:leader="dot" w:pos="9350"/>
            </w:tabs>
            <w:rPr>
              <w:rFonts w:asciiTheme="minorHAnsi" w:eastAsiaTheme="minorEastAsia" w:hAnsiTheme="minorHAnsi" w:cstheme="minorBidi"/>
              <w:noProof/>
              <w:sz w:val="22"/>
              <w:szCs w:val="22"/>
              <w:lang w:val="en-IN"/>
            </w:rPr>
          </w:pPr>
          <w:hyperlink w:anchor="_Toc156479505" w:history="1">
            <w:r w:rsidRPr="006314B6">
              <w:rPr>
                <w:rStyle w:val="Hyperlink"/>
                <w:noProof/>
              </w:rPr>
              <w:t>Identify the key reasons behind the decline in profitability, taking into consideration, real-world events and the current economy</w:t>
            </w:r>
            <w:r>
              <w:rPr>
                <w:noProof/>
                <w:webHidden/>
              </w:rPr>
              <w:tab/>
            </w:r>
            <w:r>
              <w:rPr>
                <w:noProof/>
                <w:webHidden/>
              </w:rPr>
              <w:fldChar w:fldCharType="begin"/>
            </w:r>
            <w:r>
              <w:rPr>
                <w:noProof/>
                <w:webHidden/>
              </w:rPr>
              <w:instrText xml:space="preserve"> PAGEREF _Toc156479505 \h </w:instrText>
            </w:r>
            <w:r>
              <w:rPr>
                <w:noProof/>
                <w:webHidden/>
              </w:rPr>
            </w:r>
            <w:r>
              <w:rPr>
                <w:noProof/>
                <w:webHidden/>
              </w:rPr>
              <w:fldChar w:fldCharType="separate"/>
            </w:r>
            <w:r>
              <w:rPr>
                <w:noProof/>
                <w:webHidden/>
              </w:rPr>
              <w:t>5</w:t>
            </w:r>
            <w:r>
              <w:rPr>
                <w:noProof/>
                <w:webHidden/>
              </w:rPr>
              <w:fldChar w:fldCharType="end"/>
            </w:r>
          </w:hyperlink>
        </w:p>
        <w:p w14:paraId="319BDFAD" w14:textId="77777777" w:rsidR="00910D93" w:rsidRDefault="00000000">
          <w:pPr>
            <w:pStyle w:val="TOC2"/>
            <w:tabs>
              <w:tab w:val="right" w:leader="dot" w:pos="9350"/>
            </w:tabs>
            <w:rPr>
              <w:rFonts w:asciiTheme="minorHAnsi" w:eastAsiaTheme="minorEastAsia" w:hAnsiTheme="minorHAnsi" w:cstheme="minorBidi"/>
              <w:noProof/>
              <w:sz w:val="22"/>
              <w:szCs w:val="22"/>
              <w:lang w:val="en-IN"/>
            </w:rPr>
          </w:pPr>
          <w:hyperlink w:anchor="_Toc156479506" w:history="1">
            <w:r w:rsidRPr="006314B6">
              <w:rPr>
                <w:rStyle w:val="Hyperlink"/>
                <w:noProof/>
              </w:rPr>
              <w:t>Impact of Brexit on the business and the market of resorts, hotels and restaurants</w:t>
            </w:r>
            <w:r>
              <w:rPr>
                <w:noProof/>
                <w:webHidden/>
              </w:rPr>
              <w:tab/>
            </w:r>
            <w:r>
              <w:rPr>
                <w:noProof/>
                <w:webHidden/>
              </w:rPr>
              <w:fldChar w:fldCharType="begin"/>
            </w:r>
            <w:r>
              <w:rPr>
                <w:noProof/>
                <w:webHidden/>
              </w:rPr>
              <w:instrText xml:space="preserve"> PAGEREF _Toc156479506 \h </w:instrText>
            </w:r>
            <w:r>
              <w:rPr>
                <w:noProof/>
                <w:webHidden/>
              </w:rPr>
            </w:r>
            <w:r>
              <w:rPr>
                <w:noProof/>
                <w:webHidden/>
              </w:rPr>
              <w:fldChar w:fldCharType="separate"/>
            </w:r>
            <w:r>
              <w:rPr>
                <w:noProof/>
                <w:webHidden/>
              </w:rPr>
              <w:t>5</w:t>
            </w:r>
            <w:r>
              <w:rPr>
                <w:noProof/>
                <w:webHidden/>
              </w:rPr>
              <w:fldChar w:fldCharType="end"/>
            </w:r>
          </w:hyperlink>
        </w:p>
        <w:p w14:paraId="319BDFAE" w14:textId="77777777" w:rsidR="00910D93" w:rsidRDefault="00000000">
          <w:pPr>
            <w:pStyle w:val="TOC2"/>
            <w:tabs>
              <w:tab w:val="right" w:leader="dot" w:pos="9350"/>
            </w:tabs>
            <w:rPr>
              <w:rFonts w:asciiTheme="minorHAnsi" w:eastAsiaTheme="minorEastAsia" w:hAnsiTheme="minorHAnsi" w:cstheme="minorBidi"/>
              <w:noProof/>
              <w:sz w:val="22"/>
              <w:szCs w:val="22"/>
              <w:lang w:val="en-IN"/>
            </w:rPr>
          </w:pPr>
          <w:hyperlink w:anchor="_Toc156479507" w:history="1">
            <w:r w:rsidRPr="006314B6">
              <w:rPr>
                <w:rStyle w:val="Hyperlink"/>
                <w:noProof/>
              </w:rPr>
              <w:t>Impact of covid-19 pandemic on resort business:</w:t>
            </w:r>
            <w:r>
              <w:rPr>
                <w:noProof/>
                <w:webHidden/>
              </w:rPr>
              <w:tab/>
            </w:r>
            <w:r>
              <w:rPr>
                <w:noProof/>
                <w:webHidden/>
              </w:rPr>
              <w:fldChar w:fldCharType="begin"/>
            </w:r>
            <w:r>
              <w:rPr>
                <w:noProof/>
                <w:webHidden/>
              </w:rPr>
              <w:instrText xml:space="preserve"> PAGEREF _Toc156479507 \h </w:instrText>
            </w:r>
            <w:r>
              <w:rPr>
                <w:noProof/>
                <w:webHidden/>
              </w:rPr>
            </w:r>
            <w:r>
              <w:rPr>
                <w:noProof/>
                <w:webHidden/>
              </w:rPr>
              <w:fldChar w:fldCharType="separate"/>
            </w:r>
            <w:r>
              <w:rPr>
                <w:noProof/>
                <w:webHidden/>
              </w:rPr>
              <w:t>6</w:t>
            </w:r>
            <w:r>
              <w:rPr>
                <w:noProof/>
                <w:webHidden/>
              </w:rPr>
              <w:fldChar w:fldCharType="end"/>
            </w:r>
          </w:hyperlink>
        </w:p>
        <w:p w14:paraId="319BDFAF" w14:textId="77777777" w:rsidR="00910D93" w:rsidRDefault="00000000">
          <w:pPr>
            <w:pStyle w:val="TOC2"/>
            <w:tabs>
              <w:tab w:val="right" w:leader="dot" w:pos="9350"/>
            </w:tabs>
            <w:rPr>
              <w:rFonts w:asciiTheme="minorHAnsi" w:eastAsiaTheme="minorEastAsia" w:hAnsiTheme="minorHAnsi" w:cstheme="minorBidi"/>
              <w:noProof/>
              <w:sz w:val="22"/>
              <w:szCs w:val="22"/>
              <w:lang w:val="en-IN"/>
            </w:rPr>
          </w:pPr>
          <w:hyperlink w:anchor="_Toc156479508" w:history="1">
            <w:r w:rsidRPr="006314B6">
              <w:rPr>
                <w:rStyle w:val="Hyperlink"/>
                <w:noProof/>
              </w:rPr>
              <w:t>Current Financial Environment and Its Impacts on Resort Business</w:t>
            </w:r>
            <w:r>
              <w:rPr>
                <w:noProof/>
                <w:webHidden/>
              </w:rPr>
              <w:tab/>
            </w:r>
            <w:r>
              <w:rPr>
                <w:noProof/>
                <w:webHidden/>
              </w:rPr>
              <w:fldChar w:fldCharType="begin"/>
            </w:r>
            <w:r>
              <w:rPr>
                <w:noProof/>
                <w:webHidden/>
              </w:rPr>
              <w:instrText xml:space="preserve"> PAGEREF _Toc156479508 \h </w:instrText>
            </w:r>
            <w:r>
              <w:rPr>
                <w:noProof/>
                <w:webHidden/>
              </w:rPr>
            </w:r>
            <w:r>
              <w:rPr>
                <w:noProof/>
                <w:webHidden/>
              </w:rPr>
              <w:fldChar w:fldCharType="separate"/>
            </w:r>
            <w:r>
              <w:rPr>
                <w:noProof/>
                <w:webHidden/>
              </w:rPr>
              <w:t>6</w:t>
            </w:r>
            <w:r>
              <w:rPr>
                <w:noProof/>
                <w:webHidden/>
              </w:rPr>
              <w:fldChar w:fldCharType="end"/>
            </w:r>
          </w:hyperlink>
        </w:p>
        <w:p w14:paraId="319BDFB0" w14:textId="77777777" w:rsidR="00910D93" w:rsidRDefault="00000000">
          <w:pPr>
            <w:pStyle w:val="TOC1"/>
            <w:tabs>
              <w:tab w:val="right" w:leader="dot" w:pos="9350"/>
            </w:tabs>
            <w:rPr>
              <w:rFonts w:asciiTheme="minorHAnsi" w:eastAsiaTheme="minorEastAsia" w:hAnsiTheme="minorHAnsi" w:cstheme="minorBidi"/>
              <w:noProof/>
              <w:sz w:val="22"/>
              <w:szCs w:val="22"/>
              <w:lang w:val="en-IN"/>
            </w:rPr>
          </w:pPr>
          <w:hyperlink w:anchor="_Toc156479509" w:history="1">
            <w:r w:rsidRPr="006314B6">
              <w:rPr>
                <w:rStyle w:val="Hyperlink"/>
                <w:noProof/>
              </w:rPr>
              <w:t>Comprehensive turnaround strategy to revitalize the lodge's financial health and restore its reputation as a premier vacation destination or most viable financial outcomes</w:t>
            </w:r>
            <w:r>
              <w:rPr>
                <w:noProof/>
                <w:webHidden/>
              </w:rPr>
              <w:tab/>
            </w:r>
            <w:r>
              <w:rPr>
                <w:noProof/>
                <w:webHidden/>
              </w:rPr>
              <w:fldChar w:fldCharType="begin"/>
            </w:r>
            <w:r>
              <w:rPr>
                <w:noProof/>
                <w:webHidden/>
              </w:rPr>
              <w:instrText xml:space="preserve"> PAGEREF _Toc156479509 \h </w:instrText>
            </w:r>
            <w:r>
              <w:rPr>
                <w:noProof/>
                <w:webHidden/>
              </w:rPr>
            </w:r>
            <w:r>
              <w:rPr>
                <w:noProof/>
                <w:webHidden/>
              </w:rPr>
              <w:fldChar w:fldCharType="separate"/>
            </w:r>
            <w:r>
              <w:rPr>
                <w:noProof/>
                <w:webHidden/>
              </w:rPr>
              <w:t>7</w:t>
            </w:r>
            <w:r>
              <w:rPr>
                <w:noProof/>
                <w:webHidden/>
              </w:rPr>
              <w:fldChar w:fldCharType="end"/>
            </w:r>
          </w:hyperlink>
        </w:p>
        <w:p w14:paraId="319BDFB1" w14:textId="77777777" w:rsidR="00910D93" w:rsidRDefault="00000000">
          <w:pPr>
            <w:pStyle w:val="TOC1"/>
            <w:tabs>
              <w:tab w:val="right" w:leader="dot" w:pos="9350"/>
            </w:tabs>
            <w:rPr>
              <w:rFonts w:asciiTheme="minorHAnsi" w:eastAsiaTheme="minorEastAsia" w:hAnsiTheme="minorHAnsi" w:cstheme="minorBidi"/>
              <w:noProof/>
              <w:sz w:val="22"/>
              <w:szCs w:val="22"/>
              <w:lang w:val="en-IN"/>
            </w:rPr>
          </w:pPr>
          <w:hyperlink w:anchor="_Toc156479510" w:history="1">
            <w:r w:rsidRPr="006314B6">
              <w:rPr>
                <w:rStyle w:val="Hyperlink"/>
                <w:noProof/>
              </w:rPr>
              <w:t>Conclusion</w:t>
            </w:r>
            <w:r>
              <w:rPr>
                <w:noProof/>
                <w:webHidden/>
              </w:rPr>
              <w:tab/>
            </w:r>
            <w:r>
              <w:rPr>
                <w:noProof/>
                <w:webHidden/>
              </w:rPr>
              <w:fldChar w:fldCharType="begin"/>
            </w:r>
            <w:r>
              <w:rPr>
                <w:noProof/>
                <w:webHidden/>
              </w:rPr>
              <w:instrText xml:space="preserve"> PAGEREF _Toc156479510 \h </w:instrText>
            </w:r>
            <w:r>
              <w:rPr>
                <w:noProof/>
                <w:webHidden/>
              </w:rPr>
            </w:r>
            <w:r>
              <w:rPr>
                <w:noProof/>
                <w:webHidden/>
              </w:rPr>
              <w:fldChar w:fldCharType="separate"/>
            </w:r>
            <w:r>
              <w:rPr>
                <w:noProof/>
                <w:webHidden/>
              </w:rPr>
              <w:t>8</w:t>
            </w:r>
            <w:r>
              <w:rPr>
                <w:noProof/>
                <w:webHidden/>
              </w:rPr>
              <w:fldChar w:fldCharType="end"/>
            </w:r>
          </w:hyperlink>
        </w:p>
        <w:p w14:paraId="319BDFB2" w14:textId="77777777" w:rsidR="00910D93" w:rsidRDefault="00000000">
          <w:pPr>
            <w:pStyle w:val="TOC1"/>
            <w:tabs>
              <w:tab w:val="right" w:leader="dot" w:pos="9350"/>
            </w:tabs>
            <w:rPr>
              <w:rFonts w:asciiTheme="minorHAnsi" w:eastAsiaTheme="minorEastAsia" w:hAnsiTheme="minorHAnsi" w:cstheme="minorBidi"/>
              <w:noProof/>
              <w:sz w:val="22"/>
              <w:szCs w:val="22"/>
              <w:lang w:val="en-IN"/>
            </w:rPr>
          </w:pPr>
          <w:hyperlink w:anchor="_Toc156479511" w:history="1">
            <w:r w:rsidRPr="006314B6">
              <w:rPr>
                <w:rStyle w:val="Hyperlink"/>
                <w:noProof/>
              </w:rPr>
              <w:t>References</w:t>
            </w:r>
            <w:r>
              <w:rPr>
                <w:noProof/>
                <w:webHidden/>
              </w:rPr>
              <w:tab/>
            </w:r>
            <w:r>
              <w:rPr>
                <w:noProof/>
                <w:webHidden/>
              </w:rPr>
              <w:fldChar w:fldCharType="begin"/>
            </w:r>
            <w:r>
              <w:rPr>
                <w:noProof/>
                <w:webHidden/>
              </w:rPr>
              <w:instrText xml:space="preserve"> PAGEREF _Toc156479511 \h </w:instrText>
            </w:r>
            <w:r>
              <w:rPr>
                <w:noProof/>
                <w:webHidden/>
              </w:rPr>
            </w:r>
            <w:r>
              <w:rPr>
                <w:noProof/>
                <w:webHidden/>
              </w:rPr>
              <w:fldChar w:fldCharType="separate"/>
            </w:r>
            <w:r>
              <w:rPr>
                <w:noProof/>
                <w:webHidden/>
              </w:rPr>
              <w:t>9</w:t>
            </w:r>
            <w:r>
              <w:rPr>
                <w:noProof/>
                <w:webHidden/>
              </w:rPr>
              <w:fldChar w:fldCharType="end"/>
            </w:r>
          </w:hyperlink>
        </w:p>
        <w:p w14:paraId="319BDFB3" w14:textId="77777777" w:rsidR="00910D93" w:rsidRDefault="00000000">
          <w:r>
            <w:rPr>
              <w:b/>
              <w:bCs/>
              <w:noProof/>
            </w:rPr>
            <w:fldChar w:fldCharType="end"/>
          </w:r>
        </w:p>
      </w:sdtContent>
    </w:sdt>
    <w:p w14:paraId="319BDFB4" w14:textId="77777777" w:rsidR="00910D93" w:rsidRDefault="00000000">
      <w:pPr>
        <w:rPr>
          <w:b/>
          <w:sz w:val="28"/>
          <w:szCs w:val="28"/>
        </w:rPr>
      </w:pPr>
      <w:r>
        <w:br w:type="page"/>
      </w:r>
    </w:p>
    <w:p w14:paraId="319BDFB5" w14:textId="77777777" w:rsidR="000E62BF" w:rsidRDefault="00000000">
      <w:pPr>
        <w:pStyle w:val="Heading1"/>
      </w:pPr>
      <w:bookmarkStart w:id="1" w:name="_Toc156479502"/>
      <w:r>
        <w:t>Introduction</w:t>
      </w:r>
      <w:bookmarkEnd w:id="1"/>
    </w:p>
    <w:p w14:paraId="319BDFB6" w14:textId="77777777" w:rsidR="000E62BF" w:rsidRDefault="00000000">
      <w:r>
        <w:t xml:space="preserve">The focus of this assignment is to conduct a financial analysis for The Seacrest Lodge as the company is facing market challenges with more modern resorts in the vicinity. Also, the resort is facing challenges of declined revenue, customer satisfaction as well as occupancy rates within the hotel, which is to be assessed by analyzing the profitability of the company and looking into the reason for the decline by assessing real-world events and the current economy. As the owner is concerned regarding the future activities of the resort, the assignment will also undertake an analysis of the strategy to revitalize the financial health and reputation of the resort. </w:t>
      </w:r>
    </w:p>
    <w:p w14:paraId="319BDFB7" w14:textId="77777777" w:rsidR="000E62BF" w:rsidRDefault="00000000">
      <w:pPr>
        <w:pStyle w:val="Heading1"/>
      </w:pPr>
      <w:bookmarkStart w:id="2" w:name="_l48nxdoe5d4w" w:colFirst="0" w:colLast="0"/>
      <w:bookmarkStart w:id="3" w:name="_Toc156479503"/>
      <w:bookmarkEnd w:id="2"/>
      <w:r>
        <w:t>Analyze the Seacrest Lodge's financial performance over the past three years</w:t>
      </w:r>
      <w:bookmarkEnd w:id="3"/>
    </w:p>
    <w:p w14:paraId="319BDFB8" w14:textId="77777777" w:rsidR="000E62BF" w:rsidRDefault="00000000">
      <w:pPr>
        <w:pStyle w:val="Heading2"/>
      </w:pPr>
      <w:bookmarkStart w:id="4" w:name="_kzgdbo83h2dl" w:colFirst="0" w:colLast="0"/>
      <w:bookmarkStart w:id="5" w:name="_Toc156479504"/>
      <w:bookmarkEnd w:id="4"/>
      <w:r>
        <w:t>Estimation of the financial ratios of Seacrest Lodge in terms of profitability</w:t>
      </w:r>
      <w:bookmarkEnd w:id="5"/>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2650"/>
        <w:gridCol w:w="1881"/>
        <w:gridCol w:w="1529"/>
        <w:gridCol w:w="1100"/>
        <w:gridCol w:w="1100"/>
        <w:gridCol w:w="1100"/>
      </w:tblGrid>
      <w:tr w:rsidR="00610D55" w14:paraId="319BDFBA" w14:textId="77777777">
        <w:trPr>
          <w:trHeight w:val="360"/>
        </w:trPr>
        <w:tc>
          <w:tcPr>
            <w:tcW w:w="9355" w:type="dxa"/>
            <w:gridSpan w:val="6"/>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14:paraId="319BDFB9" w14:textId="77777777" w:rsidR="000E62BF" w:rsidRDefault="00000000">
            <w:pPr>
              <w:widowControl w:val="0"/>
              <w:spacing w:line="276" w:lineRule="auto"/>
              <w:jc w:val="center"/>
              <w:rPr>
                <w:rFonts w:ascii="Arial" w:eastAsia="Arial" w:hAnsi="Arial" w:cs="Arial"/>
                <w:sz w:val="20"/>
                <w:szCs w:val="20"/>
              </w:rPr>
            </w:pPr>
            <w:r>
              <w:rPr>
                <w:b/>
              </w:rPr>
              <w:t>Calculation of financial ratios in terms of profitability</w:t>
            </w:r>
          </w:p>
        </w:tc>
      </w:tr>
      <w:tr w:rsidR="00610D55" w14:paraId="319BDFC1" w14:textId="77777777">
        <w:trPr>
          <w:trHeight w:val="360"/>
        </w:trPr>
        <w:tc>
          <w:tcPr>
            <w:tcW w:w="2650" w:type="dxa"/>
            <w:tcBorders>
              <w:top w:val="single" w:sz="8" w:space="0" w:color="CCCCCC"/>
              <w:left w:val="single" w:sz="8" w:space="0" w:color="000000"/>
              <w:bottom w:val="single" w:sz="8" w:space="0" w:color="000000"/>
              <w:right w:val="single" w:sz="8" w:space="0" w:color="000000"/>
            </w:tcBorders>
            <w:shd w:val="clear" w:color="auto" w:fill="auto"/>
            <w:tcMar>
              <w:top w:w="40" w:type="dxa"/>
              <w:left w:w="40" w:type="dxa"/>
              <w:bottom w:w="40" w:type="dxa"/>
              <w:right w:w="40" w:type="dxa"/>
            </w:tcMar>
            <w:vAlign w:val="bottom"/>
          </w:tcPr>
          <w:p w14:paraId="319BDFBB" w14:textId="77777777" w:rsidR="000E62BF" w:rsidRDefault="00000000">
            <w:pPr>
              <w:widowControl w:val="0"/>
              <w:spacing w:line="276" w:lineRule="auto"/>
              <w:jc w:val="left"/>
              <w:rPr>
                <w:rFonts w:ascii="Arial" w:eastAsia="Arial" w:hAnsi="Arial" w:cs="Arial"/>
                <w:sz w:val="20"/>
                <w:szCs w:val="20"/>
              </w:rPr>
            </w:pPr>
            <w:r>
              <w:rPr>
                <w:b/>
              </w:rPr>
              <w:t>List of ratios</w:t>
            </w:r>
          </w:p>
        </w:tc>
        <w:tc>
          <w:tcPr>
            <w:tcW w:w="1880"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BC" w14:textId="77777777" w:rsidR="000E62BF" w:rsidRDefault="00000000">
            <w:pPr>
              <w:widowControl w:val="0"/>
              <w:spacing w:line="276" w:lineRule="auto"/>
              <w:jc w:val="left"/>
              <w:rPr>
                <w:rFonts w:ascii="Arial" w:eastAsia="Arial" w:hAnsi="Arial" w:cs="Arial"/>
                <w:sz w:val="20"/>
                <w:szCs w:val="20"/>
              </w:rPr>
            </w:pPr>
            <w:r>
              <w:rPr>
                <w:b/>
              </w:rPr>
              <w:t>Formula</w:t>
            </w:r>
          </w:p>
        </w:tc>
        <w:tc>
          <w:tcPr>
            <w:tcW w:w="1528"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BD" w14:textId="77777777" w:rsidR="000E62BF" w:rsidRDefault="00000000">
            <w:pPr>
              <w:widowControl w:val="0"/>
              <w:spacing w:line="276" w:lineRule="auto"/>
              <w:jc w:val="left"/>
              <w:rPr>
                <w:rFonts w:ascii="Arial" w:eastAsia="Arial" w:hAnsi="Arial" w:cs="Arial"/>
                <w:sz w:val="20"/>
                <w:szCs w:val="20"/>
              </w:rPr>
            </w:pPr>
            <w:r>
              <w:rPr>
                <w:b/>
              </w:rPr>
              <w:t>Details (in £)</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BE" w14:textId="77777777" w:rsidR="000E62BF" w:rsidRDefault="00000000">
            <w:pPr>
              <w:widowControl w:val="0"/>
              <w:spacing w:line="276" w:lineRule="auto"/>
              <w:jc w:val="right"/>
              <w:rPr>
                <w:rFonts w:ascii="Arial" w:eastAsia="Arial" w:hAnsi="Arial" w:cs="Arial"/>
                <w:sz w:val="20"/>
                <w:szCs w:val="20"/>
              </w:rPr>
            </w:pPr>
            <w:r>
              <w:rPr>
                <w:b/>
              </w:rPr>
              <w:t>2021</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BF" w14:textId="77777777" w:rsidR="000E62BF" w:rsidRDefault="00000000">
            <w:pPr>
              <w:widowControl w:val="0"/>
              <w:spacing w:line="276" w:lineRule="auto"/>
              <w:jc w:val="right"/>
              <w:rPr>
                <w:rFonts w:ascii="Arial" w:eastAsia="Arial" w:hAnsi="Arial" w:cs="Arial"/>
                <w:sz w:val="20"/>
                <w:szCs w:val="20"/>
              </w:rPr>
            </w:pPr>
            <w:r>
              <w:rPr>
                <w:b/>
              </w:rPr>
              <w:t>2022</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C0" w14:textId="77777777" w:rsidR="000E62BF" w:rsidRDefault="00000000">
            <w:pPr>
              <w:widowControl w:val="0"/>
              <w:spacing w:line="276" w:lineRule="auto"/>
              <w:jc w:val="right"/>
              <w:rPr>
                <w:rFonts w:ascii="Arial" w:eastAsia="Arial" w:hAnsi="Arial" w:cs="Arial"/>
                <w:sz w:val="20"/>
                <w:szCs w:val="20"/>
              </w:rPr>
            </w:pPr>
            <w:r>
              <w:rPr>
                <w:b/>
              </w:rPr>
              <w:t>2023</w:t>
            </w:r>
          </w:p>
        </w:tc>
      </w:tr>
      <w:tr w:rsidR="00610D55" w14:paraId="319BDFC8" w14:textId="77777777">
        <w:trPr>
          <w:trHeight w:val="360"/>
        </w:trPr>
        <w:tc>
          <w:tcPr>
            <w:tcW w:w="2650" w:type="dxa"/>
            <w:tcBorders>
              <w:top w:val="single" w:sz="8" w:space="0" w:color="CCCCCC"/>
              <w:left w:val="single" w:sz="8" w:space="0" w:color="000000"/>
              <w:bottom w:val="single" w:sz="8" w:space="0" w:color="000000"/>
              <w:right w:val="single" w:sz="8" w:space="0" w:color="000000"/>
            </w:tcBorders>
            <w:shd w:val="clear" w:color="auto" w:fill="auto"/>
            <w:tcMar>
              <w:top w:w="40" w:type="dxa"/>
              <w:left w:w="40" w:type="dxa"/>
              <w:bottom w:w="40" w:type="dxa"/>
              <w:right w:w="40" w:type="dxa"/>
            </w:tcMar>
            <w:vAlign w:val="bottom"/>
          </w:tcPr>
          <w:p w14:paraId="319BDFC2" w14:textId="77777777" w:rsidR="000E62BF" w:rsidRDefault="00000000">
            <w:pPr>
              <w:widowControl w:val="0"/>
              <w:spacing w:line="276" w:lineRule="auto"/>
              <w:jc w:val="left"/>
              <w:rPr>
                <w:rFonts w:ascii="Arial" w:eastAsia="Arial" w:hAnsi="Arial" w:cs="Arial"/>
                <w:sz w:val="20"/>
                <w:szCs w:val="20"/>
              </w:rPr>
            </w:pPr>
            <w:r>
              <w:rPr>
                <w:b/>
              </w:rPr>
              <w:t>Return on assets</w:t>
            </w:r>
          </w:p>
        </w:tc>
        <w:tc>
          <w:tcPr>
            <w:tcW w:w="1880"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C3" w14:textId="77777777" w:rsidR="000E62BF" w:rsidRDefault="00000000">
            <w:pPr>
              <w:widowControl w:val="0"/>
              <w:spacing w:line="276" w:lineRule="auto"/>
              <w:jc w:val="left"/>
              <w:rPr>
                <w:rFonts w:ascii="Arial" w:eastAsia="Arial" w:hAnsi="Arial" w:cs="Arial"/>
                <w:sz w:val="20"/>
                <w:szCs w:val="20"/>
              </w:rPr>
            </w:pPr>
            <w:r>
              <w:t>Net Income / Total assets</w:t>
            </w:r>
          </w:p>
        </w:tc>
        <w:tc>
          <w:tcPr>
            <w:tcW w:w="1528"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C4" w14:textId="77777777" w:rsidR="000E62BF" w:rsidRDefault="00000000">
            <w:pPr>
              <w:widowControl w:val="0"/>
              <w:spacing w:line="276" w:lineRule="auto"/>
              <w:jc w:val="left"/>
              <w:rPr>
                <w:rFonts w:ascii="Arial" w:eastAsia="Arial" w:hAnsi="Arial" w:cs="Arial"/>
                <w:sz w:val="20"/>
                <w:szCs w:val="20"/>
              </w:rPr>
            </w:pPr>
            <w:r>
              <w:t>(300000 / 2150000)</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C5" w14:textId="77777777" w:rsidR="000E62BF" w:rsidRDefault="00000000">
            <w:pPr>
              <w:widowControl w:val="0"/>
              <w:spacing w:line="276" w:lineRule="auto"/>
              <w:jc w:val="right"/>
              <w:rPr>
                <w:rFonts w:ascii="Arial" w:eastAsia="Arial" w:hAnsi="Arial" w:cs="Arial"/>
                <w:sz w:val="20"/>
                <w:szCs w:val="20"/>
              </w:rPr>
            </w:pPr>
            <w:r>
              <w:rPr>
                <w:b/>
              </w:rPr>
              <w:t>13.95%</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C6"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C7" w14:textId="77777777" w:rsidR="000E62BF" w:rsidRDefault="000E62BF">
            <w:pPr>
              <w:widowControl w:val="0"/>
              <w:spacing w:line="276" w:lineRule="auto"/>
              <w:jc w:val="left"/>
              <w:rPr>
                <w:rFonts w:ascii="Arial" w:eastAsia="Arial" w:hAnsi="Arial" w:cs="Arial"/>
                <w:sz w:val="20"/>
                <w:szCs w:val="20"/>
              </w:rPr>
            </w:pPr>
          </w:p>
        </w:tc>
      </w:tr>
      <w:tr w:rsidR="00610D55" w14:paraId="319BDFCF" w14:textId="77777777">
        <w:trPr>
          <w:trHeight w:val="360"/>
        </w:trPr>
        <w:tc>
          <w:tcPr>
            <w:tcW w:w="2650" w:type="dxa"/>
            <w:tcBorders>
              <w:top w:val="single" w:sz="8" w:space="0" w:color="CCCCCC"/>
              <w:left w:val="single" w:sz="8" w:space="0" w:color="000000"/>
              <w:bottom w:val="single" w:sz="8" w:space="0" w:color="000000"/>
              <w:right w:val="single" w:sz="8" w:space="0" w:color="000000"/>
            </w:tcBorders>
            <w:shd w:val="clear" w:color="auto" w:fill="auto"/>
            <w:tcMar>
              <w:top w:w="40" w:type="dxa"/>
              <w:left w:w="40" w:type="dxa"/>
              <w:bottom w:w="40" w:type="dxa"/>
              <w:right w:w="40" w:type="dxa"/>
            </w:tcMar>
            <w:vAlign w:val="bottom"/>
          </w:tcPr>
          <w:p w14:paraId="319BDFC9" w14:textId="77777777" w:rsidR="000E62BF" w:rsidRDefault="000E62BF">
            <w:pPr>
              <w:widowControl w:val="0"/>
              <w:spacing w:line="276" w:lineRule="auto"/>
              <w:jc w:val="left"/>
              <w:rPr>
                <w:rFonts w:ascii="Arial" w:eastAsia="Arial" w:hAnsi="Arial" w:cs="Arial"/>
                <w:sz w:val="20"/>
                <w:szCs w:val="20"/>
              </w:rPr>
            </w:pPr>
          </w:p>
        </w:tc>
        <w:tc>
          <w:tcPr>
            <w:tcW w:w="1880"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CA" w14:textId="77777777" w:rsidR="000E62BF" w:rsidRDefault="000E62BF">
            <w:pPr>
              <w:widowControl w:val="0"/>
              <w:spacing w:line="276" w:lineRule="auto"/>
              <w:jc w:val="left"/>
              <w:rPr>
                <w:rFonts w:ascii="Arial" w:eastAsia="Arial" w:hAnsi="Arial" w:cs="Arial"/>
                <w:sz w:val="20"/>
                <w:szCs w:val="20"/>
              </w:rPr>
            </w:pPr>
          </w:p>
        </w:tc>
        <w:tc>
          <w:tcPr>
            <w:tcW w:w="1528"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CB" w14:textId="77777777" w:rsidR="000E62BF" w:rsidRDefault="00000000">
            <w:pPr>
              <w:widowControl w:val="0"/>
              <w:spacing w:line="276" w:lineRule="auto"/>
              <w:jc w:val="left"/>
              <w:rPr>
                <w:rFonts w:ascii="Arial" w:eastAsia="Arial" w:hAnsi="Arial" w:cs="Arial"/>
                <w:sz w:val="20"/>
                <w:szCs w:val="20"/>
              </w:rPr>
            </w:pPr>
            <w:r>
              <w:t>(150000 / 2120000)</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CC"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CD" w14:textId="77777777" w:rsidR="000E62BF" w:rsidRDefault="00000000">
            <w:pPr>
              <w:widowControl w:val="0"/>
              <w:spacing w:line="276" w:lineRule="auto"/>
              <w:jc w:val="right"/>
              <w:rPr>
                <w:rFonts w:ascii="Arial" w:eastAsia="Arial" w:hAnsi="Arial" w:cs="Arial"/>
                <w:sz w:val="20"/>
                <w:szCs w:val="20"/>
              </w:rPr>
            </w:pPr>
            <w:r>
              <w:rPr>
                <w:b/>
              </w:rPr>
              <w:t>7.08%</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CE" w14:textId="77777777" w:rsidR="000E62BF" w:rsidRDefault="000E62BF">
            <w:pPr>
              <w:widowControl w:val="0"/>
              <w:spacing w:line="276" w:lineRule="auto"/>
              <w:jc w:val="left"/>
              <w:rPr>
                <w:rFonts w:ascii="Arial" w:eastAsia="Arial" w:hAnsi="Arial" w:cs="Arial"/>
                <w:sz w:val="20"/>
                <w:szCs w:val="20"/>
              </w:rPr>
            </w:pPr>
          </w:p>
        </w:tc>
      </w:tr>
      <w:tr w:rsidR="00610D55" w14:paraId="319BDFD6" w14:textId="77777777">
        <w:trPr>
          <w:trHeight w:val="645"/>
        </w:trPr>
        <w:tc>
          <w:tcPr>
            <w:tcW w:w="2650" w:type="dxa"/>
            <w:tcBorders>
              <w:top w:val="single" w:sz="8" w:space="0" w:color="CCCCCC"/>
              <w:left w:val="single" w:sz="8" w:space="0" w:color="000000"/>
              <w:bottom w:val="single" w:sz="8" w:space="0" w:color="000000"/>
              <w:right w:val="single" w:sz="8" w:space="0" w:color="000000"/>
            </w:tcBorders>
            <w:shd w:val="clear" w:color="auto" w:fill="auto"/>
            <w:tcMar>
              <w:top w:w="40" w:type="dxa"/>
              <w:left w:w="40" w:type="dxa"/>
              <w:bottom w:w="40" w:type="dxa"/>
              <w:right w:w="40" w:type="dxa"/>
            </w:tcMar>
            <w:vAlign w:val="bottom"/>
          </w:tcPr>
          <w:p w14:paraId="319BDFD0" w14:textId="77777777" w:rsidR="000E62BF" w:rsidRDefault="000E62BF">
            <w:pPr>
              <w:widowControl w:val="0"/>
              <w:spacing w:line="276" w:lineRule="auto"/>
              <w:jc w:val="left"/>
              <w:rPr>
                <w:rFonts w:ascii="Arial" w:eastAsia="Arial" w:hAnsi="Arial" w:cs="Arial"/>
                <w:sz w:val="20"/>
                <w:szCs w:val="20"/>
              </w:rPr>
            </w:pPr>
          </w:p>
        </w:tc>
        <w:tc>
          <w:tcPr>
            <w:tcW w:w="1880"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D1" w14:textId="77777777" w:rsidR="000E62BF" w:rsidRDefault="000E62BF">
            <w:pPr>
              <w:widowControl w:val="0"/>
              <w:spacing w:line="276" w:lineRule="auto"/>
              <w:jc w:val="left"/>
              <w:rPr>
                <w:rFonts w:ascii="Arial" w:eastAsia="Arial" w:hAnsi="Arial" w:cs="Arial"/>
                <w:sz w:val="20"/>
                <w:szCs w:val="20"/>
              </w:rPr>
            </w:pPr>
          </w:p>
        </w:tc>
        <w:tc>
          <w:tcPr>
            <w:tcW w:w="1528"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D2" w14:textId="77777777" w:rsidR="000E62BF" w:rsidRDefault="00000000">
            <w:pPr>
              <w:widowControl w:val="0"/>
              <w:spacing w:line="276" w:lineRule="auto"/>
              <w:jc w:val="left"/>
              <w:rPr>
                <w:rFonts w:ascii="Arial" w:eastAsia="Arial" w:hAnsi="Arial" w:cs="Arial"/>
                <w:sz w:val="20"/>
                <w:szCs w:val="20"/>
              </w:rPr>
            </w:pPr>
            <w:r>
              <w:t>(-150000 / 1850000)</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D3"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D4"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D5" w14:textId="77777777" w:rsidR="000E62BF" w:rsidRDefault="00000000">
            <w:pPr>
              <w:widowControl w:val="0"/>
              <w:spacing w:line="276" w:lineRule="auto"/>
              <w:jc w:val="right"/>
              <w:rPr>
                <w:rFonts w:ascii="Arial" w:eastAsia="Arial" w:hAnsi="Arial" w:cs="Arial"/>
                <w:sz w:val="20"/>
                <w:szCs w:val="20"/>
              </w:rPr>
            </w:pPr>
            <w:r>
              <w:rPr>
                <w:b/>
              </w:rPr>
              <w:t>-8.11%</w:t>
            </w:r>
          </w:p>
        </w:tc>
      </w:tr>
      <w:tr w:rsidR="00610D55" w14:paraId="319BDFDD" w14:textId="77777777">
        <w:trPr>
          <w:trHeight w:val="315"/>
        </w:trPr>
        <w:tc>
          <w:tcPr>
            <w:tcW w:w="2650" w:type="dxa"/>
            <w:tcBorders>
              <w:top w:val="single" w:sz="8" w:space="0" w:color="CCCCCC"/>
              <w:left w:val="single" w:sz="8" w:space="0" w:color="000000"/>
              <w:bottom w:val="single" w:sz="8" w:space="0" w:color="000000"/>
              <w:right w:val="single" w:sz="8" w:space="0" w:color="000000"/>
            </w:tcBorders>
            <w:shd w:val="clear" w:color="auto" w:fill="auto"/>
            <w:tcMar>
              <w:top w:w="40" w:type="dxa"/>
              <w:left w:w="40" w:type="dxa"/>
              <w:bottom w:w="40" w:type="dxa"/>
              <w:right w:w="40" w:type="dxa"/>
            </w:tcMar>
            <w:vAlign w:val="bottom"/>
          </w:tcPr>
          <w:p w14:paraId="319BDFD7" w14:textId="77777777" w:rsidR="000E62BF" w:rsidRDefault="000E62BF">
            <w:pPr>
              <w:widowControl w:val="0"/>
              <w:spacing w:line="276" w:lineRule="auto"/>
              <w:jc w:val="left"/>
              <w:rPr>
                <w:rFonts w:ascii="Arial" w:eastAsia="Arial" w:hAnsi="Arial" w:cs="Arial"/>
                <w:sz w:val="20"/>
                <w:szCs w:val="20"/>
              </w:rPr>
            </w:pPr>
          </w:p>
        </w:tc>
        <w:tc>
          <w:tcPr>
            <w:tcW w:w="1880"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D8" w14:textId="77777777" w:rsidR="000E62BF" w:rsidRDefault="000E62BF">
            <w:pPr>
              <w:widowControl w:val="0"/>
              <w:spacing w:line="276" w:lineRule="auto"/>
              <w:jc w:val="left"/>
              <w:rPr>
                <w:rFonts w:ascii="Arial" w:eastAsia="Arial" w:hAnsi="Arial" w:cs="Arial"/>
                <w:sz w:val="20"/>
                <w:szCs w:val="20"/>
              </w:rPr>
            </w:pPr>
          </w:p>
        </w:tc>
        <w:tc>
          <w:tcPr>
            <w:tcW w:w="1528"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D9"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DA"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DB"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DC" w14:textId="77777777" w:rsidR="000E62BF" w:rsidRDefault="000E62BF">
            <w:pPr>
              <w:widowControl w:val="0"/>
              <w:spacing w:line="276" w:lineRule="auto"/>
              <w:jc w:val="left"/>
              <w:rPr>
                <w:rFonts w:ascii="Arial" w:eastAsia="Arial" w:hAnsi="Arial" w:cs="Arial"/>
                <w:sz w:val="20"/>
                <w:szCs w:val="20"/>
              </w:rPr>
            </w:pPr>
          </w:p>
        </w:tc>
      </w:tr>
      <w:tr w:rsidR="00610D55" w14:paraId="319BDFE4" w14:textId="77777777">
        <w:trPr>
          <w:trHeight w:val="645"/>
        </w:trPr>
        <w:tc>
          <w:tcPr>
            <w:tcW w:w="2650" w:type="dxa"/>
            <w:tcBorders>
              <w:top w:val="single" w:sz="8" w:space="0" w:color="CCCCCC"/>
              <w:left w:val="single" w:sz="8" w:space="0" w:color="000000"/>
              <w:bottom w:val="single" w:sz="8" w:space="0" w:color="000000"/>
              <w:right w:val="single" w:sz="8" w:space="0" w:color="000000"/>
            </w:tcBorders>
            <w:shd w:val="clear" w:color="auto" w:fill="auto"/>
            <w:tcMar>
              <w:top w:w="40" w:type="dxa"/>
              <w:left w:w="40" w:type="dxa"/>
              <w:bottom w:w="40" w:type="dxa"/>
              <w:right w:w="40" w:type="dxa"/>
            </w:tcMar>
            <w:vAlign w:val="bottom"/>
          </w:tcPr>
          <w:p w14:paraId="319BDFDE" w14:textId="77777777" w:rsidR="000E62BF" w:rsidRDefault="00000000">
            <w:pPr>
              <w:widowControl w:val="0"/>
              <w:spacing w:line="276" w:lineRule="auto"/>
              <w:jc w:val="left"/>
              <w:rPr>
                <w:rFonts w:ascii="Arial" w:eastAsia="Arial" w:hAnsi="Arial" w:cs="Arial"/>
                <w:sz w:val="20"/>
                <w:szCs w:val="20"/>
              </w:rPr>
            </w:pPr>
            <w:r>
              <w:rPr>
                <w:b/>
              </w:rPr>
              <w:t>Return on equity</w:t>
            </w:r>
          </w:p>
        </w:tc>
        <w:tc>
          <w:tcPr>
            <w:tcW w:w="1880"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DF" w14:textId="77777777" w:rsidR="000E62BF" w:rsidRDefault="00000000">
            <w:pPr>
              <w:widowControl w:val="0"/>
              <w:spacing w:line="276" w:lineRule="auto"/>
              <w:jc w:val="left"/>
              <w:rPr>
                <w:rFonts w:ascii="Arial" w:eastAsia="Arial" w:hAnsi="Arial" w:cs="Arial"/>
                <w:sz w:val="20"/>
                <w:szCs w:val="20"/>
              </w:rPr>
            </w:pPr>
            <w:r>
              <w:t>Net Income / Total equity</w:t>
            </w:r>
          </w:p>
        </w:tc>
        <w:tc>
          <w:tcPr>
            <w:tcW w:w="1528"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E0" w14:textId="77777777" w:rsidR="000E62BF" w:rsidRDefault="00000000">
            <w:pPr>
              <w:widowControl w:val="0"/>
              <w:spacing w:line="276" w:lineRule="auto"/>
              <w:jc w:val="left"/>
              <w:rPr>
                <w:rFonts w:ascii="Arial" w:eastAsia="Arial" w:hAnsi="Arial" w:cs="Arial"/>
                <w:sz w:val="20"/>
                <w:szCs w:val="20"/>
              </w:rPr>
            </w:pPr>
            <w:r>
              <w:t>(300000 / 620000)</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E1" w14:textId="77777777" w:rsidR="000E62BF" w:rsidRDefault="00000000">
            <w:pPr>
              <w:widowControl w:val="0"/>
              <w:spacing w:line="276" w:lineRule="auto"/>
              <w:jc w:val="right"/>
              <w:rPr>
                <w:rFonts w:ascii="Arial" w:eastAsia="Arial" w:hAnsi="Arial" w:cs="Arial"/>
                <w:sz w:val="20"/>
                <w:szCs w:val="20"/>
              </w:rPr>
            </w:pPr>
            <w:r>
              <w:rPr>
                <w:b/>
              </w:rPr>
              <w:t>48.39%</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E2"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E3" w14:textId="77777777" w:rsidR="000E62BF" w:rsidRDefault="000E62BF">
            <w:pPr>
              <w:widowControl w:val="0"/>
              <w:spacing w:line="276" w:lineRule="auto"/>
              <w:jc w:val="left"/>
              <w:rPr>
                <w:rFonts w:ascii="Arial" w:eastAsia="Arial" w:hAnsi="Arial" w:cs="Arial"/>
                <w:sz w:val="20"/>
                <w:szCs w:val="20"/>
              </w:rPr>
            </w:pPr>
          </w:p>
        </w:tc>
      </w:tr>
      <w:tr w:rsidR="00610D55" w14:paraId="319BDFEB" w14:textId="77777777">
        <w:trPr>
          <w:trHeight w:val="360"/>
        </w:trPr>
        <w:tc>
          <w:tcPr>
            <w:tcW w:w="2650" w:type="dxa"/>
            <w:tcBorders>
              <w:top w:val="single" w:sz="8" w:space="0" w:color="CCCCCC"/>
              <w:left w:val="single" w:sz="8" w:space="0" w:color="000000"/>
              <w:bottom w:val="single" w:sz="8" w:space="0" w:color="000000"/>
              <w:right w:val="single" w:sz="8" w:space="0" w:color="000000"/>
            </w:tcBorders>
            <w:shd w:val="clear" w:color="auto" w:fill="auto"/>
            <w:tcMar>
              <w:top w:w="40" w:type="dxa"/>
              <w:left w:w="40" w:type="dxa"/>
              <w:bottom w:w="40" w:type="dxa"/>
              <w:right w:w="40" w:type="dxa"/>
            </w:tcMar>
            <w:vAlign w:val="bottom"/>
          </w:tcPr>
          <w:p w14:paraId="319BDFE5" w14:textId="77777777" w:rsidR="000E62BF" w:rsidRDefault="000E62BF">
            <w:pPr>
              <w:widowControl w:val="0"/>
              <w:spacing w:line="276" w:lineRule="auto"/>
              <w:jc w:val="left"/>
              <w:rPr>
                <w:rFonts w:ascii="Arial" w:eastAsia="Arial" w:hAnsi="Arial" w:cs="Arial"/>
                <w:sz w:val="20"/>
                <w:szCs w:val="20"/>
              </w:rPr>
            </w:pPr>
          </w:p>
        </w:tc>
        <w:tc>
          <w:tcPr>
            <w:tcW w:w="1880"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E6" w14:textId="77777777" w:rsidR="000E62BF" w:rsidRDefault="000E62BF">
            <w:pPr>
              <w:widowControl w:val="0"/>
              <w:spacing w:line="276" w:lineRule="auto"/>
              <w:jc w:val="left"/>
              <w:rPr>
                <w:rFonts w:ascii="Arial" w:eastAsia="Arial" w:hAnsi="Arial" w:cs="Arial"/>
                <w:sz w:val="20"/>
                <w:szCs w:val="20"/>
              </w:rPr>
            </w:pPr>
          </w:p>
        </w:tc>
        <w:tc>
          <w:tcPr>
            <w:tcW w:w="1528"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E7" w14:textId="77777777" w:rsidR="000E62BF" w:rsidRDefault="00000000">
            <w:pPr>
              <w:widowControl w:val="0"/>
              <w:spacing w:line="276" w:lineRule="auto"/>
              <w:jc w:val="left"/>
              <w:rPr>
                <w:rFonts w:ascii="Arial" w:eastAsia="Arial" w:hAnsi="Arial" w:cs="Arial"/>
                <w:sz w:val="20"/>
                <w:szCs w:val="20"/>
              </w:rPr>
            </w:pPr>
            <w:r>
              <w:t>(150000 / 580000)</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E8"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E9" w14:textId="77777777" w:rsidR="000E62BF" w:rsidRDefault="00000000">
            <w:pPr>
              <w:widowControl w:val="0"/>
              <w:spacing w:line="276" w:lineRule="auto"/>
              <w:jc w:val="right"/>
              <w:rPr>
                <w:rFonts w:ascii="Arial" w:eastAsia="Arial" w:hAnsi="Arial" w:cs="Arial"/>
                <w:sz w:val="20"/>
                <w:szCs w:val="20"/>
              </w:rPr>
            </w:pPr>
            <w:r>
              <w:rPr>
                <w:b/>
              </w:rPr>
              <w:t>25.86%</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EA" w14:textId="77777777" w:rsidR="000E62BF" w:rsidRDefault="000E62BF">
            <w:pPr>
              <w:widowControl w:val="0"/>
              <w:spacing w:line="276" w:lineRule="auto"/>
              <w:jc w:val="left"/>
              <w:rPr>
                <w:rFonts w:ascii="Arial" w:eastAsia="Arial" w:hAnsi="Arial" w:cs="Arial"/>
                <w:sz w:val="20"/>
                <w:szCs w:val="20"/>
              </w:rPr>
            </w:pPr>
          </w:p>
        </w:tc>
      </w:tr>
      <w:tr w:rsidR="00610D55" w14:paraId="319BDFF2" w14:textId="77777777">
        <w:trPr>
          <w:trHeight w:val="360"/>
        </w:trPr>
        <w:tc>
          <w:tcPr>
            <w:tcW w:w="2650" w:type="dxa"/>
            <w:tcBorders>
              <w:top w:val="single" w:sz="8" w:space="0" w:color="CCCCCC"/>
              <w:left w:val="single" w:sz="8" w:space="0" w:color="000000"/>
              <w:bottom w:val="single" w:sz="8" w:space="0" w:color="000000"/>
              <w:right w:val="single" w:sz="8" w:space="0" w:color="000000"/>
            </w:tcBorders>
            <w:shd w:val="clear" w:color="auto" w:fill="auto"/>
            <w:tcMar>
              <w:top w:w="40" w:type="dxa"/>
              <w:left w:w="40" w:type="dxa"/>
              <w:bottom w:w="40" w:type="dxa"/>
              <w:right w:w="40" w:type="dxa"/>
            </w:tcMar>
            <w:vAlign w:val="bottom"/>
          </w:tcPr>
          <w:p w14:paraId="319BDFEC" w14:textId="77777777" w:rsidR="000E62BF" w:rsidRDefault="000E62BF">
            <w:pPr>
              <w:widowControl w:val="0"/>
              <w:spacing w:line="276" w:lineRule="auto"/>
              <w:jc w:val="left"/>
              <w:rPr>
                <w:rFonts w:ascii="Arial" w:eastAsia="Arial" w:hAnsi="Arial" w:cs="Arial"/>
                <w:sz w:val="20"/>
                <w:szCs w:val="20"/>
              </w:rPr>
            </w:pPr>
          </w:p>
        </w:tc>
        <w:tc>
          <w:tcPr>
            <w:tcW w:w="1880"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ED" w14:textId="77777777" w:rsidR="000E62BF" w:rsidRDefault="000E62BF">
            <w:pPr>
              <w:widowControl w:val="0"/>
              <w:spacing w:line="276" w:lineRule="auto"/>
              <w:jc w:val="left"/>
              <w:rPr>
                <w:rFonts w:ascii="Arial" w:eastAsia="Arial" w:hAnsi="Arial" w:cs="Arial"/>
                <w:sz w:val="20"/>
                <w:szCs w:val="20"/>
              </w:rPr>
            </w:pPr>
          </w:p>
        </w:tc>
        <w:tc>
          <w:tcPr>
            <w:tcW w:w="1528"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EE" w14:textId="77777777" w:rsidR="000E62BF" w:rsidRDefault="00000000">
            <w:pPr>
              <w:widowControl w:val="0"/>
              <w:spacing w:line="276" w:lineRule="auto"/>
              <w:jc w:val="left"/>
              <w:rPr>
                <w:rFonts w:ascii="Arial" w:eastAsia="Arial" w:hAnsi="Arial" w:cs="Arial"/>
                <w:sz w:val="20"/>
                <w:szCs w:val="20"/>
              </w:rPr>
            </w:pPr>
            <w:r>
              <w:t>(- 150000 / 300000)</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EF"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F0"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F1" w14:textId="77777777" w:rsidR="000E62BF" w:rsidRDefault="00000000">
            <w:pPr>
              <w:widowControl w:val="0"/>
              <w:spacing w:line="276" w:lineRule="auto"/>
              <w:jc w:val="right"/>
              <w:rPr>
                <w:rFonts w:ascii="Arial" w:eastAsia="Arial" w:hAnsi="Arial" w:cs="Arial"/>
                <w:sz w:val="20"/>
                <w:szCs w:val="20"/>
              </w:rPr>
            </w:pPr>
            <w:r>
              <w:rPr>
                <w:b/>
              </w:rPr>
              <w:t>-50.00%</w:t>
            </w:r>
          </w:p>
        </w:tc>
      </w:tr>
      <w:tr w:rsidR="00610D55" w14:paraId="319BDFF9" w14:textId="77777777">
        <w:trPr>
          <w:trHeight w:val="315"/>
        </w:trPr>
        <w:tc>
          <w:tcPr>
            <w:tcW w:w="2650" w:type="dxa"/>
            <w:tcBorders>
              <w:top w:val="single" w:sz="8" w:space="0" w:color="CCCCCC"/>
              <w:left w:val="single" w:sz="8" w:space="0" w:color="000000"/>
              <w:bottom w:val="single" w:sz="8" w:space="0" w:color="000000"/>
              <w:right w:val="single" w:sz="8" w:space="0" w:color="000000"/>
            </w:tcBorders>
            <w:shd w:val="clear" w:color="auto" w:fill="auto"/>
            <w:tcMar>
              <w:top w:w="40" w:type="dxa"/>
              <w:left w:w="40" w:type="dxa"/>
              <w:bottom w:w="40" w:type="dxa"/>
              <w:right w:w="40" w:type="dxa"/>
            </w:tcMar>
            <w:vAlign w:val="bottom"/>
          </w:tcPr>
          <w:p w14:paraId="319BDFF3" w14:textId="77777777" w:rsidR="000E62BF" w:rsidRDefault="000E62BF">
            <w:pPr>
              <w:widowControl w:val="0"/>
              <w:spacing w:line="276" w:lineRule="auto"/>
              <w:jc w:val="left"/>
              <w:rPr>
                <w:rFonts w:ascii="Arial" w:eastAsia="Arial" w:hAnsi="Arial" w:cs="Arial"/>
                <w:sz w:val="20"/>
                <w:szCs w:val="20"/>
              </w:rPr>
            </w:pPr>
          </w:p>
        </w:tc>
        <w:tc>
          <w:tcPr>
            <w:tcW w:w="1880"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F4" w14:textId="77777777" w:rsidR="000E62BF" w:rsidRDefault="000E62BF">
            <w:pPr>
              <w:widowControl w:val="0"/>
              <w:spacing w:line="276" w:lineRule="auto"/>
              <w:jc w:val="left"/>
              <w:rPr>
                <w:rFonts w:ascii="Arial" w:eastAsia="Arial" w:hAnsi="Arial" w:cs="Arial"/>
                <w:sz w:val="20"/>
                <w:szCs w:val="20"/>
              </w:rPr>
            </w:pPr>
          </w:p>
        </w:tc>
        <w:tc>
          <w:tcPr>
            <w:tcW w:w="1528"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F5"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F6"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F7"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F8" w14:textId="77777777" w:rsidR="000E62BF" w:rsidRDefault="000E62BF">
            <w:pPr>
              <w:widowControl w:val="0"/>
              <w:spacing w:line="276" w:lineRule="auto"/>
              <w:jc w:val="left"/>
              <w:rPr>
                <w:rFonts w:ascii="Arial" w:eastAsia="Arial" w:hAnsi="Arial" w:cs="Arial"/>
                <w:sz w:val="20"/>
                <w:szCs w:val="20"/>
              </w:rPr>
            </w:pPr>
          </w:p>
        </w:tc>
      </w:tr>
      <w:tr w:rsidR="00610D55" w14:paraId="319BE000" w14:textId="77777777">
        <w:trPr>
          <w:trHeight w:val="360"/>
        </w:trPr>
        <w:tc>
          <w:tcPr>
            <w:tcW w:w="2650" w:type="dxa"/>
            <w:tcBorders>
              <w:top w:val="single" w:sz="8" w:space="0" w:color="CCCCCC"/>
              <w:left w:val="single" w:sz="8" w:space="0" w:color="000000"/>
              <w:bottom w:val="single" w:sz="8" w:space="0" w:color="000000"/>
              <w:right w:val="single" w:sz="8" w:space="0" w:color="000000"/>
            </w:tcBorders>
            <w:shd w:val="clear" w:color="auto" w:fill="auto"/>
            <w:tcMar>
              <w:top w:w="40" w:type="dxa"/>
              <w:left w:w="40" w:type="dxa"/>
              <w:bottom w:w="40" w:type="dxa"/>
              <w:right w:w="40" w:type="dxa"/>
            </w:tcMar>
            <w:vAlign w:val="bottom"/>
          </w:tcPr>
          <w:p w14:paraId="319BDFFA" w14:textId="77777777" w:rsidR="000E62BF" w:rsidRDefault="00000000">
            <w:pPr>
              <w:widowControl w:val="0"/>
              <w:spacing w:line="276" w:lineRule="auto"/>
              <w:jc w:val="left"/>
              <w:rPr>
                <w:rFonts w:ascii="Arial" w:eastAsia="Arial" w:hAnsi="Arial" w:cs="Arial"/>
                <w:sz w:val="20"/>
                <w:szCs w:val="20"/>
              </w:rPr>
            </w:pPr>
            <w:r>
              <w:rPr>
                <w:b/>
              </w:rPr>
              <w:t>Net Profit margin</w:t>
            </w:r>
          </w:p>
        </w:tc>
        <w:tc>
          <w:tcPr>
            <w:tcW w:w="1880"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FB" w14:textId="77777777" w:rsidR="000E62BF" w:rsidRDefault="00000000">
            <w:pPr>
              <w:widowControl w:val="0"/>
              <w:spacing w:line="276" w:lineRule="auto"/>
              <w:jc w:val="left"/>
              <w:rPr>
                <w:rFonts w:ascii="Arial" w:eastAsia="Arial" w:hAnsi="Arial" w:cs="Arial"/>
                <w:sz w:val="20"/>
                <w:szCs w:val="20"/>
              </w:rPr>
            </w:pPr>
            <w:r>
              <w:t>Net Income / Revenue</w:t>
            </w:r>
          </w:p>
        </w:tc>
        <w:tc>
          <w:tcPr>
            <w:tcW w:w="1528"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FC" w14:textId="77777777" w:rsidR="000E62BF" w:rsidRDefault="00000000">
            <w:pPr>
              <w:widowControl w:val="0"/>
              <w:spacing w:line="276" w:lineRule="auto"/>
              <w:jc w:val="left"/>
              <w:rPr>
                <w:rFonts w:ascii="Arial" w:eastAsia="Arial" w:hAnsi="Arial" w:cs="Arial"/>
                <w:sz w:val="20"/>
                <w:szCs w:val="20"/>
              </w:rPr>
            </w:pPr>
            <w:r>
              <w:t>(300000 / 1200000)</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FD" w14:textId="77777777" w:rsidR="000E62BF" w:rsidRDefault="00000000">
            <w:pPr>
              <w:widowControl w:val="0"/>
              <w:spacing w:line="276" w:lineRule="auto"/>
              <w:jc w:val="right"/>
              <w:rPr>
                <w:rFonts w:ascii="Arial" w:eastAsia="Arial" w:hAnsi="Arial" w:cs="Arial"/>
                <w:sz w:val="20"/>
                <w:szCs w:val="20"/>
              </w:rPr>
            </w:pPr>
            <w:r>
              <w:rPr>
                <w:b/>
              </w:rPr>
              <w:t>25.00%</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FE"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DFFF" w14:textId="77777777" w:rsidR="000E62BF" w:rsidRDefault="000E62BF">
            <w:pPr>
              <w:widowControl w:val="0"/>
              <w:spacing w:line="276" w:lineRule="auto"/>
              <w:jc w:val="left"/>
              <w:rPr>
                <w:rFonts w:ascii="Arial" w:eastAsia="Arial" w:hAnsi="Arial" w:cs="Arial"/>
                <w:sz w:val="20"/>
                <w:szCs w:val="20"/>
              </w:rPr>
            </w:pPr>
          </w:p>
        </w:tc>
      </w:tr>
      <w:tr w:rsidR="00610D55" w14:paraId="319BE007" w14:textId="77777777">
        <w:trPr>
          <w:trHeight w:val="360"/>
        </w:trPr>
        <w:tc>
          <w:tcPr>
            <w:tcW w:w="2650" w:type="dxa"/>
            <w:tcBorders>
              <w:top w:val="single" w:sz="8" w:space="0" w:color="CCCCCC"/>
              <w:left w:val="single" w:sz="8" w:space="0" w:color="000000"/>
              <w:bottom w:val="single" w:sz="8" w:space="0" w:color="000000"/>
              <w:right w:val="single" w:sz="8" w:space="0" w:color="000000"/>
            </w:tcBorders>
            <w:shd w:val="clear" w:color="auto" w:fill="auto"/>
            <w:tcMar>
              <w:top w:w="40" w:type="dxa"/>
              <w:left w:w="40" w:type="dxa"/>
              <w:bottom w:w="40" w:type="dxa"/>
              <w:right w:w="40" w:type="dxa"/>
            </w:tcMar>
            <w:vAlign w:val="bottom"/>
          </w:tcPr>
          <w:p w14:paraId="319BE001" w14:textId="77777777" w:rsidR="000E62BF" w:rsidRDefault="000E62BF">
            <w:pPr>
              <w:widowControl w:val="0"/>
              <w:spacing w:line="276" w:lineRule="auto"/>
              <w:jc w:val="left"/>
              <w:rPr>
                <w:rFonts w:ascii="Arial" w:eastAsia="Arial" w:hAnsi="Arial" w:cs="Arial"/>
                <w:sz w:val="20"/>
                <w:szCs w:val="20"/>
              </w:rPr>
            </w:pPr>
          </w:p>
        </w:tc>
        <w:tc>
          <w:tcPr>
            <w:tcW w:w="1880"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E002" w14:textId="77777777" w:rsidR="000E62BF" w:rsidRDefault="000E62BF">
            <w:pPr>
              <w:widowControl w:val="0"/>
              <w:spacing w:line="276" w:lineRule="auto"/>
              <w:jc w:val="left"/>
              <w:rPr>
                <w:rFonts w:ascii="Arial" w:eastAsia="Arial" w:hAnsi="Arial" w:cs="Arial"/>
                <w:sz w:val="20"/>
                <w:szCs w:val="20"/>
              </w:rPr>
            </w:pPr>
          </w:p>
        </w:tc>
        <w:tc>
          <w:tcPr>
            <w:tcW w:w="1528"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E003" w14:textId="77777777" w:rsidR="000E62BF" w:rsidRDefault="00000000">
            <w:pPr>
              <w:widowControl w:val="0"/>
              <w:spacing w:line="276" w:lineRule="auto"/>
              <w:jc w:val="left"/>
              <w:rPr>
                <w:rFonts w:ascii="Arial" w:eastAsia="Arial" w:hAnsi="Arial" w:cs="Arial"/>
                <w:sz w:val="20"/>
                <w:szCs w:val="20"/>
              </w:rPr>
            </w:pPr>
            <w:r>
              <w:t>(150000 / 1100000)</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E004"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E005" w14:textId="77777777" w:rsidR="000E62BF" w:rsidRDefault="00000000">
            <w:pPr>
              <w:widowControl w:val="0"/>
              <w:spacing w:line="276" w:lineRule="auto"/>
              <w:jc w:val="right"/>
              <w:rPr>
                <w:rFonts w:ascii="Arial" w:eastAsia="Arial" w:hAnsi="Arial" w:cs="Arial"/>
                <w:sz w:val="20"/>
                <w:szCs w:val="20"/>
              </w:rPr>
            </w:pPr>
            <w:r>
              <w:rPr>
                <w:b/>
              </w:rPr>
              <w:t>13.64%</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E006" w14:textId="77777777" w:rsidR="000E62BF" w:rsidRDefault="000E62BF">
            <w:pPr>
              <w:widowControl w:val="0"/>
              <w:spacing w:line="276" w:lineRule="auto"/>
              <w:jc w:val="left"/>
              <w:rPr>
                <w:rFonts w:ascii="Arial" w:eastAsia="Arial" w:hAnsi="Arial" w:cs="Arial"/>
                <w:sz w:val="20"/>
                <w:szCs w:val="20"/>
              </w:rPr>
            </w:pPr>
          </w:p>
        </w:tc>
      </w:tr>
      <w:tr w:rsidR="00610D55" w14:paraId="319BE00E" w14:textId="77777777">
        <w:trPr>
          <w:trHeight w:val="360"/>
        </w:trPr>
        <w:tc>
          <w:tcPr>
            <w:tcW w:w="2650" w:type="dxa"/>
            <w:tcBorders>
              <w:top w:val="single" w:sz="8" w:space="0" w:color="CCCCCC"/>
              <w:left w:val="single" w:sz="8" w:space="0" w:color="000000"/>
              <w:bottom w:val="single" w:sz="8" w:space="0" w:color="000000"/>
              <w:right w:val="single" w:sz="8" w:space="0" w:color="000000"/>
            </w:tcBorders>
            <w:shd w:val="clear" w:color="auto" w:fill="auto"/>
            <w:tcMar>
              <w:top w:w="40" w:type="dxa"/>
              <w:left w:w="40" w:type="dxa"/>
              <w:bottom w:w="40" w:type="dxa"/>
              <w:right w:w="40" w:type="dxa"/>
            </w:tcMar>
            <w:vAlign w:val="bottom"/>
          </w:tcPr>
          <w:p w14:paraId="319BE008" w14:textId="77777777" w:rsidR="000E62BF" w:rsidRDefault="000E62BF">
            <w:pPr>
              <w:widowControl w:val="0"/>
              <w:spacing w:line="276" w:lineRule="auto"/>
              <w:jc w:val="left"/>
              <w:rPr>
                <w:rFonts w:ascii="Arial" w:eastAsia="Arial" w:hAnsi="Arial" w:cs="Arial"/>
                <w:sz w:val="20"/>
                <w:szCs w:val="20"/>
              </w:rPr>
            </w:pPr>
          </w:p>
        </w:tc>
        <w:tc>
          <w:tcPr>
            <w:tcW w:w="1880"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E009" w14:textId="77777777" w:rsidR="000E62BF" w:rsidRDefault="000E62BF">
            <w:pPr>
              <w:widowControl w:val="0"/>
              <w:spacing w:line="276" w:lineRule="auto"/>
              <w:jc w:val="left"/>
              <w:rPr>
                <w:rFonts w:ascii="Arial" w:eastAsia="Arial" w:hAnsi="Arial" w:cs="Arial"/>
                <w:sz w:val="20"/>
                <w:szCs w:val="20"/>
              </w:rPr>
            </w:pPr>
          </w:p>
        </w:tc>
        <w:tc>
          <w:tcPr>
            <w:tcW w:w="1528"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E00A" w14:textId="77777777" w:rsidR="000E62BF" w:rsidRDefault="00000000">
            <w:pPr>
              <w:widowControl w:val="0"/>
              <w:spacing w:line="276" w:lineRule="auto"/>
              <w:jc w:val="left"/>
              <w:rPr>
                <w:rFonts w:ascii="Arial" w:eastAsia="Arial" w:hAnsi="Arial" w:cs="Arial"/>
                <w:sz w:val="20"/>
                <w:szCs w:val="20"/>
              </w:rPr>
            </w:pPr>
            <w:r>
              <w:t>(-150000 / 950000)</w:t>
            </w: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E00B"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E00C" w14:textId="77777777" w:rsidR="000E62BF" w:rsidRDefault="000E62BF">
            <w:pPr>
              <w:widowControl w:val="0"/>
              <w:spacing w:line="276" w:lineRule="auto"/>
              <w:jc w:val="left"/>
              <w:rPr>
                <w:rFonts w:ascii="Arial" w:eastAsia="Arial" w:hAnsi="Arial" w:cs="Arial"/>
                <w:sz w:val="20"/>
                <w:szCs w:val="20"/>
              </w:rPr>
            </w:pPr>
          </w:p>
        </w:tc>
        <w:tc>
          <w:tcPr>
            <w:tcW w:w="1099" w:type="dxa"/>
            <w:tcBorders>
              <w:top w:val="single" w:sz="8" w:space="0" w:color="CCCCCC"/>
              <w:left w:val="single" w:sz="8" w:space="0" w:color="CCCCCC"/>
              <w:bottom w:val="single" w:sz="8" w:space="0" w:color="000000"/>
              <w:right w:val="single" w:sz="8" w:space="0" w:color="000000"/>
            </w:tcBorders>
            <w:shd w:val="clear" w:color="auto" w:fill="auto"/>
            <w:tcMar>
              <w:top w:w="40" w:type="dxa"/>
              <w:left w:w="40" w:type="dxa"/>
              <w:bottom w:w="40" w:type="dxa"/>
              <w:right w:w="40" w:type="dxa"/>
            </w:tcMar>
            <w:vAlign w:val="bottom"/>
          </w:tcPr>
          <w:p w14:paraId="319BE00D" w14:textId="77777777" w:rsidR="000E62BF" w:rsidRDefault="00000000">
            <w:pPr>
              <w:widowControl w:val="0"/>
              <w:spacing w:line="276" w:lineRule="auto"/>
              <w:jc w:val="right"/>
              <w:rPr>
                <w:rFonts w:ascii="Arial" w:eastAsia="Arial" w:hAnsi="Arial" w:cs="Arial"/>
                <w:sz w:val="20"/>
                <w:szCs w:val="20"/>
              </w:rPr>
            </w:pPr>
            <w:r>
              <w:rPr>
                <w:b/>
              </w:rPr>
              <w:t>-15.79%</w:t>
            </w:r>
          </w:p>
        </w:tc>
      </w:tr>
    </w:tbl>
    <w:p w14:paraId="319BE00F" w14:textId="77777777" w:rsidR="000E62BF" w:rsidRDefault="00000000">
      <w:pPr>
        <w:jc w:val="center"/>
        <w:rPr>
          <w:b/>
        </w:rPr>
      </w:pPr>
      <w:r>
        <w:rPr>
          <w:b/>
        </w:rPr>
        <w:t>Table 1: Calculation of the financial ratios in terms of profitability</w:t>
      </w:r>
    </w:p>
    <w:p w14:paraId="319BE010" w14:textId="77777777" w:rsidR="000E62BF" w:rsidRDefault="00000000">
      <w:pPr>
        <w:jc w:val="center"/>
      </w:pPr>
      <w:r>
        <w:t>(Source: Created by self)</w:t>
      </w:r>
    </w:p>
    <w:p w14:paraId="319BE011" w14:textId="77777777" w:rsidR="000E62BF" w:rsidRDefault="00000000">
      <w:pPr>
        <w:spacing w:before="240" w:after="240"/>
      </w:pPr>
      <w:r>
        <w:t>Based on the table of the calculation of the financial ratios in terms of the profitability of the business, it can be observed that the overall profitability has declined over the passage of the three years which are 2021, 2022 and 2023. It can be identified that the return on assets was valued at 13.95% in the year 2021. However, the percentage of ROA decreased in 2022 to 7.08% and it further had a steep decline to -8.11% in the year 2023. ROA is a financial metric that is helpful in the portrayal of the net income that a business has earned in relation to its assets (Sari and Endri, 2019). The drastic decline in the numbers can be due to the over investment in the assets due to which the holding of assets increased and the company could not generate enough revenue on the same. Moreover, the variations and fluctuations in the ROA percentage can also be due to the changes in the market conditions and also due to the changes in the demand in the market from the consumers.</w:t>
      </w:r>
    </w:p>
    <w:p w14:paraId="319BE012" w14:textId="77777777" w:rsidR="000E62BF" w:rsidRDefault="00000000">
      <w:pPr>
        <w:spacing w:before="240" w:after="240"/>
      </w:pPr>
      <w:r>
        <w:t>Moreover, it can be observed from the above table that the ROE or the return on equity has also declined majorly from a value of 48.39% in the year 2021 to 25.86% in the year 2022. The decrease in the value has been massive and this has affected the business in maintaining its equity. Apart from that, the value from 2022 had a further decline to -50% in 2023 which has been drastic, creating a discrepancy of more than 75%. A metric of finance that is majorly helpful in portraying the amount of net income that a business has achieved in relation to its equity in the business can be referred to as the return on equity (Golubov and Konstantinidi, 2019). The major reason for the huge decrease in the value can be due to the fact that the revenue of the company had a major drop in the following years because of several external factors including market demand and consumer preferences. Moreover, another major reason for the decline in the number might be because there has been a huge incline in the number of market competitors in the hotels and restaurant market.</w:t>
      </w:r>
    </w:p>
    <w:p w14:paraId="319BE013" w14:textId="77777777" w:rsidR="000E62BF" w:rsidRDefault="00000000">
      <w:pPr>
        <w:spacing w:before="240" w:after="240"/>
      </w:pPr>
      <w:r>
        <w:t xml:space="preserve">Apart from that, a financial ratio that assists in measuring the net income that is earned as profit as a percentage of its sales revenue can be referred to as the net profit margin (Affandi </w:t>
      </w:r>
      <w:r>
        <w:rPr>
          <w:i/>
        </w:rPr>
        <w:t>et al</w:t>
      </w:r>
      <w:r>
        <w:t>., 2019). Based on the table that has been provided above, it can be identified that the net profit margin of Seacrest Lodge in the year 2021 was valued at 25%. The profitability of the company in relation to the net profit drastically declined to 13.64% in the year 2022 with an approximate discrepancy of almost 12%. Moreover, this value of 2022 had further decreased to -15.79% in 2023 which is a negative value and the decrease in the value has majorly been due to the fact that the costs of the business increased with the passage of time due to a poor cost structure and the revenue of the company also declined over the years.</w:t>
      </w:r>
    </w:p>
    <w:p w14:paraId="319BE014" w14:textId="77777777" w:rsidR="000E62BF" w:rsidRDefault="00000000">
      <w:pPr>
        <w:pStyle w:val="Heading1"/>
        <w:keepNext w:val="0"/>
        <w:keepLines w:val="0"/>
      </w:pPr>
      <w:bookmarkStart w:id="6" w:name="_356ev9l6zs06" w:colFirst="0" w:colLast="0"/>
      <w:bookmarkStart w:id="7" w:name="_Toc156479505"/>
      <w:bookmarkEnd w:id="6"/>
      <w:r>
        <w:t>Identify the key reasons behind the decline in profitability, taking into consideration, real-world events and the current economy</w:t>
      </w:r>
      <w:bookmarkEnd w:id="7"/>
    </w:p>
    <w:p w14:paraId="319BE015" w14:textId="77777777" w:rsidR="000E62BF" w:rsidRDefault="00000000" w:rsidP="00910D93">
      <w:pPr>
        <w:pStyle w:val="Heading2"/>
      </w:pPr>
      <w:bookmarkStart w:id="8" w:name="_Toc156479506"/>
      <w:r>
        <w:t>Impact of Brexit on the business and the market of resorts, hotels and restaurants</w:t>
      </w:r>
      <w:bookmarkEnd w:id="8"/>
    </w:p>
    <w:p w14:paraId="319BE016" w14:textId="77777777" w:rsidR="000E62BF" w:rsidRDefault="00000000">
      <w:pPr>
        <w:spacing w:before="240" w:after="240"/>
      </w:pPr>
      <w:r>
        <w:t>Brexit is basically a pact where the UK or Britain exited from the European Union and this has had significant impacts on the performance of the businesses in the UK. Moreover, the economy of the UK had shattered and the GDP dropped significantly which has caused various issues to the operations of various segments of businesses and the resort or hotel business was not an exception (Lu and Tabari, 2019). Seacrest Lodge was situated on the coasts of a picturesque location which lately had been quite trafficking for the business as there were several new lodges that had arrived in the market to compete. This in turn has divided the revenue of one business into many other businesses. Moreover, due to Brexit businesses had a tough time importing and exporting goods from and to the countries in Europe as the duties increased and there were a lot of impacts on the consumers overall.</w:t>
      </w:r>
    </w:p>
    <w:p w14:paraId="319BE017" w14:textId="77777777" w:rsidR="000E62BF" w:rsidRDefault="00000000">
      <w:pPr>
        <w:spacing w:before="240" w:after="240"/>
      </w:pPr>
      <w:r>
        <w:t>Apart from that, due to the low income of the consumers, there were fewer tourists who were interested in travelling and this had resulted in a decline in the revenue of the hoteliers industry. This decrease in revenue has affected the profitability of the companies as well. Moreover, there was a huge resistance that has been observed from the consumers of Europe who chose to avoid travelling to the UK due to the border tensions that were created due to Brexit. Furthermore, due to this, the hospitality sector of the UK massively dropped by 25% between 2021 and 2023. Other than that, there was a struggle that the business faced in finding talented individuals who could have served better to the customers in the hotel and restaurants and this lowered employees had been quite difficult for the company to generate enough revenue to meet profitability.</w:t>
      </w:r>
    </w:p>
    <w:p w14:paraId="319BE018" w14:textId="77777777" w:rsidR="000E62BF" w:rsidRDefault="00000000" w:rsidP="00910D93">
      <w:pPr>
        <w:pStyle w:val="Heading2"/>
      </w:pPr>
      <w:bookmarkStart w:id="9" w:name="_Toc156479507"/>
      <w:r>
        <w:t>Impact of covid-19 pandemic on resort business:</w:t>
      </w:r>
      <w:bookmarkEnd w:id="9"/>
    </w:p>
    <w:p w14:paraId="319BE019" w14:textId="77777777" w:rsidR="000E62BF" w:rsidRDefault="00000000">
      <w:r>
        <w:t>The Coronavirus pandemic significantly affects the hotel business, especially in beachfront locales. The infection has prompted far-reaching travel limitations, line terminations, and a decrease in buyer certainty (Gursoy and Chi, 2020). Accordingly, numerous seaside resorts have encountered huge monetary misfortunes, with some, in any event, confronting brief or extremely durable terminations. The pandemic has likewise uncovered weaknesses in the businesses in the UK, for example, dependence on worldwide the travel industry and the absence of vigorous emergency courses of action for surprising occasions. The covid-19 pandemic has also affected labour acquisition as well as labor productivity as people were not able to work given the extreme circumstances and no possibility to work from home (Anguera-Torrell</w:t>
      </w:r>
      <w:r>
        <w:rPr>
          <w:i/>
        </w:rPr>
        <w:t xml:space="preserve"> et al.</w:t>
      </w:r>
      <w:r>
        <w:t xml:space="preserve">, 2021). The after-effects of the pandemic can be seen from the analysis of profitability as the covid-19 continued to affect the business even after its reduction. Thus, the hotel business faced challenges of adaptability to the covid-19 situation which affected the profits and sales of the company to a greater extent. </w:t>
      </w:r>
    </w:p>
    <w:p w14:paraId="319BE01A" w14:textId="77777777" w:rsidR="000E62BF" w:rsidRDefault="00000000" w:rsidP="00910D93">
      <w:pPr>
        <w:pStyle w:val="Heading2"/>
      </w:pPr>
      <w:bookmarkStart w:id="10" w:name="_Toc156479508"/>
      <w:r>
        <w:t>Current Financial Environment and Its Impacts on Resort Business</w:t>
      </w:r>
      <w:bookmarkEnd w:id="10"/>
    </w:p>
    <w:p w14:paraId="319BE01B" w14:textId="77777777" w:rsidR="000E62BF" w:rsidRDefault="00000000">
      <w:r>
        <w:t xml:space="preserve">The ongoing monetary environment is set apart by vulnerability and unsteadiness, with numerous nations encountering high expansion, store network interruptions, and work deficiencies (Gursoy </w:t>
      </w:r>
      <w:r>
        <w:rPr>
          <w:i/>
        </w:rPr>
        <w:t>et al.,</w:t>
      </w:r>
      <w:r>
        <w:t xml:space="preserve"> 2022). These elements can adversely affect the hotel business in seaside areas. High expansion can disintegrate the buying force of expected guests, while inventory network interruptions can prompt inflated costs and decreased accessibility of labor and products. Moreover, work deficiencies might drive resorts to scale back tasks or raise costs to make up for higher work costs. </w:t>
      </w:r>
    </w:p>
    <w:p w14:paraId="319BE01C" w14:textId="77777777" w:rsidR="000E62BF" w:rsidRDefault="000E62BF"/>
    <w:p w14:paraId="319BE01D" w14:textId="77777777" w:rsidR="000E62BF" w:rsidRDefault="00000000">
      <w:pPr>
        <w:pStyle w:val="Heading1"/>
      </w:pPr>
      <w:bookmarkStart w:id="11" w:name="_9y3t84jqyo4" w:colFirst="0" w:colLast="0"/>
      <w:bookmarkEnd w:id="11"/>
      <w:r>
        <w:br w:type="page"/>
      </w:r>
    </w:p>
    <w:p w14:paraId="319BE01E" w14:textId="77777777" w:rsidR="000E62BF" w:rsidRDefault="00000000">
      <w:pPr>
        <w:pStyle w:val="Heading1"/>
      </w:pPr>
      <w:bookmarkStart w:id="12" w:name="_mqod03ih1ath" w:colFirst="0" w:colLast="0"/>
      <w:bookmarkStart w:id="13" w:name="_Toc156479509"/>
      <w:bookmarkEnd w:id="12"/>
      <w:r>
        <w:t>Comprehensive turnaround strategy to revitalize the lodge's financial health and restore its reputation as a premier vacation destination or most viable financial outcomes</w:t>
      </w:r>
      <w:bookmarkEnd w:id="13"/>
    </w:p>
    <w:p w14:paraId="319BE01F" w14:textId="77777777" w:rsidR="000E62BF" w:rsidRDefault="00000000">
      <w:r>
        <w:t>To foster a Turnaround strategy for the Seacrest Lodge, a few key areas ought to be included:</w:t>
      </w:r>
    </w:p>
    <w:p w14:paraId="319BE020" w14:textId="77777777" w:rsidR="000E62BF" w:rsidRDefault="00000000">
      <w:pPr>
        <w:numPr>
          <w:ilvl w:val="0"/>
          <w:numId w:val="1"/>
        </w:numPr>
      </w:pPr>
      <w:r>
        <w:rPr>
          <w:b/>
          <w:i/>
        </w:rPr>
        <w:t>Further developing client support</w:t>
      </w:r>
      <w:r>
        <w:t xml:space="preserve">: The Seacrest Lodge must guarantee that staff individuals are thoroughly prepared and roused to offer uncommon assistance can assist with further developing consumer loyalty and satisfaction. For this, the company can create a 24*7 client support system through an e-ECRM system and a separate wing for client needs assessment (Al-Gasawneh </w:t>
      </w:r>
      <w:r>
        <w:rPr>
          <w:i/>
        </w:rPr>
        <w:t>et al</w:t>
      </w:r>
      <w:r>
        <w:t>., 2021). The feedback of the employees is to be utilized to provide more improve support and services to the customers of the resort. Consistently chasing and consolidating client input can assist Seacrest by identifying departments of development and better grasping its visitors' requirements and inclinations.</w:t>
      </w:r>
    </w:p>
    <w:p w14:paraId="319BE021" w14:textId="77777777" w:rsidR="000E62BF" w:rsidRDefault="00000000">
      <w:pPr>
        <w:numPr>
          <w:ilvl w:val="0"/>
          <w:numId w:val="1"/>
        </w:numPr>
      </w:pPr>
      <w:r>
        <w:rPr>
          <w:b/>
          <w:i/>
        </w:rPr>
        <w:t>Updating conveniences and offices:</w:t>
      </w:r>
      <w:r>
        <w:t xml:space="preserve"> The Seacrest Lodge should focus on putting resources into current conveniences and offices can assist the Seacrest With housing rival fresher, more present-day hotels nearby. This might incorporate updating rooms, adding new exercises and encounters with hotel amenities, and executing ecosystem-friendly practices. For example the resort can stop the use of plastics and promote the use of sustainable materials with the context of bringing new changes in business (Chung, 2020). This is essential because there are similar hotels and resorts existing that can give tough competition to The Seacrest Lodge and thus, updating and enhancing services with additions can improve its sales and profitability in future.</w:t>
      </w:r>
    </w:p>
    <w:p w14:paraId="319BE022" w14:textId="77777777" w:rsidR="000E62BF" w:rsidRDefault="00000000">
      <w:pPr>
        <w:numPr>
          <w:ilvl w:val="0"/>
          <w:numId w:val="1"/>
        </w:numPr>
        <w:rPr>
          <w:b/>
          <w:i/>
        </w:rPr>
      </w:pPr>
      <w:r>
        <w:rPr>
          <w:b/>
          <w:i/>
        </w:rPr>
        <w:t xml:space="preserve">Efficiency in Operations to fulfill customer needs: </w:t>
      </w:r>
      <w:r>
        <w:t xml:space="preserve">The Seacrest Lodge has faced a decline in its occupancy rates in the last three years, mostly due to the impact of the covid-19 pandemic. In order to increase its occupancy rates, the business must develop effective policies that can protect its business in the future from any such events. For this, the health and wellbeing of clients and workers must be established. A few cleaning and sterilization methodologies acquainted with adapting to the pandemics might convey forward after the pandemic (Sharma </w:t>
      </w:r>
      <w:r>
        <w:rPr>
          <w:i/>
        </w:rPr>
        <w:t>et al.</w:t>
      </w:r>
      <w:r>
        <w:t>, 2021). The pandemic likewise constrained developments, for example, contactless registration and instant message for administration demands, which are not just more secure choices, they are additionally more productive and the possibility to save work costs for lodgings. Hotels might consider distinguishing probably the prescribed procedures utilized during the pandemic and investigating the conceivable outcomes to utilize or adjust these practices after the pandemic constantly.</w:t>
      </w:r>
    </w:p>
    <w:p w14:paraId="319BE023" w14:textId="77777777" w:rsidR="000E62BF" w:rsidRDefault="00000000">
      <w:pPr>
        <w:numPr>
          <w:ilvl w:val="0"/>
          <w:numId w:val="1"/>
        </w:numPr>
      </w:pPr>
      <w:r>
        <w:rPr>
          <w:b/>
          <w:i/>
        </w:rPr>
        <w:t>Improving the marketing strategy:</w:t>
      </w:r>
      <w:r>
        <w:t xml:space="preserve"> A solid marketing effort can assist The Seacrest Lodge with housing and restoring its standing and drawing in new clients. This may include social media engagement by creating its own website and social media pages to increase popularity of the resort among the population (Tuten, 2023). This might incorporate designated publicizing, online entertainment missions, and partnerships with nearby organizations (Chung, 2020). The resort must communicate effectively through the marketing practices and highlight the areas of improvement conducted by the resort. The company can also focus on influencer marketing where the experience of individuals will be advertised in the social media pages to increase engagement with the people and attract more clients to the business. </w:t>
      </w:r>
    </w:p>
    <w:p w14:paraId="319BE024" w14:textId="77777777" w:rsidR="000E62BF" w:rsidRDefault="00000000">
      <w:pPr>
        <w:numPr>
          <w:ilvl w:val="0"/>
          <w:numId w:val="1"/>
        </w:numPr>
      </w:pPr>
      <w:r>
        <w:rPr>
          <w:b/>
          <w:i/>
        </w:rPr>
        <w:t xml:space="preserve">Carrying out cost-saving measures: </w:t>
      </w:r>
      <w:r>
        <w:t xml:space="preserve">Looking into the hotel's costs and recognizing regions where expenses can be decreased can assist with further developing productivity and improve the probability of an effective circle back. Financial managers must use budgeting techniques and financial assessment regularly in order to control the cost of the company to enhance profitability as control cost to the major indicators to enhance business resources (Sharma </w:t>
      </w:r>
      <w:r>
        <w:rPr>
          <w:i/>
        </w:rPr>
        <w:t>et al.</w:t>
      </w:r>
      <w:r>
        <w:t xml:space="preserve">, 2021). Hence, the company can facilitate cost-cutting measures to improve its business profits and follow budgets strictly to ensure fulfillment of budgetary targets. </w:t>
      </w:r>
    </w:p>
    <w:p w14:paraId="319BE025" w14:textId="77777777" w:rsidR="000E62BF" w:rsidRDefault="00000000">
      <w:pPr>
        <w:pStyle w:val="Heading1"/>
      </w:pPr>
      <w:bookmarkStart w:id="14" w:name="_4p894h644jq" w:colFirst="0" w:colLast="0"/>
      <w:bookmarkStart w:id="15" w:name="_Toc156479510"/>
      <w:bookmarkEnd w:id="14"/>
      <w:r>
        <w:t>Conclusion</w:t>
      </w:r>
      <w:bookmarkEnd w:id="15"/>
    </w:p>
    <w:p w14:paraId="319BE026" w14:textId="77777777" w:rsidR="000E62BF" w:rsidRDefault="00000000">
      <w:r>
        <w:t xml:space="preserve">This assignment can be seen that the profitability of the company has declined over the years which has been assessed through the return on equity net profit margin as well as return on assets. To improve profitability the company should consider the external environment in which it operates and make changes in its business strategy such as effective marketing, customer support, changes in company infrastructure and performance as well as cost </w:t>
      </w:r>
      <w:r w:rsidR="009E034E">
        <w:t>cutting</w:t>
      </w:r>
      <w:r>
        <w:t xml:space="preserve"> measures to improve sales and profits in future. </w:t>
      </w:r>
    </w:p>
    <w:p w14:paraId="319BE027" w14:textId="77777777" w:rsidR="000E62BF" w:rsidRDefault="00000000">
      <w:pPr>
        <w:pStyle w:val="Heading1"/>
      </w:pPr>
      <w:bookmarkStart w:id="16" w:name="_j0pipn38w30h" w:colFirst="0" w:colLast="0"/>
      <w:bookmarkEnd w:id="16"/>
      <w:r>
        <w:br w:type="page"/>
      </w:r>
    </w:p>
    <w:p w14:paraId="319BE028" w14:textId="77777777" w:rsidR="000E62BF" w:rsidRDefault="00000000">
      <w:pPr>
        <w:pStyle w:val="Heading1"/>
      </w:pPr>
      <w:bookmarkStart w:id="17" w:name="_12h3gu211pik" w:colFirst="0" w:colLast="0"/>
      <w:bookmarkStart w:id="18" w:name="_Toc156479511"/>
      <w:bookmarkEnd w:id="17"/>
      <w:r>
        <w:t>References</w:t>
      </w:r>
      <w:bookmarkEnd w:id="18"/>
    </w:p>
    <w:p w14:paraId="319BE029" w14:textId="77777777" w:rsidR="009E034E" w:rsidRDefault="00000000">
      <w:pPr>
        <w:spacing w:before="200"/>
      </w:pPr>
      <w:r>
        <w:t xml:space="preserve">Affandi, F., Sunarko, B.A.M.B.A.N.G. and Yunanto, A., 2019. The impact of cash ratio, debt to equity ratio, receivables turnover, net profit margin, return on equity, and institutional ownership to dividend payout ratio. Journal of Research in Management, 1(4), pp.1-11. </w:t>
      </w:r>
    </w:p>
    <w:p w14:paraId="319BE02A" w14:textId="77777777" w:rsidR="009E034E" w:rsidRDefault="00000000">
      <w:pPr>
        <w:spacing w:before="200"/>
      </w:pPr>
      <w:r>
        <w:t>Al-Gasawneh, J.A., Anuar, M.M., Dacko-Pikiewicz, Z. and Saputra, J., 2021. The impact of customer relationship management dimensions on service quality. Polish Journal of Management Studies, 23(2), pp.24-41.</w:t>
      </w:r>
    </w:p>
    <w:p w14:paraId="319BE02B" w14:textId="77777777" w:rsidR="009E034E" w:rsidRDefault="00000000">
      <w:pPr>
        <w:spacing w:before="200"/>
      </w:pPr>
      <w:r>
        <w:t>Anguera-Torrell, O., Aznar-Alarcón, J.P. and Vives-Perez, J., 2021. COVID-19: Hotel industry response to the pandemic evolution and to the public sector economic measures. Tourism Recreation Research, 46(2), pp.148-157.</w:t>
      </w:r>
    </w:p>
    <w:p w14:paraId="319BE02C" w14:textId="77777777" w:rsidR="009E034E" w:rsidRDefault="00000000">
      <w:pPr>
        <w:spacing w:before="200"/>
      </w:pPr>
      <w:r>
        <w:t>Chung, K.C., 2020. Green marketing orientation: Achieving sustainable development in green hotel management. Journal of Hospitality Marketing &amp; Management, 29(6), pp.722-738.</w:t>
      </w:r>
    </w:p>
    <w:p w14:paraId="319BE02D" w14:textId="77777777" w:rsidR="009E034E" w:rsidRDefault="00000000">
      <w:pPr>
        <w:spacing w:before="200"/>
      </w:pPr>
      <w:r>
        <w:t xml:space="preserve">Golubov, A. and Konstantinidi, T., 2019. Where is the risk in value? Evidence from a market‐to‐book decomposition. The Journal of Finance, 74(6), pp.3135-3186. </w:t>
      </w:r>
    </w:p>
    <w:p w14:paraId="319BE02E" w14:textId="77777777" w:rsidR="009E034E" w:rsidRDefault="00000000">
      <w:pPr>
        <w:spacing w:before="200"/>
      </w:pPr>
      <w:r>
        <w:t>Gursoy, D. and Chi, C.G., 2020. Effects of COVID-19 pandemic on hospitality industry: review of the current situations and a research agenda. Journal of Hospitality Marketing &amp; Management, 29(5), pp.527-529.</w:t>
      </w:r>
    </w:p>
    <w:p w14:paraId="319BE02F" w14:textId="77777777" w:rsidR="009E034E" w:rsidRDefault="00000000">
      <w:pPr>
        <w:spacing w:before="200"/>
      </w:pPr>
      <w:r>
        <w:t>Gursoy, D., Malodia, S. and Dhir, A., 2022. The metaverse in the hospitality and tourism industry: An overview of current trends and future research directions. Journal of Hospitality Marketing &amp; Management, 31(5), pp.527-534.</w:t>
      </w:r>
    </w:p>
    <w:p w14:paraId="319BE030" w14:textId="77777777" w:rsidR="009E034E" w:rsidRDefault="00000000">
      <w:pPr>
        <w:spacing w:before="200"/>
      </w:pPr>
      <w:r>
        <w:t xml:space="preserve">Lu, L. and Tabari, S., 2019. Impact of Airbnb on customers' behavior in the UK hotel industry. Tourism Analysis, 24(1), pp.13-26. </w:t>
      </w:r>
    </w:p>
    <w:p w14:paraId="319BE031" w14:textId="77777777" w:rsidR="009E034E" w:rsidRDefault="00000000">
      <w:pPr>
        <w:spacing w:before="200"/>
      </w:pPr>
      <w:r>
        <w:t xml:space="preserve">Sari, F.N. and Endri, E., 2019. Determinants of Return on Assets (ROA) On Conventional Banks Listed On Indonesian Stock Exchange (IDX) Period 2013–2017. IOSR Journal of Business and Management (IOSR-JBM), 21(4), pp.52-62. </w:t>
      </w:r>
    </w:p>
    <w:p w14:paraId="319BE032" w14:textId="77777777" w:rsidR="009E034E" w:rsidRDefault="00000000">
      <w:pPr>
        <w:spacing w:before="200"/>
      </w:pPr>
      <w:r>
        <w:t>Sharma, A., Shin, H., Santa-María, M.J. and Nicolau, J.L., 2021. Hotels' COVID-19 innovation and performance. Annals of Tourism Research, 88, p.103180.</w:t>
      </w:r>
    </w:p>
    <w:p w14:paraId="319BE033" w14:textId="77777777" w:rsidR="009E034E" w:rsidRDefault="00000000">
      <w:pPr>
        <w:spacing w:before="200"/>
      </w:pPr>
      <w:r>
        <w:t>Smart, K., Ma, E., Qu, H. and Ding, L., 2021. COVID-19 impacts, coping strategies, and management reflection: A lodging industry case. International Journal of Hospitality Management, 94, p.102859.</w:t>
      </w:r>
    </w:p>
    <w:p w14:paraId="319BE034" w14:textId="77777777" w:rsidR="009E034E" w:rsidRDefault="00000000">
      <w:pPr>
        <w:spacing w:before="200"/>
      </w:pPr>
      <w:r>
        <w:t>Tuten, T.L., 2023. Social media marketing. Sage Publications Limited.</w:t>
      </w:r>
    </w:p>
    <w:p w14:paraId="319BE035" w14:textId="77777777" w:rsidR="000E62BF" w:rsidRDefault="000E62BF"/>
    <w:p w14:paraId="319BE036" w14:textId="77777777" w:rsidR="000E62BF" w:rsidRDefault="000E62BF"/>
    <w:p w14:paraId="319BE037" w14:textId="77777777" w:rsidR="000E62BF" w:rsidRDefault="000E62BF"/>
    <w:p w14:paraId="319BE038" w14:textId="77777777" w:rsidR="000E62BF" w:rsidRDefault="000E62BF">
      <w:pPr>
        <w:jc w:val="left"/>
        <w:rPr>
          <w:b/>
          <w:sz w:val="32"/>
          <w:szCs w:val="32"/>
        </w:rPr>
      </w:pPr>
    </w:p>
    <w:p w14:paraId="319BE039" w14:textId="77777777" w:rsidR="000E62BF" w:rsidRDefault="000E62BF">
      <w:pPr>
        <w:jc w:val="left"/>
        <w:rPr>
          <w:b/>
          <w:sz w:val="32"/>
          <w:szCs w:val="32"/>
        </w:rPr>
      </w:pPr>
    </w:p>
    <w:sectPr w:rsidR="000E62BF">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BAD47" w14:textId="77777777" w:rsidR="00D50E6F" w:rsidRDefault="00D50E6F">
      <w:pPr>
        <w:spacing w:line="240" w:lineRule="auto"/>
      </w:pPr>
      <w:r>
        <w:separator/>
      </w:r>
    </w:p>
  </w:endnote>
  <w:endnote w:type="continuationSeparator" w:id="0">
    <w:p w14:paraId="6A1C40BD" w14:textId="77777777" w:rsidR="00D50E6F" w:rsidRDefault="00D50E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0174700"/>
      <w:docPartObj>
        <w:docPartGallery w:val="Page Numbers (Bottom of Page)"/>
        <w:docPartUnique/>
      </w:docPartObj>
    </w:sdtPr>
    <w:sdtEndPr>
      <w:rPr>
        <w:noProof/>
      </w:rPr>
    </w:sdtEndPr>
    <w:sdtContent>
      <w:p w14:paraId="319BE03A" w14:textId="77777777" w:rsidR="009E034E" w:rsidRDefault="00000000">
        <w:pPr>
          <w:pStyle w:val="Footer"/>
          <w:jc w:val="right"/>
        </w:pPr>
        <w:r>
          <w:fldChar w:fldCharType="begin"/>
        </w:r>
        <w:r>
          <w:instrText xml:space="preserve"> PAGE   \* MERGEFORMAT </w:instrText>
        </w:r>
        <w:r>
          <w:fldChar w:fldCharType="separate"/>
        </w:r>
        <w:r w:rsidR="00910D93">
          <w:rPr>
            <w:noProof/>
          </w:rPr>
          <w:t>3</w:t>
        </w:r>
        <w:r>
          <w:rPr>
            <w:noProof/>
          </w:rPr>
          <w:fldChar w:fldCharType="end"/>
        </w:r>
      </w:p>
    </w:sdtContent>
  </w:sdt>
  <w:p w14:paraId="319BE03B" w14:textId="77777777" w:rsidR="009E034E" w:rsidRDefault="009E0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79E23" w14:textId="77777777" w:rsidR="00D50E6F" w:rsidRDefault="00D50E6F">
      <w:pPr>
        <w:spacing w:line="240" w:lineRule="auto"/>
      </w:pPr>
      <w:r>
        <w:separator/>
      </w:r>
    </w:p>
  </w:footnote>
  <w:footnote w:type="continuationSeparator" w:id="0">
    <w:p w14:paraId="29D143C9" w14:textId="77777777" w:rsidR="00D50E6F" w:rsidRDefault="00D50E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457EC"/>
    <w:multiLevelType w:val="multilevel"/>
    <w:tmpl w:val="9926AF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6098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2BF"/>
    <w:rsid w:val="000E62BF"/>
    <w:rsid w:val="001D0253"/>
    <w:rsid w:val="0038406D"/>
    <w:rsid w:val="00610D55"/>
    <w:rsid w:val="006314B6"/>
    <w:rsid w:val="00724255"/>
    <w:rsid w:val="007B45D7"/>
    <w:rsid w:val="0084597E"/>
    <w:rsid w:val="00910D93"/>
    <w:rsid w:val="009E034E"/>
    <w:rsid w:val="00D50E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BDF9C"/>
  <w15:docId w15:val="{AF18C3B4-D60E-4188-8A40-F4B3B7BE8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i/>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E034E"/>
    <w:pPr>
      <w:tabs>
        <w:tab w:val="center" w:pos="4513"/>
        <w:tab w:val="right" w:pos="9026"/>
      </w:tabs>
      <w:spacing w:line="240" w:lineRule="auto"/>
    </w:pPr>
  </w:style>
  <w:style w:type="character" w:customStyle="1" w:styleId="HeaderChar">
    <w:name w:val="Header Char"/>
    <w:basedOn w:val="DefaultParagraphFont"/>
    <w:link w:val="Header"/>
    <w:uiPriority w:val="99"/>
    <w:rsid w:val="009E034E"/>
  </w:style>
  <w:style w:type="paragraph" w:styleId="Footer">
    <w:name w:val="footer"/>
    <w:basedOn w:val="Normal"/>
    <w:link w:val="FooterChar"/>
    <w:uiPriority w:val="99"/>
    <w:unhideWhenUsed/>
    <w:rsid w:val="009E034E"/>
    <w:pPr>
      <w:tabs>
        <w:tab w:val="center" w:pos="4513"/>
        <w:tab w:val="right" w:pos="9026"/>
      </w:tabs>
      <w:spacing w:line="240" w:lineRule="auto"/>
    </w:pPr>
  </w:style>
  <w:style w:type="character" w:customStyle="1" w:styleId="FooterChar">
    <w:name w:val="Footer Char"/>
    <w:basedOn w:val="DefaultParagraphFont"/>
    <w:link w:val="Footer"/>
    <w:uiPriority w:val="99"/>
    <w:rsid w:val="009E034E"/>
  </w:style>
  <w:style w:type="paragraph" w:styleId="TOCHeading">
    <w:name w:val="TOC Heading"/>
    <w:basedOn w:val="Heading1"/>
    <w:next w:val="Normal"/>
    <w:uiPriority w:val="39"/>
    <w:unhideWhenUsed/>
    <w:qFormat/>
    <w:rsid w:val="00910D9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10D93"/>
    <w:pPr>
      <w:spacing w:after="100"/>
    </w:pPr>
  </w:style>
  <w:style w:type="paragraph" w:styleId="TOC2">
    <w:name w:val="toc 2"/>
    <w:basedOn w:val="Normal"/>
    <w:next w:val="Normal"/>
    <w:autoRedefine/>
    <w:uiPriority w:val="39"/>
    <w:unhideWhenUsed/>
    <w:rsid w:val="00910D93"/>
    <w:pPr>
      <w:spacing w:after="100"/>
      <w:ind w:left="240"/>
    </w:pPr>
  </w:style>
  <w:style w:type="character" w:styleId="Hyperlink">
    <w:name w:val="Hyperlink"/>
    <w:basedOn w:val="DefaultParagraphFont"/>
    <w:uiPriority w:val="99"/>
    <w:unhideWhenUsed/>
    <w:rsid w:val="00910D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C0727-C203-479A-BAB5-169411071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2518</Words>
  <Characters>14359</Characters>
  <DocSecurity>0</DocSecurity>
  <Lines>119</Lines>
  <Paragraphs>33</Paragraphs>
  <ScaleCrop>false</ScaleCrop>
  <LinksUpToDate>false</LinksUpToDate>
  <CharactersWithSpaces>16844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2024-01-18T08:39:00Z</dcterms:created>
  <dcterms:modified xsi:type="dcterms:W3CDTF">2024-02-28T11:16:00Z</dcterms:modified>
</cp:coreProperties>
</file>