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4E6D" w14:textId="77777777" w:rsidR="00DA24CE" w:rsidRPr="00FF3EBC" w:rsidRDefault="00E94D62" w:rsidP="00FF3EBC">
      <w:pPr>
        <w:spacing w:line="48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FF3EBC">
        <w:rPr>
          <w:rFonts w:ascii="Times New Roman" w:hAnsi="Times New Roman" w:cs="Times New Roman"/>
          <w:b/>
          <w:sz w:val="28"/>
          <w:u w:val="single"/>
        </w:rPr>
        <w:t>Ancient Erotic Poetry (HPAH5032):</w:t>
      </w:r>
    </w:p>
    <w:p w14:paraId="09AB9134" w14:textId="1692AD89" w:rsidR="00E94D62" w:rsidRPr="00FF3EBC" w:rsidRDefault="00E94D62" w:rsidP="00FF3EBC">
      <w:pPr>
        <w:spacing w:line="480" w:lineRule="auto"/>
        <w:rPr>
          <w:rFonts w:ascii="Times New Roman" w:hAnsi="Times New Roman" w:cs="Times New Roman"/>
          <w:sz w:val="24"/>
        </w:rPr>
      </w:pPr>
      <w:r w:rsidRPr="00FF3EBC">
        <w:rPr>
          <w:rFonts w:ascii="Times New Roman" w:hAnsi="Times New Roman" w:cs="Times New Roman"/>
          <w:b/>
          <w:sz w:val="24"/>
          <w:u w:val="single"/>
        </w:rPr>
        <w:t xml:space="preserve">Gobbet 1: </w:t>
      </w:r>
      <w:r w:rsidRPr="00FF3EBC">
        <w:rPr>
          <w:rFonts w:ascii="Times New Roman" w:hAnsi="Times New Roman" w:cs="Times New Roman"/>
          <w:sz w:val="24"/>
        </w:rPr>
        <w:t>Catullus 68.51-76</w:t>
      </w:r>
      <w:bookmarkStart w:id="0" w:name="_GoBack"/>
      <w:bookmarkEnd w:id="0"/>
    </w:p>
    <w:p w14:paraId="6D1811B5" w14:textId="77777777" w:rsidR="00125B7C" w:rsidRPr="005B0B40" w:rsidRDefault="00125B7C" w:rsidP="005B0B40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03025F84" w14:textId="44911AB4" w:rsidR="00FF3EBC" w:rsidRPr="005B0B40" w:rsidRDefault="00763220" w:rsidP="005B0B40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5B0B40">
        <w:rPr>
          <w:rFonts w:ascii="Times New Roman" w:hAnsi="Times New Roman" w:cs="Times New Roman"/>
          <w:sz w:val="24"/>
        </w:rPr>
        <w:t xml:space="preserve">Catullus is arguably the first Roman love elegist, and the first to write about a single love-affair, which had influenced: Gallus, Propertius, Tibullus and Ovid. </w:t>
      </w:r>
      <w:r w:rsidR="00125B7C" w:rsidRPr="005B0B40">
        <w:rPr>
          <w:rFonts w:ascii="Times New Roman" w:hAnsi="Times New Roman" w:cs="Times New Roman"/>
          <w:sz w:val="24"/>
        </w:rPr>
        <w:t>Catullus 68 has been regarded as ‘Probably the most extraordinary poem in Latin’ by Lyne.</w:t>
      </w:r>
      <w:r w:rsidR="00125B7C" w:rsidRPr="005B0B40">
        <w:rPr>
          <w:rStyle w:val="FootnoteReference"/>
          <w:rFonts w:ascii="Times New Roman" w:hAnsi="Times New Roman" w:cs="Times New Roman"/>
          <w:sz w:val="24"/>
        </w:rPr>
        <w:footnoteReference w:id="1"/>
      </w:r>
      <w:r w:rsidR="00125B7C" w:rsidRPr="005B0B40">
        <w:rPr>
          <w:rFonts w:ascii="Times New Roman" w:hAnsi="Times New Roman" w:cs="Times New Roman"/>
          <w:sz w:val="24"/>
        </w:rPr>
        <w:t xml:space="preserve"> The poem is written in elegiac couplets</w:t>
      </w:r>
      <w:r w:rsidR="00D9557A" w:rsidRPr="005B0B40">
        <w:rPr>
          <w:rFonts w:ascii="Times New Roman" w:hAnsi="Times New Roman" w:cs="Times New Roman"/>
          <w:sz w:val="24"/>
        </w:rPr>
        <w:t>, and can be placed into the genre of love elegy. However, the poem is unlike others, it is almost made entirely up of similes</w:t>
      </w:r>
      <w:r w:rsidR="00DE039B" w:rsidRPr="005B0B40">
        <w:rPr>
          <w:rFonts w:ascii="Times New Roman" w:hAnsi="Times New Roman" w:cs="Times New Roman"/>
          <w:sz w:val="24"/>
        </w:rPr>
        <w:t xml:space="preserve"> and metaphors</w:t>
      </w:r>
      <w:r w:rsidR="00FF3EBC" w:rsidRPr="005B0B40">
        <w:rPr>
          <w:rFonts w:ascii="Times New Roman" w:hAnsi="Times New Roman" w:cs="Times New Roman"/>
          <w:sz w:val="24"/>
        </w:rPr>
        <w:t xml:space="preserve"> and most importantly the Laodamia</w:t>
      </w:r>
      <w:r w:rsidR="000F5935" w:rsidRPr="005B0B40">
        <w:rPr>
          <w:rFonts w:ascii="Times New Roman" w:hAnsi="Times New Roman" w:cs="Times New Roman"/>
          <w:sz w:val="24"/>
        </w:rPr>
        <w:t xml:space="preserve"> simile:</w:t>
      </w:r>
      <w:r w:rsidR="000F5935" w:rsidRPr="005B0B40">
        <w:rPr>
          <w:rFonts w:ascii="Times New Roman" w:hAnsi="Times New Roman" w:cs="Times New Roman"/>
          <w:i/>
          <w:sz w:val="24"/>
        </w:rPr>
        <w:t xml:space="preserve"> “Even</w:t>
      </w:r>
      <w:r w:rsidR="00FF3EBC" w:rsidRPr="005B0B40">
        <w:rPr>
          <w:rFonts w:ascii="Times New Roman" w:hAnsi="Times New Roman" w:cs="Times New Roman"/>
          <w:i/>
          <w:sz w:val="24"/>
        </w:rPr>
        <w:t xml:space="preserve"> as once Laodamia came burning with love to the house of Protesilaus, that house begun in vain”</w:t>
      </w:r>
      <w:r w:rsidR="000F5935" w:rsidRPr="005B0B40">
        <w:rPr>
          <w:rFonts w:ascii="Times New Roman" w:hAnsi="Times New Roman" w:cs="Times New Roman"/>
          <w:i/>
          <w:sz w:val="24"/>
        </w:rPr>
        <w:t xml:space="preserve">, </w:t>
      </w:r>
      <w:r w:rsidR="000F5935" w:rsidRPr="005B0B40">
        <w:rPr>
          <w:rFonts w:ascii="Times New Roman" w:hAnsi="Times New Roman" w:cs="Times New Roman"/>
          <w:sz w:val="24"/>
        </w:rPr>
        <w:t>a simile that in the context of the poem</w:t>
      </w:r>
      <w:r w:rsidR="009664F0" w:rsidRPr="005B0B40">
        <w:rPr>
          <w:rFonts w:ascii="Times New Roman" w:hAnsi="Times New Roman" w:cs="Times New Roman"/>
          <w:sz w:val="24"/>
        </w:rPr>
        <w:t xml:space="preserve"> emphasises the tragedy of love, and introduces </w:t>
      </w:r>
      <w:r w:rsidR="002815C6" w:rsidRPr="005B0B40">
        <w:rPr>
          <w:rFonts w:ascii="Times New Roman" w:hAnsi="Times New Roman" w:cs="Times New Roman"/>
          <w:sz w:val="24"/>
        </w:rPr>
        <w:t>a new perspective on his affair, but also showing fear of how his reality cannot match his expectation of Lesbia</w:t>
      </w:r>
      <w:r w:rsidR="00492E78" w:rsidRPr="005B0B40">
        <w:rPr>
          <w:rFonts w:ascii="Times New Roman" w:hAnsi="Times New Roman" w:cs="Times New Roman"/>
          <w:sz w:val="24"/>
        </w:rPr>
        <w:t>.</w:t>
      </w:r>
      <w:r w:rsidR="000F5935" w:rsidRPr="005B0B40">
        <w:rPr>
          <w:rStyle w:val="FootnoteReference"/>
          <w:rFonts w:ascii="Times New Roman" w:hAnsi="Times New Roman" w:cs="Times New Roman"/>
          <w:sz w:val="24"/>
        </w:rPr>
        <w:footnoteReference w:id="2"/>
      </w:r>
      <w:r w:rsidR="00492E78" w:rsidRPr="005B0B40">
        <w:rPr>
          <w:rFonts w:ascii="Times New Roman" w:hAnsi="Times New Roman" w:cs="Times New Roman"/>
          <w:sz w:val="24"/>
        </w:rPr>
        <w:t xml:space="preserve"> Catullus’ waiting for Lesbia, and expectation of her had elevated her to a goddess in line 69.</w:t>
      </w:r>
      <w:r w:rsidR="00492E78" w:rsidRPr="005B0B40">
        <w:rPr>
          <w:rStyle w:val="FootnoteReference"/>
          <w:rFonts w:ascii="Times New Roman" w:hAnsi="Times New Roman" w:cs="Times New Roman"/>
          <w:sz w:val="24"/>
        </w:rPr>
        <w:footnoteReference w:id="3"/>
      </w:r>
      <w:r w:rsidR="00492E78" w:rsidRPr="005B0B40">
        <w:rPr>
          <w:rFonts w:ascii="Times New Roman" w:hAnsi="Times New Roman" w:cs="Times New Roman"/>
          <w:sz w:val="24"/>
        </w:rPr>
        <w:t xml:space="preserve"> This simile also alludes to a fantasy of marriage – Catullus waiting as the </w:t>
      </w:r>
      <w:r w:rsidR="00492E78" w:rsidRPr="005B0B40">
        <w:rPr>
          <w:rFonts w:ascii="Times New Roman" w:hAnsi="Times New Roman" w:cs="Times New Roman"/>
          <w:i/>
          <w:sz w:val="24"/>
        </w:rPr>
        <w:t xml:space="preserve">dominus </w:t>
      </w:r>
      <w:r w:rsidR="00492E78" w:rsidRPr="005B0B40">
        <w:rPr>
          <w:rFonts w:ascii="Times New Roman" w:hAnsi="Times New Roman" w:cs="Times New Roman"/>
          <w:sz w:val="24"/>
        </w:rPr>
        <w:t xml:space="preserve">and Lesbia the </w:t>
      </w:r>
      <w:r w:rsidR="00492E78" w:rsidRPr="005B0B40">
        <w:rPr>
          <w:rFonts w:ascii="Times New Roman" w:hAnsi="Times New Roman" w:cs="Times New Roman"/>
          <w:i/>
          <w:sz w:val="24"/>
        </w:rPr>
        <w:t>domina</w:t>
      </w:r>
      <w:r w:rsidR="00492E78" w:rsidRPr="005B0B40">
        <w:rPr>
          <w:rFonts w:ascii="Times New Roman" w:hAnsi="Times New Roman" w:cs="Times New Roman"/>
          <w:sz w:val="24"/>
        </w:rPr>
        <w:t xml:space="preserve">, a devoted wife like </w:t>
      </w:r>
      <w:r w:rsidR="00E964F1" w:rsidRPr="005B0B40">
        <w:rPr>
          <w:rFonts w:ascii="Times New Roman" w:hAnsi="Times New Roman" w:cs="Times New Roman"/>
          <w:sz w:val="24"/>
        </w:rPr>
        <w:t xml:space="preserve">Laodamia, who is seen as one of the most appealing </w:t>
      </w:r>
      <w:r w:rsidR="00FB6C1C" w:rsidRPr="005B0B40">
        <w:rPr>
          <w:rFonts w:ascii="Times New Roman" w:hAnsi="Times New Roman" w:cs="Times New Roman"/>
          <w:sz w:val="24"/>
        </w:rPr>
        <w:t>figures in mythology.</w:t>
      </w:r>
      <w:r w:rsidR="00FB6C1C" w:rsidRPr="005B0B40">
        <w:rPr>
          <w:rStyle w:val="FootnoteReference"/>
          <w:rFonts w:ascii="Times New Roman" w:hAnsi="Times New Roman" w:cs="Times New Roman"/>
          <w:sz w:val="24"/>
        </w:rPr>
        <w:footnoteReference w:id="4"/>
      </w:r>
      <w:r w:rsidR="004E350C" w:rsidRPr="005B0B40">
        <w:rPr>
          <w:rFonts w:ascii="Times New Roman" w:hAnsi="Times New Roman" w:cs="Times New Roman"/>
          <w:sz w:val="24"/>
        </w:rPr>
        <w:t xml:space="preserve"> Catullus’ choice of myth highlights his relationship with his beloved Lesbia but also the tragic ending that must occur, similarly to the relationship of Protesilaus and Laodamia.  </w:t>
      </w:r>
    </w:p>
    <w:p w14:paraId="5CFCD4D1" w14:textId="1C6D7850" w:rsidR="002815C6" w:rsidRPr="005B0B40" w:rsidRDefault="000F5935" w:rsidP="005B0B40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5B0B40">
        <w:rPr>
          <w:rFonts w:ascii="Times New Roman" w:hAnsi="Times New Roman" w:cs="Times New Roman"/>
          <w:sz w:val="24"/>
        </w:rPr>
        <w:t xml:space="preserve">Catullus writes </w:t>
      </w:r>
      <w:r w:rsidR="00C5712B" w:rsidRPr="005B0B40">
        <w:rPr>
          <w:rFonts w:ascii="Times New Roman" w:hAnsi="Times New Roman" w:cs="Times New Roman"/>
          <w:sz w:val="24"/>
        </w:rPr>
        <w:t>in an unusual style in regards to his poems to Lesbia</w:t>
      </w:r>
      <w:r w:rsidR="004576B9" w:rsidRPr="005B0B40">
        <w:rPr>
          <w:rFonts w:ascii="Times New Roman" w:hAnsi="Times New Roman" w:cs="Times New Roman"/>
          <w:sz w:val="24"/>
        </w:rPr>
        <w:t xml:space="preserve">, a style that would have been seen as shocking in Republican Rome, by giving power to the </w:t>
      </w:r>
      <w:r w:rsidR="004576B9" w:rsidRPr="005B0B40">
        <w:rPr>
          <w:rFonts w:ascii="Times New Roman" w:hAnsi="Times New Roman" w:cs="Times New Roman"/>
          <w:i/>
          <w:sz w:val="24"/>
        </w:rPr>
        <w:t>puella</w:t>
      </w:r>
      <w:r w:rsidR="004576B9" w:rsidRPr="005B0B40">
        <w:rPr>
          <w:rFonts w:ascii="Times New Roman" w:hAnsi="Times New Roman" w:cs="Times New Roman"/>
          <w:sz w:val="24"/>
        </w:rPr>
        <w:t xml:space="preserve">, Lesbia. The theme of gift-giving is common in Roman love elegy and is normally between the lover-poet and the </w:t>
      </w:r>
      <w:r w:rsidR="004576B9" w:rsidRPr="005B0B40">
        <w:rPr>
          <w:rFonts w:ascii="Times New Roman" w:hAnsi="Times New Roman" w:cs="Times New Roman"/>
          <w:i/>
          <w:sz w:val="24"/>
        </w:rPr>
        <w:t>puella,</w:t>
      </w:r>
      <w:r w:rsidR="004576B9" w:rsidRPr="005B0B40">
        <w:rPr>
          <w:rFonts w:ascii="Times New Roman" w:hAnsi="Times New Roman" w:cs="Times New Roman"/>
          <w:sz w:val="24"/>
        </w:rPr>
        <w:t xml:space="preserve"> </w:t>
      </w:r>
      <w:r w:rsidR="00987D6E" w:rsidRPr="005B0B40">
        <w:rPr>
          <w:rFonts w:ascii="Times New Roman" w:hAnsi="Times New Roman" w:cs="Times New Roman"/>
          <w:sz w:val="24"/>
        </w:rPr>
        <w:t xml:space="preserve">however, </w:t>
      </w:r>
      <w:r w:rsidR="004576B9" w:rsidRPr="005B0B40">
        <w:rPr>
          <w:rFonts w:ascii="Times New Roman" w:hAnsi="Times New Roman" w:cs="Times New Roman"/>
          <w:sz w:val="24"/>
        </w:rPr>
        <w:t>in this poem it can be seen between Allius and Catullus, with the gift being a house to carry out his affair with Lesbia in: “</w:t>
      </w:r>
      <w:r w:rsidR="004576B9" w:rsidRPr="005B0B40">
        <w:rPr>
          <w:rFonts w:ascii="Times New Roman" w:hAnsi="Times New Roman" w:cs="Times New Roman"/>
          <w:i/>
          <w:sz w:val="24"/>
        </w:rPr>
        <w:t>he gave me access to a house and its mistress”</w:t>
      </w:r>
      <w:r w:rsidR="00987D6E" w:rsidRPr="005B0B40">
        <w:rPr>
          <w:rFonts w:ascii="Times New Roman" w:hAnsi="Times New Roman" w:cs="Times New Roman"/>
          <w:i/>
          <w:sz w:val="24"/>
        </w:rPr>
        <w:t xml:space="preserve">, </w:t>
      </w:r>
      <w:r w:rsidR="00987D6E" w:rsidRPr="005B0B40">
        <w:rPr>
          <w:rFonts w:ascii="Times New Roman" w:hAnsi="Times New Roman" w:cs="Times New Roman"/>
          <w:sz w:val="24"/>
        </w:rPr>
        <w:t>this service is relatively small but it is the past and future moments had there which are of importance to Catullus</w:t>
      </w:r>
      <w:r w:rsidR="004576B9" w:rsidRPr="005B0B40">
        <w:rPr>
          <w:rFonts w:ascii="Times New Roman" w:hAnsi="Times New Roman" w:cs="Times New Roman"/>
          <w:sz w:val="24"/>
        </w:rPr>
        <w:t>.</w:t>
      </w:r>
      <w:r w:rsidR="004576B9" w:rsidRPr="005B0B40">
        <w:rPr>
          <w:rStyle w:val="FootnoteReference"/>
          <w:rFonts w:ascii="Times New Roman" w:hAnsi="Times New Roman" w:cs="Times New Roman"/>
          <w:sz w:val="24"/>
        </w:rPr>
        <w:footnoteReference w:id="5"/>
      </w:r>
      <w:r w:rsidR="004576B9" w:rsidRPr="005B0B40">
        <w:rPr>
          <w:rFonts w:ascii="Times New Roman" w:hAnsi="Times New Roman" w:cs="Times New Roman"/>
          <w:sz w:val="24"/>
        </w:rPr>
        <w:t xml:space="preserve"> Scholars </w:t>
      </w:r>
      <w:r w:rsidR="00232050" w:rsidRPr="005B0B40">
        <w:rPr>
          <w:rFonts w:ascii="Times New Roman" w:hAnsi="Times New Roman" w:cs="Times New Roman"/>
          <w:sz w:val="24"/>
        </w:rPr>
        <w:t xml:space="preserve">have debated on the meaning of this and pondered if it meant Lesbia, a different mistress, or a housekeeper – my stance will be that of Lesbia. </w:t>
      </w:r>
      <w:r w:rsidR="002815C6" w:rsidRPr="005B0B40">
        <w:rPr>
          <w:rFonts w:ascii="Times New Roman" w:hAnsi="Times New Roman" w:cs="Times New Roman"/>
          <w:sz w:val="24"/>
        </w:rPr>
        <w:t xml:space="preserve">Furthermore, Allius can be seen as performing </w:t>
      </w:r>
      <w:r w:rsidR="002815C6" w:rsidRPr="005B0B40">
        <w:rPr>
          <w:rFonts w:ascii="Times New Roman" w:hAnsi="Times New Roman" w:cs="Times New Roman"/>
          <w:i/>
          <w:sz w:val="24"/>
        </w:rPr>
        <w:t>officia</w:t>
      </w:r>
      <w:r w:rsidR="002815C6" w:rsidRPr="005B0B40">
        <w:rPr>
          <w:rFonts w:ascii="Times New Roman" w:hAnsi="Times New Roman" w:cs="Times New Roman"/>
          <w:sz w:val="24"/>
        </w:rPr>
        <w:t xml:space="preserve"> (service, duty) by giving Catullus a house to make love to Lesbia in which can be seen: “</w:t>
      </w:r>
      <w:r w:rsidR="002815C6" w:rsidRPr="005B0B40">
        <w:rPr>
          <w:rFonts w:ascii="Times New Roman" w:hAnsi="Times New Roman" w:cs="Times New Roman"/>
          <w:i/>
          <w:sz w:val="24"/>
        </w:rPr>
        <w:t>and you may not think I am tired of the duty of a friend</w:t>
      </w:r>
      <w:r w:rsidR="002815C6" w:rsidRPr="005B0B40">
        <w:rPr>
          <w:rFonts w:ascii="Times New Roman" w:hAnsi="Times New Roman" w:cs="Times New Roman"/>
          <w:sz w:val="24"/>
        </w:rPr>
        <w:t>” – something Mallius had requested of Catullus.</w:t>
      </w:r>
      <w:r w:rsidR="002815C6" w:rsidRPr="005B0B40">
        <w:rPr>
          <w:rStyle w:val="FootnoteReference"/>
          <w:rFonts w:ascii="Times New Roman" w:hAnsi="Times New Roman" w:cs="Times New Roman"/>
          <w:sz w:val="24"/>
        </w:rPr>
        <w:footnoteReference w:id="6"/>
      </w:r>
      <w:r w:rsidR="002815C6" w:rsidRPr="005B0B40">
        <w:rPr>
          <w:rFonts w:ascii="Times New Roman" w:hAnsi="Times New Roman" w:cs="Times New Roman"/>
          <w:sz w:val="24"/>
        </w:rPr>
        <w:t xml:space="preserve"> Therefore, Allius has solved, however temporarily, Catullus’ problem similarly to sailors praying to Castor and Pollux.</w:t>
      </w:r>
      <w:r w:rsidR="002815C6" w:rsidRPr="005B0B40">
        <w:rPr>
          <w:rStyle w:val="FootnoteReference"/>
          <w:rFonts w:ascii="Times New Roman" w:hAnsi="Times New Roman" w:cs="Times New Roman"/>
          <w:sz w:val="24"/>
        </w:rPr>
        <w:footnoteReference w:id="7"/>
      </w:r>
      <w:r w:rsidR="002815C6" w:rsidRPr="005B0B40">
        <w:rPr>
          <w:rFonts w:ascii="Times New Roman" w:hAnsi="Times New Roman" w:cs="Times New Roman"/>
          <w:sz w:val="24"/>
        </w:rPr>
        <w:t xml:space="preserve"> Moreover</w:t>
      </w:r>
      <w:r w:rsidR="00243D1F" w:rsidRPr="005B0B40">
        <w:rPr>
          <w:rFonts w:ascii="Times New Roman" w:hAnsi="Times New Roman" w:cs="Times New Roman"/>
          <w:sz w:val="24"/>
        </w:rPr>
        <w:t>, the house is mentioned again in the following lines when Lesbia steps on the threshold</w:t>
      </w:r>
      <w:r w:rsidR="0008566B" w:rsidRPr="005B0B40">
        <w:rPr>
          <w:rFonts w:ascii="Times New Roman" w:hAnsi="Times New Roman" w:cs="Times New Roman"/>
          <w:sz w:val="24"/>
        </w:rPr>
        <w:t xml:space="preserve"> and Catullus is waiting for her </w:t>
      </w:r>
      <w:r w:rsidR="00CF6DAC" w:rsidRPr="005B0B40">
        <w:rPr>
          <w:rFonts w:ascii="Times New Roman" w:hAnsi="Times New Roman" w:cs="Times New Roman"/>
          <w:sz w:val="24"/>
        </w:rPr>
        <w:t>a</w:t>
      </w:r>
      <w:r w:rsidR="002815C6" w:rsidRPr="005B0B40">
        <w:rPr>
          <w:rFonts w:ascii="Times New Roman" w:hAnsi="Times New Roman" w:cs="Times New Roman"/>
          <w:sz w:val="24"/>
        </w:rPr>
        <w:t>s if she is enchanting, a creature</w:t>
      </w:r>
      <w:r w:rsidR="00CF6DAC" w:rsidRPr="005B0B40">
        <w:rPr>
          <w:rFonts w:ascii="Times New Roman" w:hAnsi="Times New Roman" w:cs="Times New Roman"/>
          <w:sz w:val="24"/>
        </w:rPr>
        <w:t xml:space="preserve"> of dreams</w:t>
      </w:r>
      <w:r w:rsidR="00243D1F" w:rsidRPr="005B0B40">
        <w:rPr>
          <w:rFonts w:ascii="Times New Roman" w:hAnsi="Times New Roman" w:cs="Times New Roman"/>
          <w:sz w:val="24"/>
        </w:rPr>
        <w:t>: “</w:t>
      </w:r>
      <w:r w:rsidR="00CF6DAC" w:rsidRPr="005B0B40">
        <w:rPr>
          <w:rFonts w:ascii="Times New Roman" w:hAnsi="Times New Roman" w:cs="Times New Roman"/>
          <w:i/>
          <w:sz w:val="24"/>
        </w:rPr>
        <w:t xml:space="preserve">my fair goddess delicately stepped, </w:t>
      </w:r>
      <w:r w:rsidR="00243D1F" w:rsidRPr="005B0B40">
        <w:rPr>
          <w:rFonts w:ascii="Times New Roman" w:hAnsi="Times New Roman" w:cs="Times New Roman"/>
          <w:i/>
          <w:sz w:val="24"/>
        </w:rPr>
        <w:t>and set the sole of her shining foot on the smooth threshold”</w:t>
      </w:r>
      <w:r w:rsidR="00C869A9" w:rsidRPr="005B0B40">
        <w:rPr>
          <w:rFonts w:ascii="Times New Roman" w:hAnsi="Times New Roman" w:cs="Times New Roman"/>
          <w:sz w:val="24"/>
        </w:rPr>
        <w:t xml:space="preserve"> and this in Roman tradition was an ill-fated omen.</w:t>
      </w:r>
      <w:r w:rsidR="00C869A9" w:rsidRPr="005B0B40">
        <w:rPr>
          <w:rStyle w:val="FootnoteReference"/>
          <w:rFonts w:ascii="Times New Roman" w:hAnsi="Times New Roman" w:cs="Times New Roman"/>
          <w:sz w:val="24"/>
        </w:rPr>
        <w:footnoteReference w:id="8"/>
      </w:r>
      <w:r w:rsidR="00C648A3" w:rsidRPr="005B0B40">
        <w:rPr>
          <w:rFonts w:ascii="Times New Roman" w:hAnsi="Times New Roman" w:cs="Times New Roman"/>
          <w:sz w:val="24"/>
        </w:rPr>
        <w:t xml:space="preserve"> Lines 70-72, however, re-create Catullus’ own romanticising of Lesbia in the moments before she arrives at the </w:t>
      </w:r>
      <w:r w:rsidR="00C648A3" w:rsidRPr="005B0B40">
        <w:rPr>
          <w:rFonts w:ascii="Times New Roman" w:hAnsi="Times New Roman" w:cs="Times New Roman"/>
          <w:i/>
          <w:sz w:val="24"/>
        </w:rPr>
        <w:t>domus</w:t>
      </w:r>
      <w:r w:rsidR="002815C6" w:rsidRPr="005B0B40">
        <w:rPr>
          <w:rFonts w:ascii="Times New Roman" w:hAnsi="Times New Roman" w:cs="Times New Roman"/>
          <w:sz w:val="24"/>
        </w:rPr>
        <w:t>. T</w:t>
      </w:r>
      <w:r w:rsidR="00C648A3" w:rsidRPr="005B0B40">
        <w:rPr>
          <w:rFonts w:ascii="Times New Roman" w:hAnsi="Times New Roman" w:cs="Times New Roman"/>
          <w:sz w:val="24"/>
        </w:rPr>
        <w:t xml:space="preserve">his point can be applied to most, if not all relationships – no one is </w:t>
      </w:r>
      <w:r w:rsidR="002815C6" w:rsidRPr="005B0B40">
        <w:rPr>
          <w:rFonts w:ascii="Times New Roman" w:hAnsi="Times New Roman" w:cs="Times New Roman"/>
          <w:sz w:val="24"/>
        </w:rPr>
        <w:t>as</w:t>
      </w:r>
      <w:r w:rsidR="00C648A3" w:rsidRPr="005B0B40">
        <w:rPr>
          <w:rFonts w:ascii="Times New Roman" w:hAnsi="Times New Roman" w:cs="Times New Roman"/>
          <w:sz w:val="24"/>
        </w:rPr>
        <w:t xml:space="preserve"> g</w:t>
      </w:r>
      <w:r w:rsidR="002815C6" w:rsidRPr="005B0B40">
        <w:rPr>
          <w:rFonts w:ascii="Times New Roman" w:hAnsi="Times New Roman" w:cs="Times New Roman"/>
          <w:sz w:val="24"/>
        </w:rPr>
        <w:t>reat as just before they arrive.</w:t>
      </w:r>
      <w:r w:rsidR="00C648A3" w:rsidRPr="005B0B40">
        <w:rPr>
          <w:rStyle w:val="FootnoteReference"/>
          <w:rFonts w:ascii="Times New Roman" w:hAnsi="Times New Roman" w:cs="Times New Roman"/>
          <w:sz w:val="24"/>
        </w:rPr>
        <w:footnoteReference w:id="9"/>
      </w:r>
      <w:r w:rsidR="00C648A3" w:rsidRPr="005B0B40">
        <w:rPr>
          <w:rFonts w:ascii="Times New Roman" w:hAnsi="Times New Roman" w:cs="Times New Roman"/>
          <w:sz w:val="24"/>
        </w:rPr>
        <w:t xml:space="preserve"> </w:t>
      </w:r>
      <w:r w:rsidR="009664F0" w:rsidRPr="005B0B40">
        <w:rPr>
          <w:rFonts w:ascii="Times New Roman" w:hAnsi="Times New Roman" w:cs="Times New Roman"/>
          <w:sz w:val="24"/>
        </w:rPr>
        <w:t xml:space="preserve"> Although, Lesbia is not a bride and therefore does not act like one, so there is no </w:t>
      </w:r>
      <w:r w:rsidR="00251863" w:rsidRPr="005B0B40">
        <w:rPr>
          <w:rFonts w:ascii="Times New Roman" w:hAnsi="Times New Roman" w:cs="Times New Roman"/>
          <w:sz w:val="24"/>
        </w:rPr>
        <w:t xml:space="preserve">ill-fated </w:t>
      </w:r>
      <w:r w:rsidR="009664F0" w:rsidRPr="005B0B40">
        <w:rPr>
          <w:rFonts w:ascii="Times New Roman" w:hAnsi="Times New Roman" w:cs="Times New Roman"/>
          <w:sz w:val="24"/>
        </w:rPr>
        <w:t>omen in her action.</w:t>
      </w:r>
      <w:r w:rsidR="009664F0" w:rsidRPr="005B0B40">
        <w:rPr>
          <w:rStyle w:val="FootnoteReference"/>
          <w:rFonts w:ascii="Times New Roman" w:hAnsi="Times New Roman" w:cs="Times New Roman"/>
          <w:sz w:val="24"/>
        </w:rPr>
        <w:footnoteReference w:id="10"/>
      </w:r>
      <w:r w:rsidR="00251863" w:rsidRPr="005B0B40">
        <w:rPr>
          <w:rFonts w:ascii="Times New Roman" w:hAnsi="Times New Roman" w:cs="Times New Roman"/>
          <w:sz w:val="24"/>
        </w:rPr>
        <w:t xml:space="preserve"> </w:t>
      </w:r>
    </w:p>
    <w:p w14:paraId="0B47486F" w14:textId="7CDCA490" w:rsidR="00251863" w:rsidRPr="005B0B40" w:rsidRDefault="00251863" w:rsidP="005B0B40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5B0B40">
        <w:rPr>
          <w:rFonts w:ascii="Times New Roman" w:hAnsi="Times New Roman" w:cs="Times New Roman"/>
          <w:sz w:val="24"/>
        </w:rPr>
        <w:t>It is also worth commenting on the description given to Venus: “</w:t>
      </w:r>
      <w:r w:rsidRPr="005B0B40">
        <w:rPr>
          <w:rFonts w:ascii="Times New Roman" w:hAnsi="Times New Roman" w:cs="Times New Roman"/>
          <w:i/>
          <w:sz w:val="24"/>
        </w:rPr>
        <w:t>wily goddess of Amathus</w:t>
      </w:r>
      <w:r w:rsidRPr="005B0B40">
        <w:rPr>
          <w:rFonts w:ascii="Times New Roman" w:hAnsi="Times New Roman" w:cs="Times New Roman"/>
          <w:sz w:val="24"/>
        </w:rPr>
        <w:t>”</w:t>
      </w:r>
      <w:r w:rsidR="00D1664E" w:rsidRPr="005B0B40">
        <w:rPr>
          <w:rFonts w:ascii="Times New Roman" w:hAnsi="Times New Roman" w:cs="Times New Roman"/>
          <w:sz w:val="24"/>
        </w:rPr>
        <w:t xml:space="preserve"> as there was a statue of Venus at Amathus</w:t>
      </w:r>
      <w:r w:rsidR="001A4BF6" w:rsidRPr="005B0B40">
        <w:rPr>
          <w:rFonts w:ascii="Times New Roman" w:hAnsi="Times New Roman" w:cs="Times New Roman"/>
          <w:sz w:val="24"/>
        </w:rPr>
        <w:t xml:space="preserve"> (ancient Cypriot city)</w:t>
      </w:r>
      <w:r w:rsidR="00D1664E" w:rsidRPr="005B0B40">
        <w:rPr>
          <w:rFonts w:ascii="Times New Roman" w:hAnsi="Times New Roman" w:cs="Times New Roman"/>
          <w:sz w:val="24"/>
        </w:rPr>
        <w:t xml:space="preserve"> where she was represen</w:t>
      </w:r>
      <w:r w:rsidR="00FD0292" w:rsidRPr="005B0B40">
        <w:rPr>
          <w:rFonts w:ascii="Times New Roman" w:hAnsi="Times New Roman" w:cs="Times New Roman"/>
          <w:sz w:val="24"/>
        </w:rPr>
        <w:t>ted as a hermaphrodite and Voss</w:t>
      </w:r>
      <w:r w:rsidR="00D1664E" w:rsidRPr="005B0B40">
        <w:rPr>
          <w:rFonts w:ascii="Times New Roman" w:hAnsi="Times New Roman" w:cs="Times New Roman"/>
          <w:sz w:val="24"/>
        </w:rPr>
        <w:t xml:space="preserve"> argues that Venus’ epithet is in reference to the poet’s amours</w:t>
      </w:r>
      <w:r w:rsidR="001A4BF6" w:rsidRPr="005B0B40">
        <w:rPr>
          <w:rFonts w:ascii="Times New Roman" w:hAnsi="Times New Roman" w:cs="Times New Roman"/>
          <w:sz w:val="24"/>
        </w:rPr>
        <w:t>, or at least there was a cult worshipping a half male, half female Venus at Amathus.</w:t>
      </w:r>
      <w:r w:rsidR="001A4BF6" w:rsidRPr="005B0B40">
        <w:rPr>
          <w:rStyle w:val="FootnoteReference"/>
          <w:rFonts w:ascii="Times New Roman" w:hAnsi="Times New Roman" w:cs="Times New Roman"/>
          <w:sz w:val="24"/>
        </w:rPr>
        <w:footnoteReference w:id="11"/>
      </w:r>
      <w:r w:rsidR="00425E03" w:rsidRPr="005B0B40">
        <w:rPr>
          <w:rFonts w:ascii="Times New Roman" w:hAnsi="Times New Roman" w:cs="Times New Roman"/>
          <w:sz w:val="24"/>
        </w:rPr>
        <w:t xml:space="preserve"> Myth is a recurring theme throughout 68 as seen in lines 54 onwards</w:t>
      </w:r>
      <w:r w:rsidR="0010775B" w:rsidRPr="005B0B40">
        <w:rPr>
          <w:rFonts w:ascii="Times New Roman" w:hAnsi="Times New Roman" w:cs="Times New Roman"/>
          <w:sz w:val="24"/>
        </w:rPr>
        <w:t xml:space="preserve"> with the mention of the “</w:t>
      </w:r>
      <w:r w:rsidR="0010775B" w:rsidRPr="005B0B40">
        <w:rPr>
          <w:rFonts w:ascii="Times New Roman" w:hAnsi="Times New Roman" w:cs="Times New Roman"/>
          <w:i/>
          <w:sz w:val="24"/>
        </w:rPr>
        <w:t>Trinacrian rock and the Malian water at Oetan Thermopylae”</w:t>
      </w:r>
      <w:r w:rsidR="0010775B" w:rsidRPr="005B0B40">
        <w:rPr>
          <w:rFonts w:ascii="Times New Roman" w:hAnsi="Times New Roman" w:cs="Times New Roman"/>
          <w:sz w:val="24"/>
        </w:rPr>
        <w:t xml:space="preserve"> the mineral springs were supposedly sacred to Hercules as Athene had presented them to him, a Greek myth </w:t>
      </w:r>
      <w:r w:rsidR="00D971C2" w:rsidRPr="005B0B40">
        <w:rPr>
          <w:rFonts w:ascii="Times New Roman" w:hAnsi="Times New Roman" w:cs="Times New Roman"/>
          <w:sz w:val="24"/>
        </w:rPr>
        <w:t>also said how Hercules jumped in the spring in an attempt to wash away hydra poison, Hercules is also seen as the proto-founder of Rome.</w:t>
      </w:r>
      <w:r w:rsidR="0092647D" w:rsidRPr="005B0B40">
        <w:rPr>
          <w:rStyle w:val="FootnoteReference"/>
          <w:rFonts w:ascii="Times New Roman" w:hAnsi="Times New Roman" w:cs="Times New Roman"/>
          <w:sz w:val="24"/>
        </w:rPr>
        <w:footnoteReference w:id="12"/>
      </w:r>
      <w:r w:rsidR="00D971C2" w:rsidRPr="005B0B40">
        <w:rPr>
          <w:rFonts w:ascii="Times New Roman" w:hAnsi="Times New Roman" w:cs="Times New Roman"/>
          <w:sz w:val="24"/>
        </w:rPr>
        <w:t xml:space="preserve"> This reference is most likely connected with the following simile of “</w:t>
      </w:r>
      <w:r w:rsidR="00D971C2" w:rsidRPr="005B0B40">
        <w:rPr>
          <w:rFonts w:ascii="Times New Roman" w:hAnsi="Times New Roman" w:cs="Times New Roman"/>
          <w:i/>
          <w:sz w:val="24"/>
        </w:rPr>
        <w:t>my sad eyes never rested from wasting with perpetual tears, nor my cheeks from steaming with a flood of sorrow”</w:t>
      </w:r>
      <w:r w:rsidR="0010775B" w:rsidRPr="005B0B40">
        <w:rPr>
          <w:rFonts w:ascii="Times New Roman" w:hAnsi="Times New Roman" w:cs="Times New Roman"/>
          <w:sz w:val="24"/>
        </w:rPr>
        <w:t xml:space="preserve"> </w:t>
      </w:r>
      <w:r w:rsidR="00D971C2" w:rsidRPr="005B0B40">
        <w:rPr>
          <w:rFonts w:ascii="Times New Roman" w:hAnsi="Times New Roman" w:cs="Times New Roman"/>
          <w:sz w:val="24"/>
        </w:rPr>
        <w:t>as it could refer to either the tears of Catullu</w:t>
      </w:r>
      <w:r w:rsidR="0092647D" w:rsidRPr="005B0B40">
        <w:rPr>
          <w:rFonts w:ascii="Times New Roman" w:hAnsi="Times New Roman" w:cs="Times New Roman"/>
          <w:sz w:val="24"/>
        </w:rPr>
        <w:t>s or the relief Allius gave Catullus,</w:t>
      </w:r>
      <w:r w:rsidR="003C06D5" w:rsidRPr="005B0B40">
        <w:rPr>
          <w:rFonts w:ascii="Times New Roman" w:hAnsi="Times New Roman" w:cs="Times New Roman"/>
          <w:sz w:val="24"/>
        </w:rPr>
        <w:t xml:space="preserve"> this has birthed scholarly debate on </w:t>
      </w:r>
      <w:r w:rsidR="0092647D" w:rsidRPr="005B0B40">
        <w:rPr>
          <w:rFonts w:ascii="Times New Roman" w:hAnsi="Times New Roman" w:cs="Times New Roman"/>
          <w:sz w:val="24"/>
        </w:rPr>
        <w:t>the meaning of this simile but the latter is the most likely.</w:t>
      </w:r>
      <w:r w:rsidR="00B25B1E" w:rsidRPr="005B0B40">
        <w:rPr>
          <w:rStyle w:val="FootnoteReference"/>
          <w:rFonts w:ascii="Times New Roman" w:hAnsi="Times New Roman" w:cs="Times New Roman"/>
          <w:sz w:val="24"/>
        </w:rPr>
        <w:footnoteReference w:id="13"/>
      </w:r>
      <w:r w:rsidR="00B25B1E" w:rsidRPr="005B0B40">
        <w:rPr>
          <w:rFonts w:ascii="Times New Roman" w:hAnsi="Times New Roman" w:cs="Times New Roman"/>
          <w:sz w:val="24"/>
        </w:rPr>
        <w:t xml:space="preserve"> </w:t>
      </w:r>
    </w:p>
    <w:p w14:paraId="37A2157C" w14:textId="331EDC58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41F7D8E3" w14:textId="4A858943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7FEFA7C0" w14:textId="1D72B5A6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54AF621E" w14:textId="44FAD782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662A6B45" w14:textId="7FEF76BA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20AAC006" w14:textId="43FE9BBE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19A9A22A" w14:textId="7514263A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210B6773" w14:textId="45A5EC14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095EA79E" w14:textId="0D7060E5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2B41EE1C" w14:textId="46D92986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141AE069" w14:textId="5BA2671D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297EA56D" w14:textId="02809E50" w:rsidR="00C06B6D" w:rsidRDefault="00C06B6D" w:rsidP="00251863">
      <w:pPr>
        <w:spacing w:line="480" w:lineRule="auto"/>
        <w:rPr>
          <w:rFonts w:ascii="Times New Roman" w:hAnsi="Times New Roman" w:cs="Times New Roman"/>
          <w:sz w:val="24"/>
        </w:rPr>
      </w:pPr>
    </w:p>
    <w:p w14:paraId="1B460A1A" w14:textId="704F723E" w:rsidR="00C06B6D" w:rsidRDefault="00C06B6D" w:rsidP="00251863">
      <w:pPr>
        <w:spacing w:line="48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06B6D">
        <w:rPr>
          <w:rFonts w:ascii="Times New Roman" w:hAnsi="Times New Roman" w:cs="Times New Roman"/>
          <w:b/>
          <w:sz w:val="26"/>
          <w:szCs w:val="26"/>
          <w:u w:val="single"/>
        </w:rPr>
        <w:t>Bibliography:</w:t>
      </w:r>
    </w:p>
    <w:p w14:paraId="32DE9E53" w14:textId="4ED78623" w:rsidR="00C06B6D" w:rsidRDefault="00C06B6D" w:rsidP="00251863">
      <w:pPr>
        <w:spacing w:line="48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Ancient Sources:</w:t>
      </w:r>
    </w:p>
    <w:p w14:paraId="15EE370F" w14:textId="7CF8704D" w:rsidR="00E94D62" w:rsidRDefault="00C06B6D" w:rsidP="00E94D6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6B6D">
        <w:rPr>
          <w:rStyle w:val="bibliographicauthorname"/>
          <w:rFonts w:ascii="Times New Roman" w:hAnsi="Times New Roman" w:cs="Times New Roman"/>
          <w:sz w:val="24"/>
          <w:szCs w:val="24"/>
          <w:shd w:val="clear" w:color="auto" w:fill="FFFFFF"/>
        </w:rPr>
        <w:t>Catullus</w:t>
      </w:r>
      <w:r w:rsidRPr="00C06B6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C06B6D">
        <w:rPr>
          <w:rStyle w:val="bibliographicauthorname"/>
          <w:rFonts w:ascii="Times New Roman" w:hAnsi="Times New Roman" w:cs="Times New Roman"/>
          <w:sz w:val="24"/>
          <w:szCs w:val="24"/>
          <w:shd w:val="clear" w:color="auto" w:fill="FFFFFF"/>
        </w:rPr>
        <w:t>Tibullus</w:t>
      </w:r>
      <w:r w:rsidRPr="00C06B6D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C06B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Catullus. Tibullus. </w:t>
      </w:r>
      <w:proofErr w:type="spellStart"/>
      <w:r w:rsidRPr="00C06B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Pervigilium</w:t>
      </w:r>
      <w:proofErr w:type="spellEnd"/>
      <w:r w:rsidRPr="00C06B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06B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Veneris</w:t>
      </w:r>
      <w:proofErr w:type="spellEnd"/>
      <w:r w:rsidRPr="00C06B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 </w:t>
      </w:r>
      <w:r w:rsidRPr="00C06B6D">
        <w:rPr>
          <w:rStyle w:val="translators"/>
          <w:rFonts w:ascii="Times New Roman" w:hAnsi="Times New Roman" w:cs="Times New Roman"/>
          <w:sz w:val="24"/>
          <w:szCs w:val="24"/>
          <w:shd w:val="clear" w:color="auto" w:fill="FFFFFF"/>
        </w:rPr>
        <w:t>Translated by </w:t>
      </w:r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>F. W. Cornish</w:t>
      </w:r>
      <w:r w:rsidRPr="00C06B6D">
        <w:rPr>
          <w:rStyle w:val="translators"/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 xml:space="preserve">J. P. </w:t>
      </w:r>
      <w:proofErr w:type="spellStart"/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>Postgate</w:t>
      </w:r>
      <w:proofErr w:type="spellEnd"/>
      <w:r w:rsidRPr="00C06B6D">
        <w:rPr>
          <w:rStyle w:val="translators"/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proofErr w:type="gramStart"/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>J</w:t>
      </w:r>
      <w:proofErr w:type="gramEnd"/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 xml:space="preserve">. W. </w:t>
      </w:r>
      <w:proofErr w:type="spellStart"/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>Mackail</w:t>
      </w:r>
      <w:proofErr w:type="spellEnd"/>
      <w:r w:rsidRPr="00C06B6D">
        <w:rPr>
          <w:rStyle w:val="translators"/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C06B6D">
        <w:rPr>
          <w:rStyle w:val="revisors"/>
          <w:rFonts w:ascii="Times New Roman" w:hAnsi="Times New Roman" w:cs="Times New Roman"/>
          <w:sz w:val="24"/>
          <w:szCs w:val="24"/>
          <w:shd w:val="clear" w:color="auto" w:fill="FFFFFF"/>
        </w:rPr>
        <w:t>Revised by </w:t>
      </w:r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 xml:space="preserve">G. P. </w:t>
      </w:r>
      <w:proofErr w:type="spellStart"/>
      <w:r w:rsidRPr="00C06B6D">
        <w:rPr>
          <w:rStyle w:val="contributorname"/>
          <w:rFonts w:ascii="Times New Roman" w:hAnsi="Times New Roman" w:cs="Times New Roman"/>
          <w:sz w:val="24"/>
          <w:szCs w:val="24"/>
          <w:shd w:val="clear" w:color="auto" w:fill="FFFFFF"/>
        </w:rPr>
        <w:t>Goold</w:t>
      </w:r>
      <w:proofErr w:type="spellEnd"/>
      <w:r w:rsidRPr="00C06B6D">
        <w:rPr>
          <w:rStyle w:val="revisors"/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C06B6D">
        <w:rPr>
          <w:rFonts w:ascii="Times New Roman" w:hAnsi="Times New Roman" w:cs="Times New Roman"/>
          <w:sz w:val="24"/>
          <w:szCs w:val="24"/>
          <w:shd w:val="clear" w:color="auto" w:fill="FFFFFF"/>
        </w:rPr>
        <w:t>Loeb Classical Library 6. Cambridge, MA: Harvard University Press, 1913.</w:t>
      </w:r>
    </w:p>
    <w:p w14:paraId="61F9306F" w14:textId="19ABF578" w:rsidR="00C06B6D" w:rsidRDefault="00C06B6D" w:rsidP="00E94D6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4F4C63F" w14:textId="7CFB03DF" w:rsidR="00C06B6D" w:rsidRDefault="00C06B6D" w:rsidP="00E94D62">
      <w:pPr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</w:pPr>
      <w:r w:rsidRPr="00C06B6D"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>Modern Sources:</w:t>
      </w:r>
    </w:p>
    <w:p w14:paraId="44D07CE5" w14:textId="233187A2" w:rsidR="00C06B6D" w:rsidRDefault="00C06B6D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Lyne, R.O.A.M. 1980: </w:t>
      </w:r>
      <w:r w:rsidRPr="00C06B6D">
        <w:rPr>
          <w:rFonts w:ascii="Times New Roman" w:hAnsi="Times New Roman" w:cs="Times New Roman"/>
          <w:i/>
          <w:sz w:val="24"/>
          <w:szCs w:val="26"/>
        </w:rPr>
        <w:t>The Latin Love Poets</w:t>
      </w:r>
      <w:r>
        <w:rPr>
          <w:rFonts w:ascii="Times New Roman" w:hAnsi="Times New Roman" w:cs="Times New Roman"/>
          <w:sz w:val="24"/>
          <w:szCs w:val="26"/>
        </w:rPr>
        <w:t>. Oxford: Oxford University Press.</w:t>
      </w:r>
    </w:p>
    <w:p w14:paraId="3E2D27A5" w14:textId="24168CF4" w:rsidR="00C06B6D" w:rsidRDefault="00C06B6D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Ellis, R. </w:t>
      </w:r>
      <w:r>
        <w:rPr>
          <w:rFonts w:ascii="Times New Roman" w:hAnsi="Times New Roman" w:cs="Times New Roman"/>
          <w:i/>
          <w:sz w:val="24"/>
          <w:szCs w:val="26"/>
        </w:rPr>
        <w:t>A commentary on Catullus</w:t>
      </w:r>
      <w:r>
        <w:rPr>
          <w:rFonts w:ascii="Times New Roman" w:hAnsi="Times New Roman" w:cs="Times New Roman"/>
          <w:sz w:val="24"/>
          <w:szCs w:val="26"/>
        </w:rPr>
        <w:t>. Oxford: Clarendon Press.</w:t>
      </w:r>
    </w:p>
    <w:p w14:paraId="102A3C4B" w14:textId="1AEECDE8" w:rsidR="00C06B6D" w:rsidRDefault="00C06B6D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Granitz, N. 2011. </w:t>
      </w:r>
      <w:r>
        <w:rPr>
          <w:rFonts w:ascii="Times New Roman" w:hAnsi="Times New Roman" w:cs="Times New Roman"/>
          <w:i/>
          <w:sz w:val="24"/>
          <w:szCs w:val="26"/>
        </w:rPr>
        <w:t xml:space="preserve">Heracles and the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Foundings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of Sparta and Rome</w:t>
      </w:r>
      <w:r>
        <w:rPr>
          <w:rFonts w:ascii="Times New Roman" w:hAnsi="Times New Roman" w:cs="Times New Roman"/>
          <w:sz w:val="24"/>
          <w:szCs w:val="26"/>
        </w:rPr>
        <w:t>. Electronic Thesis or Dissertation. Ashland University. 16</w:t>
      </w:r>
      <w:r w:rsidRPr="00C06B6D">
        <w:rPr>
          <w:rFonts w:ascii="Times New Roman" w:hAnsi="Times New Roman" w:cs="Times New Roman"/>
          <w:sz w:val="24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6"/>
        </w:rPr>
        <w:t xml:space="preserve"> May 2019.</w:t>
      </w:r>
    </w:p>
    <w:p w14:paraId="09D48279" w14:textId="77777777" w:rsidR="00F07C58" w:rsidRDefault="00C06B6D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Heath, M. 1988. </w:t>
      </w:r>
      <w:r w:rsidR="00F07C58">
        <w:rPr>
          <w:rFonts w:ascii="Times New Roman" w:hAnsi="Times New Roman" w:cs="Times New Roman"/>
          <w:sz w:val="24"/>
          <w:szCs w:val="26"/>
        </w:rPr>
        <w:t xml:space="preserve">‘Catullus 68b’, </w:t>
      </w:r>
      <w:r w:rsidR="00F07C58">
        <w:rPr>
          <w:rFonts w:ascii="Times New Roman" w:hAnsi="Times New Roman" w:cs="Times New Roman"/>
          <w:i/>
          <w:sz w:val="24"/>
          <w:szCs w:val="26"/>
        </w:rPr>
        <w:t>Liverpool Classical Monthly</w:t>
      </w:r>
      <w:r w:rsidR="00F07C58">
        <w:rPr>
          <w:rFonts w:ascii="Times New Roman" w:hAnsi="Times New Roman" w:cs="Times New Roman"/>
          <w:sz w:val="24"/>
          <w:szCs w:val="26"/>
        </w:rPr>
        <w:t>, 13: 117-119.</w:t>
      </w:r>
    </w:p>
    <w:p w14:paraId="565E03B6" w14:textId="58ACC93C" w:rsidR="00C06B6D" w:rsidRDefault="00F07C58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Williams, G. 1958. ‘Some Aspects of Roman Marriage Ceremonies and Ideals’, </w:t>
      </w:r>
      <w:proofErr w:type="gramStart"/>
      <w:r>
        <w:rPr>
          <w:rFonts w:ascii="Times New Roman" w:hAnsi="Times New Roman" w:cs="Times New Roman"/>
          <w:i/>
          <w:sz w:val="24"/>
          <w:szCs w:val="26"/>
        </w:rPr>
        <w:t>The</w:t>
      </w:r>
      <w:proofErr w:type="gramEnd"/>
      <w:r>
        <w:rPr>
          <w:rFonts w:ascii="Times New Roman" w:hAnsi="Times New Roman" w:cs="Times New Roman"/>
          <w:i/>
          <w:sz w:val="24"/>
          <w:szCs w:val="26"/>
        </w:rPr>
        <w:t xml:space="preserve"> Journal of Roman Studies</w:t>
      </w:r>
      <w:r>
        <w:rPr>
          <w:rFonts w:ascii="Times New Roman" w:hAnsi="Times New Roman" w:cs="Times New Roman"/>
          <w:sz w:val="24"/>
          <w:szCs w:val="26"/>
        </w:rPr>
        <w:t xml:space="preserve">, 48.1-2: 16-29. </w:t>
      </w:r>
    </w:p>
    <w:p w14:paraId="77B0F330" w14:textId="6486C5AF" w:rsidR="00F07C58" w:rsidRDefault="00F07C58" w:rsidP="00E94D62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Tuplin, C.J. 1981. ‘Catullus 68’, </w:t>
      </w:r>
      <w:proofErr w:type="gramStart"/>
      <w:r>
        <w:rPr>
          <w:rFonts w:ascii="Times New Roman" w:hAnsi="Times New Roman" w:cs="Times New Roman"/>
          <w:i/>
          <w:sz w:val="24"/>
          <w:szCs w:val="26"/>
        </w:rPr>
        <w:t>The</w:t>
      </w:r>
      <w:proofErr w:type="gramEnd"/>
      <w:r>
        <w:rPr>
          <w:rFonts w:ascii="Times New Roman" w:hAnsi="Times New Roman" w:cs="Times New Roman"/>
          <w:i/>
          <w:sz w:val="24"/>
          <w:szCs w:val="26"/>
        </w:rPr>
        <w:t xml:space="preserve"> Classical Quarterly</w:t>
      </w:r>
      <w:r>
        <w:rPr>
          <w:rFonts w:ascii="Times New Roman" w:hAnsi="Times New Roman" w:cs="Times New Roman"/>
          <w:sz w:val="24"/>
          <w:szCs w:val="26"/>
        </w:rPr>
        <w:t>, 31.1: 113-139.</w:t>
      </w:r>
    </w:p>
    <w:p w14:paraId="215AAC35" w14:textId="0E7B69A0" w:rsidR="00F07C58" w:rsidRPr="00C06B6D" w:rsidRDefault="00F07C58" w:rsidP="00E94D62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4"/>
          <w:szCs w:val="26"/>
        </w:rPr>
        <w:t xml:space="preserve">Feeney, D.C. 1992. ‘Shall I compare thee...?’ Catullus 68 and the limits of analogy. In A.J. Woodman, &amp; J. Powell (eds.), </w:t>
      </w:r>
      <w:r>
        <w:rPr>
          <w:rFonts w:ascii="Times New Roman" w:hAnsi="Times New Roman" w:cs="Times New Roman"/>
          <w:i/>
          <w:sz w:val="24"/>
          <w:szCs w:val="26"/>
        </w:rPr>
        <w:t>Author and Audience in Latin Literature</w:t>
      </w:r>
      <w:r>
        <w:rPr>
          <w:rFonts w:ascii="Times New Roman" w:hAnsi="Times New Roman" w:cs="Times New Roman"/>
          <w:sz w:val="24"/>
          <w:szCs w:val="26"/>
        </w:rPr>
        <w:t>. Pp. 33 – 44. Cambridge: Cambridge University Press.</w:t>
      </w:r>
    </w:p>
    <w:p w14:paraId="6EC2F2A5" w14:textId="77777777" w:rsidR="00E94D62" w:rsidRDefault="00E94D62" w:rsidP="00E94D62">
      <w:pPr>
        <w:rPr>
          <w:sz w:val="24"/>
        </w:rPr>
      </w:pPr>
    </w:p>
    <w:p w14:paraId="47E3869F" w14:textId="77777777" w:rsidR="00E94D62" w:rsidRPr="00E94D62" w:rsidRDefault="00E94D62" w:rsidP="00E94D62">
      <w:pPr>
        <w:rPr>
          <w:sz w:val="24"/>
        </w:rPr>
      </w:pPr>
    </w:p>
    <w:sectPr w:rsidR="00E94D62" w:rsidRPr="00E94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11017" w14:textId="77777777" w:rsidR="00125B7C" w:rsidRDefault="00125B7C" w:rsidP="00125B7C">
      <w:pPr>
        <w:spacing w:after="0" w:line="240" w:lineRule="auto"/>
      </w:pPr>
      <w:r>
        <w:separator/>
      </w:r>
    </w:p>
  </w:endnote>
  <w:endnote w:type="continuationSeparator" w:id="0">
    <w:p w14:paraId="29F77C3A" w14:textId="77777777" w:rsidR="00125B7C" w:rsidRDefault="00125B7C" w:rsidP="0012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69332" w14:textId="77777777" w:rsidR="00125B7C" w:rsidRDefault="00125B7C" w:rsidP="00125B7C">
      <w:pPr>
        <w:spacing w:after="0" w:line="240" w:lineRule="auto"/>
      </w:pPr>
      <w:r>
        <w:separator/>
      </w:r>
    </w:p>
  </w:footnote>
  <w:footnote w:type="continuationSeparator" w:id="0">
    <w:p w14:paraId="636478D4" w14:textId="77777777" w:rsidR="00125B7C" w:rsidRDefault="00125B7C" w:rsidP="00125B7C">
      <w:pPr>
        <w:spacing w:after="0" w:line="240" w:lineRule="auto"/>
      </w:pPr>
      <w:r>
        <w:continuationSeparator/>
      </w:r>
    </w:p>
  </w:footnote>
  <w:footnote w:id="1">
    <w:p w14:paraId="4218EBE9" w14:textId="15238577" w:rsidR="00125B7C" w:rsidRDefault="00125B7C">
      <w:pPr>
        <w:pStyle w:val="FootnoteText"/>
      </w:pPr>
      <w:r>
        <w:rPr>
          <w:rStyle w:val="FootnoteReference"/>
        </w:rPr>
        <w:footnoteRef/>
      </w:r>
      <w:r>
        <w:t xml:space="preserve"> Feeney, D.C. 1992: 33; Lyne,</w:t>
      </w:r>
      <w:r w:rsidR="00FB6C1C">
        <w:t xml:space="preserve"> R.O.A.M.</w:t>
      </w:r>
      <w:r>
        <w:t xml:space="preserve"> 1980: 52.</w:t>
      </w:r>
    </w:p>
  </w:footnote>
  <w:footnote w:id="2">
    <w:p w14:paraId="5DDBDC0F" w14:textId="49EDC6BC" w:rsidR="000F5935" w:rsidRDefault="000F5935">
      <w:pPr>
        <w:pStyle w:val="FootnoteText"/>
      </w:pPr>
      <w:r>
        <w:rPr>
          <w:rStyle w:val="FootnoteReference"/>
        </w:rPr>
        <w:footnoteRef/>
      </w:r>
      <w:r w:rsidR="009664F0">
        <w:t xml:space="preserve">  Catullus. 68. 73-75; Heath, M: 117.</w:t>
      </w:r>
    </w:p>
  </w:footnote>
  <w:footnote w:id="3">
    <w:p w14:paraId="750632E9" w14:textId="354AA73E" w:rsidR="00492E78" w:rsidRDefault="00492E78">
      <w:pPr>
        <w:pStyle w:val="FootnoteText"/>
      </w:pPr>
      <w:r>
        <w:rPr>
          <w:rStyle w:val="FootnoteReference"/>
        </w:rPr>
        <w:footnoteRef/>
      </w:r>
      <w:r>
        <w:t xml:space="preserve"> Catullus. 68. 69.; Lyne, R.O.A.M. 1980: 56.</w:t>
      </w:r>
    </w:p>
  </w:footnote>
  <w:footnote w:id="4">
    <w:p w14:paraId="3431B0EC" w14:textId="16747C8F" w:rsidR="00FB6C1C" w:rsidRDefault="00FB6C1C">
      <w:pPr>
        <w:pStyle w:val="FootnoteText"/>
      </w:pPr>
      <w:r>
        <w:rPr>
          <w:rStyle w:val="FootnoteReference"/>
        </w:rPr>
        <w:footnoteRef/>
      </w:r>
      <w:r>
        <w:t xml:space="preserve"> Lyne, R.O.A.M. 1980: 57.</w:t>
      </w:r>
    </w:p>
  </w:footnote>
  <w:footnote w:id="5">
    <w:p w14:paraId="7EF4A891" w14:textId="44AF6F99" w:rsidR="004576B9" w:rsidRDefault="004576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2050">
        <w:t>Le, N. 2013: 2; Catullus. 68.68.</w:t>
      </w:r>
    </w:p>
  </w:footnote>
  <w:footnote w:id="6">
    <w:p w14:paraId="6738D77A" w14:textId="77777777" w:rsidR="002815C6" w:rsidRDefault="002815C6" w:rsidP="002815C6">
      <w:pPr>
        <w:pStyle w:val="FootnoteText"/>
      </w:pPr>
      <w:r>
        <w:rPr>
          <w:rStyle w:val="FootnoteReference"/>
        </w:rPr>
        <w:footnoteRef/>
      </w:r>
      <w:r>
        <w:t xml:space="preserve"> Catullus. 68. 11-12, 67-68.</w:t>
      </w:r>
    </w:p>
  </w:footnote>
  <w:footnote w:id="7">
    <w:p w14:paraId="0AAF6087" w14:textId="77777777" w:rsidR="002815C6" w:rsidRDefault="002815C6" w:rsidP="002815C6">
      <w:pPr>
        <w:pStyle w:val="FootnoteText"/>
      </w:pPr>
      <w:r>
        <w:rPr>
          <w:rStyle w:val="FootnoteReference"/>
        </w:rPr>
        <w:footnoteRef/>
      </w:r>
      <w:r>
        <w:t xml:space="preserve"> Catullus. 68. 57-58; Tuplin, C.J. 1981: 117; Lyne, R.O.A.M. 1980: 54.</w:t>
      </w:r>
    </w:p>
  </w:footnote>
  <w:footnote w:id="8">
    <w:p w14:paraId="34E7E0CA" w14:textId="7265B9EF" w:rsidR="00C869A9" w:rsidRDefault="00C869A9">
      <w:pPr>
        <w:pStyle w:val="FootnoteText"/>
      </w:pPr>
      <w:r>
        <w:rPr>
          <w:rStyle w:val="FootnoteReference"/>
        </w:rPr>
        <w:footnoteRef/>
      </w:r>
      <w:r>
        <w:t xml:space="preserve"> Catullus. 6</w:t>
      </w:r>
      <w:r w:rsidR="004E3285">
        <w:t>8. 70-71; Williams, G. 1958: 16; Lyne, R.O.A.M. 1980: 55.</w:t>
      </w:r>
    </w:p>
  </w:footnote>
  <w:footnote w:id="9">
    <w:p w14:paraId="75396204" w14:textId="1F3DA395" w:rsidR="00C648A3" w:rsidRDefault="00C648A3">
      <w:pPr>
        <w:pStyle w:val="FootnoteText"/>
      </w:pPr>
      <w:r>
        <w:rPr>
          <w:rStyle w:val="FootnoteReference"/>
        </w:rPr>
        <w:footnoteRef/>
      </w:r>
      <w:r>
        <w:t xml:space="preserve"> Lyne, R.O.A.M. 1980: 55.</w:t>
      </w:r>
    </w:p>
  </w:footnote>
  <w:footnote w:id="10">
    <w:p w14:paraId="4B8DE074" w14:textId="3B74A189" w:rsidR="009664F0" w:rsidRDefault="009664F0">
      <w:pPr>
        <w:pStyle w:val="FootnoteText"/>
      </w:pPr>
      <w:r>
        <w:rPr>
          <w:rStyle w:val="FootnoteReference"/>
        </w:rPr>
        <w:footnoteRef/>
      </w:r>
      <w:r>
        <w:t xml:space="preserve"> Heath, M. 1988: 117.</w:t>
      </w:r>
    </w:p>
  </w:footnote>
  <w:footnote w:id="11">
    <w:p w14:paraId="1491255D" w14:textId="603A5A6F" w:rsidR="001A4BF6" w:rsidRDefault="001A4BF6">
      <w:pPr>
        <w:pStyle w:val="FootnoteText"/>
      </w:pPr>
      <w:r>
        <w:rPr>
          <w:rStyle w:val="FootnoteReference"/>
        </w:rPr>
        <w:footnoteRef/>
      </w:r>
      <w:r>
        <w:t xml:space="preserve"> Ellis, R. 1876: 327.</w:t>
      </w:r>
    </w:p>
  </w:footnote>
  <w:footnote w:id="12">
    <w:p w14:paraId="6847D132" w14:textId="65342711" w:rsidR="0092647D" w:rsidRDefault="0092647D">
      <w:pPr>
        <w:pStyle w:val="FootnoteText"/>
      </w:pPr>
      <w:r>
        <w:rPr>
          <w:rStyle w:val="FootnoteReference"/>
        </w:rPr>
        <w:footnoteRef/>
      </w:r>
      <w:r>
        <w:t xml:space="preserve"> Granitz, N. 2011: 4.</w:t>
      </w:r>
    </w:p>
  </w:footnote>
  <w:footnote w:id="13">
    <w:p w14:paraId="5F92B54A" w14:textId="73CAD4C6" w:rsidR="00B25B1E" w:rsidRDefault="00B25B1E">
      <w:pPr>
        <w:pStyle w:val="FootnoteText"/>
      </w:pPr>
      <w:r>
        <w:rPr>
          <w:rStyle w:val="FootnoteReference"/>
        </w:rPr>
        <w:footnoteRef/>
      </w:r>
      <w:r>
        <w:t xml:space="preserve"> Ellis, R. 1876: 328.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D62"/>
    <w:rsid w:val="00063AC1"/>
    <w:rsid w:val="0008566B"/>
    <w:rsid w:val="000F5935"/>
    <w:rsid w:val="0010775B"/>
    <w:rsid w:val="00125B7C"/>
    <w:rsid w:val="001A4BF6"/>
    <w:rsid w:val="00232050"/>
    <w:rsid w:val="00235480"/>
    <w:rsid w:val="00243D1F"/>
    <w:rsid w:val="00251863"/>
    <w:rsid w:val="002815C6"/>
    <w:rsid w:val="0029213B"/>
    <w:rsid w:val="002F338B"/>
    <w:rsid w:val="00341113"/>
    <w:rsid w:val="00356DED"/>
    <w:rsid w:val="003C06D5"/>
    <w:rsid w:val="003D1A4D"/>
    <w:rsid w:val="00425E03"/>
    <w:rsid w:val="00440AD3"/>
    <w:rsid w:val="004576B9"/>
    <w:rsid w:val="00492E78"/>
    <w:rsid w:val="0049308A"/>
    <w:rsid w:val="004D30A0"/>
    <w:rsid w:val="004D6DD9"/>
    <w:rsid w:val="004E3285"/>
    <w:rsid w:val="004E350C"/>
    <w:rsid w:val="0053681F"/>
    <w:rsid w:val="005B0B40"/>
    <w:rsid w:val="00755599"/>
    <w:rsid w:val="00763220"/>
    <w:rsid w:val="008A32A7"/>
    <w:rsid w:val="008D6074"/>
    <w:rsid w:val="0092647D"/>
    <w:rsid w:val="00961067"/>
    <w:rsid w:val="009664F0"/>
    <w:rsid w:val="00987D6E"/>
    <w:rsid w:val="00A62EDF"/>
    <w:rsid w:val="00B25B1E"/>
    <w:rsid w:val="00B470A3"/>
    <w:rsid w:val="00B8008D"/>
    <w:rsid w:val="00C06B6D"/>
    <w:rsid w:val="00C5712B"/>
    <w:rsid w:val="00C648A3"/>
    <w:rsid w:val="00C72236"/>
    <w:rsid w:val="00C869A9"/>
    <w:rsid w:val="00CF6DAC"/>
    <w:rsid w:val="00D04F6D"/>
    <w:rsid w:val="00D1664E"/>
    <w:rsid w:val="00D8217E"/>
    <w:rsid w:val="00D9557A"/>
    <w:rsid w:val="00D971C2"/>
    <w:rsid w:val="00DA24CE"/>
    <w:rsid w:val="00DE039B"/>
    <w:rsid w:val="00E02209"/>
    <w:rsid w:val="00E05485"/>
    <w:rsid w:val="00E93165"/>
    <w:rsid w:val="00E94D62"/>
    <w:rsid w:val="00E964F1"/>
    <w:rsid w:val="00F07C58"/>
    <w:rsid w:val="00FB6C1C"/>
    <w:rsid w:val="00FD0292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8EE9F"/>
  <w15:chartTrackingRefBased/>
  <w15:docId w15:val="{CA472EE0-5D4A-4143-87F8-A9927E4D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25B7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5B7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5B7C"/>
    <w:rPr>
      <w:vertAlign w:val="superscript"/>
    </w:rPr>
  </w:style>
  <w:style w:type="character" w:customStyle="1" w:styleId="bibliographicauthorname">
    <w:name w:val="bibliographicauthorname"/>
    <w:basedOn w:val="DefaultParagraphFont"/>
    <w:rsid w:val="00C06B6D"/>
  </w:style>
  <w:style w:type="character" w:customStyle="1" w:styleId="translators">
    <w:name w:val="translators"/>
    <w:basedOn w:val="DefaultParagraphFont"/>
    <w:rsid w:val="00C06B6D"/>
  </w:style>
  <w:style w:type="character" w:customStyle="1" w:styleId="contributorname">
    <w:name w:val="contributorname"/>
    <w:basedOn w:val="DefaultParagraphFont"/>
    <w:rsid w:val="00C06B6D"/>
  </w:style>
  <w:style w:type="character" w:customStyle="1" w:styleId="revisors">
    <w:name w:val="revisors"/>
    <w:basedOn w:val="DefaultParagraphFont"/>
    <w:rsid w:val="00C06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66A18-EC08-4CA8-B6FC-0BAE11FCF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Mills (1500425)</dc:creator>
  <cp:keywords/>
  <dc:description/>
  <cp:lastModifiedBy>James Mills (1500425)</cp:lastModifiedBy>
  <cp:revision>2</cp:revision>
  <dcterms:created xsi:type="dcterms:W3CDTF">2019-05-16T16:02:00Z</dcterms:created>
  <dcterms:modified xsi:type="dcterms:W3CDTF">2019-05-16T16:02:00Z</dcterms:modified>
</cp:coreProperties>
</file>