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9979E7" w:rsidRPr="00FE18AF" w:rsidRDefault="009979E7">
      <w:pPr>
        <w:spacing w:line="360" w:lineRule="auto"/>
        <w:jc w:val="center"/>
        <w:rPr>
          <w:b/>
          <w:bCs/>
          <w:sz w:val="32"/>
          <w:szCs w:val="32"/>
        </w:rPr>
      </w:pPr>
    </w:p>
    <w:p w14:paraId="00000002" w14:textId="77777777" w:rsidR="009979E7" w:rsidRPr="00FE18AF" w:rsidRDefault="009979E7">
      <w:pPr>
        <w:spacing w:line="360" w:lineRule="auto"/>
        <w:jc w:val="center"/>
        <w:rPr>
          <w:b/>
          <w:bCs/>
          <w:sz w:val="32"/>
          <w:szCs w:val="32"/>
        </w:rPr>
      </w:pPr>
    </w:p>
    <w:p w14:paraId="00000003" w14:textId="77777777" w:rsidR="009979E7" w:rsidRPr="00FE18AF" w:rsidRDefault="00440FAD">
      <w:pPr>
        <w:spacing w:line="360" w:lineRule="auto"/>
        <w:jc w:val="center"/>
        <w:rPr>
          <w:b/>
          <w:bCs/>
          <w:sz w:val="32"/>
          <w:szCs w:val="32"/>
        </w:rPr>
      </w:pPr>
      <w:r w:rsidRPr="00FE18AF">
        <w:rPr>
          <w:b/>
          <w:bCs/>
          <w:sz w:val="32"/>
          <w:szCs w:val="32"/>
        </w:rPr>
        <w:t>LCHS4003</w:t>
      </w:r>
    </w:p>
    <w:p w14:paraId="00000004" w14:textId="77777777" w:rsidR="009979E7" w:rsidRPr="00FE18AF" w:rsidRDefault="009979E7">
      <w:pPr>
        <w:spacing w:line="360" w:lineRule="auto"/>
        <w:jc w:val="center"/>
        <w:rPr>
          <w:b/>
          <w:bCs/>
          <w:sz w:val="32"/>
          <w:szCs w:val="32"/>
        </w:rPr>
      </w:pPr>
    </w:p>
    <w:p w14:paraId="00000005" w14:textId="77777777" w:rsidR="009979E7" w:rsidRPr="00FE18AF" w:rsidRDefault="00440FAD">
      <w:pPr>
        <w:spacing w:line="360" w:lineRule="auto"/>
        <w:jc w:val="center"/>
        <w:rPr>
          <w:b/>
          <w:bCs/>
          <w:sz w:val="32"/>
          <w:szCs w:val="32"/>
        </w:rPr>
      </w:pPr>
      <w:r w:rsidRPr="00FE18AF">
        <w:rPr>
          <w:b/>
          <w:bCs/>
          <w:sz w:val="32"/>
          <w:szCs w:val="32"/>
        </w:rPr>
        <w:t>COMPONENT 2</w:t>
      </w:r>
    </w:p>
    <w:p w14:paraId="00000006" w14:textId="77777777" w:rsidR="009979E7" w:rsidRPr="00FE18AF" w:rsidRDefault="009979E7">
      <w:pPr>
        <w:spacing w:line="360" w:lineRule="auto"/>
        <w:jc w:val="center"/>
        <w:rPr>
          <w:b/>
          <w:bCs/>
          <w:sz w:val="32"/>
          <w:szCs w:val="32"/>
        </w:rPr>
      </w:pPr>
    </w:p>
    <w:p w14:paraId="00000007" w14:textId="77777777" w:rsidR="009979E7" w:rsidRPr="00FE18AF" w:rsidRDefault="00440FAD">
      <w:pPr>
        <w:spacing w:line="360" w:lineRule="auto"/>
        <w:jc w:val="center"/>
        <w:rPr>
          <w:b/>
          <w:bCs/>
          <w:sz w:val="32"/>
          <w:szCs w:val="32"/>
        </w:rPr>
      </w:pPr>
      <w:r w:rsidRPr="00FE18AF">
        <w:rPr>
          <w:b/>
          <w:bCs/>
          <w:sz w:val="32"/>
          <w:szCs w:val="32"/>
        </w:rPr>
        <w:t>CERTIFICATE OF HIGHER EDUCATION SKILLS FOR THE WORKPLACE (HEALTH &amp; SOCIAL CARE)</w:t>
      </w:r>
    </w:p>
    <w:p w14:paraId="00000008" w14:textId="77777777" w:rsidR="009979E7" w:rsidRPr="00FE18AF" w:rsidRDefault="009979E7">
      <w:pPr>
        <w:spacing w:line="360" w:lineRule="auto"/>
        <w:jc w:val="center"/>
        <w:rPr>
          <w:b/>
          <w:bCs/>
          <w:sz w:val="32"/>
          <w:szCs w:val="32"/>
        </w:rPr>
      </w:pPr>
    </w:p>
    <w:p w14:paraId="00000009" w14:textId="77777777" w:rsidR="009979E7" w:rsidRPr="00FE18AF" w:rsidRDefault="00440FAD">
      <w:pPr>
        <w:spacing w:line="360" w:lineRule="auto"/>
        <w:jc w:val="center"/>
        <w:rPr>
          <w:b/>
          <w:bCs/>
          <w:sz w:val="32"/>
          <w:szCs w:val="32"/>
        </w:rPr>
      </w:pPr>
      <w:r w:rsidRPr="00FE18AF">
        <w:rPr>
          <w:b/>
          <w:bCs/>
          <w:sz w:val="32"/>
          <w:szCs w:val="32"/>
        </w:rPr>
        <w:t>MODULE: INTRODUCTION TO HEALTH AND SOCIAL CARE</w:t>
      </w:r>
    </w:p>
    <w:p w14:paraId="0000000A" w14:textId="77777777" w:rsidR="009979E7" w:rsidRPr="00FE18AF" w:rsidRDefault="009979E7">
      <w:pPr>
        <w:spacing w:line="360" w:lineRule="auto"/>
        <w:jc w:val="center"/>
        <w:rPr>
          <w:b/>
          <w:bCs/>
          <w:sz w:val="32"/>
          <w:szCs w:val="32"/>
        </w:rPr>
      </w:pPr>
    </w:p>
    <w:p w14:paraId="0000000B" w14:textId="77777777" w:rsidR="009979E7" w:rsidRPr="00FE18AF" w:rsidRDefault="00440FAD">
      <w:pPr>
        <w:spacing w:line="360" w:lineRule="auto"/>
        <w:jc w:val="center"/>
        <w:rPr>
          <w:b/>
          <w:bCs/>
          <w:sz w:val="32"/>
          <w:szCs w:val="32"/>
        </w:rPr>
      </w:pPr>
      <w:r w:rsidRPr="00FE18AF">
        <w:rPr>
          <w:b/>
          <w:bCs/>
          <w:sz w:val="32"/>
          <w:szCs w:val="32"/>
        </w:rPr>
        <w:t>TITLE: WRITTEN ASSIGNMENT ON CASE STUDY ON EFFECTIVE COMMUNICATION, ADMINISTRATIVE PRACTICE, AND COLLABORATIVE WORKING: CASE STUDY OF MRS MANN</w:t>
      </w:r>
    </w:p>
    <w:p w14:paraId="0000000C" w14:textId="77777777" w:rsidR="009979E7" w:rsidRPr="00FE18AF" w:rsidRDefault="009979E7">
      <w:pPr>
        <w:spacing w:line="360" w:lineRule="auto"/>
        <w:jc w:val="center"/>
        <w:rPr>
          <w:b/>
          <w:bCs/>
          <w:sz w:val="32"/>
          <w:szCs w:val="32"/>
        </w:rPr>
      </w:pPr>
    </w:p>
    <w:p w14:paraId="0000000D" w14:textId="77777777" w:rsidR="009979E7" w:rsidRPr="00FE18AF" w:rsidRDefault="009979E7">
      <w:pPr>
        <w:spacing w:line="360" w:lineRule="auto"/>
        <w:jc w:val="center"/>
        <w:rPr>
          <w:b/>
          <w:bCs/>
          <w:sz w:val="32"/>
          <w:szCs w:val="32"/>
        </w:rPr>
      </w:pPr>
    </w:p>
    <w:p w14:paraId="0000000E" w14:textId="77777777" w:rsidR="009979E7" w:rsidRPr="00FE18AF" w:rsidRDefault="009979E7">
      <w:pPr>
        <w:spacing w:line="360" w:lineRule="auto"/>
        <w:jc w:val="center"/>
        <w:rPr>
          <w:b/>
          <w:bCs/>
          <w:sz w:val="32"/>
          <w:szCs w:val="32"/>
        </w:rPr>
      </w:pPr>
    </w:p>
    <w:p w14:paraId="0000000F" w14:textId="77777777" w:rsidR="009979E7" w:rsidRPr="00FE18AF" w:rsidRDefault="009979E7">
      <w:pPr>
        <w:spacing w:line="360" w:lineRule="auto"/>
        <w:jc w:val="center"/>
        <w:rPr>
          <w:b/>
          <w:bCs/>
          <w:sz w:val="32"/>
          <w:szCs w:val="32"/>
        </w:rPr>
      </w:pPr>
    </w:p>
    <w:p w14:paraId="00000010" w14:textId="51692BD9" w:rsidR="009979E7" w:rsidRPr="00FE18AF" w:rsidRDefault="00440FAD">
      <w:pPr>
        <w:spacing w:line="360" w:lineRule="auto"/>
        <w:jc w:val="center"/>
        <w:rPr>
          <w:b/>
          <w:bCs/>
          <w:sz w:val="32"/>
          <w:szCs w:val="32"/>
        </w:rPr>
      </w:pPr>
      <w:r w:rsidRPr="00FE18AF">
        <w:rPr>
          <w:b/>
          <w:bCs/>
          <w:sz w:val="32"/>
          <w:szCs w:val="32"/>
        </w:rPr>
        <w:t>STUDENT NAME:</w:t>
      </w:r>
      <w:r w:rsidR="00FE18AF" w:rsidRPr="00FE18AF">
        <w:rPr>
          <w:lang w:val="en-US"/>
        </w:rPr>
        <w:t xml:space="preserve"> </w:t>
      </w:r>
      <w:r w:rsidR="00FE18AF" w:rsidRPr="00FE18AF">
        <w:rPr>
          <w:b/>
          <w:bCs/>
          <w:sz w:val="32"/>
          <w:szCs w:val="32"/>
        </w:rPr>
        <w:t>Kwadwo Adjei Brempong</w:t>
      </w:r>
    </w:p>
    <w:p w14:paraId="00000011" w14:textId="613865B1" w:rsidR="009979E7" w:rsidRPr="00FE18AF" w:rsidRDefault="00440FAD">
      <w:pPr>
        <w:spacing w:line="360" w:lineRule="auto"/>
        <w:jc w:val="center"/>
        <w:rPr>
          <w:b/>
          <w:bCs/>
          <w:sz w:val="32"/>
          <w:szCs w:val="32"/>
          <w:lang w:val="en-US"/>
        </w:rPr>
      </w:pPr>
      <w:r w:rsidRPr="00FE18AF">
        <w:rPr>
          <w:b/>
          <w:bCs/>
          <w:sz w:val="32"/>
          <w:szCs w:val="32"/>
        </w:rPr>
        <w:t>STUDENT ID:</w:t>
      </w:r>
      <w:r w:rsidR="00FE18AF" w:rsidRPr="00FE18AF">
        <w:rPr>
          <w:b/>
          <w:bCs/>
          <w:sz w:val="32"/>
          <w:szCs w:val="32"/>
        </w:rPr>
        <w:t xml:space="preserve"> 2334944</w:t>
      </w:r>
    </w:p>
    <w:p w14:paraId="00000012" w14:textId="4640C186" w:rsidR="009979E7" w:rsidRPr="00FE18AF" w:rsidRDefault="00440FAD">
      <w:pPr>
        <w:spacing w:line="360" w:lineRule="auto"/>
        <w:jc w:val="center"/>
        <w:rPr>
          <w:b/>
          <w:bCs/>
          <w:sz w:val="32"/>
          <w:szCs w:val="32"/>
          <w:lang w:val="en-US"/>
        </w:rPr>
      </w:pPr>
      <w:r w:rsidRPr="00FE18AF">
        <w:rPr>
          <w:b/>
          <w:bCs/>
          <w:sz w:val="32"/>
          <w:szCs w:val="32"/>
        </w:rPr>
        <w:t>DATE OF SUBMISSION:</w:t>
      </w:r>
      <w:r w:rsidR="00FE18AF" w:rsidRPr="00FE18AF">
        <w:rPr>
          <w:b/>
          <w:bCs/>
          <w:sz w:val="32"/>
          <w:szCs w:val="32"/>
          <w:lang w:val="en-US"/>
        </w:rPr>
        <w:t xml:space="preserve"> 20/11/2025</w:t>
      </w:r>
    </w:p>
    <w:p w14:paraId="00000013" w14:textId="77777777" w:rsidR="009979E7" w:rsidRPr="00FE18AF" w:rsidRDefault="00440FAD">
      <w:pPr>
        <w:spacing w:line="360" w:lineRule="auto"/>
        <w:jc w:val="center"/>
        <w:rPr>
          <w:b/>
          <w:bCs/>
          <w:sz w:val="28"/>
          <w:szCs w:val="28"/>
        </w:rPr>
      </w:pPr>
      <w:r w:rsidRPr="00FE18AF">
        <w:rPr>
          <w:b/>
          <w:bCs/>
          <w:sz w:val="28"/>
          <w:szCs w:val="28"/>
        </w:rPr>
        <w:lastRenderedPageBreak/>
        <w:t>TABLE OF CONTENTS</w:t>
      </w:r>
    </w:p>
    <w:sdt>
      <w:sdtPr>
        <w:id w:val="-1726157129"/>
        <w:docPartObj>
          <w:docPartGallery w:val="Table of Contents"/>
          <w:docPartUnique/>
        </w:docPartObj>
      </w:sdtPr>
      <w:sdtEndPr/>
      <w:sdtContent>
        <w:p w14:paraId="00000014" w14:textId="77777777" w:rsidR="009979E7" w:rsidRPr="00FE18AF" w:rsidRDefault="00440FAD">
          <w:pPr>
            <w:widowControl w:val="0"/>
            <w:tabs>
              <w:tab w:val="right" w:pos="12000"/>
            </w:tabs>
            <w:spacing w:line="360" w:lineRule="auto"/>
            <w:rPr>
              <w:b/>
              <w:bCs/>
              <w:color w:val="000000"/>
            </w:rPr>
          </w:pPr>
          <w:r w:rsidRPr="00FE18AF">
            <w:fldChar w:fldCharType="begin"/>
          </w:r>
          <w:r w:rsidRPr="00FE18AF">
            <w:instrText xml:space="preserve"> TOC \h \u \z \t "Heading 1,1,Heading 2,2,</w:instrText>
          </w:r>
          <w:r w:rsidRPr="00FE18AF">
            <w:instrText>Heading 3,3,Heading 4,4,Heading 5,5,Heading 6,6,"</w:instrText>
          </w:r>
          <w:r w:rsidRPr="00FE18AF">
            <w:fldChar w:fldCharType="separate"/>
          </w:r>
          <w:hyperlink w:anchor="_heading=h.62udqcae06au">
            <w:r w:rsidRPr="00FE18AF">
              <w:rPr>
                <w:rFonts w:eastAsia="Arial"/>
                <w:b/>
                <w:bCs/>
                <w:color w:val="000000"/>
              </w:rPr>
              <w:t>1.0 Introduction</w:t>
            </w:r>
            <w:r w:rsidRPr="00FE18AF">
              <w:rPr>
                <w:rFonts w:eastAsia="Arial"/>
                <w:b/>
                <w:bCs/>
                <w:color w:val="000000"/>
              </w:rPr>
              <w:tab/>
              <w:t>4</w:t>
            </w:r>
          </w:hyperlink>
        </w:p>
        <w:p w14:paraId="00000015" w14:textId="77777777" w:rsidR="009979E7" w:rsidRPr="00FE18AF" w:rsidRDefault="00440FAD">
          <w:pPr>
            <w:widowControl w:val="0"/>
            <w:tabs>
              <w:tab w:val="right" w:pos="12000"/>
            </w:tabs>
            <w:spacing w:line="360" w:lineRule="auto"/>
            <w:rPr>
              <w:b/>
              <w:bCs/>
              <w:color w:val="000000"/>
            </w:rPr>
          </w:pPr>
          <w:hyperlink w:anchor="_heading=h.pd7usr2d4lot">
            <w:r w:rsidRPr="00FE18AF">
              <w:rPr>
                <w:rFonts w:eastAsia="Arial"/>
                <w:b/>
                <w:bCs/>
                <w:color w:val="000000"/>
              </w:rPr>
              <w:t>2.0 Effective Communication within Mrs Mann’s Care</w:t>
            </w:r>
            <w:r w:rsidRPr="00FE18AF">
              <w:rPr>
                <w:rFonts w:eastAsia="Arial"/>
                <w:b/>
                <w:bCs/>
                <w:color w:val="000000"/>
              </w:rPr>
              <w:tab/>
              <w:t>5</w:t>
            </w:r>
          </w:hyperlink>
        </w:p>
        <w:p w14:paraId="00000016" w14:textId="77777777" w:rsidR="009979E7" w:rsidRPr="00FE18AF" w:rsidRDefault="00440FAD">
          <w:pPr>
            <w:widowControl w:val="0"/>
            <w:tabs>
              <w:tab w:val="right" w:pos="12000"/>
            </w:tabs>
            <w:spacing w:line="360" w:lineRule="auto"/>
            <w:ind w:left="360"/>
            <w:rPr>
              <w:color w:val="000000"/>
            </w:rPr>
          </w:pPr>
          <w:hyperlink w:anchor="_heading=h.8qzsix794qgq">
            <w:r w:rsidRPr="00FE18AF">
              <w:rPr>
                <w:rFonts w:eastAsia="Arial"/>
                <w:color w:val="000000"/>
              </w:rPr>
              <w:t>2.1 Principles of effective communication</w:t>
            </w:r>
            <w:r w:rsidRPr="00FE18AF">
              <w:rPr>
                <w:rFonts w:eastAsia="Arial"/>
                <w:color w:val="000000"/>
              </w:rPr>
              <w:tab/>
              <w:t>5</w:t>
            </w:r>
          </w:hyperlink>
        </w:p>
        <w:p w14:paraId="00000017" w14:textId="77777777" w:rsidR="009979E7" w:rsidRPr="00FE18AF" w:rsidRDefault="00440FAD">
          <w:pPr>
            <w:widowControl w:val="0"/>
            <w:tabs>
              <w:tab w:val="right" w:pos="12000"/>
            </w:tabs>
            <w:spacing w:line="360" w:lineRule="auto"/>
            <w:ind w:left="360"/>
            <w:rPr>
              <w:color w:val="000000"/>
            </w:rPr>
          </w:pPr>
          <w:hyperlink w:anchor="_heading=h.5do02cle5hvr">
            <w:r w:rsidRPr="00FE18AF">
              <w:rPr>
                <w:rFonts w:eastAsia="Arial"/>
                <w:color w:val="000000"/>
              </w:rPr>
              <w:t>2.2 Applying the Equality Act and model</w:t>
            </w:r>
            <w:r w:rsidRPr="00FE18AF">
              <w:rPr>
                <w:rFonts w:eastAsia="Arial"/>
                <w:color w:val="000000"/>
              </w:rPr>
              <w:tab/>
              <w:t>6</w:t>
            </w:r>
          </w:hyperlink>
        </w:p>
        <w:p w14:paraId="00000018" w14:textId="77777777" w:rsidR="009979E7" w:rsidRPr="00FE18AF" w:rsidRDefault="00440FAD">
          <w:pPr>
            <w:widowControl w:val="0"/>
            <w:tabs>
              <w:tab w:val="right" w:pos="12000"/>
            </w:tabs>
            <w:spacing w:line="360" w:lineRule="auto"/>
            <w:rPr>
              <w:b/>
              <w:bCs/>
              <w:color w:val="000000"/>
            </w:rPr>
          </w:pPr>
          <w:hyperlink w:anchor="_heading=h.qawy17y81ge1">
            <w:r w:rsidRPr="00FE18AF">
              <w:rPr>
                <w:rFonts w:eastAsia="Arial"/>
                <w:b/>
                <w:bCs/>
                <w:color w:val="000000"/>
              </w:rPr>
              <w:t>3.0 Administrative Skills: Record Keeping and Data Protection</w:t>
            </w:r>
            <w:r w:rsidRPr="00FE18AF">
              <w:rPr>
                <w:rFonts w:eastAsia="Arial"/>
                <w:b/>
                <w:bCs/>
                <w:color w:val="000000"/>
              </w:rPr>
              <w:tab/>
              <w:t>6</w:t>
            </w:r>
          </w:hyperlink>
        </w:p>
        <w:p w14:paraId="00000019" w14:textId="77777777" w:rsidR="009979E7" w:rsidRPr="00FE18AF" w:rsidRDefault="00440FAD">
          <w:pPr>
            <w:widowControl w:val="0"/>
            <w:tabs>
              <w:tab w:val="right" w:pos="12000"/>
            </w:tabs>
            <w:spacing w:line="360" w:lineRule="auto"/>
            <w:ind w:left="360"/>
            <w:rPr>
              <w:color w:val="000000"/>
            </w:rPr>
          </w:pPr>
          <w:hyperlink w:anchor="_heading=h.nok5l1pkrya">
            <w:r w:rsidRPr="00FE18AF">
              <w:rPr>
                <w:rFonts w:eastAsia="Arial"/>
                <w:color w:val="000000"/>
              </w:rPr>
              <w:t>3.1 Standards of record keeping</w:t>
            </w:r>
            <w:r w:rsidRPr="00FE18AF">
              <w:rPr>
                <w:rFonts w:eastAsia="Arial"/>
                <w:color w:val="000000"/>
              </w:rPr>
              <w:tab/>
              <w:t>7</w:t>
            </w:r>
          </w:hyperlink>
        </w:p>
        <w:p w14:paraId="0000001A" w14:textId="77777777" w:rsidR="009979E7" w:rsidRPr="00FE18AF" w:rsidRDefault="00440FAD">
          <w:pPr>
            <w:widowControl w:val="0"/>
            <w:tabs>
              <w:tab w:val="right" w:pos="12000"/>
            </w:tabs>
            <w:spacing w:line="360" w:lineRule="auto"/>
            <w:ind w:left="360"/>
            <w:rPr>
              <w:color w:val="000000"/>
            </w:rPr>
          </w:pPr>
          <w:hyperlink w:anchor="_heading=h.44kt7ik12n7t">
            <w:r w:rsidRPr="00FE18AF">
              <w:rPr>
                <w:rFonts w:eastAsia="Arial"/>
                <w:color w:val="000000"/>
              </w:rPr>
              <w:t>3.2 Legal framework: Data Protection Act 2018 and UK GDPR</w:t>
            </w:r>
            <w:r w:rsidRPr="00FE18AF">
              <w:rPr>
                <w:rFonts w:eastAsia="Arial"/>
                <w:color w:val="000000"/>
              </w:rPr>
              <w:tab/>
              <w:t>7</w:t>
            </w:r>
          </w:hyperlink>
        </w:p>
        <w:p w14:paraId="0000001B" w14:textId="77777777" w:rsidR="009979E7" w:rsidRPr="00FE18AF" w:rsidRDefault="00440FAD">
          <w:pPr>
            <w:widowControl w:val="0"/>
            <w:tabs>
              <w:tab w:val="right" w:pos="12000"/>
            </w:tabs>
            <w:spacing w:line="360" w:lineRule="auto"/>
            <w:ind w:left="360"/>
            <w:rPr>
              <w:color w:val="000000"/>
            </w:rPr>
          </w:pPr>
          <w:hyperlink w:anchor="_heading=h.q5wy7cy7ntua">
            <w:r w:rsidRPr="00FE18AF">
              <w:rPr>
                <w:rFonts w:eastAsia="Arial"/>
                <w:color w:val="000000"/>
              </w:rPr>
              <w:t>3.3 Application to Mrs Mann’s care</w:t>
            </w:r>
            <w:r w:rsidRPr="00FE18AF">
              <w:rPr>
                <w:rFonts w:eastAsia="Arial"/>
                <w:color w:val="000000"/>
              </w:rPr>
              <w:tab/>
              <w:t>8</w:t>
            </w:r>
          </w:hyperlink>
        </w:p>
        <w:p w14:paraId="0000001C" w14:textId="77777777" w:rsidR="009979E7" w:rsidRPr="00FE18AF" w:rsidRDefault="00440FAD">
          <w:pPr>
            <w:widowControl w:val="0"/>
            <w:tabs>
              <w:tab w:val="right" w:pos="12000"/>
            </w:tabs>
            <w:spacing w:line="360" w:lineRule="auto"/>
            <w:rPr>
              <w:b/>
              <w:bCs/>
              <w:color w:val="000000"/>
            </w:rPr>
          </w:pPr>
          <w:hyperlink w:anchor="_heading=h.x596zifpwfb">
            <w:r w:rsidRPr="00FE18AF">
              <w:rPr>
                <w:rFonts w:eastAsia="Arial"/>
                <w:b/>
                <w:bCs/>
                <w:color w:val="000000"/>
              </w:rPr>
              <w:t>4.0 Collaborative Working Among Professionals</w:t>
            </w:r>
            <w:r w:rsidRPr="00FE18AF">
              <w:rPr>
                <w:rFonts w:eastAsia="Arial"/>
                <w:b/>
                <w:bCs/>
                <w:color w:val="000000"/>
              </w:rPr>
              <w:tab/>
              <w:t>8</w:t>
            </w:r>
          </w:hyperlink>
        </w:p>
        <w:p w14:paraId="0000001D" w14:textId="77777777" w:rsidR="009979E7" w:rsidRPr="00FE18AF" w:rsidRDefault="00440FAD">
          <w:pPr>
            <w:widowControl w:val="0"/>
            <w:tabs>
              <w:tab w:val="right" w:pos="12000"/>
            </w:tabs>
            <w:spacing w:line="360" w:lineRule="auto"/>
            <w:ind w:left="360"/>
            <w:rPr>
              <w:color w:val="000000"/>
            </w:rPr>
          </w:pPr>
          <w:hyperlink w:anchor="_heading=h.njju86vixibv">
            <w:r w:rsidRPr="00FE18AF">
              <w:rPr>
                <w:rFonts w:eastAsia="Arial"/>
                <w:color w:val="000000"/>
              </w:rPr>
              <w:t>4.1 Approaches to effective collaboration</w:t>
            </w:r>
            <w:r w:rsidRPr="00FE18AF">
              <w:rPr>
                <w:rFonts w:eastAsia="Arial"/>
                <w:color w:val="000000"/>
              </w:rPr>
              <w:tab/>
              <w:t>9</w:t>
            </w:r>
          </w:hyperlink>
        </w:p>
        <w:p w14:paraId="0000001E" w14:textId="77777777" w:rsidR="009979E7" w:rsidRPr="00FE18AF" w:rsidRDefault="00440FAD">
          <w:pPr>
            <w:widowControl w:val="0"/>
            <w:tabs>
              <w:tab w:val="right" w:pos="12000"/>
            </w:tabs>
            <w:spacing w:line="360" w:lineRule="auto"/>
            <w:ind w:left="360"/>
            <w:rPr>
              <w:color w:val="000000"/>
            </w:rPr>
          </w:pPr>
          <w:hyperlink w:anchor="_heading=h.736uibivt945">
            <w:r w:rsidRPr="00FE18AF">
              <w:rPr>
                <w:rFonts w:eastAsia="Arial"/>
                <w:color w:val="000000"/>
              </w:rPr>
              <w:t>4.2 Challenges and solutio</w:t>
            </w:r>
            <w:r w:rsidRPr="00FE18AF">
              <w:rPr>
                <w:rFonts w:eastAsia="Arial"/>
                <w:color w:val="000000"/>
              </w:rPr>
              <w:t>ns</w:t>
            </w:r>
            <w:r w:rsidRPr="00FE18AF">
              <w:rPr>
                <w:rFonts w:eastAsia="Arial"/>
                <w:color w:val="000000"/>
              </w:rPr>
              <w:tab/>
              <w:t>9</w:t>
            </w:r>
          </w:hyperlink>
        </w:p>
        <w:p w14:paraId="0000001F" w14:textId="77777777" w:rsidR="009979E7" w:rsidRPr="00FE18AF" w:rsidRDefault="00440FAD">
          <w:pPr>
            <w:widowControl w:val="0"/>
            <w:tabs>
              <w:tab w:val="right" w:pos="12000"/>
            </w:tabs>
            <w:spacing w:line="360" w:lineRule="auto"/>
            <w:rPr>
              <w:b/>
              <w:bCs/>
              <w:color w:val="000000"/>
            </w:rPr>
          </w:pPr>
          <w:hyperlink w:anchor="_heading=h.4t27x760evjz">
            <w:r w:rsidRPr="00FE18AF">
              <w:rPr>
                <w:rFonts w:eastAsia="Arial"/>
                <w:b/>
                <w:bCs/>
                <w:color w:val="000000"/>
              </w:rPr>
              <w:t>5.0 Conclusion</w:t>
            </w:r>
            <w:r w:rsidRPr="00FE18AF">
              <w:rPr>
                <w:rFonts w:eastAsia="Arial"/>
                <w:b/>
                <w:bCs/>
                <w:color w:val="000000"/>
              </w:rPr>
              <w:tab/>
              <w:t>9</w:t>
            </w:r>
          </w:hyperlink>
        </w:p>
        <w:p w14:paraId="00000020" w14:textId="77777777" w:rsidR="009979E7" w:rsidRPr="00FE18AF" w:rsidRDefault="00440FAD">
          <w:pPr>
            <w:widowControl w:val="0"/>
            <w:tabs>
              <w:tab w:val="right" w:pos="12000"/>
            </w:tabs>
            <w:spacing w:line="360" w:lineRule="auto"/>
            <w:rPr>
              <w:b/>
              <w:bCs/>
              <w:color w:val="000000"/>
            </w:rPr>
          </w:pPr>
          <w:hyperlink w:anchor="_heading=h.qjnhzxa5azrk">
            <w:r w:rsidRPr="00FE18AF">
              <w:rPr>
                <w:rFonts w:eastAsia="Arial"/>
                <w:b/>
                <w:bCs/>
                <w:color w:val="000000"/>
              </w:rPr>
              <w:t>6.0 Reference List</w:t>
            </w:r>
            <w:r w:rsidRPr="00FE18AF">
              <w:rPr>
                <w:rFonts w:eastAsia="Arial"/>
                <w:b/>
                <w:bCs/>
                <w:color w:val="000000"/>
              </w:rPr>
              <w:tab/>
              <w:t>11</w:t>
            </w:r>
          </w:hyperlink>
          <w:r w:rsidRPr="00FE18AF">
            <w:fldChar w:fldCharType="end"/>
          </w:r>
        </w:p>
      </w:sdtContent>
    </w:sdt>
    <w:p w14:paraId="00000021" w14:textId="77777777" w:rsidR="009979E7" w:rsidRPr="00FE18AF" w:rsidRDefault="009979E7">
      <w:pPr>
        <w:spacing w:line="360" w:lineRule="auto"/>
        <w:rPr>
          <w:sz w:val="24"/>
          <w:szCs w:val="24"/>
        </w:rPr>
      </w:pPr>
    </w:p>
    <w:p w14:paraId="00000022" w14:textId="77777777" w:rsidR="009979E7" w:rsidRPr="00FE18AF" w:rsidRDefault="00440FAD">
      <w:pPr>
        <w:spacing w:line="360" w:lineRule="auto"/>
        <w:jc w:val="center"/>
        <w:rPr>
          <w:b/>
          <w:bCs/>
          <w:sz w:val="28"/>
          <w:szCs w:val="28"/>
        </w:rPr>
      </w:pPr>
      <w:r w:rsidRPr="00FE18AF">
        <w:br w:type="page"/>
      </w:r>
    </w:p>
    <w:p w14:paraId="00000023" w14:textId="77777777" w:rsidR="009979E7" w:rsidRDefault="00440FAD">
      <w:pPr>
        <w:spacing w:line="360" w:lineRule="auto"/>
        <w:jc w:val="center"/>
        <w:rPr>
          <w:b/>
          <w:bCs/>
          <w:sz w:val="28"/>
          <w:szCs w:val="28"/>
        </w:rPr>
      </w:pPr>
      <w:r>
        <w:rPr>
          <w:b/>
          <w:bCs/>
          <w:sz w:val="28"/>
          <w:szCs w:val="28"/>
        </w:rPr>
        <w:lastRenderedPageBreak/>
        <w:t>LIST OF FIGURES</w:t>
      </w:r>
    </w:p>
    <w:sdt>
      <w:sdtPr>
        <w:id w:val="1952158092"/>
        <w:docPartObj>
          <w:docPartGallery w:val="Table of Contents"/>
          <w:docPartUnique/>
        </w:docPartObj>
      </w:sdtPr>
      <w:sdtEndPr/>
      <w:sdtContent>
        <w:p w14:paraId="00000024" w14:textId="77777777" w:rsidR="009979E7" w:rsidRDefault="00440FAD">
          <w:pPr>
            <w:widowControl w:val="0"/>
            <w:tabs>
              <w:tab w:val="right" w:pos="12000"/>
            </w:tabs>
            <w:spacing w:before="60" w:line="240" w:lineRule="auto"/>
            <w:rPr>
              <w:color w:val="000000"/>
            </w:rPr>
          </w:pPr>
          <w:r>
            <w:fldChar w:fldCharType="begin"/>
          </w:r>
          <w:r>
            <w:instrText xml:space="preserve"> TOC \h \u \z \t "Heading 1,1,Heading 2,2,Heading 3,3,Heading 4,4,Heading 5,5,Heading 6,6,"</w:instrText>
          </w:r>
          <w:r>
            <w:fldChar w:fldCharType="separate"/>
          </w:r>
          <w:hyperlink w:anchor="_heading=h.qsehdjoq9y7x">
            <w:r>
              <w:rPr>
                <w:color w:val="000000"/>
              </w:rPr>
              <w:t>Fig 1: Effective Communication</w:t>
            </w:r>
            <w:r>
              <w:rPr>
                <w:color w:val="000000"/>
              </w:rPr>
              <w:tab/>
            </w:r>
          </w:hyperlink>
          <w:r>
            <w:t>5</w:t>
          </w:r>
        </w:p>
        <w:p w14:paraId="00000025" w14:textId="77777777" w:rsidR="009979E7" w:rsidRDefault="00440FAD">
          <w:pPr>
            <w:widowControl w:val="0"/>
            <w:tabs>
              <w:tab w:val="right" w:pos="12000"/>
            </w:tabs>
            <w:spacing w:before="60" w:line="240" w:lineRule="auto"/>
            <w:rPr>
              <w:color w:val="000000"/>
            </w:rPr>
          </w:pPr>
          <w:hyperlink w:anchor="_heading=h.1qvhz5egrx88">
            <w:r>
              <w:rPr>
                <w:color w:val="000000"/>
              </w:rPr>
              <w:t xml:space="preserve">Fig </w:t>
            </w:r>
          </w:hyperlink>
          <w:hyperlink w:anchor="_heading=h.1qvhz5egrx88">
            <w:r>
              <w:t>2</w:t>
            </w:r>
          </w:hyperlink>
          <w:hyperlink w:anchor="_heading=h.1qvhz5egrx88">
            <w:r>
              <w:rPr>
                <w:color w:val="000000"/>
              </w:rPr>
              <w:t>: Equality Act</w:t>
            </w:r>
            <w:r>
              <w:rPr>
                <w:color w:val="000000"/>
              </w:rPr>
              <w:tab/>
            </w:r>
          </w:hyperlink>
          <w:r>
            <w:t>6</w:t>
          </w:r>
        </w:p>
        <w:p w14:paraId="00000026" w14:textId="77777777" w:rsidR="009979E7" w:rsidRDefault="00440FAD">
          <w:pPr>
            <w:widowControl w:val="0"/>
            <w:tabs>
              <w:tab w:val="right" w:pos="12000"/>
            </w:tabs>
            <w:spacing w:before="60" w:line="240" w:lineRule="auto"/>
            <w:rPr>
              <w:color w:val="000000"/>
            </w:rPr>
          </w:pPr>
          <w:hyperlink w:anchor="_heading=h.7e94ohemfpwd">
            <w:r>
              <w:rPr>
                <w:color w:val="000000"/>
              </w:rPr>
              <w:t xml:space="preserve">Fig </w:t>
            </w:r>
          </w:hyperlink>
          <w:hyperlink w:anchor="_heading=h.7e94ohemfpwd">
            <w:r>
              <w:t>3</w:t>
            </w:r>
          </w:hyperlink>
          <w:hyperlink w:anchor="_heading=h.7e94ohemfpwd">
            <w:r>
              <w:rPr>
                <w:color w:val="000000"/>
              </w:rPr>
              <w:t>: Data Protection Act 2018 and UK GDPR</w:t>
            </w:r>
            <w:r>
              <w:rPr>
                <w:color w:val="000000"/>
              </w:rPr>
              <w:tab/>
            </w:r>
          </w:hyperlink>
          <w:r>
            <w:t>7</w:t>
          </w:r>
        </w:p>
        <w:p w14:paraId="00000027" w14:textId="77777777" w:rsidR="009979E7" w:rsidRDefault="00440FAD">
          <w:pPr>
            <w:widowControl w:val="0"/>
            <w:tabs>
              <w:tab w:val="right" w:pos="12000"/>
            </w:tabs>
            <w:spacing w:before="60" w:line="240" w:lineRule="auto"/>
            <w:rPr>
              <w:color w:val="000000"/>
            </w:rPr>
          </w:pPr>
          <w:hyperlink w:anchor="_heading=h.3xhuk43ka2yk">
            <w:r>
              <w:rPr>
                <w:color w:val="000000"/>
              </w:rPr>
              <w:t xml:space="preserve">Fig </w:t>
            </w:r>
          </w:hyperlink>
          <w:hyperlink w:anchor="_heading=h.3xhuk43ka2yk">
            <w:r>
              <w:t>4</w:t>
            </w:r>
          </w:hyperlink>
          <w:hyperlink w:anchor="_heading=h.3xhuk43ka2yk">
            <w:r>
              <w:rPr>
                <w:color w:val="000000"/>
              </w:rPr>
              <w:t>: Effective collaboration</w:t>
            </w:r>
            <w:r>
              <w:rPr>
                <w:color w:val="000000"/>
              </w:rPr>
              <w:tab/>
            </w:r>
          </w:hyperlink>
          <w:r>
            <w:t>9</w:t>
          </w:r>
          <w:r>
            <w:fldChar w:fldCharType="end"/>
          </w:r>
        </w:p>
      </w:sdtContent>
    </w:sdt>
    <w:p w14:paraId="00000028" w14:textId="77777777" w:rsidR="009979E7" w:rsidRDefault="009979E7">
      <w:pPr>
        <w:spacing w:line="360" w:lineRule="auto"/>
        <w:rPr>
          <w:sz w:val="24"/>
          <w:szCs w:val="24"/>
        </w:rPr>
      </w:pPr>
    </w:p>
    <w:p w14:paraId="00000029" w14:textId="77777777" w:rsidR="009979E7" w:rsidRDefault="009979E7">
      <w:pPr>
        <w:spacing w:line="360" w:lineRule="auto"/>
        <w:rPr>
          <w:b/>
          <w:bCs/>
          <w:sz w:val="28"/>
          <w:szCs w:val="28"/>
        </w:rPr>
      </w:pPr>
    </w:p>
    <w:p w14:paraId="0000002A" w14:textId="77777777" w:rsidR="009979E7" w:rsidRDefault="00440FAD">
      <w:pPr>
        <w:spacing w:line="360" w:lineRule="auto"/>
        <w:rPr>
          <w:b/>
          <w:bCs/>
          <w:sz w:val="28"/>
          <w:szCs w:val="28"/>
        </w:rPr>
      </w:pPr>
      <w:r>
        <w:br w:type="page"/>
      </w:r>
    </w:p>
    <w:p w14:paraId="0000002B" w14:textId="77777777" w:rsidR="009979E7" w:rsidRDefault="00440FAD">
      <w:pPr>
        <w:pStyle w:val="Heading1"/>
        <w:keepNext w:val="0"/>
        <w:keepLines w:val="0"/>
        <w:spacing w:before="0" w:after="0" w:line="360" w:lineRule="auto"/>
        <w:jc w:val="both"/>
        <w:rPr>
          <w:b/>
          <w:bCs/>
          <w:sz w:val="28"/>
          <w:szCs w:val="28"/>
        </w:rPr>
      </w:pPr>
      <w:bookmarkStart w:id="0" w:name="_heading=h.62udqcae06au" w:colFirst="0" w:colLast="0"/>
      <w:bookmarkEnd w:id="0"/>
      <w:r>
        <w:rPr>
          <w:b/>
          <w:bCs/>
          <w:sz w:val="28"/>
          <w:szCs w:val="28"/>
        </w:rPr>
        <w:lastRenderedPageBreak/>
        <w:t xml:space="preserve">1.0 Introduction </w:t>
      </w:r>
    </w:p>
    <w:p w14:paraId="0000002C" w14:textId="77777777" w:rsidR="009979E7" w:rsidRDefault="00440FAD">
      <w:pPr>
        <w:spacing w:line="360" w:lineRule="auto"/>
        <w:jc w:val="both"/>
      </w:pPr>
      <w:sdt>
        <w:sdtPr>
          <w:tag w:val="goog_rdk_0"/>
          <w:id w:val="-1993263211"/>
        </w:sdtPr>
        <w:sdtEndPr/>
        <w:sdtContent/>
      </w:sdt>
      <w:r>
        <w:t>The client is 72 years-old Mrs. Mann, who is recently discharged from the hospital after undergoing hip-replacement surgery. She l</w:t>
      </w:r>
      <w:r>
        <w:t>ives alone and gets domiciliary services two times a day because of mobility and personal needs. Her native language is Urdu and she has very few English-speaking skills, so she commonly uses her daughter to translate. She has a multidisciplinary care prov</w:t>
      </w:r>
      <w:r>
        <w:t xml:space="preserve">ider consisting of her GP, community physiotherapist, and staff of her care agency. </w:t>
      </w:r>
    </w:p>
    <w:p w14:paraId="0000002D" w14:textId="77777777" w:rsidR="009979E7" w:rsidRDefault="00440FAD">
      <w:pPr>
        <w:spacing w:line="360" w:lineRule="auto"/>
        <w:jc w:val="both"/>
      </w:pPr>
      <w:r>
        <w:t>A self-assessment revealed a lack of uniformity in record-keeping and slow change in medication because of ineffective communication. This case demonstrates the importance</w:t>
      </w:r>
      <w:r>
        <w:t xml:space="preserve"> of communication, proper documentation, and interagency coordination in the provision of safe and effective care. The case study will examine effective communications and the Equality Act </w:t>
      </w:r>
      <w:proofErr w:type="gramStart"/>
      <w:r>
        <w:t>2010,  administrative</w:t>
      </w:r>
      <w:proofErr w:type="gramEnd"/>
      <w:r>
        <w:t xml:space="preserve"> competence, record keeping, and legal obligat</w:t>
      </w:r>
      <w:r>
        <w:t>ions in the Data Protection Act 2018 and collaborative working across agencies, which is supported by policy and scholarly evidence.</w:t>
      </w:r>
    </w:p>
    <w:p w14:paraId="0000002E" w14:textId="77777777" w:rsidR="009979E7" w:rsidRDefault="00440FAD">
      <w:pPr>
        <w:spacing w:line="360" w:lineRule="auto"/>
        <w:jc w:val="center"/>
        <w:rPr>
          <w:color w:val="111111"/>
          <w:sz w:val="24"/>
          <w:szCs w:val="24"/>
        </w:rPr>
      </w:pPr>
      <w:r>
        <w:rPr>
          <w:noProof/>
          <w:color w:val="111111"/>
          <w:sz w:val="24"/>
          <w:szCs w:val="24"/>
        </w:rPr>
        <w:drawing>
          <wp:inline distT="114300" distB="114300" distL="114300" distR="114300" wp14:editId="6AE1AFC1">
            <wp:extent cx="2552700" cy="38481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552929" cy="3848445"/>
                    </a:xfrm>
                    <a:prstGeom prst="rect">
                      <a:avLst/>
                    </a:prstGeom>
                    <a:ln/>
                  </pic:spPr>
                </pic:pic>
              </a:graphicData>
            </a:graphic>
          </wp:inline>
        </w:drawing>
      </w:r>
    </w:p>
    <w:p w14:paraId="0000002F" w14:textId="77777777" w:rsidR="009979E7" w:rsidRDefault="00440FAD">
      <w:pPr>
        <w:pStyle w:val="Heading3"/>
        <w:spacing w:line="360" w:lineRule="auto"/>
        <w:jc w:val="center"/>
        <w:rPr>
          <w:b/>
          <w:bCs/>
          <w:color w:val="000000"/>
          <w:sz w:val="22"/>
          <w:szCs w:val="22"/>
        </w:rPr>
      </w:pPr>
      <w:bookmarkStart w:id="1" w:name="_heading=h.qsehdjoq9y7x" w:colFirst="0" w:colLast="0"/>
      <w:bookmarkEnd w:id="1"/>
      <w:r>
        <w:rPr>
          <w:b/>
          <w:bCs/>
          <w:color w:val="000000"/>
          <w:sz w:val="22"/>
          <w:szCs w:val="22"/>
        </w:rPr>
        <w:t xml:space="preserve">Fig 1: Effective Communication </w:t>
      </w:r>
    </w:p>
    <w:p w14:paraId="00000030" w14:textId="77777777" w:rsidR="009979E7" w:rsidRDefault="00440FAD">
      <w:pPr>
        <w:spacing w:line="360" w:lineRule="auto"/>
        <w:jc w:val="center"/>
        <w:rPr>
          <w:color w:val="111111"/>
        </w:rPr>
      </w:pPr>
      <w:r>
        <w:rPr>
          <w:color w:val="111111"/>
        </w:rPr>
        <w:t xml:space="preserve">(Source: </w:t>
      </w:r>
      <w:proofErr w:type="spellStart"/>
      <w:r>
        <w:rPr>
          <w:color w:val="111111"/>
        </w:rPr>
        <w:t>symondsresearch</w:t>
      </w:r>
      <w:proofErr w:type="spellEnd"/>
      <w:r>
        <w:rPr>
          <w:color w:val="111111"/>
        </w:rPr>
        <w:t>, 2024)</w:t>
      </w:r>
    </w:p>
    <w:p w14:paraId="00000031" w14:textId="77777777" w:rsidR="009979E7" w:rsidRDefault="00440FAD">
      <w:pPr>
        <w:pStyle w:val="Heading1"/>
        <w:keepNext w:val="0"/>
        <w:keepLines w:val="0"/>
        <w:spacing w:before="0" w:after="0" w:line="360" w:lineRule="auto"/>
        <w:jc w:val="both"/>
        <w:rPr>
          <w:b/>
          <w:bCs/>
          <w:sz w:val="28"/>
          <w:szCs w:val="28"/>
        </w:rPr>
      </w:pPr>
      <w:bookmarkStart w:id="2" w:name="_heading=h.pd7usr2d4lot" w:colFirst="0" w:colLast="0"/>
      <w:bookmarkEnd w:id="2"/>
      <w:r>
        <w:rPr>
          <w:b/>
          <w:bCs/>
          <w:sz w:val="28"/>
          <w:szCs w:val="28"/>
        </w:rPr>
        <w:lastRenderedPageBreak/>
        <w:t xml:space="preserve">2.0 Effective Communication within Mrs Mann’s Care </w:t>
      </w:r>
    </w:p>
    <w:p w14:paraId="00000032" w14:textId="77777777" w:rsidR="009979E7" w:rsidRDefault="00440FAD">
      <w:pPr>
        <w:spacing w:line="360" w:lineRule="auto"/>
        <w:jc w:val="both"/>
      </w:pPr>
      <w:r>
        <w:t>Safety and person-centered care are built on the pillar of effective communication. It also forms the basis of trust, supports informed consent, and continuity (NHS England, 2022). The language barriers in the case of Mrs Mann, cultural differences, and th</w:t>
      </w:r>
      <w:r>
        <w:t>e number of professionals involved in her situation are some of the challenges faced in communicating. Her low level of English and use of her daughter as an interpreter makes the chance of misunderstanding especially on medication and mobility advice high</w:t>
      </w:r>
      <w:r>
        <w:t xml:space="preserve">. The lack of medication adjustment proves the fact that communication breakdowns can have a direct negative impact on safety and health (McFadden </w:t>
      </w:r>
      <w:r>
        <w:rPr>
          <w:i/>
          <w:iCs/>
        </w:rPr>
        <w:t>et al</w:t>
      </w:r>
      <w:r>
        <w:t>., 2021).</w:t>
      </w:r>
    </w:p>
    <w:p w14:paraId="00000033" w14:textId="77777777" w:rsidR="009979E7" w:rsidRDefault="00440FAD">
      <w:pPr>
        <w:pStyle w:val="Heading2"/>
        <w:keepNext w:val="0"/>
        <w:keepLines w:val="0"/>
        <w:spacing w:before="0" w:after="0" w:line="360" w:lineRule="auto"/>
        <w:jc w:val="both"/>
        <w:rPr>
          <w:b/>
          <w:bCs/>
          <w:sz w:val="26"/>
          <w:szCs w:val="26"/>
        </w:rPr>
      </w:pPr>
      <w:bookmarkStart w:id="3" w:name="_heading=h.8qzsix794qgq" w:colFirst="0" w:colLast="0"/>
      <w:bookmarkEnd w:id="3"/>
      <w:r>
        <w:rPr>
          <w:b/>
          <w:bCs/>
          <w:sz w:val="26"/>
          <w:szCs w:val="26"/>
        </w:rPr>
        <w:t>2.1 Principles of effective communication</w:t>
      </w:r>
    </w:p>
    <w:p w14:paraId="00000034" w14:textId="221244C7" w:rsidR="009979E7" w:rsidRDefault="00440FAD">
      <w:pPr>
        <w:spacing w:line="360" w:lineRule="auto"/>
        <w:jc w:val="both"/>
        <w:rPr>
          <w:b/>
          <w:bCs/>
          <w:sz w:val="26"/>
          <w:szCs w:val="26"/>
        </w:rPr>
      </w:pPr>
      <w:r>
        <w:t>The health and social care professionals are require</w:t>
      </w:r>
      <w:r>
        <w:t xml:space="preserve">d to communicate with </w:t>
      </w:r>
      <w:proofErr w:type="spellStart"/>
      <w:r>
        <w:t>Mrs</w:t>
      </w:r>
      <w:proofErr w:type="spellEnd"/>
      <w:r>
        <w:t xml:space="preserve"> Mann and her family in a manner that respects, upholds, is accessible, and confidential (SCIE, 2023). The staff are to call </w:t>
      </w:r>
      <w:proofErr w:type="spellStart"/>
      <w:r>
        <w:t>Mrs</w:t>
      </w:r>
      <w:proofErr w:type="spellEnd"/>
      <w:r>
        <w:t xml:space="preserve"> Mann by her name and get professional interpreters in case of necessity, as well as ensure that she ag</w:t>
      </w:r>
      <w:r>
        <w:t>rees to have her daughter participate. Communication should be done in a simple manner, through plain English and where necessary translated materials. According to the Equality Act 2010, the providers are required to avoid discrimination and make reasonab</w:t>
      </w:r>
      <w:r>
        <w:t xml:space="preserve">le adjustments regarding the characteristics that are covered by the law, including age, race, and disability (Equality and Human Rights Commission, 2020). In the case of </w:t>
      </w:r>
      <w:proofErr w:type="spellStart"/>
      <w:r>
        <w:t>Mrs</w:t>
      </w:r>
      <w:proofErr w:type="spellEnd"/>
      <w:r>
        <w:t xml:space="preserve"> Mann, the changes involve availability of interpreters and information in the Urd</w:t>
      </w:r>
      <w:r>
        <w:t>u language. The Accessible Information Standard (AIS) that is a requirement by NHS England implies that identification, recording, sharing, and meeting communication needs should be provided to provide equitable and perso</w:t>
      </w:r>
      <w:r>
        <w:t>n</w:t>
      </w:r>
      <w:r w:rsidR="00FE18AF">
        <w:rPr>
          <w:lang w:val="en-US"/>
        </w:rPr>
        <w:t xml:space="preserve"> </w:t>
      </w:r>
      <w:r>
        <w:t>centred care (NHS England, 2020).</w:t>
      </w:r>
    </w:p>
    <w:p w14:paraId="00000035" w14:textId="44B78BC7" w:rsidR="009979E7" w:rsidRDefault="00440FAD">
      <w:pPr>
        <w:spacing w:line="360" w:lineRule="auto"/>
        <w:jc w:val="both"/>
      </w:pPr>
      <w:r>
        <w:t xml:space="preserve">In order to </w:t>
      </w:r>
      <w:proofErr w:type="spellStart"/>
      <w:r>
        <w:t>organise</w:t>
      </w:r>
      <w:proofErr w:type="spellEnd"/>
      <w:r>
        <w:t xml:space="preserve"> the communication with Mrs. Mann and her family, the SOLER model of communication offers a viable model of active listening and relationship interaction (Department of Health and Social Care, 2021). The model recommends an open, perso</w:t>
      </w:r>
      <w:r>
        <w:t>n</w:t>
      </w:r>
      <w:r w:rsidR="00FE18AF">
        <w:rPr>
          <w:lang w:val="en-US"/>
        </w:rPr>
        <w:t xml:space="preserve"> </w:t>
      </w:r>
      <w:r>
        <w:t>centred position towards the individual: Sitting directly in front of the person, Open posture, Low forward to demonstrate interest, Eye contact (adjusted to respect, but conforming to cultural norms), and Relaxing to make people feel less nervous (Turpi</w:t>
      </w:r>
      <w:r>
        <w:t xml:space="preserve">n </w:t>
      </w:r>
      <w:r>
        <w:rPr>
          <w:i/>
          <w:iCs/>
        </w:rPr>
        <w:t xml:space="preserve">et al., </w:t>
      </w:r>
      <w:r>
        <w:t xml:space="preserve">2021). In the case of </w:t>
      </w:r>
      <w:proofErr w:type="spellStart"/>
      <w:r>
        <w:t>Mrs</w:t>
      </w:r>
      <w:proofErr w:type="spellEnd"/>
      <w:r>
        <w:t xml:space="preserve"> Mann who might feel weak after surgery and communication difficulties, this will help create a feeling of trust and reassurance. SOLER is also useful when interpreters are involved; active listening, empathy, and non-ver</w:t>
      </w:r>
      <w:r>
        <w:t xml:space="preserve">bal communication are useful in making sure the service user feels acknowledged and respected despite the flow of discussions being through a third party (McFadden </w:t>
      </w:r>
      <w:r>
        <w:rPr>
          <w:i/>
          <w:iCs/>
        </w:rPr>
        <w:t>et al</w:t>
      </w:r>
      <w:r>
        <w:t>., 2021).</w:t>
      </w:r>
    </w:p>
    <w:p w14:paraId="00000036" w14:textId="77777777" w:rsidR="009979E7" w:rsidRDefault="00440FAD">
      <w:pPr>
        <w:pStyle w:val="Heading2"/>
        <w:keepNext w:val="0"/>
        <w:keepLines w:val="0"/>
        <w:spacing w:before="0" w:after="0" w:line="360" w:lineRule="auto"/>
        <w:jc w:val="both"/>
        <w:rPr>
          <w:b/>
          <w:bCs/>
          <w:sz w:val="26"/>
          <w:szCs w:val="26"/>
        </w:rPr>
      </w:pPr>
      <w:bookmarkStart w:id="4" w:name="_heading=h.5do02cle5hvr" w:colFirst="0" w:colLast="0"/>
      <w:bookmarkEnd w:id="4"/>
      <w:r>
        <w:rPr>
          <w:b/>
          <w:bCs/>
          <w:sz w:val="26"/>
          <w:szCs w:val="26"/>
        </w:rPr>
        <w:lastRenderedPageBreak/>
        <w:t>2.2 Applying the Equality Act and model</w:t>
      </w:r>
    </w:p>
    <w:p w14:paraId="00000037" w14:textId="77777777" w:rsidR="009979E7" w:rsidRDefault="00440FAD">
      <w:pPr>
        <w:spacing w:line="360" w:lineRule="auto"/>
        <w:jc w:val="both"/>
      </w:pPr>
      <w:r>
        <w:t>Integrating the Equality Act 2010 leg</w:t>
      </w:r>
      <w:r>
        <w:t xml:space="preserve">al principles of the Transactional Model guarantees the process and equity. Every contact must be open, participatory and language-sensitive. Staff would fulfil the legal requirements and minimise the likelihood of error by understanding the communication </w:t>
      </w:r>
      <w:r>
        <w:t xml:space="preserve">preferences of </w:t>
      </w:r>
      <w:proofErr w:type="spellStart"/>
      <w:r>
        <w:t>Mrs</w:t>
      </w:r>
      <w:proofErr w:type="spellEnd"/>
      <w:r>
        <w:t xml:space="preserve"> Mann (documented in care notes) and confirming that they have understood the message by asking a question (Equality and Human Rights Commission, 2020). The Equality Act, therefore, safeguards </w:t>
      </w:r>
      <w:proofErr w:type="spellStart"/>
      <w:r>
        <w:t>Mrs</w:t>
      </w:r>
      <w:proofErr w:type="spellEnd"/>
      <w:r>
        <w:t xml:space="preserve"> Mann against indirect discrimination, whe</w:t>
      </w:r>
      <w:r>
        <w:t>reas the communication model offers the framework of effective interpersonal communication. Incorporation of the two principles into daily care enhances the dignity, autonomy and patient safety.</w:t>
      </w:r>
    </w:p>
    <w:p w14:paraId="00000038" w14:textId="77777777" w:rsidR="009979E7" w:rsidRDefault="00440FAD">
      <w:pPr>
        <w:spacing w:line="360" w:lineRule="auto"/>
        <w:jc w:val="center"/>
        <w:rPr>
          <w:sz w:val="24"/>
          <w:szCs w:val="24"/>
        </w:rPr>
      </w:pPr>
      <w:r>
        <w:rPr>
          <w:noProof/>
          <w:sz w:val="24"/>
          <w:szCs w:val="24"/>
        </w:rPr>
        <w:drawing>
          <wp:inline distT="114300" distB="114300" distL="114300" distR="114300">
            <wp:extent cx="3916200" cy="3729714"/>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916200" cy="3729714"/>
                    </a:xfrm>
                    <a:prstGeom prst="rect">
                      <a:avLst/>
                    </a:prstGeom>
                    <a:ln/>
                  </pic:spPr>
                </pic:pic>
              </a:graphicData>
            </a:graphic>
          </wp:inline>
        </w:drawing>
      </w:r>
      <w:r>
        <w:rPr>
          <w:sz w:val="24"/>
          <w:szCs w:val="24"/>
        </w:rPr>
        <w:t xml:space="preserve">, </w:t>
      </w:r>
    </w:p>
    <w:p w14:paraId="00000039" w14:textId="77777777" w:rsidR="009979E7" w:rsidRDefault="00440FAD">
      <w:pPr>
        <w:pStyle w:val="Heading3"/>
        <w:spacing w:line="360" w:lineRule="auto"/>
        <w:jc w:val="center"/>
        <w:rPr>
          <w:b/>
          <w:bCs/>
          <w:color w:val="000000"/>
          <w:sz w:val="22"/>
          <w:szCs w:val="22"/>
        </w:rPr>
      </w:pPr>
      <w:bookmarkStart w:id="5" w:name="_heading=h.1qvhz5egrx88" w:colFirst="0" w:colLast="0"/>
      <w:bookmarkEnd w:id="5"/>
      <w:r>
        <w:rPr>
          <w:b/>
          <w:bCs/>
          <w:color w:val="000000"/>
          <w:sz w:val="22"/>
          <w:szCs w:val="22"/>
        </w:rPr>
        <w:t>Fig 2: Equality Act</w:t>
      </w:r>
    </w:p>
    <w:p w14:paraId="0000003A" w14:textId="77777777" w:rsidR="009979E7" w:rsidRDefault="00440FAD">
      <w:pPr>
        <w:spacing w:line="360" w:lineRule="auto"/>
        <w:jc w:val="center"/>
      </w:pPr>
      <w:r>
        <w:t>(Source: EGI, 2025)</w:t>
      </w:r>
    </w:p>
    <w:p w14:paraId="0000003B" w14:textId="77777777" w:rsidR="009979E7" w:rsidRDefault="00440FAD">
      <w:pPr>
        <w:pStyle w:val="Heading1"/>
        <w:keepNext w:val="0"/>
        <w:keepLines w:val="0"/>
        <w:spacing w:before="0" w:after="0" w:line="360" w:lineRule="auto"/>
        <w:jc w:val="both"/>
        <w:rPr>
          <w:b/>
          <w:bCs/>
          <w:sz w:val="28"/>
          <w:szCs w:val="28"/>
        </w:rPr>
      </w:pPr>
      <w:bookmarkStart w:id="6" w:name="_heading=h.qawy17y81ge1" w:colFirst="0" w:colLast="0"/>
      <w:bookmarkEnd w:id="6"/>
      <w:r>
        <w:rPr>
          <w:b/>
          <w:bCs/>
          <w:sz w:val="28"/>
          <w:szCs w:val="28"/>
        </w:rPr>
        <w:t>3.0 Administrativ</w:t>
      </w:r>
      <w:r>
        <w:rPr>
          <w:b/>
          <w:bCs/>
          <w:sz w:val="28"/>
          <w:szCs w:val="28"/>
        </w:rPr>
        <w:t xml:space="preserve">e Skills: Record Keeping and Data Protection </w:t>
      </w:r>
    </w:p>
    <w:p w14:paraId="0000003C" w14:textId="77777777" w:rsidR="009979E7" w:rsidRDefault="00440FAD">
      <w:pPr>
        <w:spacing w:line="360" w:lineRule="auto"/>
        <w:jc w:val="both"/>
      </w:pPr>
      <w:r>
        <w:t>Professional accountability and safe practice are based on accurate administration, especially in record keeping. Health and social care records represent a chronological description of care, which promotes cli</w:t>
      </w:r>
      <w:r>
        <w:t xml:space="preserve">nical decision-making, communication, and continuity (NMC, 2023). </w:t>
      </w:r>
      <w:r>
        <w:lastRenderedPageBreak/>
        <w:t>The instance of Mrs. Mann demonstrates that administrative negligence can pose a threat to health through inconsistency in documentation, which resulted in the delay of medication adjustment</w:t>
      </w:r>
      <w:r>
        <w:t>s.</w:t>
      </w:r>
    </w:p>
    <w:p w14:paraId="0000003D" w14:textId="77777777" w:rsidR="009979E7" w:rsidRDefault="00440FAD">
      <w:pPr>
        <w:pStyle w:val="Heading2"/>
        <w:keepNext w:val="0"/>
        <w:keepLines w:val="0"/>
        <w:spacing w:before="0" w:after="0" w:line="360" w:lineRule="auto"/>
        <w:jc w:val="both"/>
        <w:rPr>
          <w:b/>
          <w:bCs/>
          <w:sz w:val="26"/>
          <w:szCs w:val="26"/>
        </w:rPr>
      </w:pPr>
      <w:bookmarkStart w:id="7" w:name="_heading=h.nok5l1pkrya" w:colFirst="0" w:colLast="0"/>
      <w:bookmarkEnd w:id="7"/>
      <w:r>
        <w:rPr>
          <w:b/>
          <w:bCs/>
          <w:sz w:val="26"/>
          <w:szCs w:val="26"/>
        </w:rPr>
        <w:t>3.1 Standards of record keeping</w:t>
      </w:r>
    </w:p>
    <w:p w14:paraId="0000003E" w14:textId="2C4256A6" w:rsidR="009979E7" w:rsidRDefault="00440FAD">
      <w:pPr>
        <w:spacing w:line="360" w:lineRule="auto"/>
        <w:jc w:val="both"/>
        <w:rPr>
          <w:rFonts w:hint="eastAsia"/>
          <w:lang w:eastAsia="zh-CN"/>
        </w:rPr>
      </w:pPr>
      <w:r>
        <w:t xml:space="preserve">Effective record keeping involves factual, legible, dated, signed and contemporaneous entries. Assessments, care provided, decisions, and professional-to-professional communication should be recorded (RCN, 2021). Changes </w:t>
      </w:r>
      <w:r>
        <w:t>should be traced. This kind of records guarantees the transparency, accountability and continuity especially when several professionals are engag</w:t>
      </w:r>
      <w:r>
        <w:rPr>
          <w:sz w:val="24"/>
          <w:szCs w:val="24"/>
        </w:rPr>
        <w:t>ed</w:t>
      </w:r>
      <w:r>
        <w:t xml:space="preserve"> </w:t>
      </w:r>
      <w:sdt>
        <w:sdtPr>
          <w:tag w:val="goog_rdk_1"/>
          <w:id w:val="-1264014650"/>
        </w:sdtPr>
        <w:sdtEndPr/>
        <w:sdtContent/>
      </w:sdt>
      <w:r>
        <w:t xml:space="preserve">(e.g., General Practitioner, physiotherapist, and care agency). </w:t>
      </w:r>
      <w:r>
        <w:t>Both, the Health and Social Care Act 2012 and the Care Quality Commission (CQC) standards emphasize the importance of proper record keeping in order to deliver care safely and in an auditable manner (NHS England, 2022).</w:t>
      </w:r>
    </w:p>
    <w:p w14:paraId="0000003F" w14:textId="77777777" w:rsidR="009979E7" w:rsidRDefault="00440FAD">
      <w:pPr>
        <w:spacing w:line="360" w:lineRule="auto"/>
        <w:jc w:val="center"/>
        <w:rPr>
          <w:sz w:val="24"/>
          <w:szCs w:val="24"/>
        </w:rPr>
      </w:pPr>
      <w:r>
        <w:rPr>
          <w:noProof/>
          <w:sz w:val="24"/>
          <w:szCs w:val="24"/>
        </w:rPr>
        <w:drawing>
          <wp:inline distT="114300" distB="114300" distL="114300" distR="114300" wp14:editId="5B96C4E5">
            <wp:extent cx="3867150" cy="182880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868127" cy="1829262"/>
                    </a:xfrm>
                    <a:prstGeom prst="rect">
                      <a:avLst/>
                    </a:prstGeom>
                    <a:ln/>
                  </pic:spPr>
                </pic:pic>
              </a:graphicData>
            </a:graphic>
          </wp:inline>
        </w:drawing>
      </w:r>
    </w:p>
    <w:p w14:paraId="00000040" w14:textId="77777777" w:rsidR="009979E7" w:rsidRDefault="00440FAD">
      <w:pPr>
        <w:pStyle w:val="Heading3"/>
        <w:spacing w:line="360" w:lineRule="auto"/>
        <w:jc w:val="center"/>
        <w:rPr>
          <w:b/>
          <w:bCs/>
          <w:color w:val="000000"/>
          <w:sz w:val="22"/>
          <w:szCs w:val="22"/>
        </w:rPr>
      </w:pPr>
      <w:bookmarkStart w:id="8" w:name="_heading=h.7e94ohemfpwd" w:colFirst="0" w:colLast="0"/>
      <w:bookmarkEnd w:id="8"/>
      <w:r>
        <w:rPr>
          <w:b/>
          <w:bCs/>
          <w:color w:val="000000"/>
          <w:sz w:val="22"/>
          <w:szCs w:val="22"/>
        </w:rPr>
        <w:t>Fig 3: Data Protection Act 2018 an</w:t>
      </w:r>
      <w:r>
        <w:rPr>
          <w:b/>
          <w:bCs/>
          <w:color w:val="000000"/>
          <w:sz w:val="22"/>
          <w:szCs w:val="22"/>
        </w:rPr>
        <w:t>d UK GDPR</w:t>
      </w:r>
    </w:p>
    <w:p w14:paraId="00000041" w14:textId="77777777" w:rsidR="009979E7" w:rsidRDefault="00440FAD">
      <w:pPr>
        <w:spacing w:line="360" w:lineRule="auto"/>
        <w:jc w:val="center"/>
      </w:pPr>
      <w:r>
        <w:t>(Source: Saracens, 2025)</w:t>
      </w:r>
    </w:p>
    <w:p w14:paraId="00000042" w14:textId="77777777" w:rsidR="009979E7" w:rsidRDefault="00440FAD">
      <w:pPr>
        <w:pStyle w:val="Heading2"/>
        <w:keepNext w:val="0"/>
        <w:keepLines w:val="0"/>
        <w:spacing w:before="0" w:after="0" w:line="360" w:lineRule="auto"/>
        <w:jc w:val="both"/>
        <w:rPr>
          <w:b/>
          <w:bCs/>
          <w:sz w:val="26"/>
          <w:szCs w:val="26"/>
        </w:rPr>
      </w:pPr>
      <w:bookmarkStart w:id="9" w:name="_heading=h.44kt7ik12n7t" w:colFirst="0" w:colLast="0"/>
      <w:bookmarkEnd w:id="9"/>
      <w:r>
        <w:rPr>
          <w:b/>
          <w:bCs/>
          <w:sz w:val="26"/>
          <w:szCs w:val="26"/>
        </w:rPr>
        <w:t>3.2 Legal framework: Data Protection Act 2018 and UK GDPR</w:t>
      </w:r>
    </w:p>
    <w:p w14:paraId="00000043" w14:textId="77777777" w:rsidR="009979E7" w:rsidRDefault="00440FAD">
      <w:pPr>
        <w:spacing w:line="360" w:lineRule="auto"/>
        <w:jc w:val="both"/>
      </w:pPr>
      <w:r>
        <w:t>Data Protection Act 2018, which is consistent with the UK General Data Protection Regulation (GDPR), regulates the processing of personal and special category data</w:t>
      </w:r>
      <w:r>
        <w:t xml:space="preserve">, including health information (Information Commissioner's Office, 2021). In managing the data of service users, </w:t>
      </w:r>
      <w:proofErr w:type="spellStart"/>
      <w:r>
        <w:t>organisations</w:t>
      </w:r>
      <w:proofErr w:type="spellEnd"/>
      <w:r>
        <w:t xml:space="preserve"> in the health and social care sector assume the role of data controllers and make sure that they are lawful, just, and transparen</w:t>
      </w:r>
      <w:r>
        <w:t xml:space="preserve">t. Among the main principles of the article 5 of the UK GDPR is the lawfulness, fairness, and transparency; limitation of purposes; </w:t>
      </w:r>
      <w:proofErr w:type="spellStart"/>
      <w:r>
        <w:t>minimisation</w:t>
      </w:r>
      <w:proofErr w:type="spellEnd"/>
      <w:r>
        <w:t xml:space="preserve"> of data; accuracy; limitation of storage; integrity and confidentiality and accountability. These principles ha</w:t>
      </w:r>
      <w:r>
        <w:t xml:space="preserve">ve made sure that data is only processed for legitimate care </w:t>
      </w:r>
      <w:r>
        <w:lastRenderedPageBreak/>
        <w:t xml:space="preserve">purposes, the data is accurate and secure, retained only when necessary and that the </w:t>
      </w:r>
      <w:proofErr w:type="spellStart"/>
      <w:r>
        <w:t>organisations</w:t>
      </w:r>
      <w:proofErr w:type="spellEnd"/>
      <w:r>
        <w:t xml:space="preserve"> have shown compliance (ICO, 2021).</w:t>
      </w:r>
    </w:p>
    <w:p w14:paraId="00000044" w14:textId="77777777" w:rsidR="009979E7" w:rsidRDefault="00440FAD">
      <w:pPr>
        <w:pStyle w:val="Heading2"/>
        <w:keepNext w:val="0"/>
        <w:keepLines w:val="0"/>
        <w:spacing w:before="0" w:after="0" w:line="360" w:lineRule="auto"/>
        <w:jc w:val="both"/>
        <w:rPr>
          <w:b/>
          <w:bCs/>
          <w:sz w:val="26"/>
          <w:szCs w:val="26"/>
        </w:rPr>
      </w:pPr>
      <w:bookmarkStart w:id="10" w:name="_heading=h.q5wy7cy7ntua" w:colFirst="0" w:colLast="0"/>
      <w:bookmarkEnd w:id="10"/>
      <w:r>
        <w:rPr>
          <w:b/>
          <w:bCs/>
          <w:sz w:val="26"/>
          <w:szCs w:val="26"/>
        </w:rPr>
        <w:t xml:space="preserve">3.3 Application to </w:t>
      </w:r>
      <w:proofErr w:type="spellStart"/>
      <w:r>
        <w:rPr>
          <w:b/>
          <w:bCs/>
          <w:sz w:val="26"/>
          <w:szCs w:val="26"/>
        </w:rPr>
        <w:t>Mrs</w:t>
      </w:r>
      <w:proofErr w:type="spellEnd"/>
      <w:r>
        <w:rPr>
          <w:b/>
          <w:bCs/>
          <w:sz w:val="26"/>
          <w:szCs w:val="26"/>
        </w:rPr>
        <w:t xml:space="preserve"> Mann’s care</w:t>
      </w:r>
    </w:p>
    <w:p w14:paraId="00000045" w14:textId="77777777" w:rsidR="009979E7" w:rsidRDefault="00440FAD">
      <w:pPr>
        <w:spacing w:line="360" w:lineRule="auto"/>
        <w:jc w:val="both"/>
      </w:pPr>
      <w:r>
        <w:t xml:space="preserve">In the case of Mrs. Mann, her personal health data, including details of surgery, medication and record of care should be kept in a secure place and only shared with a licensed health worker such as her GP, physiotherapist, or her care staff. Inter-agency </w:t>
      </w:r>
      <w:r>
        <w:t xml:space="preserve">information dissemination is legal and justifiable to aid in health or social care, and its implementation should preferably be explicit (SCIE, 2022). The Caldicott Principles </w:t>
      </w:r>
      <w:sdt>
        <w:sdtPr>
          <w:tag w:val="goog_rdk_2"/>
          <w:id w:val="357481958"/>
        </w:sdtPr>
        <w:sdtEndPr/>
        <w:sdtContent/>
      </w:sdt>
      <w:proofErr w:type="spellStart"/>
      <w:r>
        <w:t>emphasise</w:t>
      </w:r>
      <w:proofErr w:type="spellEnd"/>
      <w:r>
        <w:t xml:space="preserve"> that the information should be disclosed only when it is necessar</w:t>
      </w:r>
      <w:r>
        <w:t xml:space="preserve">y to keep it confidential and safeguard the privacy (Department of Health and Social Care, 2021). To prevent mistakes, one of the steps which should be taken by the care agency is to document the same data regularly, have secure recording systems, retrain </w:t>
      </w:r>
      <w:r>
        <w:t>the staff on data protection regularly, and have clear communication protocols. Good administrative competencies maintain legal, cooperative and healthy care to Mrs. Mann.</w:t>
      </w:r>
    </w:p>
    <w:p w14:paraId="00000046" w14:textId="77777777" w:rsidR="009979E7" w:rsidRDefault="00440FAD">
      <w:pPr>
        <w:pStyle w:val="Heading1"/>
        <w:keepNext w:val="0"/>
        <w:keepLines w:val="0"/>
        <w:spacing w:before="0" w:after="0" w:line="360" w:lineRule="auto"/>
        <w:jc w:val="both"/>
        <w:rPr>
          <w:b/>
          <w:bCs/>
          <w:sz w:val="28"/>
          <w:szCs w:val="28"/>
        </w:rPr>
      </w:pPr>
      <w:bookmarkStart w:id="11" w:name="_heading=h.x596zifpwfb" w:colFirst="0" w:colLast="0"/>
      <w:bookmarkEnd w:id="11"/>
      <w:r>
        <w:rPr>
          <w:b/>
          <w:bCs/>
          <w:sz w:val="28"/>
          <w:szCs w:val="28"/>
        </w:rPr>
        <w:t>4.0 Collaborative Working Among Professionals</w:t>
      </w:r>
    </w:p>
    <w:p w14:paraId="00000047" w14:textId="03FDF2C8" w:rsidR="009979E7" w:rsidRDefault="00440FAD">
      <w:pPr>
        <w:spacing w:line="360" w:lineRule="auto"/>
        <w:jc w:val="both"/>
        <w:rPr>
          <w:rFonts w:hint="eastAsia"/>
          <w:lang w:eastAsia="zh-CN"/>
        </w:rPr>
      </w:pPr>
      <w:r>
        <w:t>Multi-agency collaboration is becoming</w:t>
      </w:r>
      <w:r>
        <w:t xml:space="preserve"> important in health and social care delivery. Mrs. The rehabilitation of Mann is between domiciliary </w:t>
      </w:r>
      <w:proofErr w:type="spellStart"/>
      <w:r>
        <w:t>carers</w:t>
      </w:r>
      <w:proofErr w:type="spellEnd"/>
      <w:r>
        <w:t>, a community physiotherapist and her GP. In the absence of a good collaboration, duplication, mixed advice, and omission can be witnessed.</w:t>
      </w:r>
      <w:r w:rsidR="00FE18AF">
        <w:rPr>
          <w:lang w:eastAsia="zh-CN"/>
        </w:rPr>
        <w:br/>
      </w:r>
    </w:p>
    <w:p w14:paraId="00000048" w14:textId="77777777" w:rsidR="009979E7" w:rsidRDefault="00440FAD">
      <w:pPr>
        <w:spacing w:line="360" w:lineRule="auto"/>
        <w:jc w:val="center"/>
        <w:rPr>
          <w:sz w:val="24"/>
          <w:szCs w:val="24"/>
        </w:rPr>
      </w:pPr>
      <w:r>
        <w:rPr>
          <w:noProof/>
          <w:sz w:val="24"/>
          <w:szCs w:val="24"/>
        </w:rPr>
        <w:drawing>
          <wp:inline distT="114300" distB="114300" distL="114300" distR="114300" wp14:editId="26CAC11F">
            <wp:extent cx="4457700" cy="2486025"/>
            <wp:effectExtent l="0" t="0" r="0" b="9525"/>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72802" cy="2494447"/>
                    </a:xfrm>
                    <a:prstGeom prst="rect">
                      <a:avLst/>
                    </a:prstGeom>
                    <a:ln/>
                  </pic:spPr>
                </pic:pic>
              </a:graphicData>
            </a:graphic>
          </wp:inline>
        </w:drawing>
      </w:r>
    </w:p>
    <w:p w14:paraId="00000049" w14:textId="77777777" w:rsidR="009979E7" w:rsidRDefault="00440FAD">
      <w:pPr>
        <w:pStyle w:val="Heading4"/>
        <w:spacing w:line="360" w:lineRule="auto"/>
        <w:jc w:val="center"/>
        <w:rPr>
          <w:b/>
          <w:bCs/>
          <w:color w:val="000000"/>
          <w:sz w:val="22"/>
          <w:szCs w:val="22"/>
        </w:rPr>
      </w:pPr>
      <w:bookmarkStart w:id="12" w:name="_heading=h.3xhuk43ka2yk" w:colFirst="0" w:colLast="0"/>
      <w:bookmarkEnd w:id="12"/>
      <w:r>
        <w:rPr>
          <w:b/>
          <w:bCs/>
          <w:color w:val="000000"/>
          <w:sz w:val="22"/>
          <w:szCs w:val="22"/>
        </w:rPr>
        <w:t>Fig 4:</w:t>
      </w:r>
      <w:r>
        <w:rPr>
          <w:b/>
          <w:bCs/>
          <w:color w:val="000000"/>
          <w:sz w:val="22"/>
          <w:szCs w:val="22"/>
        </w:rPr>
        <w:t xml:space="preserve"> Effective collaboration</w:t>
      </w:r>
    </w:p>
    <w:p w14:paraId="0000004A" w14:textId="77777777" w:rsidR="009979E7" w:rsidRDefault="00440FAD">
      <w:pPr>
        <w:spacing w:line="360" w:lineRule="auto"/>
        <w:jc w:val="center"/>
      </w:pPr>
      <w:r>
        <w:t xml:space="preserve">(Source: </w:t>
      </w:r>
      <w:proofErr w:type="spellStart"/>
      <w:r>
        <w:t>collidu</w:t>
      </w:r>
      <w:proofErr w:type="spellEnd"/>
      <w:r>
        <w:t>, 2025)</w:t>
      </w:r>
    </w:p>
    <w:p w14:paraId="0000004B" w14:textId="77777777" w:rsidR="009979E7" w:rsidRDefault="00440FAD">
      <w:pPr>
        <w:pStyle w:val="Heading2"/>
        <w:keepNext w:val="0"/>
        <w:keepLines w:val="0"/>
        <w:spacing w:before="0" w:after="0" w:line="360" w:lineRule="auto"/>
        <w:jc w:val="both"/>
        <w:rPr>
          <w:b/>
          <w:bCs/>
          <w:sz w:val="26"/>
          <w:szCs w:val="26"/>
        </w:rPr>
      </w:pPr>
      <w:bookmarkStart w:id="13" w:name="_heading=h.njju86vixibv" w:colFirst="0" w:colLast="0"/>
      <w:bookmarkEnd w:id="13"/>
      <w:r>
        <w:rPr>
          <w:b/>
          <w:bCs/>
          <w:sz w:val="26"/>
          <w:szCs w:val="26"/>
        </w:rPr>
        <w:lastRenderedPageBreak/>
        <w:t>4.1 Approaches to effective collaboration</w:t>
      </w:r>
    </w:p>
    <w:p w14:paraId="0000004C" w14:textId="77777777" w:rsidR="009979E7" w:rsidRDefault="00440FAD">
      <w:pPr>
        <w:spacing w:line="360" w:lineRule="auto"/>
        <w:jc w:val="both"/>
      </w:pPr>
      <w:r>
        <w:t>Shared care planning can make sure all professionals work to the same goal of recovery for Mrs. Mann, and all roles and responsibilities are understood and agreed (N</w:t>
      </w:r>
      <w:r>
        <w:t xml:space="preserve">ICE, 2020). Frequent communication- once a week- facilitates progress, problem or change of medication updates. Well-outlined responsibilities ensure that there is no redundancy or lack of attention; the </w:t>
      </w:r>
      <w:proofErr w:type="spellStart"/>
      <w:r>
        <w:t>carers</w:t>
      </w:r>
      <w:proofErr w:type="spellEnd"/>
      <w:r>
        <w:t xml:space="preserve"> will watch mobility, the physiotherapists wil</w:t>
      </w:r>
      <w:r>
        <w:t>l provide instructions on exercises, and the GPs will take care of medication (Royal College of Nursing (RCN), 2021). A care coordinator is assigned to facilitate the exchange of information and be the primary contact point of Mrs. Mann and her daughter. S</w:t>
      </w:r>
      <w:r>
        <w:t xml:space="preserve">hared documentation systems with secure accessibility by </w:t>
      </w:r>
      <w:proofErr w:type="spellStart"/>
      <w:r>
        <w:t>authorised</w:t>
      </w:r>
      <w:proofErr w:type="spellEnd"/>
      <w:r>
        <w:t xml:space="preserve"> professionals facilitate continuity and safe and person-centered care (SCIE, 2022).</w:t>
      </w:r>
    </w:p>
    <w:p w14:paraId="0000004D" w14:textId="77777777" w:rsidR="009979E7" w:rsidRDefault="00440FAD">
      <w:pPr>
        <w:pStyle w:val="Heading2"/>
        <w:keepNext w:val="0"/>
        <w:keepLines w:val="0"/>
        <w:spacing w:before="0" w:after="0" w:line="360" w:lineRule="auto"/>
        <w:jc w:val="both"/>
        <w:rPr>
          <w:b/>
          <w:bCs/>
          <w:sz w:val="26"/>
          <w:szCs w:val="26"/>
        </w:rPr>
      </w:pPr>
      <w:bookmarkStart w:id="14" w:name="_heading=h.736uibivt945" w:colFirst="0" w:colLast="0"/>
      <w:bookmarkEnd w:id="14"/>
      <w:r>
        <w:rPr>
          <w:b/>
          <w:bCs/>
          <w:sz w:val="26"/>
          <w:szCs w:val="26"/>
        </w:rPr>
        <w:t>4.2 Challenges and solutions</w:t>
      </w:r>
    </w:p>
    <w:p w14:paraId="0000004E" w14:textId="420C5C42" w:rsidR="009979E7" w:rsidRDefault="00440FAD">
      <w:pPr>
        <w:spacing w:line="360" w:lineRule="auto"/>
        <w:jc w:val="both"/>
      </w:pPr>
      <w:r>
        <w:t xml:space="preserve">Role ambiguity, barriers to data sharing, and professional hierarchies are </w:t>
      </w:r>
      <w:r>
        <w:t>some of the common multi-agency barriers</w:t>
      </w:r>
      <w:bookmarkStart w:id="15" w:name="_GoBack"/>
      <w:bookmarkEnd w:id="15"/>
      <w:r>
        <w:t xml:space="preserve">. The </w:t>
      </w:r>
      <w:proofErr w:type="spellStart"/>
      <w:r>
        <w:t>organisations</w:t>
      </w:r>
      <w:proofErr w:type="spellEnd"/>
      <w:r>
        <w:t xml:space="preserve"> may have cultural differences, which may also act as an impediment to cooperation (McFadden </w:t>
      </w:r>
      <w:r>
        <w:rPr>
          <w:i/>
          <w:iCs/>
        </w:rPr>
        <w:t>et al</w:t>
      </w:r>
      <w:r>
        <w:t>., 2021). These issues may be resolved by building interoperable systems and data-sharing contract</w:t>
      </w:r>
      <w:r>
        <w:t>s and fostering mutual respect by training in the interprofessional field and applying the structured tools like SBAR (Situation, Background, Assessment, Recommendation) to facilitate a standardized process of communication (Department of Health and Social</w:t>
      </w:r>
      <w:r>
        <w:t xml:space="preserve"> Care, 2021). The integration of a person centered ethos will help make sure that all the decisions are informed with the values, preferences, and language requirements of Mrs. Mann. Holistic care, reduced duplication, and increased recovery outcomes are f</w:t>
      </w:r>
      <w:r>
        <w:t>acilitated by effective collaboration, which is culturally sensitive (RCN, 2021).</w:t>
      </w:r>
    </w:p>
    <w:p w14:paraId="0000004F" w14:textId="77777777" w:rsidR="009979E7" w:rsidRDefault="00440FAD">
      <w:pPr>
        <w:pStyle w:val="Heading1"/>
        <w:keepNext w:val="0"/>
        <w:keepLines w:val="0"/>
        <w:spacing w:before="0" w:after="0" w:line="360" w:lineRule="auto"/>
        <w:jc w:val="both"/>
        <w:rPr>
          <w:b/>
          <w:bCs/>
          <w:sz w:val="28"/>
          <w:szCs w:val="28"/>
        </w:rPr>
      </w:pPr>
      <w:bookmarkStart w:id="16" w:name="_heading=h.4t27x760evjz" w:colFirst="0" w:colLast="0"/>
      <w:bookmarkEnd w:id="16"/>
      <w:r>
        <w:rPr>
          <w:b/>
          <w:bCs/>
          <w:sz w:val="28"/>
          <w:szCs w:val="28"/>
        </w:rPr>
        <w:t xml:space="preserve">5.0 Conclusion </w:t>
      </w:r>
    </w:p>
    <w:p w14:paraId="00000050" w14:textId="77777777" w:rsidR="009979E7" w:rsidRDefault="00440FAD">
      <w:pPr>
        <w:spacing w:line="360" w:lineRule="auto"/>
        <w:jc w:val="both"/>
      </w:pPr>
      <w:r>
        <w:t>The case of Mrs. Mann is an exemplification of the interconnection between communication, administration, and collaboration to influence the quality of care a</w:t>
      </w:r>
      <w:r>
        <w:t xml:space="preserve">nd safety. Communication is effective with the aid of the Equality Act 2010 and the Transactional Model, which incorporates the availability, culturally conscious, and feedback-based interaction. Legal, ethical, and professional responsibility ought to be </w:t>
      </w:r>
      <w:r>
        <w:t>based on good administrative practice, which is founded on record-keeping and follows the Data Protection Act 2018. Finally, the collaborative effort of the domiciliary care agency, the physiotherapist, and the GP will ensure the provision of a holistic an</w:t>
      </w:r>
      <w:r>
        <w:t>d individualistic rehabilitation. The incident of the late medication adjustment can be addressed by dealing with the barriers like language, inconsistent record keeping, and inter-</w:t>
      </w:r>
      <w:r>
        <w:lastRenderedPageBreak/>
        <w:t xml:space="preserve">agency fragmentation. All of this is an example of the combined competence </w:t>
      </w:r>
      <w:r>
        <w:t>needed in the contemporary health and social care: that is, to communicate fairly, document ethically, and collaborate effectively; to uphold dignity, safety, and trust among the service users such as Mrs. Mann.</w:t>
      </w:r>
    </w:p>
    <w:p w14:paraId="00000051" w14:textId="77777777" w:rsidR="009979E7" w:rsidRDefault="00440FAD">
      <w:pPr>
        <w:spacing w:line="360" w:lineRule="auto"/>
        <w:jc w:val="both"/>
        <w:rPr>
          <w:sz w:val="24"/>
          <w:szCs w:val="24"/>
        </w:rPr>
      </w:pPr>
      <w:r>
        <w:br w:type="page"/>
      </w:r>
    </w:p>
    <w:p w14:paraId="00000052" w14:textId="77777777" w:rsidR="009979E7" w:rsidRDefault="00440FAD">
      <w:pPr>
        <w:pStyle w:val="Heading1"/>
        <w:keepNext w:val="0"/>
        <w:keepLines w:val="0"/>
        <w:spacing w:before="0" w:after="0" w:line="360" w:lineRule="auto"/>
        <w:jc w:val="both"/>
        <w:rPr>
          <w:b/>
          <w:bCs/>
          <w:sz w:val="28"/>
          <w:szCs w:val="28"/>
        </w:rPr>
      </w:pPr>
      <w:bookmarkStart w:id="17" w:name="_heading=h.qjnhzxa5azrk" w:colFirst="0" w:colLast="0"/>
      <w:bookmarkEnd w:id="17"/>
      <w:r>
        <w:rPr>
          <w:b/>
          <w:bCs/>
          <w:sz w:val="28"/>
          <w:szCs w:val="28"/>
        </w:rPr>
        <w:lastRenderedPageBreak/>
        <w:t xml:space="preserve">6.0 Reference List </w:t>
      </w:r>
    </w:p>
    <w:p w14:paraId="00000053" w14:textId="77777777" w:rsidR="009979E7" w:rsidRDefault="00440FAD">
      <w:pPr>
        <w:spacing w:line="360" w:lineRule="auto"/>
        <w:jc w:val="both"/>
      </w:pPr>
      <w:r>
        <w:t xml:space="preserve">Department of Health and Social Care, (2021) </w:t>
      </w:r>
      <w:r>
        <w:rPr>
          <w:i/>
          <w:iCs/>
        </w:rPr>
        <w:t>Information governance and the Caldicott Principles</w:t>
      </w:r>
      <w:r>
        <w:t xml:space="preserve">. London: DHSC. [Online]. Available at: </w:t>
      </w:r>
      <w:hyperlink r:id="rId12">
        <w:r>
          <w:rPr>
            <w:color w:val="1155CC"/>
            <w:u w:val="single"/>
          </w:rPr>
          <w:t>https://www.gov.uk/government/publica</w:t>
        </w:r>
        <w:r>
          <w:rPr>
            <w:color w:val="1155CC"/>
            <w:u w:val="single"/>
          </w:rPr>
          <w:t>tions/caldicott-principles</w:t>
        </w:r>
      </w:hyperlink>
      <w:r>
        <w:t xml:space="preserve">  [Accessed 15 Oct 2025].</w:t>
      </w:r>
    </w:p>
    <w:p w14:paraId="00000054" w14:textId="77777777" w:rsidR="009979E7" w:rsidRDefault="00440FAD">
      <w:pPr>
        <w:spacing w:line="360" w:lineRule="auto"/>
        <w:jc w:val="both"/>
      </w:pPr>
      <w:r>
        <w:t xml:space="preserve">Equality and Human Rights Commission, (2020) </w:t>
      </w:r>
      <w:r>
        <w:rPr>
          <w:i/>
          <w:iCs/>
        </w:rPr>
        <w:t>Equality Act 2010: Guidance for service providers</w:t>
      </w:r>
      <w:r>
        <w:t xml:space="preserve">. London: EHRC. [Online]. Available at: </w:t>
      </w:r>
      <w:hyperlink r:id="rId13">
        <w:r>
          <w:rPr>
            <w:color w:val="1155CC"/>
            <w:u w:val="single"/>
          </w:rPr>
          <w:t>https://www.equ</w:t>
        </w:r>
        <w:r>
          <w:rPr>
            <w:color w:val="1155CC"/>
            <w:u w:val="single"/>
          </w:rPr>
          <w:t>alityhumanrights.com</w:t>
        </w:r>
      </w:hyperlink>
      <w:r>
        <w:t xml:space="preserve">  [Accessed 15 Oct 2025].</w:t>
      </w:r>
    </w:p>
    <w:p w14:paraId="00000055" w14:textId="77777777" w:rsidR="009979E7" w:rsidRDefault="00440FAD">
      <w:pPr>
        <w:spacing w:line="360" w:lineRule="auto"/>
        <w:jc w:val="both"/>
      </w:pPr>
      <w:r>
        <w:t xml:space="preserve">Information Commissioner’s Office. (2021) </w:t>
      </w:r>
      <w:r>
        <w:rPr>
          <w:i/>
          <w:iCs/>
        </w:rPr>
        <w:t>Guide to the UK General Data Protection Regulation (UK GDPR)</w:t>
      </w:r>
      <w:r>
        <w:t xml:space="preserve">. London: ICO. [Online]. Available at: </w:t>
      </w:r>
      <w:hyperlink r:id="rId14">
        <w:r>
          <w:rPr>
            <w:color w:val="1155CC"/>
            <w:u w:val="single"/>
          </w:rPr>
          <w:t>https://ico.org.uk</w:t>
        </w:r>
      </w:hyperlink>
      <w:r>
        <w:t xml:space="preserve">  [Accessed 1</w:t>
      </w:r>
      <w:r>
        <w:t>5 Oct 2025].</w:t>
      </w:r>
    </w:p>
    <w:p w14:paraId="00000056" w14:textId="77777777" w:rsidR="009979E7" w:rsidRDefault="00440FAD">
      <w:pPr>
        <w:spacing w:line="360" w:lineRule="auto"/>
        <w:jc w:val="both"/>
      </w:pPr>
      <w:r>
        <w:t xml:space="preserve">McFadden, P., Ross, J., Moriarty, J., Mallett, J., Schroder, H., </w:t>
      </w:r>
      <w:proofErr w:type="spellStart"/>
      <w:r>
        <w:t>Ravalier</w:t>
      </w:r>
      <w:proofErr w:type="spellEnd"/>
      <w:r>
        <w:t xml:space="preserve">, J., </w:t>
      </w:r>
      <w:proofErr w:type="spellStart"/>
      <w:r>
        <w:t>Manthorpe</w:t>
      </w:r>
      <w:proofErr w:type="spellEnd"/>
      <w:r>
        <w:t xml:space="preserve">, J., Currie, D., </w:t>
      </w:r>
      <w:proofErr w:type="spellStart"/>
      <w:r>
        <w:t>Harron</w:t>
      </w:r>
      <w:proofErr w:type="spellEnd"/>
      <w:r>
        <w:t>, J. and Gillen, P. (2021). The role of coping in the wellbeing and work-related quality of life of UK health and social care worke</w:t>
      </w:r>
      <w:r>
        <w:t xml:space="preserve">rs during COVID-19. </w:t>
      </w:r>
      <w:r>
        <w:rPr>
          <w:i/>
          <w:iCs/>
        </w:rPr>
        <w:t>International journal of environmental research and public health</w:t>
      </w:r>
      <w:r>
        <w:t xml:space="preserve">, </w:t>
      </w:r>
      <w:r>
        <w:rPr>
          <w:i/>
          <w:iCs/>
        </w:rPr>
        <w:t>18</w:t>
      </w:r>
      <w:r>
        <w:t>(2), p.815.</w:t>
      </w:r>
    </w:p>
    <w:p w14:paraId="00000057" w14:textId="77777777" w:rsidR="009979E7" w:rsidRDefault="00440FAD">
      <w:pPr>
        <w:spacing w:line="360" w:lineRule="auto"/>
        <w:jc w:val="both"/>
      </w:pPr>
      <w:r>
        <w:t xml:space="preserve">NHS England, (2020) </w:t>
      </w:r>
      <w:r>
        <w:rPr>
          <w:i/>
          <w:iCs/>
        </w:rPr>
        <w:t>Accessible Information Standard: Implementation guidance</w:t>
      </w:r>
      <w:r>
        <w:t>. London: NHS England. [Online]. Available at:</w:t>
      </w:r>
      <w:hyperlink r:id="rId15">
        <w:r>
          <w:t xml:space="preserve"> </w:t>
        </w:r>
      </w:hyperlink>
      <w:hyperlink r:id="rId16">
        <w:r>
          <w:rPr>
            <w:color w:val="1155CC"/>
            <w:u w:val="single"/>
          </w:rPr>
          <w:t>https://www.england.nhs.uk/accessible-information-standard/</w:t>
        </w:r>
      </w:hyperlink>
      <w:r>
        <w:t xml:space="preserve"> [Accessed 15 Oct 2025].</w:t>
      </w:r>
    </w:p>
    <w:p w14:paraId="00000058" w14:textId="77777777" w:rsidR="009979E7" w:rsidRDefault="00440FAD">
      <w:pPr>
        <w:spacing w:line="360" w:lineRule="auto"/>
        <w:jc w:val="both"/>
      </w:pPr>
      <w:r>
        <w:t xml:space="preserve">NHS England, (2022) </w:t>
      </w:r>
      <w:r>
        <w:rPr>
          <w:i/>
          <w:iCs/>
        </w:rPr>
        <w:t>Core skills for communication in health and care</w:t>
      </w:r>
      <w:r>
        <w:t xml:space="preserve">. London: NHS England. [Online]. Available at: </w:t>
      </w:r>
      <w:hyperlink r:id="rId17">
        <w:r>
          <w:rPr>
            <w:color w:val="1155CC"/>
            <w:u w:val="single"/>
          </w:rPr>
          <w:t>https://www.hee.nhs.uk/our-work/cancer-diagnostics/cancer-communications-resource-hub/patient/core-skills-how-they-link-person-centred-care</w:t>
        </w:r>
      </w:hyperlink>
      <w:r>
        <w:t xml:space="preserve"> [Accessed 15 Oct 2025].</w:t>
      </w:r>
    </w:p>
    <w:p w14:paraId="00000059" w14:textId="77777777" w:rsidR="009979E7" w:rsidRDefault="00440FAD">
      <w:pPr>
        <w:spacing w:line="360" w:lineRule="auto"/>
        <w:jc w:val="both"/>
      </w:pPr>
      <w:r>
        <w:t xml:space="preserve">National Institute for Health and Care Excellence (NICE), (2020) </w:t>
      </w:r>
      <w:r>
        <w:rPr>
          <w:i/>
          <w:iCs/>
        </w:rPr>
        <w:t>Integrate</w:t>
      </w:r>
      <w:r>
        <w:rPr>
          <w:i/>
          <w:iCs/>
        </w:rPr>
        <w:t>d health and social care for older people with complex needs</w:t>
      </w:r>
      <w:r>
        <w:t xml:space="preserve">. London: NICE.  [Online]. Available at:  </w:t>
      </w:r>
      <w:hyperlink r:id="rId18">
        <w:r>
          <w:rPr>
            <w:color w:val="1155CC"/>
            <w:u w:val="single"/>
          </w:rPr>
          <w:t>https://www.nice.org.uk/guidance/ng22</w:t>
        </w:r>
      </w:hyperlink>
      <w:r>
        <w:t xml:space="preserve"> [Accessed 15 Oct 2025]</w:t>
      </w:r>
    </w:p>
    <w:p w14:paraId="0000005A" w14:textId="77777777" w:rsidR="009979E7" w:rsidRDefault="00440FAD">
      <w:pPr>
        <w:spacing w:line="360" w:lineRule="auto"/>
        <w:jc w:val="both"/>
      </w:pPr>
      <w:r>
        <w:t>Nursing and Midwifery Council (NMC),</w:t>
      </w:r>
      <w:r>
        <w:t xml:space="preserve"> (2023) </w:t>
      </w:r>
      <w:r>
        <w:rPr>
          <w:i/>
          <w:iCs/>
        </w:rPr>
        <w:t xml:space="preserve">The Code: Professional standards of practice and </w:t>
      </w:r>
      <w:proofErr w:type="spellStart"/>
      <w:r>
        <w:rPr>
          <w:i/>
          <w:iCs/>
        </w:rPr>
        <w:t>behaviour</w:t>
      </w:r>
      <w:proofErr w:type="spellEnd"/>
      <w:r>
        <w:rPr>
          <w:i/>
          <w:iCs/>
        </w:rPr>
        <w:t xml:space="preserve"> for nurses, midwives and nursing associates</w:t>
      </w:r>
      <w:r>
        <w:t xml:space="preserve">. London: NMC.   [Online]. Available at:  </w:t>
      </w:r>
      <w:hyperlink r:id="rId19">
        <w:r>
          <w:rPr>
            <w:color w:val="1155CC"/>
            <w:u w:val="single"/>
          </w:rPr>
          <w:t>https://www.nmc.org.uk/standards/code/</w:t>
        </w:r>
      </w:hyperlink>
      <w:r>
        <w:t xml:space="preserve"> [Access</w:t>
      </w:r>
      <w:r>
        <w:t>ed 15 Oct 2025]</w:t>
      </w:r>
    </w:p>
    <w:p w14:paraId="0000005B" w14:textId="77777777" w:rsidR="009979E7" w:rsidRDefault="00440FAD">
      <w:pPr>
        <w:spacing w:line="360" w:lineRule="auto"/>
        <w:jc w:val="both"/>
      </w:pPr>
      <w:r>
        <w:t xml:space="preserve">Royal College of Nursing (RCN), (2021) </w:t>
      </w:r>
      <w:r>
        <w:rPr>
          <w:i/>
          <w:iCs/>
        </w:rPr>
        <w:t>Record keeping: Guidance for nurses and midwives</w:t>
      </w:r>
      <w:r>
        <w:t xml:space="preserve">. London: RCN.      [Online]. Available at:  </w:t>
      </w:r>
      <w:hyperlink r:id="rId20">
        <w:r>
          <w:rPr>
            <w:color w:val="1155CC"/>
            <w:u w:val="single"/>
          </w:rPr>
          <w:t>https://www.rcn.org.uk/Professional-Development/publications/rcn-record-keeping-uk-pub-011-016</w:t>
        </w:r>
      </w:hyperlink>
      <w:r>
        <w:t xml:space="preserve"> [Accessed 15 Oct 2025]</w:t>
      </w:r>
    </w:p>
    <w:p w14:paraId="0000005C" w14:textId="77777777" w:rsidR="009979E7" w:rsidRDefault="00440FAD">
      <w:pPr>
        <w:spacing w:line="360" w:lineRule="auto"/>
        <w:jc w:val="both"/>
      </w:pPr>
      <w:r>
        <w:t xml:space="preserve">Social Care Institute for </w:t>
      </w:r>
      <w:r>
        <w:t xml:space="preserve">Excellence, (SCIE) (2022) </w:t>
      </w:r>
      <w:r>
        <w:rPr>
          <w:i/>
          <w:iCs/>
        </w:rPr>
        <w:t>Information sharing and confidentiality in adult social care</w:t>
      </w:r>
      <w:r>
        <w:t xml:space="preserve">. London: SCIE.     [Online]. Available at:   </w:t>
      </w:r>
      <w:hyperlink r:id="rId21">
        <w:r>
          <w:rPr>
            <w:color w:val="1155CC"/>
            <w:u w:val="single"/>
          </w:rPr>
          <w:t>https://www.scie.org.uk/safegua</w:t>
        </w:r>
        <w:r>
          <w:rPr>
            <w:color w:val="1155CC"/>
            <w:u w:val="single"/>
          </w:rPr>
          <w:t>rding/adults/practice/sharing-information/</w:t>
        </w:r>
      </w:hyperlink>
      <w:r>
        <w:t xml:space="preserve"> [Accessed 15 Oct 2025]</w:t>
      </w:r>
      <w:r>
        <w:br/>
      </w:r>
      <w:r>
        <w:lastRenderedPageBreak/>
        <w:t xml:space="preserve">Social Care Institute for Excellence (SCIE),  (2023) </w:t>
      </w:r>
      <w:r>
        <w:rPr>
          <w:i/>
          <w:iCs/>
        </w:rPr>
        <w:t>Effective communication in health and social care</w:t>
      </w:r>
      <w:r>
        <w:t xml:space="preserve">. London: SCIE. Online]. Available at:  </w:t>
      </w:r>
      <w:hyperlink r:id="rId22">
        <w:r>
          <w:rPr>
            <w:color w:val="1155CC"/>
            <w:u w:val="single"/>
          </w:rPr>
          <w:t>https://www.scie.org.uk/</w:t>
        </w:r>
      </w:hyperlink>
      <w:r>
        <w:t xml:space="preserve"> [Accessed 15 Oct 2025]  </w:t>
      </w:r>
    </w:p>
    <w:p w14:paraId="0000005D" w14:textId="77777777" w:rsidR="009979E7" w:rsidRDefault="00440FAD">
      <w:pPr>
        <w:spacing w:line="360" w:lineRule="auto"/>
        <w:jc w:val="both"/>
      </w:pPr>
      <w:r>
        <w:t xml:space="preserve">Turpin, A., Shier, M.L., Nicholas, D. and Graham, J.R. (2021). Workload and workplace safety in social service organizations. </w:t>
      </w:r>
      <w:r>
        <w:rPr>
          <w:i/>
          <w:iCs/>
        </w:rPr>
        <w:t>Journal of social work</w:t>
      </w:r>
      <w:r>
        <w:t xml:space="preserve">, </w:t>
      </w:r>
      <w:r>
        <w:rPr>
          <w:i/>
          <w:iCs/>
        </w:rPr>
        <w:t>21</w:t>
      </w:r>
      <w:r>
        <w:t>(3), pp.575-594.</w:t>
      </w:r>
    </w:p>
    <w:p w14:paraId="0000005E" w14:textId="77777777" w:rsidR="009979E7" w:rsidRDefault="009979E7">
      <w:pPr>
        <w:spacing w:line="360" w:lineRule="auto"/>
        <w:jc w:val="both"/>
        <w:rPr>
          <w:sz w:val="24"/>
          <w:szCs w:val="24"/>
        </w:rPr>
      </w:pPr>
    </w:p>
    <w:sectPr w:rsidR="009979E7">
      <w:headerReference w:type="default" r:id="rId23"/>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1136E" w14:textId="77777777" w:rsidR="00440FAD" w:rsidRDefault="00440FAD">
      <w:pPr>
        <w:spacing w:line="240" w:lineRule="auto"/>
      </w:pPr>
      <w:r>
        <w:separator/>
      </w:r>
    </w:p>
  </w:endnote>
  <w:endnote w:type="continuationSeparator" w:id="0">
    <w:p w14:paraId="7760E753" w14:textId="77777777" w:rsidR="00440FAD" w:rsidRDefault="00440F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E07EBB04-6F6B-49AA-9B18-3107770761D7}"/>
  </w:font>
  <w:font w:name="Calibri">
    <w:panose1 w:val="020F0502020204030204"/>
    <w:charset w:val="00"/>
    <w:family w:val="swiss"/>
    <w:pitch w:val="variable"/>
    <w:sig w:usb0="E00002FF" w:usb1="4000ACFF" w:usb2="00000001" w:usb3="00000000" w:csb0="0000019F" w:csb1="00000000"/>
    <w:embedRegular r:id="rId2" w:fontKey="{174C4B27-804E-4424-9B2C-13C9EDFB9B8D}"/>
  </w:font>
  <w:font w:name="Cambria">
    <w:panose1 w:val="02040503050406030204"/>
    <w:charset w:val="00"/>
    <w:family w:val="roman"/>
    <w:pitch w:val="variable"/>
    <w:sig w:usb0="A00002EF" w:usb1="4000004B" w:usb2="00000000" w:usb3="00000000" w:csb0="0000009F" w:csb1="00000000"/>
    <w:embedRegular r:id="rId3" w:fontKey="{651A26F0-81EB-4092-9A9E-E1D1F094EE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60" w14:textId="1C7A7BA2" w:rsidR="009979E7" w:rsidRDefault="00440FAD">
    <w:pPr>
      <w:jc w:val="right"/>
      <w:rPr>
        <w:b/>
        <w:bCs/>
        <w:sz w:val="24"/>
        <w:szCs w:val="24"/>
      </w:rPr>
    </w:pPr>
    <w:r>
      <w:rPr>
        <w:b/>
        <w:bCs/>
        <w:sz w:val="24"/>
        <w:szCs w:val="24"/>
      </w:rPr>
      <w:fldChar w:fldCharType="begin"/>
    </w:r>
    <w:r>
      <w:rPr>
        <w:b/>
        <w:bCs/>
        <w:sz w:val="24"/>
        <w:szCs w:val="24"/>
      </w:rPr>
      <w:instrText>PAGE</w:instrText>
    </w:r>
    <w:r w:rsidR="00FE18AF">
      <w:rPr>
        <w:b/>
        <w:bCs/>
        <w:sz w:val="24"/>
        <w:szCs w:val="24"/>
      </w:rPr>
      <w:fldChar w:fldCharType="separate"/>
    </w:r>
    <w:r w:rsidR="00FE18AF">
      <w:rPr>
        <w:b/>
        <w:bCs/>
        <w:noProof/>
        <w:sz w:val="24"/>
        <w:szCs w:val="24"/>
      </w:rPr>
      <w:t>1</w:t>
    </w:r>
    <w:r>
      <w:rPr>
        <w:b/>
        <w:bCs/>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FC31D" w14:textId="77777777" w:rsidR="00440FAD" w:rsidRDefault="00440FAD">
      <w:pPr>
        <w:spacing w:line="240" w:lineRule="auto"/>
      </w:pPr>
      <w:r>
        <w:separator/>
      </w:r>
    </w:p>
  </w:footnote>
  <w:footnote w:type="continuationSeparator" w:id="0">
    <w:p w14:paraId="038F30E7" w14:textId="77777777" w:rsidR="00440FAD" w:rsidRDefault="00440F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5F" w14:textId="77777777" w:rsidR="009979E7" w:rsidRDefault="00440FAD">
    <w:pPr>
      <w:jc w:val="right"/>
    </w:pPr>
    <w:r>
      <w:rPr>
        <w:noProof/>
      </w:rPr>
      <w:drawing>
        <wp:inline distT="114300" distB="114300" distL="114300" distR="114300">
          <wp:extent cx="2162175" cy="1081088"/>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2162175" cy="108108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79E7"/>
    <w:rsid w:val="00440FAD"/>
    <w:rsid w:val="009979E7"/>
    <w:rsid w:val="00FE1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6521D"/>
  <w15:docId w15:val="{956CD597-8DBE-4D11-8644-7BF2C842A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SimSun" w:hAnsi="Arial" w:cs="Arial"/>
        <w:sz w:val="22"/>
        <w:szCs w:val="22"/>
        <w:lang w:val="zh-C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qFormat/>
    <w:tblPr>
      <w:tblCellMar>
        <w:top w:w="100" w:type="dxa"/>
        <w:left w:w="100" w:type="dxa"/>
        <w:bottom w:w="100" w:type="dxa"/>
        <w:right w:w="100" w:type="dxa"/>
      </w:tblCellMar>
    </w:tblPr>
  </w:style>
  <w:style w:type="character" w:styleId="CommentReference">
    <w:name w:val="annotation reference"/>
    <w:basedOn w:val="DefaultParagraphFont"/>
    <w:rsid w:val="006C003F"/>
    <w:rPr>
      <w:sz w:val="16"/>
      <w:szCs w:val="16"/>
    </w:rPr>
  </w:style>
  <w:style w:type="paragraph" w:styleId="CommentText">
    <w:name w:val="annotation text"/>
    <w:basedOn w:val="Normal"/>
    <w:link w:val="CommentTextChar"/>
    <w:rsid w:val="006C003F"/>
    <w:pPr>
      <w:spacing w:line="240" w:lineRule="auto"/>
    </w:pPr>
    <w:rPr>
      <w:sz w:val="20"/>
      <w:szCs w:val="20"/>
    </w:rPr>
  </w:style>
  <w:style w:type="character" w:customStyle="1" w:styleId="CommentTextChar">
    <w:name w:val="Comment Text Char"/>
    <w:basedOn w:val="DefaultParagraphFont"/>
    <w:link w:val="CommentText"/>
    <w:rsid w:val="006C003F"/>
    <w:rPr>
      <w:lang w:val="zh-CN"/>
    </w:rPr>
  </w:style>
  <w:style w:type="paragraph" w:styleId="CommentSubject">
    <w:name w:val="annotation subject"/>
    <w:basedOn w:val="CommentText"/>
    <w:next w:val="CommentText"/>
    <w:link w:val="CommentSubjectChar"/>
    <w:rsid w:val="006C003F"/>
    <w:rPr>
      <w:b/>
      <w:bCs/>
    </w:rPr>
  </w:style>
  <w:style w:type="character" w:customStyle="1" w:styleId="CommentSubjectChar">
    <w:name w:val="Comment Subject Char"/>
    <w:basedOn w:val="CommentTextChar"/>
    <w:link w:val="CommentSubject"/>
    <w:rsid w:val="006C003F"/>
    <w:rPr>
      <w:b/>
      <w:bCs/>
      <w:lang w:val="zh-CN"/>
    </w:rPr>
  </w:style>
  <w:style w:type="paragraph" w:styleId="BalloonText">
    <w:name w:val="Balloon Text"/>
    <w:basedOn w:val="Normal"/>
    <w:link w:val="BalloonTextChar"/>
    <w:rsid w:val="006C003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rsid w:val="006C003F"/>
    <w:rPr>
      <w:rFonts w:ascii="Segoe UI" w:hAnsi="Segoe UI" w:cs="Segoe UI"/>
      <w:sz w:val="18"/>
      <w:szCs w:val="18"/>
      <w:lang w:val="zh-CN"/>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qualityhumanrights.com" TargetMode="External"/><Relationship Id="rId18" Type="http://schemas.openxmlformats.org/officeDocument/2006/relationships/hyperlink" Target="https://www.nice.org.uk/guidance/ng2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org.uk/safeguarding/adults/practice/sharing-information/" TargetMode="External"/><Relationship Id="rId7" Type="http://schemas.openxmlformats.org/officeDocument/2006/relationships/endnotes" Target="endnotes.xml"/><Relationship Id="rId12" Type="http://schemas.openxmlformats.org/officeDocument/2006/relationships/hyperlink" Target="https://www.gov.uk/government/publications/caldicott-principles" TargetMode="External"/><Relationship Id="rId17" Type="http://schemas.openxmlformats.org/officeDocument/2006/relationships/hyperlink" Target="https://www.hee.nhs.uk/our-work/cancer-diagnostics/cancer-communications-resource-hub/patient/core-skills-how-they-link-person-centred-car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ngland.nhs.uk/accessible-information-standard/?utm_source=chatgpt.com" TargetMode="External"/><Relationship Id="rId20" Type="http://schemas.openxmlformats.org/officeDocument/2006/relationships/hyperlink" Target="https://www.rcn.org.uk/Professional-Development/publications/rcn-record-keeping-uk-pub-011-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gland.nhs.uk/accessible-information-standard/?utm_source=chatgpt.com"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nmc.org.uk/standards/co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co.org.uk" TargetMode="External"/><Relationship Id="rId22" Type="http://schemas.openxmlformats.org/officeDocument/2006/relationships/hyperlink" Target="https://www.scie.org.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X+UaXf47uWTHyDudMxy+k7z2ng==">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</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5B9EA9C-BA7B-4D8B-AF82-43BE60E0F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2587</Words>
  <Characters>14749</Characters>
  <DocSecurity>0</DocSecurity>
  <Lines>122</Lines>
  <Paragraphs>34</Paragraphs>
  <ScaleCrop>false</ScaleCrop>
  <Company/>
  <LinksUpToDate>false</LinksUpToDate>
  <CharactersWithSpaces>17302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2025-11-18T10:44:00Z</dcterms:created>
  <dcterms:modified xsi:type="dcterms:W3CDTF">2025-11-20T11:12:00Z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BC9137DBA2F14709BDB2E6143911FBEF_13</vt:lpwstr>
  </property>
</Properties>
</file>