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6A28B" w14:textId="77777777" w:rsidR="005B26E9" w:rsidRDefault="005B26E9" w:rsidP="005B26E9">
      <w:pPr>
        <w:spacing w:before="120" w:after="120"/>
        <w:rPr>
          <w:rFonts w:ascii="Arial" w:hAnsi="Arial" w:cs="Arial"/>
          <w:b/>
          <w:sz w:val="22"/>
          <w:szCs w:val="22"/>
          <w:lang w:eastAsia="en-US"/>
        </w:rPr>
      </w:pPr>
      <w:r>
        <w:rPr>
          <w:rFonts w:ascii="Arial" w:hAnsi="Arial" w:cs="Arial"/>
          <w:b/>
          <w:sz w:val="22"/>
          <w:szCs w:val="22"/>
          <w:lang w:eastAsia="en-US"/>
        </w:rPr>
        <w:t>Student name: Jubil Khan</w:t>
      </w:r>
    </w:p>
    <w:p w14:paraId="6F569119" w14:textId="77777777" w:rsidR="005B26E9" w:rsidRDefault="005B26E9" w:rsidP="005B26E9">
      <w:pPr>
        <w:spacing w:before="120" w:after="120"/>
        <w:rPr>
          <w:rFonts w:ascii="Arial" w:hAnsi="Arial" w:cs="Arial"/>
          <w:b/>
          <w:sz w:val="22"/>
          <w:szCs w:val="22"/>
          <w:lang w:eastAsia="en-US"/>
        </w:rPr>
      </w:pPr>
      <w:r>
        <w:rPr>
          <w:rFonts w:ascii="Arial" w:hAnsi="Arial" w:cs="Arial"/>
          <w:b/>
          <w:sz w:val="22"/>
          <w:szCs w:val="22"/>
          <w:lang w:eastAsia="en-US"/>
        </w:rPr>
        <w:t>Student ID number: 2509934</w:t>
      </w:r>
    </w:p>
    <w:p w14:paraId="67096DC8" w14:textId="596B3D9B" w:rsidR="005B26E9" w:rsidRPr="005B26E9" w:rsidRDefault="005B26E9" w:rsidP="005B26E9">
      <w:pPr>
        <w:spacing w:before="120" w:after="120"/>
        <w:rPr>
          <w:rFonts w:ascii="Arial" w:hAnsi="Arial" w:cs="Arial"/>
          <w:b/>
          <w:bCs/>
          <w:sz w:val="22"/>
          <w:szCs w:val="22"/>
          <w:lang w:eastAsia="en-US"/>
        </w:rPr>
      </w:pPr>
      <w:r>
        <w:rPr>
          <w:rFonts w:ascii="Arial" w:hAnsi="Arial" w:cs="Arial"/>
          <w:b/>
          <w:sz w:val="22"/>
          <w:szCs w:val="22"/>
          <w:lang w:eastAsia="en-US"/>
        </w:rPr>
        <w:t xml:space="preserve">Module: </w:t>
      </w:r>
      <w:r>
        <w:rPr>
          <w:rFonts w:ascii="Arial" w:hAnsi="Arial" w:cs="Arial"/>
          <w:b/>
          <w:bCs/>
          <w:sz w:val="22"/>
          <w:szCs w:val="22"/>
          <w:lang w:eastAsia="en-US"/>
        </w:rPr>
        <w:t>Introduction to Health and Social Care</w:t>
      </w:r>
    </w:p>
    <w:p w14:paraId="43F19E8A" w14:textId="0EE3ED4F" w:rsidR="004B40C3" w:rsidRDefault="005B26E9" w:rsidP="005B26E9">
      <w:pPr>
        <w:spacing w:before="120" w:after="120"/>
        <w:rPr>
          <w:rFonts w:ascii="Arial" w:hAnsi="Arial" w:cs="Arial"/>
          <w:b/>
          <w:bCs/>
          <w:sz w:val="22"/>
          <w:szCs w:val="22"/>
          <w:lang w:eastAsia="en-US"/>
        </w:rPr>
      </w:pPr>
      <w:r>
        <w:rPr>
          <w:rFonts w:ascii="Arial" w:hAnsi="Arial" w:cs="Arial"/>
          <w:b/>
          <w:sz w:val="22"/>
          <w:szCs w:val="22"/>
          <w:lang w:eastAsia="en-US"/>
        </w:rPr>
        <w:t xml:space="preserve">Assignment Title: </w:t>
      </w:r>
      <w:r>
        <w:rPr>
          <w:rFonts w:ascii="Arial" w:hAnsi="Arial" w:cs="Arial"/>
          <w:b/>
          <w:bCs/>
          <w:sz w:val="22"/>
          <w:szCs w:val="22"/>
          <w:lang w:eastAsia="en-US"/>
        </w:rPr>
        <w:t xml:space="preserve">Written Assignment </w:t>
      </w:r>
    </w:p>
    <w:p w14:paraId="49A1B808" w14:textId="77777777" w:rsidR="003060B4" w:rsidRDefault="003060B4" w:rsidP="005B26E9">
      <w:pPr>
        <w:spacing w:before="120" w:after="120"/>
        <w:rPr>
          <w:rFonts w:ascii="Arial" w:hAnsi="Arial" w:cs="Arial"/>
          <w:b/>
          <w:bCs/>
          <w:sz w:val="22"/>
          <w:szCs w:val="22"/>
          <w:lang w:eastAsia="en-US"/>
        </w:rPr>
      </w:pPr>
    </w:p>
    <w:p w14:paraId="013F2C2D" w14:textId="570C08D6" w:rsidR="003060B4" w:rsidRDefault="003060B4" w:rsidP="005B26E9">
      <w:pPr>
        <w:spacing w:before="120" w:after="120"/>
        <w:rPr>
          <w:rFonts w:ascii="Arial" w:hAnsi="Arial" w:cs="Arial"/>
          <w:b/>
          <w:bCs/>
          <w:sz w:val="22"/>
          <w:szCs w:val="22"/>
          <w:lang w:eastAsia="en-US"/>
        </w:rPr>
      </w:pPr>
      <w:r w:rsidRPr="003060B4">
        <w:rPr>
          <w:rFonts w:ascii="Arial" w:hAnsi="Arial" w:cs="Arial"/>
          <w:b/>
          <w:bCs/>
          <w:sz w:val="22"/>
          <w:szCs w:val="22"/>
          <w:lang w:eastAsia="en-US"/>
        </w:rPr>
        <w:t>Coursework: Written assignment</w:t>
      </w:r>
    </w:p>
    <w:p w14:paraId="4F4D55A9" w14:textId="77777777" w:rsidR="003060B4" w:rsidRDefault="003060B4" w:rsidP="005B26E9">
      <w:pPr>
        <w:spacing w:before="120" w:after="120"/>
        <w:rPr>
          <w:rFonts w:ascii="Arial" w:hAnsi="Arial" w:cs="Arial"/>
          <w:b/>
          <w:bCs/>
          <w:sz w:val="22"/>
          <w:szCs w:val="22"/>
          <w:lang w:eastAsia="en-US"/>
        </w:rPr>
      </w:pPr>
    </w:p>
    <w:p w14:paraId="4274BA31" w14:textId="140681BE"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Effective care delivery in health and social care settings depends on strong communication, precise administration, and effective collaboration. These factors are especially crucial in complex situations like that of Mr Ahmed, a 68-year-old stroke patient with ongoing physical and communication challenges. After his discharge from hospital, Mr Ahmed relies on a multidisciplinary team and domiciliary care services to assist with his recovery and daily living needs. His limited English proficiency and dependence on his wife for communication further emphasize the need for inclusive, person-centred care approaches.</w:t>
      </w:r>
    </w:p>
    <w:p w14:paraId="457FB02E" w14:textId="1317D301" w:rsid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This report will explore three key aspects of professional practice relevant to Mr Ahmed’s care. First, it will consider the importance of effective communication, including relevant legislation and communication models. Second, it will address the role of administrative skills, focusing on accurate record keeping and data protection requirements. Finally, it will analyse collaborative working between professionals and propose strategies to overcome challenges in multi-agency care. Together, these elements are vital to delivering safe, effective, and equitable care.</w:t>
      </w:r>
    </w:p>
    <w:p w14:paraId="6979C133" w14:textId="77777777" w:rsidR="003060B4" w:rsidRDefault="003060B4" w:rsidP="003060B4">
      <w:pPr>
        <w:spacing w:before="120" w:after="120"/>
        <w:rPr>
          <w:rFonts w:ascii="Arial" w:hAnsi="Arial" w:cs="Arial"/>
          <w:sz w:val="24"/>
          <w:szCs w:val="24"/>
          <w:lang w:eastAsia="en-US"/>
        </w:rPr>
      </w:pPr>
    </w:p>
    <w:p w14:paraId="31E2B977" w14:textId="56F6677E" w:rsidR="003060B4" w:rsidRPr="003060B4" w:rsidRDefault="003060B4" w:rsidP="003060B4">
      <w:pPr>
        <w:spacing w:before="120" w:after="120"/>
        <w:rPr>
          <w:rFonts w:ascii="Arial" w:hAnsi="Arial" w:cs="Arial"/>
          <w:b/>
          <w:bCs/>
          <w:sz w:val="24"/>
          <w:szCs w:val="24"/>
          <w:u w:val="single"/>
          <w:lang w:eastAsia="en-US"/>
        </w:rPr>
      </w:pPr>
      <w:r w:rsidRPr="003060B4">
        <w:rPr>
          <w:rFonts w:ascii="Arial" w:hAnsi="Arial" w:cs="Arial"/>
          <w:b/>
          <w:bCs/>
          <w:sz w:val="24"/>
          <w:szCs w:val="24"/>
          <w:u w:val="single"/>
          <w:lang w:eastAsia="en-US"/>
        </w:rPr>
        <w:t>Importance of Effective Communication</w:t>
      </w:r>
    </w:p>
    <w:p w14:paraId="38017C4E" w14:textId="77777777" w:rsidR="003060B4" w:rsidRPr="003060B4" w:rsidRDefault="003060B4" w:rsidP="003060B4">
      <w:pPr>
        <w:rPr>
          <w:rFonts w:ascii="Arial" w:hAnsi="Arial" w:cs="Arial"/>
          <w:sz w:val="24"/>
          <w:szCs w:val="24"/>
        </w:rPr>
      </w:pPr>
      <w:r w:rsidRPr="003060B4">
        <w:rPr>
          <w:rFonts w:ascii="Arial" w:hAnsi="Arial" w:cs="Arial"/>
          <w:sz w:val="24"/>
          <w:szCs w:val="24"/>
        </w:rPr>
        <w:t>Effective communication is essential in delivering safe, person-centred care for Mr Ahmed, especially considering his recent stroke and language barriers. Stroke patients often face challenges such as speech difficulties, cognitive impairments, and swallowing problems, which complicate communication. Additionally, Mr Ahmed’s limited English proficiency increases the risk of misunderstandings that could negatively impact his care, safety, and wellbeing.</w:t>
      </w:r>
    </w:p>
    <w:p w14:paraId="2C0A7D60" w14:textId="77777777" w:rsidR="003060B4" w:rsidRPr="003060B4" w:rsidRDefault="003060B4" w:rsidP="003060B4">
      <w:pPr>
        <w:rPr>
          <w:rFonts w:ascii="Arial" w:hAnsi="Arial" w:cs="Arial"/>
          <w:sz w:val="24"/>
          <w:szCs w:val="24"/>
        </w:rPr>
      </w:pPr>
    </w:p>
    <w:p w14:paraId="297898D4" w14:textId="77777777" w:rsidR="003060B4" w:rsidRPr="003060B4" w:rsidRDefault="003060B4" w:rsidP="003060B4">
      <w:pPr>
        <w:rPr>
          <w:rFonts w:ascii="Arial" w:hAnsi="Arial" w:cs="Arial"/>
          <w:sz w:val="24"/>
          <w:szCs w:val="24"/>
        </w:rPr>
      </w:pPr>
      <w:r w:rsidRPr="003060B4">
        <w:rPr>
          <w:rFonts w:ascii="Arial" w:hAnsi="Arial" w:cs="Arial"/>
          <w:sz w:val="24"/>
          <w:szCs w:val="24"/>
        </w:rPr>
        <w:t>To communicate effectively with Mr Ahmed, care providers must tailor their approach to his individual needs. This involves using simple, clear language and avoiding medical jargon. Allowing extra time for Mr Ahmed to process and respond is crucial. Visual aids, gestures, and translation services can further support understanding. While Mr Ahmed’s wife, who speaks fluent English, plays a valuable role in communication and emotional support, professional interpreters should be engaged to ensure accuracy and confidentiality, in line with best practice.</w:t>
      </w:r>
    </w:p>
    <w:p w14:paraId="128BC566" w14:textId="77777777" w:rsidR="003060B4" w:rsidRPr="003060B4" w:rsidRDefault="003060B4" w:rsidP="003060B4">
      <w:pPr>
        <w:rPr>
          <w:rFonts w:ascii="Arial" w:hAnsi="Arial" w:cs="Arial"/>
          <w:sz w:val="24"/>
          <w:szCs w:val="24"/>
        </w:rPr>
      </w:pPr>
    </w:p>
    <w:p w14:paraId="4CCF86A2" w14:textId="4A90A626" w:rsidR="003060B4" w:rsidRPr="003060B4" w:rsidRDefault="003060B4" w:rsidP="003060B4">
      <w:pPr>
        <w:rPr>
          <w:rFonts w:ascii="Arial" w:hAnsi="Arial" w:cs="Arial"/>
          <w:sz w:val="24"/>
          <w:szCs w:val="24"/>
        </w:rPr>
      </w:pPr>
      <w:r w:rsidRPr="003060B4">
        <w:rPr>
          <w:rFonts w:ascii="Arial" w:hAnsi="Arial" w:cs="Arial"/>
          <w:sz w:val="24"/>
          <w:szCs w:val="24"/>
        </w:rPr>
        <w:t>The Equality Act 2010 underlines the importance of inclusive communication. It protects individuals from discrimination based on characteristics such as age, disability, race, and language. For Mr Ahmed, reasonable adjustments must be made to ensure he can access and understand care services. This includes culturally sensitive communication and ensuring that language barriers or stroke-related impairments do not disadvantage him.</w:t>
      </w:r>
      <w:r>
        <w:rPr>
          <w:rFonts w:ascii="Arial" w:hAnsi="Arial" w:cs="Arial"/>
          <w:sz w:val="24"/>
          <w:szCs w:val="24"/>
        </w:rPr>
        <w:t xml:space="preserve"> </w:t>
      </w:r>
      <w:r w:rsidRPr="003060B4">
        <w:rPr>
          <w:rFonts w:ascii="Arial" w:hAnsi="Arial" w:cs="Arial"/>
          <w:sz w:val="24"/>
          <w:szCs w:val="24"/>
        </w:rPr>
        <w:t xml:space="preserve">One useful framework to understand </w:t>
      </w:r>
      <w:r w:rsidRPr="003060B4">
        <w:rPr>
          <w:rFonts w:ascii="Arial" w:hAnsi="Arial" w:cs="Arial"/>
          <w:sz w:val="24"/>
          <w:szCs w:val="24"/>
        </w:rPr>
        <w:lastRenderedPageBreak/>
        <w:t>communication in this context is the Shannon-Weaver Model. This model describes communication as a process involving a sender, message, receiver, and potential “noise” or barriers. In Mr Ahmed’s case, “noise” could be language difficulties, cognitive impairments, or emotional stress post-stroke. To overcome these barriers, care professionals must ensure messages are clear, check for understanding, and use feedback loops such as asking Mr Ahmed to repeat or demonstrate comprehension.</w:t>
      </w:r>
    </w:p>
    <w:p w14:paraId="506CCF84" w14:textId="77777777" w:rsidR="003060B4" w:rsidRPr="003060B4" w:rsidRDefault="003060B4" w:rsidP="003060B4">
      <w:pPr>
        <w:rPr>
          <w:rFonts w:ascii="Arial" w:hAnsi="Arial" w:cs="Arial"/>
          <w:sz w:val="24"/>
          <w:szCs w:val="24"/>
        </w:rPr>
      </w:pPr>
    </w:p>
    <w:p w14:paraId="7961CC8C" w14:textId="77777777" w:rsidR="003060B4" w:rsidRPr="003060B4" w:rsidRDefault="003060B4" w:rsidP="003060B4">
      <w:pPr>
        <w:rPr>
          <w:rFonts w:ascii="Arial" w:hAnsi="Arial" w:cs="Arial"/>
          <w:sz w:val="24"/>
          <w:szCs w:val="24"/>
        </w:rPr>
      </w:pPr>
      <w:r w:rsidRPr="003060B4">
        <w:rPr>
          <w:rFonts w:ascii="Arial" w:hAnsi="Arial" w:cs="Arial"/>
          <w:sz w:val="24"/>
          <w:szCs w:val="24"/>
        </w:rPr>
        <w:t>Effective communication also involves active listening, empathy, and respectful body language. Maintaining eye contact, showing patience, and building trust are vital, especially as Mr Ahmed may feel vulnerable after hospital discharge. Poor communication can lead to serious consequences, such as missed medication or care visits, which have already occurred in this case.</w:t>
      </w:r>
    </w:p>
    <w:p w14:paraId="37F10FA5" w14:textId="77777777" w:rsidR="003060B4" w:rsidRPr="003060B4" w:rsidRDefault="003060B4" w:rsidP="003060B4">
      <w:pPr>
        <w:rPr>
          <w:rFonts w:ascii="Arial" w:hAnsi="Arial" w:cs="Arial"/>
          <w:sz w:val="24"/>
          <w:szCs w:val="24"/>
        </w:rPr>
      </w:pPr>
    </w:p>
    <w:p w14:paraId="35F1FF4A" w14:textId="77777777" w:rsidR="003060B4" w:rsidRDefault="003060B4" w:rsidP="003060B4">
      <w:pPr>
        <w:rPr>
          <w:rFonts w:ascii="Arial" w:hAnsi="Arial" w:cs="Arial"/>
          <w:sz w:val="24"/>
          <w:szCs w:val="24"/>
        </w:rPr>
      </w:pPr>
      <w:r w:rsidRPr="003060B4">
        <w:rPr>
          <w:rFonts w:ascii="Arial" w:hAnsi="Arial" w:cs="Arial"/>
          <w:sz w:val="24"/>
          <w:szCs w:val="24"/>
        </w:rPr>
        <w:t>Finally, communication should extend to family members. Mr Ahmed’s wife is a key partner in his care, and her involvement should be supported while respecting Mr Ahmed’s autonomy. Professionals must obtain consent before sharing information and involve Mr Ahmed in decisions wherever possible.</w:t>
      </w:r>
    </w:p>
    <w:p w14:paraId="6222DAEC" w14:textId="77777777" w:rsidR="003060B4" w:rsidRDefault="003060B4" w:rsidP="003060B4">
      <w:pPr>
        <w:rPr>
          <w:rFonts w:ascii="Arial" w:hAnsi="Arial" w:cs="Arial"/>
          <w:sz w:val="24"/>
          <w:szCs w:val="24"/>
        </w:rPr>
      </w:pPr>
    </w:p>
    <w:p w14:paraId="13A12CBF" w14:textId="4229C244" w:rsidR="003060B4" w:rsidRPr="003060B4" w:rsidRDefault="003060B4" w:rsidP="003060B4">
      <w:pPr>
        <w:rPr>
          <w:rFonts w:ascii="Arial" w:hAnsi="Arial" w:cs="Arial"/>
          <w:b/>
          <w:bCs/>
          <w:sz w:val="24"/>
          <w:szCs w:val="24"/>
          <w:u w:val="single"/>
        </w:rPr>
      </w:pPr>
      <w:r w:rsidRPr="003060B4">
        <w:rPr>
          <w:rFonts w:ascii="Arial" w:hAnsi="Arial" w:cs="Arial"/>
          <w:b/>
          <w:bCs/>
          <w:sz w:val="24"/>
          <w:szCs w:val="24"/>
          <w:u w:val="single"/>
        </w:rPr>
        <w:t>Importance of Administrative Skills and Record Keeping</w:t>
      </w:r>
    </w:p>
    <w:p w14:paraId="3D6B62C7" w14:textId="6579C67E"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Good administrative skills are vital in health and social care, especially to maintain continuity, safety, and accountability in delivering care. In Mr Ahmed’s situation, precise record keeping is crucial because multiple professionals are involved, and his care needs are complex. The missed domiciliary care visit, which caused a delay in his medication, clearly shows how poor administration can jeopardize patient safety.</w:t>
      </w:r>
    </w:p>
    <w:p w14:paraId="6F25E81D" w14:textId="0BC0C364"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Record keeping means documenting every aspect of care, such as medication administration, care plans, communications with other professionals, and any incidents or concerns. These records need to be accurate, current, and clearly written so that all members of the care team have reliable information. For Mr Ahmed, records should cover his stroke recovery, communication needs, dietary requirements, and medication schedule.</w:t>
      </w:r>
    </w:p>
    <w:p w14:paraId="5B46B334" w14:textId="7D149137"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The Data Protection Act 2018 regulates how personal data is collected, stored, and shared. It ensures that personal information is handled lawfully, fairly, and transparently. This means Mr Ahmed’s personal and medical details must be kept secure, shared only with authorized professionals, and used solely for his care. Confidentiality is especially important since Mr Ahmed depends on his wife for communication. Consent must be obtained before sharing information unless there is a safeguarding concern.</w:t>
      </w:r>
    </w:p>
    <w:p w14:paraId="6DA0FFF9" w14:textId="1913EC89"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Key principles of the Data Protection Act include accuracy, data minimisation, and accountability. Only relevant information about Mr Ahmed should be recorded and updated regularly to reflect any changes in his condition. Inaccurate or incomplete records could cause errors in care, such as missed medication or inappropriate treatment.</w:t>
      </w:r>
    </w:p>
    <w:p w14:paraId="204F81BD" w14:textId="2C65F97F"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 xml:space="preserve">Besides legislation, professional standards and policies also guide record keeping. Health and social care organisations follow policies on documentation, confidentiality, and information governance to ensure consistency and promote best practice. Electronic record systems are increasingly used to improve access and </w:t>
      </w:r>
      <w:r w:rsidRPr="003060B4">
        <w:rPr>
          <w:rFonts w:ascii="Arial" w:hAnsi="Arial" w:cs="Arial"/>
          <w:sz w:val="24"/>
          <w:szCs w:val="24"/>
          <w:lang w:eastAsia="en-US"/>
        </w:rPr>
        <w:lastRenderedPageBreak/>
        <w:t>reduce errors, enabling professionals like GPs, nurses, and care workers to share information efficiently.</w:t>
      </w:r>
    </w:p>
    <w:p w14:paraId="62CB01C0" w14:textId="5F2139AD"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Administrative skills also involve scheduling, coordination, and communication between services. In Mr Ahmed’s case, effective scheduling of domiciliary visits is essential to ensure timely medication and personal care. The missed visit indicates a breakdown in administrative processes, possibly due to poor rota management, communication gaps, or insufficient monitoring. Addressing these issues is key to preventing future problems.</w:t>
      </w:r>
    </w:p>
    <w:p w14:paraId="5B2D2E4A" w14:textId="18AE9910" w:rsidR="003060B4" w:rsidRP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Incident reporting is another important administrative duty. Reporting the missed visit and investigating it shows accountability and a commitment to improving service quality. Learning from such incidents helps organisations identify weaknesses and implement corrective actions.</w:t>
      </w:r>
    </w:p>
    <w:p w14:paraId="046ED041" w14:textId="7D32ADE9" w:rsidR="003060B4" w:rsidRDefault="003060B4" w:rsidP="003060B4">
      <w:pPr>
        <w:spacing w:before="120" w:after="120"/>
        <w:rPr>
          <w:rFonts w:ascii="Arial" w:hAnsi="Arial" w:cs="Arial"/>
          <w:sz w:val="24"/>
          <w:szCs w:val="24"/>
          <w:lang w:eastAsia="en-US"/>
        </w:rPr>
      </w:pPr>
      <w:r w:rsidRPr="003060B4">
        <w:rPr>
          <w:rFonts w:ascii="Arial" w:hAnsi="Arial" w:cs="Arial"/>
          <w:sz w:val="24"/>
          <w:szCs w:val="24"/>
          <w:lang w:eastAsia="en-US"/>
        </w:rPr>
        <w:t>Overall, strong administrative skills support safe, efficient, and high-quality care. By keeping accurate records and following data protection principles, professionals can ensure that individuals like Mr Ahmed receive consistent and reliable support.</w:t>
      </w:r>
    </w:p>
    <w:p w14:paraId="508F7C5C" w14:textId="77777777" w:rsidR="003F0043" w:rsidRDefault="003F0043" w:rsidP="003060B4">
      <w:pPr>
        <w:spacing w:before="120" w:after="120"/>
        <w:rPr>
          <w:rFonts w:ascii="Arial" w:hAnsi="Arial" w:cs="Arial"/>
          <w:sz w:val="24"/>
          <w:szCs w:val="24"/>
          <w:lang w:eastAsia="en-US"/>
        </w:rPr>
      </w:pPr>
    </w:p>
    <w:p w14:paraId="1DB131EA" w14:textId="2DB7A3CA" w:rsidR="003F0043" w:rsidRDefault="003F0043" w:rsidP="003060B4">
      <w:pPr>
        <w:spacing w:before="120" w:after="120"/>
        <w:rPr>
          <w:rFonts w:ascii="Arial" w:hAnsi="Arial" w:cs="Arial"/>
          <w:b/>
          <w:bCs/>
          <w:sz w:val="24"/>
          <w:szCs w:val="24"/>
          <w:u w:val="single"/>
          <w:lang w:eastAsia="en-US"/>
        </w:rPr>
      </w:pPr>
      <w:r w:rsidRPr="003F0043">
        <w:rPr>
          <w:rFonts w:ascii="Arial" w:hAnsi="Arial" w:cs="Arial"/>
          <w:b/>
          <w:bCs/>
          <w:sz w:val="24"/>
          <w:szCs w:val="24"/>
          <w:u w:val="single"/>
          <w:lang w:eastAsia="en-US"/>
        </w:rPr>
        <w:t>Importance of Collaborative Working</w:t>
      </w:r>
    </w:p>
    <w:p w14:paraId="59B40CC3" w14:textId="17AFA2BE"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Collaborative working is crucial for providing comprehensive care, especially for individuals with complex needs like Mr Ahmed. His care involves various professionals such as his GP, district nurse, domiciliary care workers, and speech and language therapist. Working together effectively ensures that all his physical, emotional, and communication needs are met.</w:t>
      </w:r>
    </w:p>
    <w:p w14:paraId="0A3799A6" w14:textId="4354FA7A"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 xml:space="preserve">A </w:t>
      </w:r>
      <w:r w:rsidRPr="003F0043">
        <w:rPr>
          <w:rFonts w:ascii="Arial" w:hAnsi="Arial" w:cs="Arial"/>
          <w:sz w:val="24"/>
          <w:szCs w:val="24"/>
          <w:lang w:eastAsia="en-US"/>
        </w:rPr>
        <w:t>key</w:t>
      </w:r>
      <w:r>
        <w:rPr>
          <w:rFonts w:ascii="Arial" w:hAnsi="Arial" w:cs="Arial"/>
          <w:sz w:val="24"/>
          <w:szCs w:val="24"/>
          <w:lang w:eastAsia="en-US"/>
        </w:rPr>
        <w:t>way</w:t>
      </w:r>
      <w:r w:rsidRPr="003F0043">
        <w:rPr>
          <w:rFonts w:ascii="Arial" w:hAnsi="Arial" w:cs="Arial"/>
          <w:sz w:val="24"/>
          <w:szCs w:val="24"/>
          <w:lang w:eastAsia="en-US"/>
        </w:rPr>
        <w:t xml:space="preserve"> to promote collaboration is through clear and consistent communication among professionals. This can include regular multidisciplinary team (MDT) meetings, shared care plans, and smooth handovers. For instance, the district nurse who monitors Mr Ahmed’s blood pressure and wound care needs to inform the GP of any issues, while the speech and language therapist should communicate strategies to care workers to support his communication and swallowing.</w:t>
      </w:r>
    </w:p>
    <w:p w14:paraId="4672B8FB" w14:textId="6AB45270"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Person-centred care is also vital. All professionals should focus on shared goals that respect Mr Ahmed’s preferences, independence, and wellbeing. Involving Mr Ahmed and his wife in decision-making helps tailor care to his needs and encourages a sense of control.</w:t>
      </w:r>
    </w:p>
    <w:p w14:paraId="4395AF40" w14:textId="22CB9417"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Despite its benefits, multi-agency working can face challenges such as communication breakdowns, unclear roles, time pressures, and differing professional views. The missed care visit could be a result of these issues, especially in coordinating between services.</w:t>
      </w:r>
    </w:p>
    <w:p w14:paraId="68A5CFD2" w14:textId="76FD046D"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To overcome these obstacles, it’s important to define clear roles and responsibilities, use shared documentation systems, and foster mutual respect among team members. Training in teamwork and communication can further improve collaboration. Additionally, having a care coordinator or key worker can help maintain continuity and accountability in Mr Ahmed’s care.</w:t>
      </w:r>
    </w:p>
    <w:p w14:paraId="4030845A" w14:textId="3C22A20D" w:rsid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In summary, collaborative working enhances care quality and reduces risks. By using structured methods and addressing common challenges, professionals can effectively support Mr Ahmed’s recovery and overall wellbeing.</w:t>
      </w:r>
    </w:p>
    <w:p w14:paraId="34933C40" w14:textId="77777777" w:rsidR="003F0043" w:rsidRDefault="003F0043" w:rsidP="003F0043">
      <w:pPr>
        <w:spacing w:before="120" w:after="120"/>
        <w:rPr>
          <w:rFonts w:ascii="Arial" w:hAnsi="Arial" w:cs="Arial"/>
          <w:sz w:val="24"/>
          <w:szCs w:val="24"/>
          <w:lang w:eastAsia="en-US"/>
        </w:rPr>
      </w:pPr>
    </w:p>
    <w:p w14:paraId="0259F5C5" w14:textId="17CB5480" w:rsidR="003F0043" w:rsidRPr="003F0043" w:rsidRDefault="003F0043" w:rsidP="003F0043">
      <w:pPr>
        <w:spacing w:before="120" w:after="120"/>
        <w:rPr>
          <w:rFonts w:ascii="Arial" w:hAnsi="Arial" w:cs="Arial"/>
          <w:b/>
          <w:bCs/>
          <w:sz w:val="24"/>
          <w:szCs w:val="24"/>
          <w:u w:val="single"/>
          <w:lang w:eastAsia="en-US"/>
        </w:rPr>
      </w:pPr>
      <w:r w:rsidRPr="003F0043">
        <w:rPr>
          <w:rFonts w:ascii="Arial" w:hAnsi="Arial" w:cs="Arial"/>
          <w:b/>
          <w:bCs/>
          <w:sz w:val="24"/>
          <w:szCs w:val="24"/>
          <w:u w:val="single"/>
          <w:lang w:eastAsia="en-US"/>
        </w:rPr>
        <w:lastRenderedPageBreak/>
        <w:t>Conclusion</w:t>
      </w:r>
    </w:p>
    <w:p w14:paraId="6F5262BA" w14:textId="090B6ECC"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To conclude, the care provided to Mr Ahmed emphasizes the critical role of effective communication, robust administrative procedures, and teamwork within health and social care. Effective communication helps to overcome language barriers, promotes inclusivity, and ensures that Mr Ahmed remains the focal point of his care. Legal frameworks like the Equality Act 2010 play a key role in ensuring communication is fair and accessible.</w:t>
      </w:r>
    </w:p>
    <w:p w14:paraId="604C2817" w14:textId="16A633DF"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Strong administrative skills, especially precise record-keeping and compliance with the Data Protection Act 2018, are vital for safeguarding patient safety, maintaining continuity of care, and ensuring accountability. The incident involving a missed visit clearly shows the risks that can arise when these systems are not properly followed.</w:t>
      </w:r>
    </w:p>
    <w:p w14:paraId="2A48C8D0" w14:textId="64AAD71D" w:rsid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Lastly, collaboration among healthcare professionals allows for a comprehensive, holistic approach to addressing Mr Ahmed’s complex needs. By enhancing communication, refining administrative processes, and encouraging effective teamwork, health and social care providers can deliver care that is safe, efficient, and centred around the individual’s needs. This integrated approach ultimately supports better outcomes and a higher quality of life for Mr Ahmed.</w:t>
      </w:r>
    </w:p>
    <w:p w14:paraId="5CEC78E8" w14:textId="77777777" w:rsidR="003F0043" w:rsidRDefault="003F0043" w:rsidP="003F0043">
      <w:pPr>
        <w:spacing w:before="120" w:after="120"/>
        <w:rPr>
          <w:rFonts w:ascii="Arial" w:hAnsi="Arial" w:cs="Arial"/>
          <w:sz w:val="24"/>
          <w:szCs w:val="24"/>
          <w:lang w:eastAsia="en-US"/>
        </w:rPr>
      </w:pPr>
    </w:p>
    <w:p w14:paraId="230DB29E" w14:textId="77777777" w:rsidR="003F0043" w:rsidRDefault="003F0043" w:rsidP="003F0043">
      <w:pPr>
        <w:spacing w:before="120" w:after="120"/>
        <w:rPr>
          <w:rFonts w:ascii="Arial" w:hAnsi="Arial" w:cs="Arial"/>
          <w:sz w:val="24"/>
          <w:szCs w:val="24"/>
          <w:lang w:eastAsia="en-US"/>
        </w:rPr>
      </w:pPr>
    </w:p>
    <w:p w14:paraId="52259320" w14:textId="77777777" w:rsidR="003F0043" w:rsidRDefault="003F0043" w:rsidP="003F0043">
      <w:pPr>
        <w:spacing w:before="120" w:after="120"/>
        <w:rPr>
          <w:rFonts w:ascii="Arial" w:hAnsi="Arial" w:cs="Arial"/>
          <w:sz w:val="24"/>
          <w:szCs w:val="24"/>
          <w:lang w:eastAsia="en-US"/>
        </w:rPr>
      </w:pPr>
    </w:p>
    <w:p w14:paraId="7C0F603D" w14:textId="77777777" w:rsidR="003F0043" w:rsidRDefault="003F0043" w:rsidP="003F0043">
      <w:pPr>
        <w:spacing w:before="120" w:after="120"/>
        <w:rPr>
          <w:rFonts w:ascii="Arial" w:hAnsi="Arial" w:cs="Arial"/>
          <w:sz w:val="24"/>
          <w:szCs w:val="24"/>
          <w:lang w:eastAsia="en-US"/>
        </w:rPr>
      </w:pPr>
    </w:p>
    <w:p w14:paraId="1E956858" w14:textId="77777777" w:rsidR="003F0043" w:rsidRDefault="003F0043" w:rsidP="003F0043">
      <w:pPr>
        <w:spacing w:before="120" w:after="120"/>
        <w:rPr>
          <w:rFonts w:ascii="Arial" w:hAnsi="Arial" w:cs="Arial"/>
          <w:sz w:val="24"/>
          <w:szCs w:val="24"/>
          <w:lang w:eastAsia="en-US"/>
        </w:rPr>
      </w:pPr>
    </w:p>
    <w:p w14:paraId="358A37DC" w14:textId="77777777" w:rsidR="003F0043" w:rsidRDefault="003F0043" w:rsidP="003F0043">
      <w:pPr>
        <w:spacing w:before="120" w:after="120"/>
        <w:rPr>
          <w:rFonts w:ascii="Arial" w:hAnsi="Arial" w:cs="Arial"/>
          <w:sz w:val="24"/>
          <w:szCs w:val="24"/>
          <w:lang w:eastAsia="en-US"/>
        </w:rPr>
      </w:pPr>
    </w:p>
    <w:p w14:paraId="65F21B21" w14:textId="77777777" w:rsidR="003F0043" w:rsidRDefault="003F0043" w:rsidP="003F0043">
      <w:pPr>
        <w:spacing w:before="120" w:after="120"/>
        <w:rPr>
          <w:rFonts w:ascii="Arial" w:hAnsi="Arial" w:cs="Arial"/>
          <w:sz w:val="24"/>
          <w:szCs w:val="24"/>
          <w:lang w:eastAsia="en-US"/>
        </w:rPr>
      </w:pPr>
    </w:p>
    <w:p w14:paraId="05DF2542" w14:textId="77777777" w:rsidR="003F0043" w:rsidRDefault="003F0043" w:rsidP="003F0043">
      <w:pPr>
        <w:spacing w:before="120" w:after="120"/>
        <w:rPr>
          <w:rFonts w:ascii="Arial" w:hAnsi="Arial" w:cs="Arial"/>
          <w:sz w:val="24"/>
          <w:szCs w:val="24"/>
          <w:lang w:eastAsia="en-US"/>
        </w:rPr>
      </w:pPr>
    </w:p>
    <w:p w14:paraId="3FB2B94D" w14:textId="77777777" w:rsidR="003F0043" w:rsidRDefault="003F0043" w:rsidP="003F0043">
      <w:pPr>
        <w:spacing w:before="120" w:after="120"/>
        <w:rPr>
          <w:rFonts w:ascii="Arial" w:hAnsi="Arial" w:cs="Arial"/>
          <w:sz w:val="24"/>
          <w:szCs w:val="24"/>
          <w:lang w:eastAsia="en-US"/>
        </w:rPr>
      </w:pPr>
    </w:p>
    <w:p w14:paraId="0BA597A3" w14:textId="77777777" w:rsidR="003F0043" w:rsidRDefault="003F0043" w:rsidP="003F0043">
      <w:pPr>
        <w:spacing w:before="120" w:after="120"/>
        <w:rPr>
          <w:rFonts w:ascii="Arial" w:hAnsi="Arial" w:cs="Arial"/>
          <w:sz w:val="24"/>
          <w:szCs w:val="24"/>
          <w:lang w:eastAsia="en-US"/>
        </w:rPr>
      </w:pPr>
    </w:p>
    <w:p w14:paraId="0C1E61BB" w14:textId="77777777" w:rsidR="003F0043" w:rsidRDefault="003F0043" w:rsidP="003F0043">
      <w:pPr>
        <w:spacing w:before="120" w:after="120"/>
        <w:rPr>
          <w:rFonts w:ascii="Arial" w:hAnsi="Arial" w:cs="Arial"/>
          <w:sz w:val="24"/>
          <w:szCs w:val="24"/>
          <w:lang w:eastAsia="en-US"/>
        </w:rPr>
      </w:pPr>
    </w:p>
    <w:p w14:paraId="551FA874" w14:textId="77777777" w:rsidR="003F0043" w:rsidRDefault="003F0043" w:rsidP="003F0043">
      <w:pPr>
        <w:spacing w:before="120" w:after="120"/>
        <w:rPr>
          <w:rFonts w:ascii="Arial" w:hAnsi="Arial" w:cs="Arial"/>
          <w:sz w:val="24"/>
          <w:szCs w:val="24"/>
          <w:lang w:eastAsia="en-US"/>
        </w:rPr>
      </w:pPr>
    </w:p>
    <w:p w14:paraId="7FF238EB" w14:textId="77777777" w:rsidR="003F0043" w:rsidRDefault="003F0043" w:rsidP="003F0043">
      <w:pPr>
        <w:spacing w:before="120" w:after="120"/>
        <w:rPr>
          <w:rFonts w:ascii="Arial" w:hAnsi="Arial" w:cs="Arial"/>
          <w:sz w:val="24"/>
          <w:szCs w:val="24"/>
          <w:lang w:eastAsia="en-US"/>
        </w:rPr>
      </w:pPr>
    </w:p>
    <w:p w14:paraId="35C0FBDB" w14:textId="77777777" w:rsidR="003F0043" w:rsidRDefault="003F0043" w:rsidP="003F0043">
      <w:pPr>
        <w:spacing w:before="120" w:after="120"/>
        <w:rPr>
          <w:rFonts w:ascii="Arial" w:hAnsi="Arial" w:cs="Arial"/>
          <w:sz w:val="24"/>
          <w:szCs w:val="24"/>
          <w:lang w:eastAsia="en-US"/>
        </w:rPr>
      </w:pPr>
    </w:p>
    <w:p w14:paraId="32CFC4E9" w14:textId="77777777" w:rsidR="003F0043" w:rsidRDefault="003F0043" w:rsidP="003F0043">
      <w:pPr>
        <w:spacing w:before="120" w:after="120"/>
        <w:rPr>
          <w:rFonts w:ascii="Arial" w:hAnsi="Arial" w:cs="Arial"/>
          <w:sz w:val="24"/>
          <w:szCs w:val="24"/>
          <w:lang w:eastAsia="en-US"/>
        </w:rPr>
      </w:pPr>
    </w:p>
    <w:p w14:paraId="17D699AE" w14:textId="77777777" w:rsidR="003F0043" w:rsidRDefault="003F0043" w:rsidP="003F0043">
      <w:pPr>
        <w:spacing w:before="120" w:after="120"/>
        <w:rPr>
          <w:rFonts w:ascii="Arial" w:hAnsi="Arial" w:cs="Arial"/>
          <w:sz w:val="24"/>
          <w:szCs w:val="24"/>
          <w:lang w:eastAsia="en-US"/>
        </w:rPr>
      </w:pPr>
    </w:p>
    <w:p w14:paraId="05EC2DEF" w14:textId="77777777" w:rsidR="003F0043" w:rsidRDefault="003F0043" w:rsidP="003F0043">
      <w:pPr>
        <w:spacing w:before="120" w:after="120"/>
        <w:rPr>
          <w:rFonts w:ascii="Arial" w:hAnsi="Arial" w:cs="Arial"/>
          <w:sz w:val="24"/>
          <w:szCs w:val="24"/>
          <w:lang w:eastAsia="en-US"/>
        </w:rPr>
      </w:pPr>
    </w:p>
    <w:p w14:paraId="46464127" w14:textId="77777777" w:rsidR="003F0043" w:rsidRDefault="003F0043" w:rsidP="003F0043">
      <w:pPr>
        <w:spacing w:before="120" w:after="120"/>
        <w:rPr>
          <w:rFonts w:ascii="Arial" w:hAnsi="Arial" w:cs="Arial"/>
          <w:sz w:val="24"/>
          <w:szCs w:val="24"/>
          <w:lang w:eastAsia="en-US"/>
        </w:rPr>
      </w:pPr>
    </w:p>
    <w:p w14:paraId="41EB2B94" w14:textId="77777777" w:rsidR="003F0043" w:rsidRDefault="003F0043" w:rsidP="003F0043">
      <w:pPr>
        <w:spacing w:before="120" w:after="120"/>
        <w:rPr>
          <w:rFonts w:ascii="Arial" w:hAnsi="Arial" w:cs="Arial"/>
          <w:sz w:val="24"/>
          <w:szCs w:val="24"/>
          <w:lang w:eastAsia="en-US"/>
        </w:rPr>
      </w:pPr>
    </w:p>
    <w:p w14:paraId="202E6FC4" w14:textId="77777777" w:rsidR="003F0043" w:rsidRDefault="003F0043" w:rsidP="003F0043">
      <w:pPr>
        <w:spacing w:before="120" w:after="120"/>
        <w:rPr>
          <w:rFonts w:ascii="Arial" w:hAnsi="Arial" w:cs="Arial"/>
          <w:sz w:val="24"/>
          <w:szCs w:val="24"/>
          <w:lang w:eastAsia="en-US"/>
        </w:rPr>
      </w:pPr>
    </w:p>
    <w:p w14:paraId="18693485" w14:textId="77777777" w:rsidR="003F0043" w:rsidRDefault="003F0043" w:rsidP="003F0043">
      <w:pPr>
        <w:spacing w:before="120" w:after="120"/>
        <w:rPr>
          <w:rFonts w:ascii="Arial" w:hAnsi="Arial" w:cs="Arial"/>
          <w:sz w:val="24"/>
          <w:szCs w:val="24"/>
          <w:lang w:eastAsia="en-US"/>
        </w:rPr>
      </w:pPr>
    </w:p>
    <w:p w14:paraId="717BFC4F" w14:textId="77777777" w:rsidR="003F0043" w:rsidRDefault="003F0043" w:rsidP="003F0043">
      <w:pPr>
        <w:spacing w:before="120" w:after="120"/>
        <w:rPr>
          <w:rFonts w:ascii="Arial" w:hAnsi="Arial" w:cs="Arial"/>
          <w:sz w:val="24"/>
          <w:szCs w:val="24"/>
          <w:lang w:eastAsia="en-US"/>
        </w:rPr>
      </w:pPr>
    </w:p>
    <w:p w14:paraId="4A134D07" w14:textId="64376853" w:rsidR="003F0043" w:rsidRPr="003F0043" w:rsidRDefault="003F0043" w:rsidP="003F0043">
      <w:pPr>
        <w:spacing w:before="120" w:after="120"/>
        <w:rPr>
          <w:rFonts w:ascii="Arial" w:hAnsi="Arial" w:cs="Arial"/>
          <w:b/>
          <w:bCs/>
          <w:i/>
          <w:iCs/>
          <w:sz w:val="24"/>
          <w:szCs w:val="24"/>
          <w:u w:val="single"/>
          <w:lang w:eastAsia="en-US"/>
        </w:rPr>
      </w:pPr>
      <w:r w:rsidRPr="003F0043">
        <w:rPr>
          <w:rFonts w:ascii="Arial" w:hAnsi="Arial" w:cs="Arial"/>
          <w:b/>
          <w:bCs/>
          <w:i/>
          <w:iCs/>
          <w:sz w:val="24"/>
          <w:szCs w:val="24"/>
          <w:u w:val="single"/>
          <w:lang w:eastAsia="en-US"/>
        </w:rPr>
        <w:lastRenderedPageBreak/>
        <w:t>References</w:t>
      </w:r>
    </w:p>
    <w:p w14:paraId="67D69D06" w14:textId="77777777" w:rsidR="003F0043" w:rsidRDefault="003F0043" w:rsidP="003F0043">
      <w:pPr>
        <w:spacing w:before="120" w:after="120"/>
        <w:rPr>
          <w:rFonts w:ascii="Arial" w:hAnsi="Arial" w:cs="Arial"/>
          <w:sz w:val="24"/>
          <w:szCs w:val="24"/>
          <w:lang w:eastAsia="en-US"/>
        </w:rPr>
      </w:pPr>
    </w:p>
    <w:p w14:paraId="162B69DA" w14:textId="735A31EF"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 xml:space="preserve">Care Quality Commission (CQC) (2023) </w:t>
      </w:r>
      <w:r w:rsidRPr="003F0043">
        <w:rPr>
          <w:rFonts w:ascii="Arial" w:hAnsi="Arial" w:cs="Arial"/>
          <w:i/>
          <w:iCs/>
          <w:sz w:val="24"/>
          <w:szCs w:val="24"/>
          <w:lang w:eastAsia="en-US"/>
        </w:rPr>
        <w:t>Fundamental standards</w:t>
      </w:r>
      <w:r w:rsidRPr="003F0043">
        <w:rPr>
          <w:rFonts w:ascii="Arial" w:hAnsi="Arial" w:cs="Arial"/>
          <w:sz w:val="24"/>
          <w:szCs w:val="24"/>
          <w:lang w:eastAsia="en-US"/>
        </w:rPr>
        <w:t xml:space="preserve">. Available at: </w:t>
      </w:r>
      <w:hyperlink r:id="rId4" w:tgtFrame="_new" w:history="1">
        <w:r w:rsidRPr="003F0043">
          <w:rPr>
            <w:rStyle w:val="Hyperlink"/>
            <w:rFonts w:ascii="Arial" w:hAnsi="Arial" w:cs="Arial"/>
            <w:sz w:val="24"/>
            <w:szCs w:val="24"/>
            <w:lang w:eastAsia="en-US"/>
          </w:rPr>
          <w:t>https://www.cqc.org.uk</w:t>
        </w:r>
      </w:hyperlink>
      <w:r w:rsidRPr="003F0043">
        <w:rPr>
          <w:rFonts w:ascii="Arial" w:hAnsi="Arial" w:cs="Arial"/>
          <w:sz w:val="24"/>
          <w:szCs w:val="24"/>
          <w:lang w:eastAsia="en-US"/>
        </w:rPr>
        <w:t xml:space="preserve"> </w:t>
      </w:r>
    </w:p>
    <w:p w14:paraId="1A88974E" w14:textId="77777777"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 xml:space="preserve">Department of Health and Social Care (2018) </w:t>
      </w:r>
      <w:r w:rsidRPr="003F0043">
        <w:rPr>
          <w:rFonts w:ascii="Arial" w:hAnsi="Arial" w:cs="Arial"/>
          <w:i/>
          <w:iCs/>
          <w:sz w:val="24"/>
          <w:szCs w:val="24"/>
          <w:lang w:eastAsia="en-US"/>
        </w:rPr>
        <w:t>Data Protection Act 2018</w:t>
      </w:r>
      <w:r w:rsidRPr="003F0043">
        <w:rPr>
          <w:rFonts w:ascii="Arial" w:hAnsi="Arial" w:cs="Arial"/>
          <w:sz w:val="24"/>
          <w:szCs w:val="24"/>
          <w:lang w:eastAsia="en-US"/>
        </w:rPr>
        <w:t>. London: HMSO.</w:t>
      </w:r>
    </w:p>
    <w:p w14:paraId="05214D47" w14:textId="77777777"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Equality Act 2010. London: The Stationery Office.</w:t>
      </w:r>
    </w:p>
    <w:p w14:paraId="699E4A46" w14:textId="663A88AC"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 xml:space="preserve">Health and Care Professions Council (HCPC) (2023) </w:t>
      </w:r>
      <w:r w:rsidRPr="003F0043">
        <w:rPr>
          <w:rFonts w:ascii="Arial" w:hAnsi="Arial" w:cs="Arial"/>
          <w:i/>
          <w:iCs/>
          <w:sz w:val="24"/>
          <w:szCs w:val="24"/>
          <w:lang w:eastAsia="en-US"/>
        </w:rPr>
        <w:t>Standards of conduct, performance and ethics</w:t>
      </w:r>
      <w:r w:rsidRPr="003F0043">
        <w:rPr>
          <w:rFonts w:ascii="Arial" w:hAnsi="Arial" w:cs="Arial"/>
          <w:sz w:val="24"/>
          <w:szCs w:val="24"/>
          <w:lang w:eastAsia="en-US"/>
        </w:rPr>
        <w:t xml:space="preserve">. Available at: </w:t>
      </w:r>
      <w:hyperlink r:id="rId5" w:tgtFrame="_new" w:history="1">
        <w:r w:rsidRPr="003F0043">
          <w:rPr>
            <w:rStyle w:val="Hyperlink"/>
            <w:rFonts w:ascii="Arial" w:hAnsi="Arial" w:cs="Arial"/>
            <w:sz w:val="24"/>
            <w:szCs w:val="24"/>
            <w:lang w:eastAsia="en-US"/>
          </w:rPr>
          <w:t>https://www.hcpc-uk.org</w:t>
        </w:r>
      </w:hyperlink>
      <w:r w:rsidRPr="003F0043">
        <w:rPr>
          <w:rFonts w:ascii="Arial" w:hAnsi="Arial" w:cs="Arial"/>
          <w:sz w:val="24"/>
          <w:szCs w:val="24"/>
          <w:lang w:eastAsia="en-US"/>
        </w:rPr>
        <w:t xml:space="preserve"> </w:t>
      </w:r>
    </w:p>
    <w:p w14:paraId="78944315" w14:textId="6E9A0938"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 xml:space="preserve">NHS England (2019) </w:t>
      </w:r>
      <w:r w:rsidRPr="003F0043">
        <w:rPr>
          <w:rFonts w:ascii="Arial" w:hAnsi="Arial" w:cs="Arial"/>
          <w:i/>
          <w:iCs/>
          <w:sz w:val="24"/>
          <w:szCs w:val="24"/>
          <w:lang w:eastAsia="en-US"/>
        </w:rPr>
        <w:t>The NHS Long Term Plan</w:t>
      </w:r>
      <w:r w:rsidRPr="003F0043">
        <w:rPr>
          <w:rFonts w:ascii="Arial" w:hAnsi="Arial" w:cs="Arial"/>
          <w:sz w:val="24"/>
          <w:szCs w:val="24"/>
          <w:lang w:eastAsia="en-US"/>
        </w:rPr>
        <w:t xml:space="preserve">. Available at: </w:t>
      </w:r>
      <w:hyperlink r:id="rId6" w:tgtFrame="_new" w:history="1">
        <w:r w:rsidRPr="003F0043">
          <w:rPr>
            <w:rStyle w:val="Hyperlink"/>
            <w:rFonts w:ascii="Arial" w:hAnsi="Arial" w:cs="Arial"/>
            <w:sz w:val="24"/>
            <w:szCs w:val="24"/>
            <w:lang w:eastAsia="en-US"/>
          </w:rPr>
          <w:t>https://www.longtermplan.nhs.uk</w:t>
        </w:r>
      </w:hyperlink>
      <w:r w:rsidRPr="003F0043">
        <w:rPr>
          <w:rFonts w:ascii="Arial" w:hAnsi="Arial" w:cs="Arial"/>
          <w:sz w:val="24"/>
          <w:szCs w:val="24"/>
          <w:lang w:eastAsia="en-US"/>
        </w:rPr>
        <w:t xml:space="preserve"> </w:t>
      </w:r>
    </w:p>
    <w:p w14:paraId="6ADE6CCB" w14:textId="2660A846" w:rsidR="003F0043" w:rsidRPr="003F0043" w:rsidRDefault="003F0043" w:rsidP="003F0043">
      <w:pPr>
        <w:spacing w:before="120" w:after="120"/>
        <w:rPr>
          <w:rFonts w:ascii="Arial" w:hAnsi="Arial" w:cs="Arial"/>
          <w:sz w:val="24"/>
          <w:szCs w:val="24"/>
          <w:lang w:eastAsia="en-US"/>
        </w:rPr>
      </w:pPr>
      <w:r w:rsidRPr="003F0043">
        <w:rPr>
          <w:rFonts w:ascii="Arial" w:hAnsi="Arial" w:cs="Arial"/>
          <w:sz w:val="24"/>
          <w:szCs w:val="24"/>
          <w:lang w:eastAsia="en-US"/>
        </w:rPr>
        <w:t xml:space="preserve">NICE (2023) </w:t>
      </w:r>
      <w:r w:rsidRPr="003F0043">
        <w:rPr>
          <w:rFonts w:ascii="Arial" w:hAnsi="Arial" w:cs="Arial"/>
          <w:i/>
          <w:iCs/>
          <w:sz w:val="24"/>
          <w:szCs w:val="24"/>
          <w:lang w:eastAsia="en-US"/>
        </w:rPr>
        <w:t>Stroke rehabilitation in adults</w:t>
      </w:r>
      <w:r w:rsidRPr="003F0043">
        <w:rPr>
          <w:rFonts w:ascii="Arial" w:hAnsi="Arial" w:cs="Arial"/>
          <w:sz w:val="24"/>
          <w:szCs w:val="24"/>
          <w:lang w:eastAsia="en-US"/>
        </w:rPr>
        <w:t xml:space="preserve">. Available at: </w:t>
      </w:r>
      <w:hyperlink r:id="rId7" w:tgtFrame="_new" w:history="1">
        <w:r w:rsidRPr="003F0043">
          <w:rPr>
            <w:rStyle w:val="Hyperlink"/>
            <w:rFonts w:ascii="Arial" w:hAnsi="Arial" w:cs="Arial"/>
            <w:sz w:val="24"/>
            <w:szCs w:val="24"/>
            <w:lang w:eastAsia="en-US"/>
          </w:rPr>
          <w:t>https://www.nice.org.uk</w:t>
        </w:r>
      </w:hyperlink>
      <w:r w:rsidRPr="003F0043">
        <w:rPr>
          <w:rFonts w:ascii="Arial" w:hAnsi="Arial" w:cs="Arial"/>
          <w:sz w:val="24"/>
          <w:szCs w:val="24"/>
          <w:lang w:eastAsia="en-US"/>
        </w:rPr>
        <w:t xml:space="preserve"> </w:t>
      </w:r>
    </w:p>
    <w:p w14:paraId="18F8F3D5" w14:textId="77777777" w:rsidR="003F0043" w:rsidRDefault="003F0043" w:rsidP="003F0043">
      <w:pPr>
        <w:spacing w:before="120" w:after="120"/>
        <w:rPr>
          <w:rFonts w:ascii="Arial" w:hAnsi="Arial" w:cs="Arial"/>
          <w:sz w:val="24"/>
          <w:szCs w:val="24"/>
          <w:lang w:eastAsia="en-US"/>
        </w:rPr>
      </w:pPr>
    </w:p>
    <w:p w14:paraId="5B15E6BB" w14:textId="77777777" w:rsidR="003F0043" w:rsidRDefault="003F0043" w:rsidP="003F0043">
      <w:pPr>
        <w:spacing w:before="120" w:after="120"/>
        <w:rPr>
          <w:rFonts w:ascii="Arial" w:hAnsi="Arial" w:cs="Arial"/>
          <w:sz w:val="24"/>
          <w:szCs w:val="24"/>
          <w:lang w:eastAsia="en-US"/>
        </w:rPr>
      </w:pPr>
    </w:p>
    <w:p w14:paraId="534834A9" w14:textId="77777777" w:rsidR="003F0043" w:rsidRDefault="003F0043" w:rsidP="003F0043">
      <w:pPr>
        <w:spacing w:before="120" w:after="120"/>
        <w:rPr>
          <w:rFonts w:ascii="Arial" w:hAnsi="Arial" w:cs="Arial"/>
          <w:sz w:val="24"/>
          <w:szCs w:val="24"/>
          <w:lang w:eastAsia="en-US"/>
        </w:rPr>
      </w:pPr>
    </w:p>
    <w:p w14:paraId="22E4A362" w14:textId="77777777" w:rsidR="003F0043" w:rsidRDefault="003F0043" w:rsidP="003F0043">
      <w:pPr>
        <w:spacing w:before="120" w:after="120"/>
        <w:rPr>
          <w:rFonts w:ascii="Arial" w:hAnsi="Arial" w:cs="Arial"/>
          <w:sz w:val="24"/>
          <w:szCs w:val="24"/>
          <w:lang w:eastAsia="en-US"/>
        </w:rPr>
      </w:pPr>
    </w:p>
    <w:p w14:paraId="546A391C" w14:textId="77777777" w:rsidR="003F0043" w:rsidRDefault="003F0043" w:rsidP="003F0043">
      <w:pPr>
        <w:spacing w:before="120" w:after="120"/>
        <w:rPr>
          <w:rFonts w:ascii="Arial" w:hAnsi="Arial" w:cs="Arial"/>
          <w:sz w:val="24"/>
          <w:szCs w:val="24"/>
          <w:lang w:eastAsia="en-US"/>
        </w:rPr>
      </w:pPr>
    </w:p>
    <w:p w14:paraId="317FAD67" w14:textId="77777777" w:rsidR="003F0043" w:rsidRDefault="003F0043" w:rsidP="003F0043">
      <w:pPr>
        <w:spacing w:before="120" w:after="120"/>
        <w:rPr>
          <w:rFonts w:ascii="Arial" w:hAnsi="Arial" w:cs="Arial"/>
          <w:sz w:val="24"/>
          <w:szCs w:val="24"/>
          <w:lang w:eastAsia="en-US"/>
        </w:rPr>
      </w:pPr>
    </w:p>
    <w:p w14:paraId="58312669" w14:textId="77777777" w:rsidR="003F0043" w:rsidRDefault="003F0043" w:rsidP="003F0043">
      <w:pPr>
        <w:spacing w:before="120" w:after="120"/>
        <w:rPr>
          <w:rFonts w:ascii="Arial" w:hAnsi="Arial" w:cs="Arial"/>
          <w:sz w:val="24"/>
          <w:szCs w:val="24"/>
          <w:lang w:eastAsia="en-US"/>
        </w:rPr>
      </w:pPr>
    </w:p>
    <w:p w14:paraId="13BC5335" w14:textId="77777777" w:rsidR="003F0043" w:rsidRDefault="003F0043" w:rsidP="003F0043">
      <w:pPr>
        <w:spacing w:before="120" w:after="120"/>
        <w:rPr>
          <w:rFonts w:ascii="Arial" w:hAnsi="Arial" w:cs="Arial"/>
          <w:sz w:val="24"/>
          <w:szCs w:val="24"/>
          <w:lang w:eastAsia="en-US"/>
        </w:rPr>
      </w:pPr>
    </w:p>
    <w:p w14:paraId="75EE2492" w14:textId="77777777" w:rsidR="003F0043" w:rsidRDefault="003F0043" w:rsidP="003F0043">
      <w:pPr>
        <w:spacing w:before="120" w:after="120"/>
        <w:rPr>
          <w:rFonts w:ascii="Arial" w:hAnsi="Arial" w:cs="Arial"/>
          <w:sz w:val="24"/>
          <w:szCs w:val="24"/>
          <w:lang w:eastAsia="en-US"/>
        </w:rPr>
      </w:pPr>
    </w:p>
    <w:p w14:paraId="665A786D" w14:textId="77777777" w:rsidR="003F0043" w:rsidRDefault="003F0043" w:rsidP="003F0043">
      <w:pPr>
        <w:spacing w:before="120" w:after="120"/>
        <w:rPr>
          <w:rFonts w:ascii="Arial" w:hAnsi="Arial" w:cs="Arial"/>
          <w:sz w:val="24"/>
          <w:szCs w:val="24"/>
          <w:lang w:eastAsia="en-US"/>
        </w:rPr>
      </w:pPr>
    </w:p>
    <w:p w14:paraId="7D82151E" w14:textId="77777777" w:rsidR="003F0043" w:rsidRDefault="003F0043" w:rsidP="003F0043">
      <w:pPr>
        <w:spacing w:before="120" w:after="120"/>
        <w:rPr>
          <w:rFonts w:ascii="Arial" w:hAnsi="Arial" w:cs="Arial"/>
          <w:sz w:val="24"/>
          <w:szCs w:val="24"/>
          <w:lang w:eastAsia="en-US"/>
        </w:rPr>
      </w:pPr>
    </w:p>
    <w:p w14:paraId="48737C92" w14:textId="77777777" w:rsidR="003F0043" w:rsidRDefault="003F0043" w:rsidP="003F0043">
      <w:pPr>
        <w:spacing w:before="120" w:after="120"/>
        <w:rPr>
          <w:rFonts w:ascii="Arial" w:hAnsi="Arial" w:cs="Arial"/>
          <w:sz w:val="24"/>
          <w:szCs w:val="24"/>
          <w:lang w:eastAsia="en-US"/>
        </w:rPr>
      </w:pPr>
    </w:p>
    <w:p w14:paraId="46393E94" w14:textId="77777777" w:rsidR="003F0043" w:rsidRDefault="003F0043" w:rsidP="003F0043">
      <w:pPr>
        <w:spacing w:before="120" w:after="120"/>
        <w:rPr>
          <w:rFonts w:ascii="Arial" w:hAnsi="Arial" w:cs="Arial"/>
          <w:sz w:val="24"/>
          <w:szCs w:val="24"/>
          <w:lang w:eastAsia="en-US"/>
        </w:rPr>
      </w:pPr>
    </w:p>
    <w:p w14:paraId="52A7B915" w14:textId="77777777" w:rsidR="003F0043" w:rsidRPr="003F0043" w:rsidRDefault="003F0043" w:rsidP="003F0043">
      <w:pPr>
        <w:spacing w:before="120" w:after="120"/>
        <w:rPr>
          <w:rFonts w:ascii="Arial" w:hAnsi="Arial" w:cs="Arial"/>
          <w:sz w:val="24"/>
          <w:szCs w:val="24"/>
          <w:lang w:eastAsia="en-US"/>
        </w:rPr>
      </w:pPr>
    </w:p>
    <w:sectPr w:rsidR="003F0043" w:rsidRPr="003F0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79E"/>
    <w:rsid w:val="003060B4"/>
    <w:rsid w:val="003F0043"/>
    <w:rsid w:val="004479CC"/>
    <w:rsid w:val="004B40C3"/>
    <w:rsid w:val="005B26E9"/>
    <w:rsid w:val="00A0681D"/>
    <w:rsid w:val="00A06C3A"/>
    <w:rsid w:val="00B52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6E498"/>
  <w15:chartTrackingRefBased/>
  <w15:docId w15:val="{42C41291-D357-479E-84A5-119BE053C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6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527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7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7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7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7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79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79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79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79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7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7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7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7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7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7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7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7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79E"/>
    <w:rPr>
      <w:rFonts w:eastAsiaTheme="majorEastAsia" w:cstheme="majorBidi"/>
      <w:color w:val="272727" w:themeColor="text1" w:themeTint="D8"/>
    </w:rPr>
  </w:style>
  <w:style w:type="paragraph" w:styleId="Title">
    <w:name w:val="Title"/>
    <w:basedOn w:val="Normal"/>
    <w:next w:val="Normal"/>
    <w:link w:val="TitleChar"/>
    <w:uiPriority w:val="10"/>
    <w:qFormat/>
    <w:rsid w:val="00B5279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7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7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7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79E"/>
    <w:pPr>
      <w:spacing w:before="160"/>
      <w:jc w:val="center"/>
    </w:pPr>
    <w:rPr>
      <w:i/>
      <w:iCs/>
      <w:color w:val="404040" w:themeColor="text1" w:themeTint="BF"/>
    </w:rPr>
  </w:style>
  <w:style w:type="character" w:customStyle="1" w:styleId="QuoteChar">
    <w:name w:val="Quote Char"/>
    <w:basedOn w:val="DefaultParagraphFont"/>
    <w:link w:val="Quote"/>
    <w:uiPriority w:val="29"/>
    <w:rsid w:val="00B5279E"/>
    <w:rPr>
      <w:i/>
      <w:iCs/>
      <w:color w:val="404040" w:themeColor="text1" w:themeTint="BF"/>
    </w:rPr>
  </w:style>
  <w:style w:type="paragraph" w:styleId="ListParagraph">
    <w:name w:val="List Paragraph"/>
    <w:basedOn w:val="Normal"/>
    <w:uiPriority w:val="34"/>
    <w:qFormat/>
    <w:rsid w:val="00B5279E"/>
    <w:pPr>
      <w:ind w:left="720"/>
      <w:contextualSpacing/>
    </w:pPr>
  </w:style>
  <w:style w:type="character" w:styleId="IntenseEmphasis">
    <w:name w:val="Intense Emphasis"/>
    <w:basedOn w:val="DefaultParagraphFont"/>
    <w:uiPriority w:val="21"/>
    <w:qFormat/>
    <w:rsid w:val="00B5279E"/>
    <w:rPr>
      <w:i/>
      <w:iCs/>
      <w:color w:val="0F4761" w:themeColor="accent1" w:themeShade="BF"/>
    </w:rPr>
  </w:style>
  <w:style w:type="paragraph" w:styleId="IntenseQuote">
    <w:name w:val="Intense Quote"/>
    <w:basedOn w:val="Normal"/>
    <w:next w:val="Normal"/>
    <w:link w:val="IntenseQuoteChar"/>
    <w:uiPriority w:val="30"/>
    <w:qFormat/>
    <w:rsid w:val="00B527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79E"/>
    <w:rPr>
      <w:i/>
      <w:iCs/>
      <w:color w:val="0F4761" w:themeColor="accent1" w:themeShade="BF"/>
    </w:rPr>
  </w:style>
  <w:style w:type="character" w:styleId="IntenseReference">
    <w:name w:val="Intense Reference"/>
    <w:basedOn w:val="DefaultParagraphFont"/>
    <w:uiPriority w:val="32"/>
    <w:qFormat/>
    <w:rsid w:val="00B5279E"/>
    <w:rPr>
      <w:b/>
      <w:bCs/>
      <w:smallCaps/>
      <w:color w:val="0F4761" w:themeColor="accent1" w:themeShade="BF"/>
      <w:spacing w:val="5"/>
    </w:rPr>
  </w:style>
  <w:style w:type="character" w:styleId="Hyperlink">
    <w:name w:val="Hyperlink"/>
    <w:basedOn w:val="DefaultParagraphFont"/>
    <w:uiPriority w:val="99"/>
    <w:unhideWhenUsed/>
    <w:rsid w:val="003F0043"/>
    <w:rPr>
      <w:color w:val="467886" w:themeColor="hyperlink"/>
      <w:u w:val="single"/>
    </w:rPr>
  </w:style>
  <w:style w:type="character" w:styleId="UnresolvedMention">
    <w:name w:val="Unresolved Mention"/>
    <w:basedOn w:val="DefaultParagraphFont"/>
    <w:uiPriority w:val="99"/>
    <w:semiHidden/>
    <w:unhideWhenUsed/>
    <w:rsid w:val="003F00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ic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ngtermplan.nhs.uk" TargetMode="External"/><Relationship Id="rId5" Type="http://schemas.openxmlformats.org/officeDocument/2006/relationships/hyperlink" Target="https://www.hcpc-uk.org" TargetMode="External"/><Relationship Id="rId4" Type="http://schemas.openxmlformats.org/officeDocument/2006/relationships/hyperlink" Target="https://www.cqc.org.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1672</Words>
  <Characters>9532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3</cp:revision>
  <dcterms:created xsi:type="dcterms:W3CDTF">2026-03-25T23:33:00Z</dcterms:created>
  <dcterms:modified xsi:type="dcterms:W3CDTF">2026-03-25T23:57:00Z</dcterms:modified>
</cp:coreProperties>
</file>