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r>
        <w:rPr>
          <w:rFonts w:hint="default" w:ascii="Arial" w:hAnsi="Arial" w:eastAsia="宋体" w:cs="Arial"/>
          <w:sz w:val="24"/>
          <w:szCs w:val="24"/>
          <w:lang w:eastAsia="zh-CN"/>
        </w:rPr>
        <w:drawing>
          <wp:inline distT="0" distB="0" distL="114300" distR="114300">
            <wp:extent cx="6138545" cy="8714105"/>
            <wp:effectExtent l="0" t="0" r="3175" b="3175"/>
            <wp:docPr id="1" name="图片 1"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封面"/>
                    <pic:cNvPicPr>
                      <a:picLocks noChangeAspect="1"/>
                    </pic:cNvPicPr>
                  </pic:nvPicPr>
                  <pic:blipFill>
                    <a:blip r:embed="rId5"/>
                    <a:stretch>
                      <a:fillRect/>
                    </a:stretch>
                  </pic:blipFill>
                  <pic:spPr>
                    <a:xfrm>
                      <a:off x="0" y="0"/>
                      <a:ext cx="6138545" cy="8714105"/>
                    </a:xfrm>
                    <a:prstGeom prst="rect">
                      <a:avLst/>
                    </a:prstGeom>
                  </pic:spPr>
                </pic:pic>
              </a:graphicData>
            </a:graphic>
          </wp:inline>
        </w:drawing>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32"/>
          <w:szCs w:val="32"/>
          <w:lang w:val="en-US" w:eastAsia="zh-CN"/>
        </w:rPr>
      </w:pPr>
      <w:r>
        <w:rPr>
          <w:rFonts w:hint="default" w:ascii="Arial" w:hAnsi="Arial" w:cs="Arial"/>
          <w:sz w:val="32"/>
          <w:szCs w:val="32"/>
        </w:rPr>
        <w:t>Introduction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This essay is about the business communication challenges that British companies may face when developing their business to Italy.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Lenzi (2022), “Italy is the third largest economy in the Eurozone and the eighth largest economy in the world with a GDP of approximately $2 trillion.” The Italian market can offer a wealth of business opportunities and has a local population of over 60 million (Lenzi, 2022). This could show that Italy holds a key position in the European business sector and that the local resources and skills could provide new business opportunities for British companies.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Italy is situated on the southern edge of the EU, which happens to be a bridge between Europe and Africa and the Asia-Pacific region (Lenzi, 2022). This shows that Italy occupies an excellent geographical location because most of the international trade passes through this country, so the country is well equipped to export and import from the market.</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culture of Italy is characterised by high diversity in terms of local traditions, resources, language, attitudes and values (Masino, 2008). This shows that Italy is culturally wealthy, so British companies wanting to enter into an international communication with them first need to understand the cultural background of their country.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main characteristics of the business culture in Italy are family orientated, towards academic achievement, love of communication, use non-verbal communication, and maintaining a good image appearance (Grigoreva, 2017). This shows that Italians are very conscious of their business culture and they even need to wear formal clothes.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There is a difference between the business culture in the south and north of Italy, so British businesses need to do more research and communication if they want to build a long-term and stable trusting relationship with them (Musolino, 2018).</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Here, I suggest that the difficulties and challenges that British companies will face if they want to develop their business in Italy include Formal Dress, Language Difficulty, Conference Etiquette, Communication Style, Leadership Style, and Decision-making.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 will develop a strategic plan of considerations based on these challenges, and those considerations will be able to solve the problems that companies face when they communicate in international business.</w:t>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r>
        <w:rPr>
          <w:rFonts w:hint="default" w:ascii="Arial" w:hAnsi="Arial" w:cs="Arial"/>
          <w:sz w:val="32"/>
          <w:szCs w:val="32"/>
        </w:rPr>
        <w:t>International Business Communication Situations</w:t>
      </w:r>
      <w:r>
        <w:rPr>
          <w:rFonts w:hint="default" w:ascii="Arial" w:hAnsi="Arial" w:eastAsia="宋体" w:cs="Arial"/>
          <w:sz w:val="32"/>
          <w:szCs w:val="32"/>
          <w:lang w:val="en-US" w:eastAsia="zh-CN"/>
        </w:rPr>
        <w:t xml:space="preserve"> and </w:t>
      </w:r>
      <w:r>
        <w:rPr>
          <w:rFonts w:hint="default" w:ascii="Arial" w:hAnsi="Arial" w:cs="Arial"/>
          <w:sz w:val="32"/>
          <w:szCs w:val="32"/>
        </w:rPr>
        <w:t>Strategies to Overcome</w:t>
      </w:r>
    </w:p>
    <w:p>
      <w:pPr>
        <w:keepNext w:val="0"/>
        <w:keepLines w:val="0"/>
        <w:pageBreakBefore w:val="0"/>
        <w:widowControl/>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Formal Dress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Some countries have a tradition of wanting to show their approach to business meetings by wearing formal clothing, while others are more open-minded about the dress culture. This can lead to unnecessary misunderstandings between the two parties if they are not reasonably negotiated.</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the modern days, British businesses are putting behind their dress traditions and many workplaces are allowing their workers to dress more casually in business casual clothes. Business leaders want their workers to look professional and feel comfortable at the same time (Indeed Editorial Team, 2023). This means that workers in British companies will be used to wearing comfortable and personalised business casual clothing because it reduces the seriousness of the atmosphere.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Solly (2008, pp.2-3), I have found that Italians place a lot of importance on wearing formal dress in the workplace because they want to make a good impression on the others. For example, men will wear tailored suits and ties, while women will wear fashionable business dresses, blouses and jewellery. (Solly, 2008, pp.2-3) This shows that the dressing etiquette of Italians already belongs to is their traditional culture, so British companies need to make long-term changes in dressing in order to integrate into Italian business organisations.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Pr>
        <w:drawing>
          <wp:inline distT="0" distB="0" distL="114300" distR="114300">
            <wp:extent cx="5814060" cy="1487170"/>
            <wp:effectExtent l="0" t="0" r="7620" b="6350"/>
            <wp:docPr id="1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3"/>
                    <pic:cNvPicPr>
                      <a:picLocks noChangeAspect="1"/>
                    </pic:cNvPicPr>
                  </pic:nvPicPr>
                  <pic:blipFill>
                    <a:blip r:embed="rId6"/>
                    <a:srcRect l="7497" t="32162" r="28747" b="38854"/>
                    <a:stretch>
                      <a:fillRect/>
                    </a:stretch>
                  </pic:blipFill>
                  <pic:spPr>
                    <a:xfrm>
                      <a:off x="0" y="0"/>
                      <a:ext cx="5814060" cy="148717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Language Difficulty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We can not rule out the fact that some companies or people in some countries only speak one language, so it would be a major problem if they could not communicate with each other in the same language.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the Office for National Statistics (2022) in 2021, “91. 1% (52.6 million) of the resident population aged three years and over in England and Wales speak English as their main language. There are also regional language speakers in the UK including Welsh, Gaelic, Scots, Irish, and Cornish etc” (British Council, 2023). This means that most people in the British are accustomed to using their regional language and English, while a few people will learn the languages of other countries. This is also a part of the reason that English is supposed to be one of the global languages (Seidlhofer, 2004).</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BBC (2014), “Italian is the official language of Italy and is spoken by 93% of the population. Other northern minority languages include Latin, German, and French etc” (BBC, 2014). Through these data surveys, I have clearly understood that both British a</w:t>
      </w:r>
      <w:bookmarkStart w:id="0" w:name="_GoBack"/>
      <w:bookmarkEnd w:id="0"/>
      <w:r>
        <w:rPr>
          <w:rFonts w:hint="default" w:ascii="Arial" w:hAnsi="Arial" w:eastAsia="宋体" w:cs="Arial"/>
          <w:sz w:val="24"/>
          <w:szCs w:val="24"/>
          <w:lang w:val="en-US" w:eastAsia="zh-CN"/>
        </w:rPr>
        <w:t>nd Italy favour the use of their country's mother language, so they will have a major language barrier problem when communicating in business.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drawing>
          <wp:inline distT="0" distB="0" distL="114300" distR="114300">
            <wp:extent cx="5820410" cy="2226310"/>
            <wp:effectExtent l="0" t="0" r="1270" b="1397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7"/>
                    <a:stretch>
                      <a:fillRect/>
                    </a:stretch>
                  </pic:blipFill>
                  <pic:spPr>
                    <a:xfrm>
                      <a:off x="0" y="0"/>
                      <a:ext cx="5820410" cy="222631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Conference Etiquette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Different countries will have very different ways of greeting each other, some will be very enthusiastic, while others will be more reserved. If their behaviour is opposite this can create an awkward situation and even a misunderstanding of disrespect.</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Okoro (2012), British businessmen would behave in a reserved manner and this is reflected in their strict adherence to agreements and programmes. At the beginning and end of a business meeting, they are used to shaking hands with the people in the room because this is their way of showing politeness (Okoro, 2012). This shows that businessmen in the British would be more conservative in their behaviour, however they would show quite a lot of politeness about etiquette and rules.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Gevorkyan (2016), Italians like warm greetings and this type of greeting is expected to get closer to each other, while better friends will have close physical contact or kiss each other on the cheek. This means that to have a good relationship with Italians you need to co-ordinate with their way of greeting, such as shaking hands and hugging.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For pre-meeting arrangements, Italians would like to be notified 2-3 weeks in advance and they are also used to confirming the meeting process twice (Gevorkyan, 2016). This shows that Italians would like to receive meeting appointments in advance so that they can better plan their personal time to attend the meeting.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Trompenaars and Hampden-Turner cover the 7 Dimensions model and the main purpose is to compare the cultural differences in conducting business and management between different countries or regions (Pirlog, 2021).</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the British belong to the Sequential because they focus on getting the first task done before starting the next one. The purpose of meetings in British companies includes communicating targets, discussing collectively, making plans, and time scheduling. All decisions will be resolved at the end of the meeting (Trompenaars Hampden-Turner, 2023). This shows that they are used to attending meetings on time and solving problems efficiently in the meetings, focusing on talking about the right things during the whole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Italy belongs to Synchronic because they can handle multiple tasks at the same time, so they are used to being flexible with their time to get things done or attend meetings (Trompenaars Hampden-Turner, 2023). The southerners in Italy often fail to reach on time but the northerners would consider being late as impolite behaviour (Gevorkyan, 2016). This shows that Italians have a flexible way of working, they can work on multiple projects at the same time, but they may not have the means to keep an appointment to finish on time.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cs="Arial"/>
        </w:rPr>
        <w:drawing>
          <wp:inline distT="0" distB="0" distL="114300" distR="114300">
            <wp:extent cx="5833110" cy="2969260"/>
            <wp:effectExtent l="0" t="0" r="3810" b="2540"/>
            <wp:docPr id="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5"/>
                    <pic:cNvPicPr>
                      <a:picLocks noChangeAspect="1"/>
                    </pic:cNvPicPr>
                  </pic:nvPicPr>
                  <pic:blipFill>
                    <a:blip r:embed="rId8"/>
                    <a:srcRect l="7493" t="27741" r="28696" b="15100"/>
                    <a:stretch>
                      <a:fillRect/>
                    </a:stretch>
                  </pic:blipFill>
                  <pic:spPr>
                    <a:xfrm>
                      <a:off x="0" y="0"/>
                      <a:ext cx="5833110" cy="296926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Communication Style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The difference in communication styles may be due to the fact that the two countries belong to different context cultures. High context cultures prefer to keep key messages subtle, whereas low context cultures want to be explicit (Hall, de Jong and Michaël, 2004). This may lead to the low context person being unable to perceive the emotive language expressed by the high context person, so that both people may not be able to really read each other's meaning.</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United Language Group (2023), the British belongs to a low-context culture because their speaking way is direct and short, which helps them to share ideas with their team efficiently. This shows that they are focused on progressing the flow of meetings at work rather than spending time communicating informally.</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British companies use email to convey information most commonly and their phrasing is also polite and formal (Commisceo Global Consulting Ltd, 2020b). This shows that email is popular with British workers and it is convenient for sending greetings, invitations to meetings, and transmitting documents or electronic contracts.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United Language Group (2023), Italians belongs to a high-context culture because they use body language and gestures to show their emotional changes, and they like to make small talk before a meeting to keep up with what is going on in other people's daily lives.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Italians also use email, but they are used to make important things and requests clear to the person concerned. They prefer face-to-face or telephone communication to solve problems because it is more efficient for them to clear up information (Commisceo Global Consulting Ltd, 2020a). This means that communicating with Italians should reduce using emails and it is better to use face-to-face communication to inform them about the matter in a complete detail.</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the British belong to the Neutral because they are good at controlling their emotions from outside influences, so they are more rational than emotional. For example, when a leader asks a colleague to redo a task, they will say "I'm sorry", but the actual meaning of an apology also includes an expression of dissatisfaction or anger (Gevorkyan, 2016). This shows that British people are good at keeping things reasonable when communicating with each other, which helps them to be more organised and professional when doing things.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Trompenaars Hampden-Turner (2023), Italy belongs to Affective because they are good at expressing their emotional changes with body language and tend to be emotional when they speak. For example, when Italians are negotiating with others, they will act like they are jumping around actively, but they may actually just be struggling to make a statement (Gevorkyan, 2016). This shows that during communication Italians are used to showing their personal feelings directly into their emotional changes and they are not good at hiding things.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826125" cy="3838575"/>
            <wp:effectExtent l="0" t="0" r="10795" b="1905"/>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9"/>
                    <a:srcRect l="229" t="255" r="337" b="566"/>
                    <a:stretch>
                      <a:fillRect/>
                    </a:stretch>
                  </pic:blipFill>
                  <pic:spPr>
                    <a:xfrm>
                      <a:off x="0" y="0"/>
                      <a:ext cx="5826125" cy="383857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b/>
          <w:bCs/>
          <w:sz w:val="28"/>
          <w:szCs w:val="28"/>
          <w:highlight w:val="none"/>
          <w:lang w:val="en-US" w:eastAsia="zh-CN"/>
        </w:rPr>
      </w:pPr>
      <w:r>
        <w:rPr>
          <w:rFonts w:hint="default" w:ascii="Arial" w:hAnsi="Arial" w:eastAsia="宋体" w:cs="Arial"/>
          <w:b/>
          <w:bCs/>
          <w:sz w:val="28"/>
          <w:szCs w:val="28"/>
          <w:highlight w:val="none"/>
          <w:lang w:val="en-US" w:eastAsia="zh-CN"/>
        </w:rPr>
        <w:t>Leadership Style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The difference in leadership styles can lead to an internationalised business not being able to reach a consensus with another business. For example, some companies are used to delegating power to their workers, while others will focus on hierarchy to centralise power. Without a reasonable way to harmonise leadership styles, this could be a challenge as it would cause internal confusion and disagreement. As well, some businesses will be profit orientated, while other businesses will be primarily concerned with the community's needs and the benefit of their members. These are two completely different types of ideologies, so it is important for managers to convince both sides to make concessions and negotiate.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Khan (2021), the management style in British has been changing and they want to change the traditional and conservative values of the past. In British business events, they always arrive at the place on time and prepare important discussion topics in advance (Khan, 2021). This shows that no matter which management style British companies use, they still stick to the concept of time and prepare well for the meeting materials.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Warburton (2023), Italian companies will emphasise the importance of hierarchy and verticalised management so that most decisions are made at the top. Managers are likely to adopt paternalistic attitudes towards their workers because they will be concerned about their members' working conditions and events outside of the workplace (Warburton, 2023). This shows that Italian companies manage their teams as a family and their leaders will be concerned about the working condition of their workers. They will also ask their workers to respect the hierarchy, such as those with seniority and senior officers, because the power is held in the hands of those guys.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Toppan (2017) British belongs to Individualism because they are more tend to focus on individual benefits rather than collective benefits. They want to take care of themselves and their immediate relatives while social contribution is not necessary (Toppan, 2017). This shows that a part of the British companies' workers and managers' objectives are dominated by short-term personal benefits, while they do not care much about realising social needs and targets.</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According to Chang (2022), Italy is more in favour of Communitarianism because they are more focused on the needs of the social community before their personal benefits. The enthusiasm of Italians also covers caring for others and they are the ones who are willing to spend their personal time to help others with their problems (Chang, 2022). This shows that Italians will put the needs of the community first and are used to sharing their kindness and warmth to others. In business, they take everyone's benefits into consideration and the managers will give proper help and care.</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val="en-US" w:eastAsia="zh-CN"/>
        </w:rPr>
      </w:pPr>
      <w:r>
        <w:rPr>
          <w:rFonts w:hint="default" w:ascii="Arial" w:hAnsi="Arial" w:cs="Arial"/>
        </w:rPr>
        <w:drawing>
          <wp:inline distT="0" distB="0" distL="114300" distR="114300">
            <wp:extent cx="5818505" cy="3181985"/>
            <wp:effectExtent l="0" t="0" r="3175" b="3175"/>
            <wp:docPr id="1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7"/>
                    <pic:cNvPicPr>
                      <a:picLocks noChangeAspect="1"/>
                    </pic:cNvPicPr>
                  </pic:nvPicPr>
                  <pic:blipFill>
                    <a:blip r:embed="rId10"/>
                    <a:srcRect l="6284" t="31370" r="40569" b="18077"/>
                    <a:stretch>
                      <a:fillRect/>
                    </a:stretch>
                  </pic:blipFill>
                  <pic:spPr>
                    <a:xfrm>
                      <a:off x="0" y="0"/>
                      <a:ext cx="5818505" cy="318198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highlight w:val="none"/>
          <w:lang w:val="en-US"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8"/>
          <w:szCs w:val="28"/>
          <w:highlight w:val="none"/>
          <w:lang w:val="en-US" w:eastAsia="zh-CN"/>
        </w:rPr>
      </w:pPr>
      <w:r>
        <w:rPr>
          <w:rFonts w:hint="default" w:ascii="Arial" w:hAnsi="Arial" w:cs="Arial"/>
          <w:b/>
          <w:bCs/>
          <w:sz w:val="28"/>
          <w:szCs w:val="28"/>
          <w:highlight w:val="none"/>
          <w:lang w:val="en-US" w:eastAsia="zh-CN"/>
        </w:rPr>
        <w:t>Decision-making</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Chan (2009, pp.159-160), the main characteristic of a successful business in the global arena is the ability to make good decisions, and the business leader always has to consider all the internal and external influences and make the best choice for the business. If the leader's decision does not satisfy everyone, divisions may arise within the organisation because they disagree with the final decision (Chan, 2009, pp.159-160). This shows that the final decision must satisfy everyone, otherwise it will be easier to have constant disputes.</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Frank (2021), most managers in British organisations believe that it is important to reach a consensus with internal staff and that each individual and department should be consulted before decisions are made. Workers can be included in the consultation, which promotes teamwork and information flow force in the organisation. Of course, some organisations also bring the highest level leaders together to make decisions, so decision making can be laborious (Frank, 2021). This shows that British businesses look at the advice of all stakeholders before making decisions, so they are able to gather a wider range of comments, which helps the business to make an objective decision.</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eastAsia="宋体" w:cs="Arial"/>
          <w:sz w:val="24"/>
          <w:szCs w:val="24"/>
          <w:highlight w:val="none"/>
          <w:lang w:val="en-US" w:eastAsia="zh-CN"/>
        </w:rPr>
        <w:t>According to Buswell (2023), hierarchy is important in Italian business so most of the things are negotiated by the top management people and they do not consider it necessary to involve the lower level workers in the negotiation. Sometimes, workers can have a speech to give suggestions, but the top management may make subjective decisions based on their own ideas (Buswell, 2023). This shows that executives in Italian companies often use authoritarian power to make business plans and decisions and their subordinates are submissive to what their leaders say.</w:t>
      </w: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宋体" w:cs="Arial"/>
          <w:sz w:val="24"/>
          <w:szCs w:val="24"/>
          <w:highlight w:val="none"/>
          <w:lang w:val="en-US" w:eastAsia="zh-CN"/>
        </w:rPr>
      </w:pPr>
      <w:r>
        <w:rPr>
          <w:rFonts w:hint="default" w:ascii="Arial" w:hAnsi="Arial" w:cs="Arial"/>
        </w:rPr>
        <w:drawing>
          <wp:inline distT="0" distB="0" distL="114300" distR="114300">
            <wp:extent cx="5818505" cy="1911350"/>
            <wp:effectExtent l="0" t="0" r="3175" b="8890"/>
            <wp:docPr id="1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8"/>
                    <pic:cNvPicPr>
                      <a:picLocks noChangeAspect="1"/>
                    </pic:cNvPicPr>
                  </pic:nvPicPr>
                  <pic:blipFill>
                    <a:blip r:embed="rId11"/>
                    <a:srcRect l="6359" t="43034" r="40563" b="27827"/>
                    <a:stretch>
                      <a:fillRect/>
                    </a:stretch>
                  </pic:blipFill>
                  <pic:spPr>
                    <a:xfrm>
                      <a:off x="0" y="0"/>
                      <a:ext cx="5818505" cy="19113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eastAsia="宋体" w:cs="Arial"/>
          <w:sz w:val="24"/>
          <w:szCs w:val="24"/>
          <w:lang w:eastAsia="zh-CN"/>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rPr>
      </w:pPr>
      <w:r>
        <w:rPr>
          <w:rFonts w:hint="default" w:ascii="Arial" w:hAnsi="Arial" w:cs="Arial"/>
          <w:sz w:val="32"/>
          <w:szCs w:val="32"/>
        </w:rPr>
        <w:t>Conclusion</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The whole essay is about the challenges that British and Italian companies encounter when they communicate in international business. </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The first challenge will be the requirement for British companies to focus on their clean appearance and to show respect by wearing formal dress.</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The second challenge is that British companies will need to employ interpreters to communicate with Italians because they may only speak their mother language.</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The third challenge is conference etiquette, a friendly greeting from both companies helps to build a good relationship. Booking Italians for meetings in advance is to avoid absenteeism. At the same time, a reasonable extension of meeting time can avoid late behaviour of the Italians affecting the process of the meeting.</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The fourth challenge is the communication style, I would suggest that British company leaders can focus on pushing forward the meeting process and avoiding interruptions. The best way to communicate with Italians is to call them on the phone or meet them face to face because they are not used to using emails.</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 xml:space="preserve">The fifth challenge is for British companies to try and adapt to paternalistic because this has the advantage of making the team more loyal. I would also suggest that British and Italian companies could negotiate more and balance the objectives of both companies, such as making profit and satisfying community contributions. </w:t>
      </w:r>
    </w:p>
    <w:p>
      <w:pPr>
        <w:pageBreakBefore w:val="0"/>
        <w:widowControl/>
        <w:numPr>
          <w:ilvl w:val="0"/>
          <w:numId w:val="1"/>
        </w:numPr>
        <w:kinsoku/>
        <w:wordWrap/>
        <w:overflowPunct/>
        <w:topLinePunct w:val="0"/>
        <w:autoSpaceDE/>
        <w:autoSpaceDN/>
        <w:bidi w:val="0"/>
        <w:adjustRightInd/>
        <w:snapToGrid/>
        <w:spacing w:line="480" w:lineRule="auto"/>
        <w:ind w:left="420" w:leftChars="0" w:hanging="420" w:firstLineChars="0"/>
        <w:jc w:val="both"/>
        <w:textAlignment w:val="auto"/>
        <w:rPr>
          <w:rFonts w:hint="default" w:ascii="Arial" w:hAnsi="Arial" w:cs="Arial"/>
          <w:sz w:val="24"/>
          <w:szCs w:val="24"/>
        </w:rPr>
      </w:pPr>
      <w:r>
        <w:rPr>
          <w:rFonts w:hint="default" w:ascii="Arial" w:hAnsi="Arial" w:cs="Arial"/>
          <w:sz w:val="24"/>
          <w:szCs w:val="24"/>
        </w:rPr>
        <w:t>The last challenge is decision making, Italy is highly hierarchical so they may ignore the suggestions of workers at the lower levels. I would suggest that British companies can try to protect the voice of the bottom workers in Italy and make sure that everyone is treated equally.</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Taking care of these issues will help British companies to develop good relationships and a sustainable direction in Italy.</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32"/>
          <w:szCs w:val="32"/>
        </w:rPr>
        <w:t>Recommendations</w:t>
      </w: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734685" cy="3273425"/>
            <wp:effectExtent l="0" t="0" r="10795" b="3175"/>
            <wp:docPr id="21"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8"/>
                    <pic:cNvPicPr>
                      <a:picLocks noChangeAspect="1"/>
                    </pic:cNvPicPr>
                  </pic:nvPicPr>
                  <pic:blipFill>
                    <a:blip r:embed="rId12"/>
                    <a:stretch>
                      <a:fillRect/>
                    </a:stretch>
                  </pic:blipFill>
                  <pic:spPr>
                    <a:xfrm>
                      <a:off x="0" y="0"/>
                      <a:ext cx="5734685" cy="327342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rPr>
      </w:pPr>
      <w:r>
        <w:drawing>
          <wp:inline distT="0" distB="0" distL="114300" distR="114300">
            <wp:extent cx="5741670" cy="2441575"/>
            <wp:effectExtent l="0" t="0" r="3810" b="12065"/>
            <wp:docPr id="2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9"/>
                    <pic:cNvPicPr>
                      <a:picLocks noChangeAspect="1"/>
                    </pic:cNvPicPr>
                  </pic:nvPicPr>
                  <pic:blipFill>
                    <a:blip r:embed="rId13"/>
                    <a:srcRect l="385" t="676" r="96" b="282"/>
                    <a:stretch>
                      <a:fillRect/>
                    </a:stretch>
                  </pic:blipFill>
                  <pic:spPr>
                    <a:xfrm>
                      <a:off x="0" y="0"/>
                      <a:ext cx="5741670" cy="244157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pPr>
      <w:r>
        <w:drawing>
          <wp:inline distT="0" distB="0" distL="114300" distR="114300">
            <wp:extent cx="5734685" cy="4091305"/>
            <wp:effectExtent l="0" t="0" r="10795" b="8255"/>
            <wp:docPr id="2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7"/>
                    <pic:cNvPicPr>
                      <a:picLocks noChangeAspect="1"/>
                    </pic:cNvPicPr>
                  </pic:nvPicPr>
                  <pic:blipFill>
                    <a:blip r:embed="rId14"/>
                    <a:stretch>
                      <a:fillRect/>
                    </a:stretch>
                  </pic:blipFill>
                  <pic:spPr>
                    <a:xfrm>
                      <a:off x="0" y="0"/>
                      <a:ext cx="5734685" cy="40913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r>
        <w:drawing>
          <wp:inline distT="0" distB="0" distL="114300" distR="114300">
            <wp:extent cx="5744210" cy="3903345"/>
            <wp:effectExtent l="0" t="0" r="1270" b="13335"/>
            <wp:docPr id="1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6"/>
                    <pic:cNvPicPr>
                      <a:picLocks noChangeAspect="1"/>
                    </pic:cNvPicPr>
                  </pic:nvPicPr>
                  <pic:blipFill>
                    <a:blip r:embed="rId15"/>
                    <a:srcRect l="-48" t="-71"/>
                    <a:stretch>
                      <a:fillRect/>
                    </a:stretch>
                  </pic:blipFill>
                  <pic:spPr>
                    <a:xfrm>
                      <a:off x="0" y="0"/>
                      <a:ext cx="5744210" cy="3903345"/>
                    </a:xfrm>
                    <a:prstGeom prst="rect">
                      <a:avLst/>
                    </a:prstGeom>
                    <a:noFill/>
                    <a:ln>
                      <a:noFill/>
                    </a:ln>
                  </pic:spPr>
                </pic:pic>
              </a:graphicData>
            </a:graphic>
          </wp:inline>
        </w:drawing>
      </w:r>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32"/>
          <w:szCs w:val="32"/>
          <w:lang w:val="en-US" w:eastAsia="zh-CN"/>
        </w:rPr>
      </w:pPr>
      <w:r>
        <w:rPr>
          <w:rFonts w:hint="default" w:ascii="Arial" w:hAnsi="Arial" w:cs="Arial"/>
          <w:sz w:val="32"/>
          <w:szCs w:val="32"/>
        </w:rPr>
        <w:t>References</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BBC (2014). BBC - Languages - Languages. [online] www.bbc.co.uk. Available at: </w:t>
      </w:r>
      <w:r>
        <w:rPr>
          <w:rFonts w:hint="default" w:ascii="Arial" w:hAnsi="Arial" w:cs="Arial"/>
          <w:sz w:val="24"/>
          <w:szCs w:val="24"/>
        </w:rPr>
        <w:fldChar w:fldCharType="begin"/>
      </w:r>
      <w:r>
        <w:rPr>
          <w:rFonts w:hint="default" w:ascii="Arial" w:hAnsi="Arial" w:cs="Arial"/>
          <w:sz w:val="24"/>
          <w:szCs w:val="24"/>
        </w:rPr>
        <w:instrText xml:space="preserve"> HYPERLINK "https://www.bbc.co.uk/languages/european_languages/countries/italy.shtml" </w:instrText>
      </w:r>
      <w:r>
        <w:rPr>
          <w:rFonts w:hint="default" w:ascii="Arial" w:hAnsi="Arial" w:cs="Arial"/>
          <w:sz w:val="24"/>
          <w:szCs w:val="24"/>
        </w:rPr>
        <w:fldChar w:fldCharType="separate"/>
      </w:r>
      <w:r>
        <w:rPr>
          <w:rStyle w:val="12"/>
          <w:rFonts w:hint="default" w:ascii="Arial" w:hAnsi="Arial" w:cs="Arial"/>
          <w:sz w:val="24"/>
          <w:szCs w:val="24"/>
        </w:rPr>
        <w:t>https://www.bbc.co.uk/languages/european_languages/countries/italy.shtml</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British Council (2023). Official Native Languages. [online] Study UK. Available at: </w:t>
      </w:r>
      <w:r>
        <w:rPr>
          <w:rFonts w:hint="default" w:ascii="Arial" w:hAnsi="Arial" w:cs="Arial"/>
          <w:sz w:val="24"/>
          <w:szCs w:val="24"/>
        </w:rPr>
        <w:fldChar w:fldCharType="begin"/>
      </w:r>
      <w:r>
        <w:rPr>
          <w:rFonts w:hint="default" w:ascii="Arial" w:hAnsi="Arial" w:cs="Arial"/>
          <w:sz w:val="24"/>
          <w:szCs w:val="24"/>
        </w:rPr>
        <w:instrText xml:space="preserve"> HYPERLINK "https://study-uk.britishcouncil.org/why-study/about-uk/language" </w:instrText>
      </w:r>
      <w:r>
        <w:rPr>
          <w:rFonts w:hint="default" w:ascii="Arial" w:hAnsi="Arial" w:cs="Arial"/>
          <w:sz w:val="24"/>
          <w:szCs w:val="24"/>
        </w:rPr>
        <w:fldChar w:fldCharType="separate"/>
      </w:r>
      <w:r>
        <w:rPr>
          <w:rStyle w:val="12"/>
          <w:rFonts w:hint="default" w:ascii="Arial" w:hAnsi="Arial" w:cs="Arial"/>
          <w:sz w:val="24"/>
          <w:szCs w:val="24"/>
        </w:rPr>
        <w:t>https://study-uk.britishcouncil.org/why-study/about-uk/language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Buswell, G. (2023). Business Culture and Etiquette in Italy. [online] Expatica for Internationals. Available at: </w:t>
      </w:r>
      <w:r>
        <w:rPr>
          <w:rFonts w:hint="default" w:ascii="Arial" w:hAnsi="Arial" w:cs="Arial"/>
          <w:sz w:val="24"/>
          <w:szCs w:val="24"/>
        </w:rPr>
        <w:fldChar w:fldCharType="begin"/>
      </w:r>
      <w:r>
        <w:rPr>
          <w:rFonts w:hint="default" w:ascii="Arial" w:hAnsi="Arial" w:cs="Arial"/>
          <w:sz w:val="24"/>
          <w:szCs w:val="24"/>
        </w:rPr>
        <w:instrText xml:space="preserve"> HYPERLINK "https://www.expatica.com/it/working/employment-basics/business-etiquette-in-italy-80089/" </w:instrText>
      </w:r>
      <w:r>
        <w:rPr>
          <w:rFonts w:hint="default" w:ascii="Arial" w:hAnsi="Arial" w:cs="Arial"/>
          <w:sz w:val="24"/>
          <w:szCs w:val="24"/>
        </w:rPr>
        <w:fldChar w:fldCharType="separate"/>
      </w:r>
      <w:r>
        <w:rPr>
          <w:rStyle w:val="12"/>
          <w:rFonts w:hint="default" w:ascii="Arial" w:hAnsi="Arial" w:cs="Arial"/>
          <w:sz w:val="24"/>
          <w:szCs w:val="24"/>
        </w:rPr>
        <w:t>https://www.expatica.com/it/working/employment-basics/business-etiquette-in-italy-80089/</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28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Chan, E. (2009). Harvard Business School Confidential: Secrets of Success. [online] Google Books, John Wiley &amp; Sons, pp.159–160.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"https://books.google.co.uk/books?hl=zh-CN&amp;lr=&amp;id=wF4sbVUGz08C&amp;oi=fnd&amp;pg=PA3&amp;dq=Secrets+of+a+Successful+Business&amp;ots=mHcXo1L8lZ&amp;sig=d4XhMT1U9QzNqBFJLyJ_QXij1Xk&amp;redir_esc=y#v=onepage&amp;q=Secrets%20of%20a%20Successful%20Business&amp;f=false" </w:instrText>
      </w:r>
      <w:r>
        <w:rPr>
          <w:rFonts w:hint="default" w:ascii="Arial" w:hAnsi="Arial" w:cs="Arial"/>
          <w:sz w:val="24"/>
          <w:szCs w:val="24"/>
        </w:rPr>
        <w:fldChar w:fldCharType="separate"/>
      </w:r>
      <w:r>
        <w:rPr>
          <w:rStyle w:val="12"/>
          <w:rFonts w:hint="default" w:ascii="Arial" w:hAnsi="Arial" w:cs="Arial"/>
          <w:sz w:val="24"/>
          <w:szCs w:val="24"/>
        </w:rPr>
        <w:t>https://books.google.co.uk/books?hl=zh-CN&amp;lr=&amp;id=wF4sbVUGz08C&amp;oi=fnd&amp;pg=PA3&amp;dq=Secrets+of+a+Successful+Business&amp;ots=mHcXo1L8lZ&amp;sig=d4XhMT1U9QzNqBFJLyJ_QXij1Xk&amp;redir_esc=y#v=onepage&amp;q=Secrets%20of%20a%20Successful%20Business&amp;f=false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29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Chang, Y.L. (2022). Communitarianism, Properly Understood. Canadian Journal of Law &amp; Jurisprudence, 35(1), pp.117–139.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"https://doi.org/10.1017/cjlj.2021.21" </w:instrText>
      </w:r>
      <w:r>
        <w:rPr>
          <w:rFonts w:hint="default" w:ascii="Arial" w:hAnsi="Arial" w:cs="Arial"/>
          <w:sz w:val="24"/>
          <w:szCs w:val="24"/>
        </w:rPr>
        <w:fldChar w:fldCharType="separate"/>
      </w:r>
      <w:r>
        <w:rPr>
          <w:rStyle w:val="12"/>
          <w:rFonts w:hint="default" w:ascii="Arial" w:hAnsi="Arial" w:cs="Arial"/>
          <w:sz w:val="24"/>
          <w:szCs w:val="24"/>
        </w:rPr>
        <w:t>https://doi.org/10.1017/cjlj.2021.21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Commisceo Global Consulting Ltd (2020a). Italy - Language, Culture, Customs and Etiquette. [online] www.commisceo-global.com.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"https://www.commisceo-global.com/resources/country-guides/italy-guide" </w:instrText>
      </w:r>
      <w:r>
        <w:rPr>
          <w:rFonts w:hint="default" w:ascii="Arial" w:hAnsi="Arial" w:cs="Arial"/>
          <w:sz w:val="24"/>
          <w:szCs w:val="24"/>
        </w:rPr>
        <w:fldChar w:fldCharType="separate"/>
      </w:r>
      <w:r>
        <w:rPr>
          <w:rStyle w:val="12"/>
          <w:rFonts w:hint="default" w:ascii="Arial" w:hAnsi="Arial" w:cs="Arial"/>
          <w:sz w:val="24"/>
          <w:szCs w:val="24"/>
        </w:rPr>
        <w:t>https://www.commisceo-global.com/resources/country-guides/italy-guide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Commisceo Global Consulting Ltd (2020b). UK - Language, Culture, Customs and Etiquette. [online] www.commisceo-global.com. Available at: </w:t>
      </w:r>
      <w:r>
        <w:rPr>
          <w:rFonts w:hint="default" w:ascii="Arial" w:hAnsi="Arial" w:cs="Arial"/>
          <w:sz w:val="24"/>
          <w:szCs w:val="24"/>
        </w:rPr>
        <w:fldChar w:fldCharType="begin"/>
      </w:r>
      <w:r>
        <w:rPr>
          <w:rFonts w:hint="default" w:ascii="Arial" w:hAnsi="Arial" w:cs="Arial"/>
          <w:sz w:val="24"/>
          <w:szCs w:val="24"/>
        </w:rPr>
        <w:instrText xml:space="preserve"> HYPERLINK "https://www.commisceo-global.com/resources/country-guides/uk-guide" </w:instrText>
      </w:r>
      <w:r>
        <w:rPr>
          <w:rFonts w:hint="default" w:ascii="Arial" w:hAnsi="Arial" w:cs="Arial"/>
          <w:sz w:val="24"/>
          <w:szCs w:val="24"/>
        </w:rPr>
        <w:fldChar w:fldCharType="separate"/>
      </w:r>
      <w:r>
        <w:rPr>
          <w:rStyle w:val="12"/>
          <w:rFonts w:hint="default" w:ascii="Arial" w:hAnsi="Arial" w:cs="Arial"/>
          <w:sz w:val="24"/>
          <w:szCs w:val="24"/>
        </w:rPr>
        <w:t>https://www.commisceo-global.com/resources/country-guides/uk-guide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Frank, F. (2021). A Study of Decision Making in British Business Improvement District Organisations. [online] PBDM-FINAL_THESIS, pp.11–12. Available at: </w:t>
      </w:r>
      <w:r>
        <w:rPr>
          <w:rFonts w:hint="default" w:ascii="Arial" w:hAnsi="Arial" w:cs="Arial"/>
          <w:sz w:val="24"/>
          <w:szCs w:val="24"/>
        </w:rPr>
        <w:fldChar w:fldCharType="begin"/>
      </w:r>
      <w:r>
        <w:rPr>
          <w:rFonts w:hint="default" w:ascii="Arial" w:hAnsi="Arial" w:cs="Arial"/>
          <w:sz w:val="24"/>
          <w:szCs w:val="24"/>
        </w:rPr>
        <w:instrText xml:space="preserve"> HYPERLINK "https://e-space.mmu.ac.uk/629421/1/PBDM-FINAL_THESIS.pdf" </w:instrText>
      </w:r>
      <w:r>
        <w:rPr>
          <w:rFonts w:hint="default" w:ascii="Arial" w:hAnsi="Arial" w:cs="Arial"/>
          <w:sz w:val="24"/>
          <w:szCs w:val="24"/>
        </w:rPr>
        <w:fldChar w:fldCharType="separate"/>
      </w:r>
      <w:r>
        <w:rPr>
          <w:rStyle w:val="12"/>
          <w:rFonts w:hint="default" w:ascii="Arial" w:hAnsi="Arial" w:cs="Arial"/>
          <w:sz w:val="24"/>
          <w:szCs w:val="24"/>
        </w:rPr>
        <w:t>https://e-space.mmu.ac.uk/629421/1/PBDM-FINAL_THESIS.pdf</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28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Gevorkyan, S. (2016). Exploring and Comparing Corporate Culture and Communication in British and Italian Business Environment. [online] Theseus, pp.6–7.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"https://www.theseus.fi/bitstream/handle/10024/107320/ng_and_comparing_corporate_culture_and_communication_in_British_and_Italian_business_environment.PDF?sequence=1" </w:instrText>
      </w:r>
      <w:r>
        <w:rPr>
          <w:rFonts w:hint="default" w:ascii="Arial" w:hAnsi="Arial" w:cs="Arial"/>
          <w:sz w:val="24"/>
          <w:szCs w:val="24"/>
        </w:rPr>
        <w:fldChar w:fldCharType="separate"/>
      </w:r>
      <w:r>
        <w:rPr>
          <w:rStyle w:val="12"/>
          <w:rFonts w:hint="default" w:ascii="Arial" w:hAnsi="Arial" w:cs="Arial"/>
          <w:sz w:val="24"/>
          <w:szCs w:val="24"/>
        </w:rPr>
        <w:t>https://www.theseus.fi/bitstream/handle/10024/107320/ng_and_comparing_corporate_culture_and_communication_in_British_and_Italian_business_environment.PDF?sequence=1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Grigoreva, A. (2017). Effects of Cultural Components on Business in Italy. [online] www.theseus.fi.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"https://www.theseus.fi/handle/10024/126496" </w:instrText>
      </w:r>
      <w:r>
        <w:rPr>
          <w:rFonts w:hint="default" w:ascii="Arial" w:hAnsi="Arial" w:cs="Arial"/>
          <w:sz w:val="24"/>
          <w:szCs w:val="24"/>
        </w:rPr>
        <w:fldChar w:fldCharType="separate"/>
      </w:r>
      <w:r>
        <w:rPr>
          <w:rStyle w:val="12"/>
          <w:rFonts w:hint="default" w:ascii="Arial" w:hAnsi="Arial" w:cs="Arial"/>
          <w:sz w:val="24"/>
          <w:szCs w:val="24"/>
        </w:rPr>
        <w:t>https://www.theseus.fi/handle/10024/126496</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Gyamerah, S., He, Z., Asante, D., Ampaw, E.M. and Gyamerah, E.E.D. (2022). Paternalistic leadership, employee creativity, and retention: The Role of Psychological Empowerment. International Journal of Cross Cultural Management, 22(1), p.147059582210816.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"https://doi.org/10.1177/14705958221081636" </w:instrText>
      </w:r>
      <w:r>
        <w:rPr>
          <w:rFonts w:hint="default" w:ascii="Arial" w:hAnsi="Arial" w:cs="Arial"/>
          <w:sz w:val="24"/>
          <w:szCs w:val="24"/>
        </w:rPr>
        <w:fldChar w:fldCharType="separate"/>
      </w:r>
      <w:r>
        <w:rPr>
          <w:rStyle w:val="12"/>
          <w:rFonts w:hint="default" w:ascii="Arial" w:hAnsi="Arial" w:cs="Arial"/>
          <w:sz w:val="24"/>
          <w:szCs w:val="24"/>
        </w:rPr>
        <w:t>https://doi.org/10.1177/14705958221081636</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Hall, M., de Jong, M. and Steehouder, M. (2004). Cultural Differences and Usability Evaluation: Individualistic and Collectivistic Participants Compared. Technical Communication, [online] 51(4), pp.489–503. Available at: </w:t>
      </w:r>
      <w:r>
        <w:rPr>
          <w:rFonts w:hint="default" w:ascii="Arial" w:hAnsi="Arial" w:cs="Arial"/>
          <w:sz w:val="24"/>
          <w:szCs w:val="24"/>
        </w:rPr>
        <w:fldChar w:fldCharType="begin"/>
      </w:r>
      <w:r>
        <w:rPr>
          <w:rFonts w:hint="default" w:ascii="Arial" w:hAnsi="Arial" w:cs="Arial"/>
          <w:sz w:val="24"/>
          <w:szCs w:val="24"/>
        </w:rPr>
        <w:instrText xml:space="preserve"> HYPERLINK "https://www.ingentaconnect.com/content/stc/tc/2004/00000051/00000004/art00003" </w:instrText>
      </w:r>
      <w:r>
        <w:rPr>
          <w:rFonts w:hint="default" w:ascii="Arial" w:hAnsi="Arial" w:cs="Arial"/>
          <w:sz w:val="24"/>
          <w:szCs w:val="24"/>
        </w:rPr>
        <w:fldChar w:fldCharType="separate"/>
      </w:r>
      <w:r>
        <w:rPr>
          <w:rStyle w:val="12"/>
          <w:rFonts w:hint="default" w:ascii="Arial" w:hAnsi="Arial" w:cs="Arial"/>
          <w:sz w:val="24"/>
          <w:szCs w:val="24"/>
        </w:rPr>
        <w:t>https://www.ingentaconnect.com/content/stc/tc/2004/00000051/00000004/art00003</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Indeed Editorial Team (2023). What Is Business Casual in the UK? [online] Indeed Career Guide. Available at: </w:t>
      </w:r>
      <w:r>
        <w:rPr>
          <w:rFonts w:hint="default" w:ascii="Arial" w:hAnsi="Arial" w:cs="Arial"/>
          <w:sz w:val="24"/>
          <w:szCs w:val="24"/>
        </w:rPr>
        <w:fldChar w:fldCharType="begin"/>
      </w:r>
      <w:r>
        <w:rPr>
          <w:rFonts w:hint="default" w:ascii="Arial" w:hAnsi="Arial" w:cs="Arial"/>
          <w:sz w:val="24"/>
          <w:szCs w:val="24"/>
        </w:rPr>
        <w:instrText xml:space="preserve"> HYPERLINK "https://uk.indeed.com/career-advice/starting-new-job/business-casual" </w:instrText>
      </w:r>
      <w:r>
        <w:rPr>
          <w:rFonts w:hint="default" w:ascii="Arial" w:hAnsi="Arial" w:cs="Arial"/>
          <w:sz w:val="24"/>
          <w:szCs w:val="24"/>
        </w:rPr>
        <w:fldChar w:fldCharType="separate"/>
      </w:r>
      <w:r>
        <w:rPr>
          <w:rStyle w:val="12"/>
          <w:rFonts w:hint="default" w:ascii="Arial" w:hAnsi="Arial" w:cs="Arial"/>
          <w:sz w:val="24"/>
          <w:szCs w:val="24"/>
        </w:rPr>
        <w:t>https://uk.indeed.com/career-advice/starting-new-job/business-casual</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Khan, R. (2021). Individual’s Leadership Style Changes due to Different Culture in the UK. International Journal of Trend in Scientific Research and Development (ijtsrd), [online] 5(3), pp.1136–1143.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"https://doi.org/10.5281/zenodo.4730640" </w:instrText>
      </w:r>
      <w:r>
        <w:rPr>
          <w:rFonts w:hint="default" w:ascii="Arial" w:hAnsi="Arial" w:cs="Arial"/>
          <w:sz w:val="24"/>
          <w:szCs w:val="24"/>
        </w:rPr>
        <w:fldChar w:fldCharType="separate"/>
      </w:r>
      <w:r>
        <w:rPr>
          <w:rStyle w:val="12"/>
          <w:rFonts w:hint="default" w:ascii="Arial" w:hAnsi="Arial" w:cs="Arial"/>
          <w:sz w:val="24"/>
          <w:szCs w:val="24"/>
        </w:rPr>
        <w:t>https://doi.org/10.5281/zenodo.4730640</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Lenzi, S. (2022). Italy: a Gateway between Europe and the World. [online] Grant Thornton. Available at: </w:t>
      </w:r>
      <w:r>
        <w:rPr>
          <w:rFonts w:hint="default" w:ascii="Arial" w:hAnsi="Arial" w:cs="Arial"/>
          <w:sz w:val="24"/>
          <w:szCs w:val="24"/>
        </w:rPr>
        <w:fldChar w:fldCharType="begin"/>
      </w:r>
      <w:r>
        <w:rPr>
          <w:rFonts w:hint="default" w:ascii="Arial" w:hAnsi="Arial" w:cs="Arial"/>
          <w:sz w:val="24"/>
          <w:szCs w:val="24"/>
        </w:rPr>
        <w:instrText xml:space="preserve"> HYPERLINK "https://www.grantthornton.global/en/insights/country-profiles/italy/" </w:instrText>
      </w:r>
      <w:r>
        <w:rPr>
          <w:rFonts w:hint="default" w:ascii="Arial" w:hAnsi="Arial" w:cs="Arial"/>
          <w:sz w:val="24"/>
          <w:szCs w:val="24"/>
        </w:rPr>
        <w:fldChar w:fldCharType="separate"/>
      </w:r>
      <w:r>
        <w:rPr>
          <w:rStyle w:val="12"/>
          <w:rFonts w:hint="default" w:ascii="Arial" w:hAnsi="Arial" w:cs="Arial"/>
          <w:sz w:val="24"/>
          <w:szCs w:val="24"/>
        </w:rPr>
        <w:t>https://www.grantthornton.global/en/insights/country-profiles/italy/</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Masino, G. (2008). Culture and Management in Italy: Tradition, Modernization, New Challenges. [online] TeluqDownload.php, pp.1–3. Available at: </w:t>
      </w:r>
      <w:r>
        <w:rPr>
          <w:rFonts w:hint="default" w:ascii="Arial" w:hAnsi="Arial" w:cs="Arial"/>
          <w:sz w:val="24"/>
          <w:szCs w:val="24"/>
        </w:rPr>
        <w:fldChar w:fldCharType="begin"/>
      </w:r>
      <w:r>
        <w:rPr>
          <w:rFonts w:hint="default" w:ascii="Arial" w:hAnsi="Arial" w:cs="Arial"/>
          <w:sz w:val="24"/>
          <w:szCs w:val="24"/>
        </w:rPr>
        <w:instrText xml:space="preserve"> HYPERLINK "https://adm3012-plongees.teluq.ca/teluqDownload.php?file=2016/09/chapV_5.pdf" </w:instrText>
      </w:r>
      <w:r>
        <w:rPr>
          <w:rFonts w:hint="default" w:ascii="Arial" w:hAnsi="Arial" w:cs="Arial"/>
          <w:sz w:val="24"/>
          <w:szCs w:val="24"/>
        </w:rPr>
        <w:fldChar w:fldCharType="separate"/>
      </w:r>
      <w:r>
        <w:rPr>
          <w:rStyle w:val="12"/>
          <w:rFonts w:hint="default" w:ascii="Arial" w:hAnsi="Arial" w:cs="Arial"/>
          <w:sz w:val="24"/>
          <w:szCs w:val="24"/>
        </w:rPr>
        <w:t>https://adm3012-plongees.teluq.ca/teluqDownload.php?file=2016/09/chapV_5.pdf</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Musolino, D. (2018). The North-South Divide in Italy: Reality or Perception. European Spatial Research and Policy, [online] 25(1), pp.29–53. Available at: </w:t>
      </w:r>
      <w:r>
        <w:rPr>
          <w:rFonts w:hint="default" w:ascii="Arial" w:hAnsi="Arial" w:cs="Arial"/>
          <w:sz w:val="24"/>
          <w:szCs w:val="24"/>
        </w:rPr>
        <w:fldChar w:fldCharType="begin"/>
      </w:r>
      <w:r>
        <w:rPr>
          <w:rFonts w:hint="default" w:ascii="Arial" w:hAnsi="Arial" w:cs="Arial"/>
          <w:sz w:val="24"/>
          <w:szCs w:val="24"/>
        </w:rPr>
        <w:instrText xml:space="preserve"> HYPERLINK "https://www.ceeol.com/search/article-detail?id=709359" </w:instrText>
      </w:r>
      <w:r>
        <w:rPr>
          <w:rFonts w:hint="default" w:ascii="Arial" w:hAnsi="Arial" w:cs="Arial"/>
          <w:sz w:val="24"/>
          <w:szCs w:val="24"/>
        </w:rPr>
        <w:fldChar w:fldCharType="separate"/>
      </w:r>
      <w:r>
        <w:rPr>
          <w:rStyle w:val="12"/>
          <w:rFonts w:hint="default" w:ascii="Arial" w:hAnsi="Arial" w:cs="Arial"/>
          <w:sz w:val="24"/>
          <w:szCs w:val="24"/>
        </w:rPr>
        <w:t>https://www.ceeol.com/search/article-detail?id=709359</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Office for National Statistics (2022). Language, England and Wales - Office for National Statistics. [online] www.ons.gov.uk. Available at: </w:t>
      </w:r>
      <w:r>
        <w:rPr>
          <w:rFonts w:hint="default" w:ascii="Arial" w:hAnsi="Arial" w:cs="Arial"/>
          <w:sz w:val="24"/>
          <w:szCs w:val="24"/>
        </w:rPr>
        <w:fldChar w:fldCharType="begin"/>
      </w:r>
      <w:r>
        <w:rPr>
          <w:rFonts w:hint="default" w:ascii="Arial" w:hAnsi="Arial" w:cs="Arial"/>
          <w:sz w:val="24"/>
          <w:szCs w:val="24"/>
        </w:rPr>
        <w:instrText xml:space="preserve"> HYPERLINK "https://www.ons.gov.uk/peoplepopulationandcommunity/culturalidentity/language/bulletins/languageenglandandwales/census2021" </w:instrText>
      </w:r>
      <w:r>
        <w:rPr>
          <w:rFonts w:hint="default" w:ascii="Arial" w:hAnsi="Arial" w:cs="Arial"/>
          <w:sz w:val="24"/>
          <w:szCs w:val="24"/>
        </w:rPr>
        <w:fldChar w:fldCharType="separate"/>
      </w:r>
      <w:r>
        <w:rPr>
          <w:rStyle w:val="12"/>
          <w:rFonts w:hint="default" w:ascii="Arial" w:hAnsi="Arial" w:cs="Arial"/>
          <w:sz w:val="24"/>
          <w:szCs w:val="24"/>
        </w:rPr>
        <w:t>https://www.ons.gov.uk/peoplepopulationandcommunity/culturalidentity/language/bulletins/languageenglandandwales/census2021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Okoro, E. (2012). Cross-Cultural Etiquette and Communication in Global Business: toward a Strategic Framework for Managing Corporate Expansion. International Journal of Business and Management, [online] 7(16), pp.6–7.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"https://doi.org/10.5539/ijbm.v7n16p130" </w:instrText>
      </w:r>
      <w:r>
        <w:rPr>
          <w:rFonts w:hint="default" w:ascii="Arial" w:hAnsi="Arial" w:cs="Arial"/>
          <w:sz w:val="24"/>
          <w:szCs w:val="24"/>
        </w:rPr>
        <w:fldChar w:fldCharType="separate"/>
      </w:r>
      <w:r>
        <w:rPr>
          <w:rStyle w:val="12"/>
          <w:rFonts w:hint="default" w:ascii="Arial" w:hAnsi="Arial" w:cs="Arial"/>
          <w:sz w:val="24"/>
          <w:szCs w:val="24"/>
        </w:rPr>
        <w:t>https://doi.org/10.5539/ijbm.v7n16p130</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Pirlog, A. (2021). National Cultural Profile in the Republic of Moldova According Hofstede and Trompenaars-Hampden-Turner Models. Revista de Management Comparat Internațional, [online] 22(4), pp.450–457. Available at: </w:t>
      </w:r>
      <w:r>
        <w:rPr>
          <w:rFonts w:hint="default" w:ascii="Arial" w:hAnsi="Arial" w:cs="Arial"/>
          <w:sz w:val="24"/>
          <w:szCs w:val="24"/>
        </w:rPr>
        <w:fldChar w:fldCharType="begin"/>
      </w:r>
      <w:r>
        <w:rPr>
          <w:rFonts w:hint="default" w:ascii="Arial" w:hAnsi="Arial" w:cs="Arial"/>
          <w:sz w:val="24"/>
          <w:szCs w:val="24"/>
        </w:rPr>
        <w:instrText xml:space="preserve"> HYPERLINK "https://www.ceeol.com/search/article-detail?id=1047373" </w:instrText>
      </w:r>
      <w:r>
        <w:rPr>
          <w:rFonts w:hint="default" w:ascii="Arial" w:hAnsi="Arial" w:cs="Arial"/>
          <w:sz w:val="24"/>
          <w:szCs w:val="24"/>
        </w:rPr>
        <w:fldChar w:fldCharType="separate"/>
      </w:r>
      <w:r>
        <w:rPr>
          <w:rStyle w:val="12"/>
          <w:rFonts w:hint="default" w:ascii="Arial" w:hAnsi="Arial" w:cs="Arial"/>
          <w:sz w:val="24"/>
          <w:szCs w:val="24"/>
        </w:rPr>
        <w:t>https://www.ceeol.com/search/article-detail?id=1047373</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Scarpellini, E. (2019). The Cultural Significance of How We Dress. Italian Fashion since 1945, 4(1), pp.1–29.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"https://doi.org/10.1007/978-3-030-17812-3_1" </w:instrText>
      </w:r>
      <w:r>
        <w:rPr>
          <w:rFonts w:hint="default" w:ascii="Arial" w:hAnsi="Arial" w:cs="Arial"/>
          <w:sz w:val="24"/>
          <w:szCs w:val="24"/>
        </w:rPr>
        <w:fldChar w:fldCharType="separate"/>
      </w:r>
      <w:r>
        <w:rPr>
          <w:rStyle w:val="12"/>
          <w:rFonts w:hint="default" w:ascii="Arial" w:hAnsi="Arial" w:cs="Arial"/>
          <w:sz w:val="24"/>
          <w:szCs w:val="24"/>
        </w:rPr>
        <w:t>https://doi.org/10.1007/978-3-030-17812-3_1</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Seidlhofer, B. (2004). Research Perspectives on Teaching English as a Lingua Franca. Annual Review of Applied Linguistics, 24(1), pp.209–239. doi:</w:t>
      </w:r>
      <w:r>
        <w:rPr>
          <w:rFonts w:hint="default" w:ascii="Arial" w:hAnsi="Arial" w:eastAsia="宋体" w:cs="Arial"/>
          <w:sz w:val="24"/>
          <w:szCs w:val="24"/>
          <w:lang w:val="en-US" w:eastAsia="zh-CN"/>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"https://doi.org/10.1017/s0267190504000145" </w:instrText>
      </w:r>
      <w:r>
        <w:rPr>
          <w:rFonts w:hint="default" w:ascii="Arial" w:hAnsi="Arial" w:cs="Arial"/>
          <w:sz w:val="24"/>
          <w:szCs w:val="24"/>
        </w:rPr>
        <w:fldChar w:fldCharType="separate"/>
      </w:r>
      <w:r>
        <w:rPr>
          <w:rStyle w:val="12"/>
          <w:rFonts w:hint="default" w:ascii="Arial" w:hAnsi="Arial" w:cs="Arial"/>
          <w:sz w:val="24"/>
          <w:szCs w:val="24"/>
        </w:rPr>
        <w:t>https://doi.org/10.1017/s0267190504000145</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Solly, M. (2008). The Xenophobe’s Guide to the Italians. [online] Google Books, Oval Projects, 2008: Xenophobe’s Guides, pp.2–3. Available at: </w:t>
      </w:r>
      <w:r>
        <w:rPr>
          <w:rFonts w:hint="default" w:ascii="Arial" w:hAnsi="Arial" w:cs="Arial"/>
          <w:sz w:val="24"/>
          <w:szCs w:val="24"/>
        </w:rPr>
        <w:fldChar w:fldCharType="begin"/>
      </w:r>
      <w:r>
        <w:rPr>
          <w:rFonts w:hint="default" w:ascii="Arial" w:hAnsi="Arial" w:cs="Arial"/>
          <w:sz w:val="24"/>
          <w:szCs w:val="24"/>
        </w:rPr>
        <w:instrText xml:space="preserve"> HYPERLINK "https://books.google.co.uk/books?hl=zh-CN&amp;lr=&amp;id=nacmBAAAQBAJ&amp;oi=fnd&amp;pg=PT4&amp;dq=Italians+care+a+lot+about+what+they+wear.&amp;ots=ymtiL9cK7n&amp;sig=Iq6IhdTQzI2hnyMDVRYAl74q270&amp;redir_esc=y#v=onepage&amp;q&amp;f=false" </w:instrText>
      </w:r>
      <w:r>
        <w:rPr>
          <w:rFonts w:hint="default" w:ascii="Arial" w:hAnsi="Arial" w:cs="Arial"/>
          <w:sz w:val="24"/>
          <w:szCs w:val="24"/>
        </w:rPr>
        <w:fldChar w:fldCharType="separate"/>
      </w:r>
      <w:r>
        <w:rPr>
          <w:rStyle w:val="12"/>
          <w:rFonts w:hint="default" w:ascii="Arial" w:hAnsi="Arial" w:cs="Arial"/>
          <w:sz w:val="24"/>
          <w:szCs w:val="24"/>
        </w:rPr>
        <w:t>https://books.google.co.uk/books?hl=zh-CN&amp;lr=&amp;id=nacmBAAAQBAJ&amp;oi=fnd&amp;pg=PT4&amp;dq=Italians+care+a+lot+about+what+they+wear.&amp;ots=ymtiL9cK7n&amp;sig=Iq6IhdTQzI2hnyMDVRYAl74q270&amp;redir_esc=y#v=onepage&amp;q&amp;f=false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25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Toppan (2017). Understanding the 6 Dimensions of UK Culture. [online] Toppan Digital Language. Available at: </w:t>
      </w:r>
      <w:r>
        <w:rPr>
          <w:rFonts w:hint="default" w:ascii="Arial" w:hAnsi="Arial" w:cs="Arial"/>
          <w:sz w:val="24"/>
          <w:szCs w:val="24"/>
        </w:rPr>
        <w:fldChar w:fldCharType="begin"/>
      </w:r>
      <w:r>
        <w:rPr>
          <w:rFonts w:hint="default" w:ascii="Arial" w:hAnsi="Arial" w:cs="Arial"/>
          <w:sz w:val="24"/>
          <w:szCs w:val="24"/>
        </w:rPr>
        <w:instrText xml:space="preserve"> HYPERLINK "https://toppandigital.com/us/blog-usa/understanding-6-dimensions-uk-culture/" </w:instrText>
      </w:r>
      <w:r>
        <w:rPr>
          <w:rFonts w:hint="default" w:ascii="Arial" w:hAnsi="Arial" w:cs="Arial"/>
          <w:sz w:val="24"/>
          <w:szCs w:val="24"/>
        </w:rPr>
        <w:fldChar w:fldCharType="separate"/>
      </w:r>
      <w:r>
        <w:rPr>
          <w:rStyle w:val="12"/>
          <w:rFonts w:hint="default" w:ascii="Arial" w:hAnsi="Arial" w:cs="Arial"/>
          <w:sz w:val="24"/>
          <w:szCs w:val="24"/>
        </w:rPr>
        <w:t>https://toppandigital.com/us/blog-usa/understanding-6-dimensions-uk-culture/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27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Trompenaars Hampden-Turner (2023). Explore What Binds and Divides for Reconciliation. [online] Trompenaars Hampden-Turner. Available at: </w:t>
      </w:r>
      <w:r>
        <w:rPr>
          <w:rFonts w:hint="default" w:ascii="Arial" w:hAnsi="Arial" w:cs="Arial"/>
          <w:sz w:val="24"/>
          <w:szCs w:val="24"/>
        </w:rPr>
        <w:fldChar w:fldCharType="begin"/>
      </w:r>
      <w:r>
        <w:rPr>
          <w:rFonts w:hint="default" w:ascii="Arial" w:hAnsi="Arial" w:cs="Arial"/>
          <w:sz w:val="24"/>
          <w:szCs w:val="24"/>
        </w:rPr>
        <w:instrText xml:space="preserve"> HYPERLINK "https://www.thtconsulting.com/culture-factory/culture-explore/compare-countries/" </w:instrText>
      </w:r>
      <w:r>
        <w:rPr>
          <w:rFonts w:hint="default" w:ascii="Arial" w:hAnsi="Arial" w:cs="Arial"/>
          <w:sz w:val="24"/>
          <w:szCs w:val="24"/>
        </w:rPr>
        <w:fldChar w:fldCharType="separate"/>
      </w:r>
      <w:r>
        <w:rPr>
          <w:rStyle w:val="12"/>
          <w:rFonts w:hint="default" w:ascii="Arial" w:hAnsi="Arial" w:cs="Arial"/>
          <w:sz w:val="24"/>
          <w:szCs w:val="24"/>
        </w:rPr>
        <w:t>https://www.thtconsulting.com/culture-factory/culture-explore/compare-countries/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United Language Group (2023). Communicating in High Context vs. Low Context Cultures. [online] United Language Group. Available at: </w:t>
      </w:r>
      <w:r>
        <w:rPr>
          <w:rFonts w:hint="default" w:ascii="Arial" w:hAnsi="Arial" w:cs="Arial"/>
          <w:sz w:val="24"/>
          <w:szCs w:val="24"/>
        </w:rPr>
        <w:fldChar w:fldCharType="begin"/>
      </w:r>
      <w:r>
        <w:rPr>
          <w:rFonts w:hint="default" w:ascii="Arial" w:hAnsi="Arial" w:cs="Arial"/>
          <w:sz w:val="24"/>
          <w:szCs w:val="24"/>
        </w:rPr>
        <w:instrText xml:space="preserve"> HYPERLINK "https://www.unitedlanguagegroup.com/learn/communicating-high-context-vs-low-context-cultures" </w:instrText>
      </w:r>
      <w:r>
        <w:rPr>
          <w:rFonts w:hint="default" w:ascii="Arial" w:hAnsi="Arial" w:cs="Arial"/>
          <w:sz w:val="24"/>
          <w:szCs w:val="24"/>
        </w:rPr>
        <w:fldChar w:fldCharType="separate"/>
      </w:r>
      <w:r>
        <w:rPr>
          <w:rStyle w:val="12"/>
          <w:rFonts w:hint="default" w:ascii="Arial" w:hAnsi="Arial" w:cs="Arial"/>
          <w:sz w:val="24"/>
          <w:szCs w:val="24"/>
        </w:rPr>
        <w:t>https://www.unitedlanguagegroup.com/learn/communicating-high-context-vs-low-context-cultures</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26 Dec. 2023].</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 xml:space="preserve">Warburton, K. (2023). Italian Management Style. [online] World Business Culture. Available at: </w:t>
      </w:r>
      <w:r>
        <w:rPr>
          <w:rFonts w:hint="default" w:ascii="Arial" w:hAnsi="Arial" w:cs="Arial"/>
          <w:sz w:val="24"/>
          <w:szCs w:val="24"/>
        </w:rPr>
        <w:fldChar w:fldCharType="begin"/>
      </w:r>
      <w:r>
        <w:rPr>
          <w:rFonts w:hint="default" w:ascii="Arial" w:hAnsi="Arial" w:cs="Arial"/>
          <w:sz w:val="24"/>
          <w:szCs w:val="24"/>
        </w:rPr>
        <w:instrText xml:space="preserve"> HYPERLINK "https://www.worldbusinessculture.com/country-profiles/italy/business-management-style/" </w:instrText>
      </w:r>
      <w:r>
        <w:rPr>
          <w:rFonts w:hint="default" w:ascii="Arial" w:hAnsi="Arial" w:cs="Arial"/>
          <w:sz w:val="24"/>
          <w:szCs w:val="24"/>
        </w:rPr>
        <w:fldChar w:fldCharType="separate"/>
      </w:r>
      <w:r>
        <w:rPr>
          <w:rStyle w:val="12"/>
          <w:rFonts w:hint="default" w:ascii="Arial" w:hAnsi="Arial" w:cs="Arial"/>
          <w:sz w:val="24"/>
          <w:szCs w:val="24"/>
        </w:rPr>
        <w:t>https://www.worldbusinessculture.com/country-profiles/italy/business-management-style/</w:t>
      </w:r>
      <w:r>
        <w:rPr>
          <w:rFonts w:hint="default" w:ascii="Arial" w:hAnsi="Arial" w:cs="Arial"/>
          <w:sz w:val="24"/>
          <w:szCs w:val="24"/>
        </w:rPr>
        <w:fldChar w:fldCharType="end"/>
      </w:r>
      <w:r>
        <w:rPr>
          <w:rFonts w:hint="default" w:ascii="Arial" w:hAnsi="Arial" w:eastAsia="宋体" w:cs="Arial"/>
          <w:sz w:val="24"/>
          <w:szCs w:val="24"/>
          <w:lang w:val="en-US" w:eastAsia="zh-CN"/>
        </w:rPr>
        <w:t xml:space="preserve"> </w:t>
      </w:r>
      <w:r>
        <w:rPr>
          <w:rFonts w:hint="default" w:ascii="Arial" w:hAnsi="Arial" w:cs="Arial"/>
          <w:sz w:val="24"/>
          <w:szCs w:val="24"/>
        </w:rPr>
        <w:t>[Accessed 16 Dec. 2020].</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p>
    <w:p>
      <w:pPr>
        <w:pStyle w:val="2"/>
        <w:pageBreakBefore w:val="0"/>
        <w:widowControl/>
        <w:kinsoku/>
        <w:wordWrap/>
        <w:overflowPunct/>
        <w:topLinePunct w:val="0"/>
        <w:autoSpaceDE/>
        <w:autoSpaceDN/>
        <w:bidi w:val="0"/>
        <w:adjustRightInd/>
        <w:snapToGrid/>
        <w:spacing w:line="480" w:lineRule="auto"/>
        <w:textAlignment w:val="auto"/>
        <w:rPr>
          <w:rFonts w:hint="default" w:ascii="Arial" w:hAnsi="Arial" w:cs="Arial"/>
          <w:sz w:val="32"/>
          <w:szCs w:val="32"/>
        </w:rPr>
      </w:pPr>
      <w:r>
        <w:rPr>
          <w:rFonts w:hint="default" w:ascii="Arial" w:hAnsi="Arial" w:cs="Arial"/>
          <w:sz w:val="32"/>
          <w:szCs w:val="32"/>
          <w:lang w:val="en-US" w:eastAsia="zh-CN"/>
        </w:rPr>
        <w:t>A</w:t>
      </w:r>
      <w:r>
        <w:rPr>
          <w:rFonts w:hint="default" w:ascii="Arial" w:hAnsi="Arial" w:cs="Arial"/>
          <w:sz w:val="32"/>
          <w:szCs w:val="32"/>
        </w:rPr>
        <w:t>ppendice</w:t>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drawing>
          <wp:inline distT="0" distB="0" distL="114300" distR="114300">
            <wp:extent cx="5811520" cy="3032125"/>
            <wp:effectExtent l="0" t="0" r="10160" b="63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16"/>
                    <a:srcRect l="9344" t="17767" r="12732" b="9966"/>
                    <a:stretch>
                      <a:fillRect/>
                    </a:stretch>
                  </pic:blipFill>
                  <pic:spPr>
                    <a:xfrm>
                      <a:off x="0" y="0"/>
                      <a:ext cx="5811520" cy="3032125"/>
                    </a:xfrm>
                    <a:prstGeom prst="rect">
                      <a:avLst/>
                    </a:prstGeom>
                    <a:noFill/>
                    <a:ln>
                      <a:noFill/>
                    </a:ln>
                  </pic:spPr>
                </pic:pic>
              </a:graphicData>
            </a:graphic>
          </wp:inline>
        </w:drawing>
      </w:r>
    </w:p>
    <w:p>
      <w:pPr>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Pr>
        <w:t>(Trompenaars Hampden-Turner, 2023)</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5"/>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PAGE  \* MERGEFORMAT </w:instrText>
                    </w:r>
                    <w:r>
                      <w:rPr>
                        <w:rFonts w:hint="default" w:ascii="Arial" w:hAnsi="Arial" w:cs="Arial"/>
                        <w:sz w:val="24"/>
                        <w:szCs w:val="24"/>
                      </w:rPr>
                      <w:fldChar w:fldCharType="separate"/>
                    </w:r>
                    <w:r>
                      <w:rPr>
                        <w:rFonts w:hint="default" w:ascii="Arial" w:hAnsi="Arial" w:cs="Arial"/>
                        <w:sz w:val="24"/>
                        <w:szCs w:val="24"/>
                      </w:rPr>
                      <w:t>1</w:t>
                    </w:r>
                    <w:r>
                      <w:rPr>
                        <w:rFonts w:hint="default" w:ascii="Arial" w:hAnsi="Arial" w:cs="Arial"/>
                        <w:sz w:val="24"/>
                        <w:szCs w:val="24"/>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ED34C0"/>
    <w:multiLevelType w:val="singleLevel"/>
    <w:tmpl w:val="89ED34C0"/>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hlYzEzM2I0NTgzMzcxYTRmZTAxODkxZjRkNWU1YmEifQ=="/>
  </w:docVars>
  <w:rsids>
    <w:rsidRoot w:val="00000000"/>
    <w:rsid w:val="01732DA9"/>
    <w:rsid w:val="01EE7C08"/>
    <w:rsid w:val="03B86720"/>
    <w:rsid w:val="049B19C2"/>
    <w:rsid w:val="04BF3ADE"/>
    <w:rsid w:val="06613E34"/>
    <w:rsid w:val="06724B04"/>
    <w:rsid w:val="074A1354"/>
    <w:rsid w:val="07664AE3"/>
    <w:rsid w:val="0A2A5810"/>
    <w:rsid w:val="0B3A2110"/>
    <w:rsid w:val="0BAB6B6A"/>
    <w:rsid w:val="0C046139"/>
    <w:rsid w:val="0D2E5D43"/>
    <w:rsid w:val="0D6B7BB7"/>
    <w:rsid w:val="11717F0E"/>
    <w:rsid w:val="125D57A3"/>
    <w:rsid w:val="13D937D5"/>
    <w:rsid w:val="149363ED"/>
    <w:rsid w:val="17566ED9"/>
    <w:rsid w:val="1A207D9D"/>
    <w:rsid w:val="1A943AF7"/>
    <w:rsid w:val="1A952EBF"/>
    <w:rsid w:val="1BA809D0"/>
    <w:rsid w:val="1BAF6202"/>
    <w:rsid w:val="1BD45C69"/>
    <w:rsid w:val="1C1A7A3A"/>
    <w:rsid w:val="1C4C4467"/>
    <w:rsid w:val="1D456F36"/>
    <w:rsid w:val="1D8E068A"/>
    <w:rsid w:val="1D9E0CC4"/>
    <w:rsid w:val="1DB5145A"/>
    <w:rsid w:val="1E575A9B"/>
    <w:rsid w:val="20DB1848"/>
    <w:rsid w:val="22BC261D"/>
    <w:rsid w:val="2421612D"/>
    <w:rsid w:val="25346694"/>
    <w:rsid w:val="269F3F35"/>
    <w:rsid w:val="28F62E04"/>
    <w:rsid w:val="29FB2071"/>
    <w:rsid w:val="2CCF221A"/>
    <w:rsid w:val="2D9D235F"/>
    <w:rsid w:val="2E3820B5"/>
    <w:rsid w:val="2E496043"/>
    <w:rsid w:val="2EF02962"/>
    <w:rsid w:val="305B1B00"/>
    <w:rsid w:val="31036FEF"/>
    <w:rsid w:val="312D0B75"/>
    <w:rsid w:val="31615451"/>
    <w:rsid w:val="320318B4"/>
    <w:rsid w:val="32E973A0"/>
    <w:rsid w:val="32F12805"/>
    <w:rsid w:val="343D3326"/>
    <w:rsid w:val="35FA0B1E"/>
    <w:rsid w:val="36A40EDE"/>
    <w:rsid w:val="372B301D"/>
    <w:rsid w:val="394238EA"/>
    <w:rsid w:val="3CEF551B"/>
    <w:rsid w:val="3D625F6D"/>
    <w:rsid w:val="3D891FB8"/>
    <w:rsid w:val="3DB71446"/>
    <w:rsid w:val="3E3C34CE"/>
    <w:rsid w:val="40543916"/>
    <w:rsid w:val="43AD2EB8"/>
    <w:rsid w:val="44384737"/>
    <w:rsid w:val="44CF1C69"/>
    <w:rsid w:val="45BB032A"/>
    <w:rsid w:val="46047399"/>
    <w:rsid w:val="462A30FA"/>
    <w:rsid w:val="47B15277"/>
    <w:rsid w:val="49827581"/>
    <w:rsid w:val="49E07403"/>
    <w:rsid w:val="4AB368C6"/>
    <w:rsid w:val="4D0C1C88"/>
    <w:rsid w:val="4DE74848"/>
    <w:rsid w:val="4EA41161"/>
    <w:rsid w:val="4F113956"/>
    <w:rsid w:val="4F121DA6"/>
    <w:rsid w:val="53130849"/>
    <w:rsid w:val="54225C8D"/>
    <w:rsid w:val="55287EB0"/>
    <w:rsid w:val="555E38D2"/>
    <w:rsid w:val="559519EA"/>
    <w:rsid w:val="55E93AE3"/>
    <w:rsid w:val="56427054"/>
    <w:rsid w:val="571C5225"/>
    <w:rsid w:val="575744A8"/>
    <w:rsid w:val="57A465A0"/>
    <w:rsid w:val="58A41F44"/>
    <w:rsid w:val="58B8779D"/>
    <w:rsid w:val="58CA7BFC"/>
    <w:rsid w:val="5CA34A6B"/>
    <w:rsid w:val="5CB73713"/>
    <w:rsid w:val="5DAA3E36"/>
    <w:rsid w:val="5F8D54E0"/>
    <w:rsid w:val="603D1A43"/>
    <w:rsid w:val="60A96349"/>
    <w:rsid w:val="625D63F7"/>
    <w:rsid w:val="63C625DD"/>
    <w:rsid w:val="6404680F"/>
    <w:rsid w:val="66061B48"/>
    <w:rsid w:val="66C1474A"/>
    <w:rsid w:val="66D253B7"/>
    <w:rsid w:val="68103152"/>
    <w:rsid w:val="68140003"/>
    <w:rsid w:val="6AEE21FC"/>
    <w:rsid w:val="6B1302D7"/>
    <w:rsid w:val="6B593738"/>
    <w:rsid w:val="6B8C6F93"/>
    <w:rsid w:val="6CED5810"/>
    <w:rsid w:val="6D8C2741"/>
    <w:rsid w:val="6E164877"/>
    <w:rsid w:val="6E3D4D87"/>
    <w:rsid w:val="6EC522D6"/>
    <w:rsid w:val="6FAE5D0D"/>
    <w:rsid w:val="70306DCB"/>
    <w:rsid w:val="70F24CD3"/>
    <w:rsid w:val="70FF1FB5"/>
    <w:rsid w:val="7181248C"/>
    <w:rsid w:val="71CA611F"/>
    <w:rsid w:val="72872262"/>
    <w:rsid w:val="72D82ABE"/>
    <w:rsid w:val="73365276"/>
    <w:rsid w:val="73E536E4"/>
    <w:rsid w:val="751F77F4"/>
    <w:rsid w:val="75491A51"/>
    <w:rsid w:val="776C46EB"/>
    <w:rsid w:val="785326A2"/>
    <w:rsid w:val="78CF4963"/>
    <w:rsid w:val="791410A5"/>
    <w:rsid w:val="7A22423F"/>
    <w:rsid w:val="7AE2097E"/>
    <w:rsid w:val="7B007056"/>
    <w:rsid w:val="7BDA4890"/>
    <w:rsid w:val="7D116A20"/>
    <w:rsid w:val="7F1C0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9">
    <w:name w:val="Default Paragraph Font"/>
    <w:autoRedefine/>
    <w:semiHidden/>
    <w:qFormat/>
    <w:uiPriority w:val="0"/>
  </w:style>
  <w:style w:type="table" w:default="1" w:styleId="8">
    <w:name w:val="Normal Table"/>
    <w:autoRedefine/>
    <w:semiHidden/>
    <w:qFormat/>
    <w:uiPriority w:val="0"/>
    <w:tblPr>
      <w:tblCellMar>
        <w:top w:w="0" w:type="dxa"/>
        <w:left w:w="108" w:type="dxa"/>
        <w:bottom w:w="0" w:type="dxa"/>
        <w:right w:w="108" w:type="dxa"/>
      </w:tblCellMar>
    </w:tblPr>
  </w:style>
  <w:style w:type="paragraph" w:styleId="5">
    <w:name w:val="footer"/>
    <w:basedOn w:val="1"/>
    <w:autoRedefine/>
    <w:qFormat/>
    <w:uiPriority w:val="0"/>
    <w:pPr>
      <w:tabs>
        <w:tab w:val="center" w:pos="4153"/>
        <w:tab w:val="right" w:pos="8306"/>
      </w:tabs>
      <w:snapToGrid w:val="0"/>
      <w:jc w:val="left"/>
    </w:pPr>
    <w:rPr>
      <w:sz w:val="18"/>
    </w:rPr>
  </w:style>
  <w:style w:type="paragraph" w:styleId="6">
    <w:name w:val="header"/>
    <w:basedOn w:val="1"/>
    <w:autoRedefine/>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autoRedefine/>
    <w:qFormat/>
    <w:uiPriority w:val="0"/>
    <w:pPr>
      <w:spacing w:before="0" w:beforeAutospacing="1" w:after="0" w:afterAutospacing="1"/>
      <w:ind w:left="0" w:right="0"/>
      <w:jc w:val="left"/>
    </w:pPr>
    <w:rPr>
      <w:kern w:val="0"/>
      <w:sz w:val="24"/>
      <w:lang w:val="en-US" w:eastAsia="zh-CN" w:bidi="ar"/>
    </w:rPr>
  </w:style>
  <w:style w:type="character" w:styleId="10">
    <w:name w:val="Strong"/>
    <w:basedOn w:val="9"/>
    <w:autoRedefine/>
    <w:qFormat/>
    <w:uiPriority w:val="0"/>
    <w:rPr>
      <w:b/>
    </w:rPr>
  </w:style>
  <w:style w:type="character" w:styleId="11">
    <w:name w:val="Emphasis"/>
    <w:basedOn w:val="9"/>
    <w:autoRedefine/>
    <w:qFormat/>
    <w:uiPriority w:val="0"/>
    <w:rPr>
      <w:i/>
    </w:rPr>
  </w:style>
  <w:style w:type="character" w:styleId="12">
    <w:name w:val="Hyperlink"/>
    <w:basedOn w:val="9"/>
    <w:autoRedefine/>
    <w:qFormat/>
    <w:uiPriority w:val="0"/>
    <w:rPr>
      <w:color w:val="0000FF"/>
      <w:u w:val="single"/>
    </w:rPr>
  </w:style>
  <w:style w:type="paragraph" w:styleId="13">
    <w:name w:val="List Paragraph"/>
    <w:basedOn w:val="1"/>
    <w:autoRedefine/>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customXml" Target="../customXml/item1.xml"/><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2023-12-20T14:40:00Z</dcterms:created>
  <dc:creator>MeiFeng</dc:creator>
  <cp:lastModifiedBy>凤</cp:lastModifiedBy>
  <dcterms:modified xsi:type="dcterms:W3CDTF">2024-01-16T20:11:10Z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0A375F69EB0C42009D459F5F5B6C5A07_12</vt:lpwstr>
  </property>
</Properties>
</file>