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FD6C6" w14:textId="77777777" w:rsidR="00AD3790" w:rsidRDefault="00AD3790" w:rsidP="00AD3790">
      <w:pPr>
        <w:pStyle w:val="NormalWeb"/>
        <w:spacing w:before="0" w:beforeAutospacing="0" w:after="0" w:afterAutospacing="0"/>
        <w:ind w:left="-180" w:right="-334"/>
        <w:rPr>
          <w:rFonts w:ascii="Trebuchet MS" w:hAnsi="Trebuchet MS" w:cs="Tahoma"/>
        </w:rPr>
      </w:pPr>
      <w:r>
        <w:rPr>
          <w:noProof/>
        </w:rPr>
        <w:drawing>
          <wp:inline distT="0" distB="0" distL="0" distR="0" wp14:anchorId="4D1B5ECF" wp14:editId="2E10F8F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22F2964" w14:textId="77777777" w:rsidR="00AD3790" w:rsidRDefault="00AD3790" w:rsidP="00AD3790">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653DBC3" w14:textId="77777777" w:rsidR="00AD3790" w:rsidRPr="001E50BB" w:rsidRDefault="00AD3790" w:rsidP="00AD3790">
      <w:pPr>
        <w:jc w:val="center"/>
        <w:rPr>
          <w:rFonts w:ascii="Arial" w:hAnsi="Arial" w:cs="Arial"/>
          <w:b/>
          <w:lang w:val="cy-GB"/>
        </w:rPr>
      </w:pPr>
      <w:r w:rsidRPr="001E50BB">
        <w:rPr>
          <w:rFonts w:ascii="Arial" w:hAnsi="Arial" w:cs="Arial"/>
          <w:b/>
          <w:lang w:val="cy-GB"/>
        </w:rPr>
        <w:t>(to be completed by marker)</w:t>
      </w:r>
    </w:p>
    <w:tbl>
      <w:tblPr>
        <w:tblpPr w:leftFromText="180" w:rightFromText="180" w:vertAnchor="text" w:horzAnchor="margin" w:tblpY="1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D3790" w:rsidRPr="0065654E" w14:paraId="0326C3A6" w14:textId="77777777" w:rsidTr="0087478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A229A0A" w14:textId="77777777" w:rsidR="00AD3790" w:rsidRDefault="00AD3790" w:rsidP="00874782">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r w:rsidRPr="002A6EE0">
              <w:rPr>
                <w:rFonts w:ascii="Calibri" w:hAnsi="Calibri" w:cs="Tahoma"/>
              </w:rPr>
              <w:t>: Daegan Simpson</w:t>
            </w:r>
          </w:p>
          <w:p w14:paraId="3C7C2F13" w14:textId="77777777" w:rsidR="00AD3790" w:rsidRPr="0065654E" w:rsidRDefault="00AD3790" w:rsidP="00874782">
            <w:pPr>
              <w:pStyle w:val="NormalWeb"/>
              <w:spacing w:before="0" w:beforeAutospacing="0" w:after="0" w:afterAutospacing="0"/>
              <w:ind w:right="34"/>
              <w:rPr>
                <w:rFonts w:ascii="Calibri" w:hAnsi="Calibri" w:cs="Tahoma"/>
                <w:i/>
              </w:rPr>
            </w:pPr>
          </w:p>
        </w:tc>
      </w:tr>
      <w:tr w:rsidR="00AD3790" w:rsidRPr="0065654E" w14:paraId="0122DA95" w14:textId="77777777" w:rsidTr="0087478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12C5F52" w14:textId="2C174B55" w:rsidR="00AD3790" w:rsidRPr="002A6EE0" w:rsidRDefault="00AD3790" w:rsidP="00874782">
            <w:pPr>
              <w:pStyle w:val="NormalWeb"/>
              <w:spacing w:before="0" w:beforeAutospacing="0" w:after="0" w:afterAutospacing="0"/>
              <w:ind w:right="34"/>
              <w:rPr>
                <w:rFonts w:ascii="Calibri" w:hAnsi="Calibri" w:cs="Tahoma"/>
              </w:rPr>
            </w:pPr>
            <w:r>
              <w:rPr>
                <w:rFonts w:ascii="Calibri" w:hAnsi="Calibri" w:cs="Tahoma"/>
                <w:i/>
              </w:rPr>
              <w:t xml:space="preserve">Module Code: </w:t>
            </w:r>
            <w:r>
              <w:rPr>
                <w:rFonts w:ascii="Calibri" w:hAnsi="Calibri" w:cs="Tahoma"/>
              </w:rPr>
              <w:t>AHAN500</w:t>
            </w:r>
            <w:r>
              <w:rPr>
                <w:rFonts w:ascii="Calibri" w:hAnsi="Calibri" w:cs="Tahoma"/>
              </w:rPr>
              <w:t>7</w:t>
            </w:r>
          </w:p>
          <w:p w14:paraId="1E51801F" w14:textId="77777777" w:rsidR="00AD3790" w:rsidRDefault="00AD3790" w:rsidP="00874782">
            <w:pPr>
              <w:pStyle w:val="NormalWeb"/>
              <w:spacing w:before="0" w:beforeAutospacing="0" w:after="0" w:afterAutospacing="0"/>
              <w:ind w:right="34"/>
              <w:rPr>
                <w:rFonts w:ascii="Calibri" w:hAnsi="Calibri" w:cs="Tahoma"/>
                <w:i/>
              </w:rPr>
            </w:pPr>
          </w:p>
          <w:p w14:paraId="37ACD9A2" w14:textId="3D076D70" w:rsidR="00AD3790" w:rsidRPr="002A6EE0" w:rsidRDefault="00AD3790" w:rsidP="00874782">
            <w:pPr>
              <w:pStyle w:val="NormalWeb"/>
              <w:spacing w:before="0" w:beforeAutospacing="0" w:after="0" w:afterAutospacing="0"/>
              <w:ind w:right="34"/>
              <w:rPr>
                <w:rFonts w:ascii="Calibri" w:hAnsi="Calibri" w:cs="Tahoma"/>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Pr>
                <w:rFonts w:ascii="Calibri" w:hAnsi="Calibri" w:cs="Tahoma"/>
              </w:rPr>
              <w:t>Body, Culture and Society</w:t>
            </w:r>
          </w:p>
          <w:p w14:paraId="7D25E145" w14:textId="77777777" w:rsidR="00AD3790" w:rsidRPr="0065654E" w:rsidRDefault="00AD3790" w:rsidP="00874782">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14:paraId="31400C41" w14:textId="77777777" w:rsidR="00AD3790" w:rsidRPr="0065654E" w:rsidRDefault="00AD3790" w:rsidP="00874782">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1003107</w:t>
            </w:r>
          </w:p>
        </w:tc>
      </w:tr>
      <w:tr w:rsidR="00AD3790" w:rsidRPr="0065654E" w14:paraId="68ECE1EE" w14:textId="77777777" w:rsidTr="0087478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12825C0" w14:textId="77777777" w:rsidR="00AD3790" w:rsidRPr="0065654E" w:rsidRDefault="00AD3790" w:rsidP="00874782">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6C3D0340" w14:textId="77777777" w:rsidR="00AD3790" w:rsidRDefault="00AD3790" w:rsidP="00874782">
            <w:pPr>
              <w:pStyle w:val="NormalWeb"/>
              <w:rPr>
                <w:rFonts w:ascii="Calibri" w:hAnsi="Calibri" w:cs="Tahoma"/>
                <w:i/>
              </w:rPr>
            </w:pPr>
            <w:r w:rsidRPr="0065654E">
              <w:rPr>
                <w:rFonts w:ascii="Calibri" w:hAnsi="Calibri" w:cs="Tahoma"/>
                <w:i/>
              </w:rPr>
              <w:t>Comments:</w:t>
            </w:r>
            <w:bookmarkStart w:id="0" w:name="_GoBack"/>
            <w:bookmarkEnd w:id="0"/>
          </w:p>
          <w:p w14:paraId="7BB2A50C" w14:textId="77777777" w:rsidR="00AD3790" w:rsidRDefault="00AD3790" w:rsidP="00874782">
            <w:pPr>
              <w:pStyle w:val="NormalWeb"/>
              <w:rPr>
                <w:rFonts w:ascii="Calibri" w:hAnsi="Calibri" w:cs="Tahoma"/>
                <w:i/>
              </w:rPr>
            </w:pPr>
          </w:p>
          <w:p w14:paraId="0F72AA15" w14:textId="77777777" w:rsidR="00AD3790" w:rsidRDefault="00AD3790" w:rsidP="00874782">
            <w:pPr>
              <w:pStyle w:val="NormalWeb"/>
              <w:rPr>
                <w:rFonts w:ascii="Calibri" w:hAnsi="Calibri" w:cs="Tahoma"/>
                <w:i/>
              </w:rPr>
            </w:pPr>
          </w:p>
          <w:p w14:paraId="3CF3B0AF" w14:textId="77777777" w:rsidR="00AD3790" w:rsidRDefault="00AD3790" w:rsidP="00874782">
            <w:pPr>
              <w:pStyle w:val="NormalWeb"/>
              <w:rPr>
                <w:rFonts w:ascii="Calibri" w:hAnsi="Calibri" w:cs="Tahoma"/>
                <w:i/>
              </w:rPr>
            </w:pPr>
          </w:p>
          <w:p w14:paraId="6BCE073B" w14:textId="77777777" w:rsidR="00AD3790" w:rsidRDefault="00AD3790" w:rsidP="00874782">
            <w:pPr>
              <w:pStyle w:val="NormalWeb"/>
              <w:rPr>
                <w:rFonts w:ascii="Calibri" w:hAnsi="Calibri" w:cs="Tahoma"/>
                <w:i/>
              </w:rPr>
            </w:pPr>
          </w:p>
          <w:p w14:paraId="59F86495" w14:textId="77777777" w:rsidR="00AD3790" w:rsidRDefault="00AD3790" w:rsidP="00874782">
            <w:pPr>
              <w:pStyle w:val="NormalWeb"/>
              <w:rPr>
                <w:rFonts w:ascii="Calibri" w:hAnsi="Calibri" w:cs="Tahoma"/>
                <w:i/>
              </w:rPr>
            </w:pPr>
          </w:p>
          <w:p w14:paraId="2937959A" w14:textId="77777777" w:rsidR="00AD3790" w:rsidRDefault="00AD3790" w:rsidP="00874782">
            <w:pPr>
              <w:pStyle w:val="NormalWeb"/>
              <w:rPr>
                <w:rFonts w:ascii="Calibri" w:hAnsi="Calibri" w:cs="Tahoma"/>
                <w:i/>
              </w:rPr>
            </w:pPr>
          </w:p>
          <w:p w14:paraId="5472F6E2" w14:textId="77777777" w:rsidR="00AD3790" w:rsidRDefault="00AD3790" w:rsidP="00874782">
            <w:pPr>
              <w:pStyle w:val="NormalWeb"/>
              <w:rPr>
                <w:rFonts w:ascii="Calibri" w:hAnsi="Calibri" w:cs="Tahoma"/>
                <w:i/>
              </w:rPr>
            </w:pPr>
          </w:p>
          <w:p w14:paraId="59760FF2" w14:textId="77777777" w:rsidR="00AD3790" w:rsidRDefault="00AD3790" w:rsidP="00874782">
            <w:pPr>
              <w:pStyle w:val="NormalWeb"/>
              <w:rPr>
                <w:rFonts w:ascii="Calibri" w:hAnsi="Calibri" w:cs="Tahoma"/>
                <w:i/>
              </w:rPr>
            </w:pPr>
          </w:p>
          <w:p w14:paraId="214E9A92" w14:textId="77777777" w:rsidR="00AD3790" w:rsidRDefault="00AD3790" w:rsidP="00874782">
            <w:pPr>
              <w:pStyle w:val="NormalWeb"/>
              <w:rPr>
                <w:rFonts w:ascii="Calibri" w:hAnsi="Calibri" w:cs="Tahoma"/>
                <w:i/>
              </w:rPr>
            </w:pPr>
          </w:p>
          <w:p w14:paraId="5F8C9CD8" w14:textId="77777777" w:rsidR="00AD3790" w:rsidRDefault="00AD3790" w:rsidP="00874782">
            <w:pPr>
              <w:pStyle w:val="NormalWeb"/>
              <w:rPr>
                <w:rFonts w:ascii="Calibri" w:hAnsi="Calibri" w:cs="Tahoma"/>
                <w:i/>
              </w:rPr>
            </w:pPr>
          </w:p>
          <w:p w14:paraId="3069E116" w14:textId="77777777" w:rsidR="00AD3790" w:rsidRPr="0065654E" w:rsidRDefault="00AD3790" w:rsidP="00874782">
            <w:pPr>
              <w:pStyle w:val="NormalWeb"/>
              <w:rPr>
                <w:rFonts w:ascii="Calibri" w:hAnsi="Calibri" w:cs="Tahoma"/>
                <w:i/>
              </w:rPr>
            </w:pPr>
          </w:p>
        </w:tc>
      </w:tr>
      <w:tr w:rsidR="00AD3790" w:rsidRPr="0065654E" w14:paraId="3DFF4F54" w14:textId="77777777" w:rsidTr="00874782">
        <w:trPr>
          <w:trHeight w:val="492"/>
        </w:trPr>
        <w:tc>
          <w:tcPr>
            <w:tcW w:w="6768" w:type="dxa"/>
            <w:gridSpan w:val="2"/>
            <w:tcBorders>
              <w:top w:val="single" w:sz="4" w:space="0" w:color="auto"/>
            </w:tcBorders>
            <w:vAlign w:val="center"/>
          </w:tcPr>
          <w:p w14:paraId="62A4589A" w14:textId="77777777" w:rsidR="00AD3790" w:rsidRPr="0065654E" w:rsidRDefault="00AD3790" w:rsidP="00874782">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55E7F06C" w14:textId="77777777" w:rsidR="00AD3790" w:rsidRPr="0065654E" w:rsidRDefault="00AD3790" w:rsidP="00874782">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AD3790" w:rsidRPr="0065654E" w14:paraId="32F23D32" w14:textId="77777777" w:rsidTr="00874782">
        <w:tc>
          <w:tcPr>
            <w:tcW w:w="8755" w:type="dxa"/>
            <w:gridSpan w:val="3"/>
            <w:vAlign w:val="center"/>
          </w:tcPr>
          <w:p w14:paraId="0693192B" w14:textId="77777777" w:rsidR="00AD3790" w:rsidRDefault="00AD3790" w:rsidP="00874782">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54393D51" w14:textId="77777777" w:rsidR="00AD3790" w:rsidRPr="0065654E" w:rsidRDefault="00AD3790" w:rsidP="00874782">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122268CE" w14:textId="77777777" w:rsidR="00AD3790" w:rsidRPr="001E50BB" w:rsidRDefault="00AD3790" w:rsidP="00AD3790">
      <w:pPr>
        <w:jc w:val="center"/>
        <w:rPr>
          <w:rFonts w:ascii="Arial" w:hAnsi="Arial" w:cs="Arial"/>
          <w:b/>
          <w:lang w:val="cy-GB"/>
        </w:rPr>
      </w:pPr>
    </w:p>
    <w:p w14:paraId="12BA6D2D" w14:textId="77777777" w:rsidR="00AD3790" w:rsidRDefault="00AD3790" w:rsidP="00E7565F">
      <w:pPr>
        <w:rPr>
          <w:sz w:val="24"/>
          <w:u w:val="single"/>
        </w:rPr>
      </w:pPr>
    </w:p>
    <w:p w14:paraId="3CE2C0A7" w14:textId="60FE3169" w:rsidR="00950CBC" w:rsidRDefault="00FF506F" w:rsidP="00E7565F">
      <w:r w:rsidRPr="00503CE5">
        <w:rPr>
          <w:sz w:val="24"/>
          <w:u w:val="single"/>
        </w:rPr>
        <w:lastRenderedPageBreak/>
        <w:t>How should anthropologists best investigate “the body”?</w:t>
      </w:r>
    </w:p>
    <w:p w14:paraId="0A4ACB2A" w14:textId="77777777" w:rsidR="00950CBC" w:rsidRDefault="00950CBC" w:rsidP="00503CE5"/>
    <w:p w14:paraId="28344355" w14:textId="2F0CFF76" w:rsidR="00AB05CF" w:rsidRPr="00227984" w:rsidRDefault="00503CE5" w:rsidP="007E09F5">
      <w:pPr>
        <w:autoSpaceDE w:val="0"/>
        <w:autoSpaceDN w:val="0"/>
        <w:adjustRightInd w:val="0"/>
        <w:spacing w:after="0" w:line="240" w:lineRule="auto"/>
        <w:rPr>
          <w:rFonts w:cstheme="minorHAnsi"/>
          <w:color w:val="000000"/>
        </w:rPr>
      </w:pPr>
      <w:r w:rsidRPr="00227984">
        <w:rPr>
          <w:rFonts w:cstheme="minorHAnsi"/>
        </w:rPr>
        <w:t xml:space="preserve">Anthropologists have found a number of different approaches to investigating the human body, and the </w:t>
      </w:r>
      <w:r w:rsidRPr="006429F4">
        <w:rPr>
          <w:rFonts w:cstheme="minorHAnsi"/>
        </w:rPr>
        <w:t>approach that is used to investigate</w:t>
      </w:r>
      <w:r w:rsidR="00827B94" w:rsidRPr="006429F4">
        <w:rPr>
          <w:rFonts w:cstheme="minorHAnsi"/>
        </w:rPr>
        <w:t xml:space="preserve"> often</w:t>
      </w:r>
      <w:r w:rsidR="006144FD" w:rsidRPr="006429F4">
        <w:rPr>
          <w:rFonts w:cstheme="minorHAnsi"/>
        </w:rPr>
        <w:t xml:space="preserve"> seems to</w:t>
      </w:r>
      <w:r w:rsidRPr="006429F4">
        <w:rPr>
          <w:rFonts w:cstheme="minorHAnsi"/>
        </w:rPr>
        <w:t xml:space="preserve"> depend on the nature of the research question</w:t>
      </w:r>
      <w:r w:rsidR="00AB7DE7" w:rsidRPr="006429F4">
        <w:rPr>
          <w:rFonts w:cstheme="minorHAnsi"/>
        </w:rPr>
        <w:t xml:space="preserve">. </w:t>
      </w:r>
      <w:r w:rsidR="00AB7DE7" w:rsidRPr="006429F4">
        <w:rPr>
          <w:rFonts w:cstheme="minorHAnsi"/>
        </w:rPr>
        <w:t>The body is the mediator for every action we take in the world, and this makes it a key part of anthropology</w:t>
      </w:r>
      <w:r w:rsidRPr="006429F4">
        <w:rPr>
          <w:rFonts w:cstheme="minorHAnsi"/>
        </w:rPr>
        <w:t>.</w:t>
      </w:r>
      <w:r w:rsidR="006144FD" w:rsidRPr="006429F4">
        <w:rPr>
          <w:rFonts w:cstheme="minorHAnsi"/>
        </w:rPr>
        <w:t xml:space="preserve"> Many aspects of the discipline have seen significant changes and developments over the past few decades</w:t>
      </w:r>
      <w:r w:rsidR="003360BA" w:rsidRPr="00227984">
        <w:rPr>
          <w:rFonts w:cstheme="minorHAnsi"/>
        </w:rPr>
        <w:t>; the emergence of feminist anthropology is one such example that has brought a new objectivity to the study of other cultures (Scheper-Hughes</w:t>
      </w:r>
      <w:r w:rsidR="00C83619" w:rsidRPr="00227984">
        <w:rPr>
          <w:rFonts w:cstheme="minorHAnsi"/>
        </w:rPr>
        <w:t xml:space="preserve"> 1983,</w:t>
      </w:r>
      <w:r w:rsidR="003360BA" w:rsidRPr="00227984">
        <w:rPr>
          <w:rFonts w:cstheme="minorHAnsi"/>
        </w:rPr>
        <w:t xml:space="preserve"> p.109)</w:t>
      </w:r>
      <w:r w:rsidR="00C83619" w:rsidRPr="00227984">
        <w:rPr>
          <w:rFonts w:cstheme="minorHAnsi"/>
        </w:rPr>
        <w:t>, and illuminated the cultural bias in ethnographies that had come before.</w:t>
      </w:r>
      <w:r w:rsidR="007B4040" w:rsidRPr="00227984">
        <w:rPr>
          <w:rFonts w:cstheme="minorHAnsi"/>
        </w:rPr>
        <w:t xml:space="preserve"> In a similar manner, approaches to the ‘body’ have developed and changed</w:t>
      </w:r>
      <w:r w:rsidR="0067592D" w:rsidRPr="00227984">
        <w:rPr>
          <w:rFonts w:cstheme="minorHAnsi"/>
        </w:rPr>
        <w:t xml:space="preserve"> in response to new understandings of cultural variance of how the body is perceived</w:t>
      </w:r>
      <w:r w:rsidR="00AB05CF" w:rsidRPr="00227984">
        <w:rPr>
          <w:rFonts w:cstheme="minorHAnsi"/>
        </w:rPr>
        <w:t>.</w:t>
      </w:r>
    </w:p>
    <w:p w14:paraId="31EC744F" w14:textId="28EB7C1D" w:rsidR="007E09F5" w:rsidRPr="00227984" w:rsidRDefault="0067592D" w:rsidP="007E09F5">
      <w:pPr>
        <w:autoSpaceDE w:val="0"/>
        <w:autoSpaceDN w:val="0"/>
        <w:adjustRightInd w:val="0"/>
        <w:spacing w:after="0" w:line="240" w:lineRule="auto"/>
        <w:rPr>
          <w:rFonts w:cstheme="minorHAnsi"/>
        </w:rPr>
      </w:pPr>
      <w:r w:rsidRPr="006429F4">
        <w:rPr>
          <w:rFonts w:cstheme="minorHAnsi"/>
        </w:rPr>
        <w:t>While there are cultural differences in how the body is understood, anthropologists also choose different ways of viewing the body</w:t>
      </w:r>
      <w:r w:rsidR="0081161A" w:rsidRPr="006429F4">
        <w:rPr>
          <w:rFonts w:cstheme="minorHAnsi"/>
        </w:rPr>
        <w:t xml:space="preserve"> in order to explore particular aspects of the society.</w:t>
      </w:r>
      <w:r w:rsidRPr="006429F4">
        <w:rPr>
          <w:rFonts w:cstheme="minorHAnsi"/>
        </w:rPr>
        <w:t xml:space="preserve"> </w:t>
      </w:r>
      <w:r w:rsidR="00825DA4" w:rsidRPr="006429F4">
        <w:rPr>
          <w:rFonts w:cstheme="minorHAnsi"/>
        </w:rPr>
        <w:t>Marxist anthropologists study the body in terms of economic role within a capitalist society</w:t>
      </w:r>
      <w:r w:rsidR="00ED2C4B" w:rsidRPr="006429F4">
        <w:rPr>
          <w:rFonts w:cstheme="minorHAnsi"/>
        </w:rPr>
        <w:t xml:space="preserve">, for example Mollona’s study of informal labour relations in a Sheffield neighbourhood </w:t>
      </w:r>
      <w:r w:rsidR="0081161A" w:rsidRPr="006429F4">
        <w:rPr>
          <w:rFonts w:cstheme="minorHAnsi"/>
        </w:rPr>
        <w:fldChar w:fldCharType="begin"/>
      </w:r>
      <w:r w:rsidR="0081161A" w:rsidRPr="006429F4">
        <w:rPr>
          <w:rFonts w:cstheme="minorHAnsi"/>
        </w:rPr>
        <w:instrText xml:space="preserve"> ADDIN ZOTERO_ITEM CSL_CITATION {"citationID":"akjefhg5qn","properties":{"formattedCitation":"(Mollona 2005)","plainCitation":"(Mollona 2005)","noteIndex":0},"citationItems":[{"id":157,"uris":["http://zotero.org/users/local/fHDFbT8E/items/D4Y58EUA"],"uri":["http://zotero.org/users/local/fHDFbT8E/items/D4Y58EUA"],"itemData":{"id":157,"type":"article-journal","title":"Factory, Family and Neighbourhood: The Political Economy of Informal Labour in Sheffield","container-title":"The Journal of the Royal Anthropological Institute","page":"527-548","volume":"11","issue":"3","source":"JSTOR","abstract":"This article explores the experience of formal and informal steel labour in the contexts of the factory, the family, and the neighbourhood in 'Endcliffe', an ex-industrial district of Sheffield, UK. The article reiterates Claude Meillassoux's claim, in his book Maidens, meal and money, that the informal economy is an ideological space for the cheap reproduction of labour in the interests of capital. Nevertheless, it also examines subjective and ethnographic understandings of the meanings of 'capital' and 'labour' and of the political nature of their shifting boundaries. In Endcliffe, capitalist subcontracting, state welfare, and economic policies of local regeneration have increased the informalization and casualization of steel labour and blurred the social spaces of the factory, the family, and the neighbourhood. The increased permeability between formal and informal economic processes and the re-embeddedness of production in the social and political texture of the neighbourhood tangles idioms of kinship and capitalist ideologies of production and turns the structural conflict between 'capital' and 'labour' into a generational and gender conflict within the working class. The article shows that the 'New Labour' government's attempt to transform Britain into a post-industrial and classless society has paradoxically fostered the re-emergence of ancient modes of production and forms of bonded labour. / Cet article explore le milieu de la main-d'œuvre formelle et informelle des aciéries, dans le contexte de l'usine, de la famille et du quartier à « Endcliffe », un ancien quartier industriel de Sheffield, au Royaume-Uni. Il réitère l'affirmation formulée par Claude Meillassoux dans son livre Femmes, greniers et capitaux, selon laquelle l'économie informelle est un espace idéologique où le travail est reproduit à moindre coût dans l'intérêt du capital. Cependant, l'auteur examine également les connotations subjectives et ethnographiques du « capital » et du « travail », ainsi que la nature politique de leurs frontières fluctuantes. Sous-traitance capitaliste, aide sociale et politiques économiques de régénération locale ont rendu davantage informel le travail dans les aciéries à Endcliffe, et brouillé les frontières sociales entre usine, famille et quartier. La perméabilité accrue entre les processus économiques formels et informels et la réintégration de la production dans le tissu politique du quartier brouillent les cartes de la parenté et des idéologies capitalistes de production. Elles transforment le conflit structurel entre « capital » et « travail » en un conflit de générations et de sexes au sein de la classe ouvrière. L'article montre que les tentatives faites par le gouvernement de New Labour pour transformer la Grande-Bretagne en société postindustrielle sans classes a favorisé, paradoxalement, la ré-émergence de modes de production et de formes de servitude qui appartenaient au passé.","ISSN":"1359-0987","shortTitle":"Factory, Family and Neighbourhood","author":[{"family":"Mollona","given":"Massimiliano"}],"issued":{"date-parts":[["2005"]]}}}],"schema":"https://github.com/citation-style-language/schema/raw/master/csl-citation.json"} </w:instrText>
      </w:r>
      <w:r w:rsidR="0081161A" w:rsidRPr="006429F4">
        <w:rPr>
          <w:rFonts w:cstheme="minorHAnsi"/>
        </w:rPr>
        <w:fldChar w:fldCharType="separate"/>
      </w:r>
      <w:r w:rsidR="0081161A" w:rsidRPr="006429F4">
        <w:rPr>
          <w:rFonts w:cstheme="minorHAnsi"/>
        </w:rPr>
        <w:t>(Mollona 2005)</w:t>
      </w:r>
      <w:r w:rsidR="0081161A" w:rsidRPr="006429F4">
        <w:rPr>
          <w:rFonts w:cstheme="minorHAnsi"/>
        </w:rPr>
        <w:fldChar w:fldCharType="end"/>
      </w:r>
      <w:r w:rsidR="00ED2C4B" w:rsidRPr="006429F4">
        <w:rPr>
          <w:rFonts w:cstheme="minorHAnsi"/>
        </w:rPr>
        <w:t xml:space="preserve">. </w:t>
      </w:r>
      <w:r w:rsidR="00825DA4" w:rsidRPr="006429F4">
        <w:rPr>
          <w:rFonts w:cstheme="minorHAnsi"/>
        </w:rPr>
        <w:t>Political</w:t>
      </w:r>
      <w:r w:rsidR="00F257F6" w:rsidRPr="006429F4">
        <w:rPr>
          <w:rFonts w:cstheme="minorHAnsi"/>
        </w:rPr>
        <w:t xml:space="preserve"> anthropologists look at the way bodies can be controlled and manipulated within power structures</w:t>
      </w:r>
      <w:r w:rsidR="005D2E21" w:rsidRPr="006429F4">
        <w:rPr>
          <w:rFonts w:cstheme="minorHAnsi"/>
        </w:rPr>
        <w:t xml:space="preserve">. Ong demonstrates this in her </w:t>
      </w:r>
      <w:r w:rsidR="00B65090" w:rsidRPr="006429F4">
        <w:rPr>
          <w:rFonts w:cstheme="minorHAnsi"/>
        </w:rPr>
        <w:t>study of Malay factory workers (Ong, 1988), where transgressions</w:t>
      </w:r>
      <w:r w:rsidR="00B65090" w:rsidRPr="00227984">
        <w:rPr>
          <w:rFonts w:cstheme="minorHAnsi"/>
        </w:rPr>
        <w:t xml:space="preserve"> against the cultural boundaries of the female body are believed to cause spirit possessions or attacks. </w:t>
      </w:r>
      <w:r w:rsidR="00AB05CF" w:rsidRPr="00227984">
        <w:rPr>
          <w:rFonts w:cstheme="minorHAnsi"/>
        </w:rPr>
        <w:t>Feminist anthropologists choose a gendered approach to the body, and</w:t>
      </w:r>
      <w:r w:rsidR="00AB05CF" w:rsidRPr="00227984">
        <w:rPr>
          <w:rFonts w:cstheme="minorHAnsi"/>
          <w:color w:val="000000"/>
        </w:rPr>
        <w:t xml:space="preserve"> t</w:t>
      </w:r>
      <w:r w:rsidR="00AB05CF" w:rsidRPr="00227984">
        <w:rPr>
          <w:rFonts w:cstheme="minorHAnsi"/>
          <w:color w:val="000000"/>
        </w:rPr>
        <w:t xml:space="preserve">he questions asked </w:t>
      </w:r>
      <w:r w:rsidR="00AB05CF" w:rsidRPr="00227984">
        <w:rPr>
          <w:rFonts w:cstheme="minorHAnsi"/>
          <w:color w:val="000000"/>
        </w:rPr>
        <w:t>in this approach</w:t>
      </w:r>
      <w:r w:rsidR="00AB05CF" w:rsidRPr="00227984">
        <w:rPr>
          <w:rFonts w:cstheme="minorHAnsi"/>
          <w:color w:val="000000"/>
        </w:rPr>
        <w:t xml:space="preserve"> have broadened the discourse of the anthropology of the body (Lock, 1993).</w:t>
      </w:r>
    </w:p>
    <w:p w14:paraId="144D417A" w14:textId="112F4E35" w:rsidR="00532DCC" w:rsidRPr="00227984" w:rsidRDefault="00E37CBE" w:rsidP="00AB05CF">
      <w:pPr>
        <w:autoSpaceDE w:val="0"/>
        <w:autoSpaceDN w:val="0"/>
        <w:adjustRightInd w:val="0"/>
        <w:spacing w:after="0" w:line="240" w:lineRule="auto"/>
        <w:rPr>
          <w:rFonts w:cstheme="minorHAnsi"/>
          <w:color w:val="000000"/>
        </w:rPr>
      </w:pPr>
      <w:r w:rsidRPr="00227984">
        <w:rPr>
          <w:rFonts w:cstheme="minorHAnsi"/>
        </w:rPr>
        <w:t>Medical anthropologists choose to study the concepts of sickness, health, and the body, within social and cultural contexts, and in doing this, realise that in many ways, the b</w:t>
      </w:r>
      <w:r w:rsidR="007E09F5" w:rsidRPr="00227984">
        <w:rPr>
          <w:rFonts w:cstheme="minorHAnsi"/>
        </w:rPr>
        <w:t>o</w:t>
      </w:r>
      <w:r w:rsidRPr="00227984">
        <w:rPr>
          <w:rFonts w:cstheme="minorHAnsi"/>
        </w:rPr>
        <w:t>dy is culturally constructed (Brown and Barrett, 2010, p.13)</w:t>
      </w:r>
      <w:r w:rsidR="007E09F5" w:rsidRPr="00227984">
        <w:rPr>
          <w:rFonts w:cstheme="minorHAnsi"/>
        </w:rPr>
        <w:t>.</w:t>
      </w:r>
      <w:r w:rsidR="007E09F5" w:rsidRPr="00227984">
        <w:rPr>
          <w:rFonts w:cstheme="minorHAnsi"/>
          <w:color w:val="000000"/>
        </w:rPr>
        <w:t xml:space="preserve"> </w:t>
      </w:r>
    </w:p>
    <w:p w14:paraId="5ED802BF" w14:textId="77777777" w:rsidR="00AB05CF" w:rsidRPr="00227984" w:rsidRDefault="00AB05CF" w:rsidP="00AB05CF">
      <w:pPr>
        <w:autoSpaceDE w:val="0"/>
        <w:autoSpaceDN w:val="0"/>
        <w:adjustRightInd w:val="0"/>
        <w:spacing w:after="0" w:line="240" w:lineRule="auto"/>
        <w:rPr>
          <w:rFonts w:cstheme="minorHAnsi"/>
          <w:color w:val="000000"/>
        </w:rPr>
      </w:pPr>
    </w:p>
    <w:p w14:paraId="7E4D7031" w14:textId="7E8410E0" w:rsidR="00CE7328" w:rsidRPr="00DA7981" w:rsidRDefault="00F257F6" w:rsidP="001825C7">
      <w:pPr>
        <w:rPr>
          <w:rFonts w:cstheme="minorHAnsi"/>
        </w:rPr>
      </w:pPr>
      <w:r w:rsidRPr="006429F4">
        <w:rPr>
          <w:rFonts w:cstheme="minorHAnsi"/>
        </w:rPr>
        <w:t>Approaches to the body in anthropology are dependent on the way we define the body; there are multiple approaches to the body</w:t>
      </w:r>
      <w:r w:rsidR="00E37CBE" w:rsidRPr="006429F4">
        <w:rPr>
          <w:rFonts w:cstheme="minorHAnsi"/>
        </w:rPr>
        <w:t xml:space="preserve">, and these all stem from the way in which the body is defined. </w:t>
      </w:r>
      <w:r w:rsidR="005D2E21" w:rsidRPr="006429F4">
        <w:rPr>
          <w:rFonts w:cstheme="minorHAnsi"/>
        </w:rPr>
        <w:t xml:space="preserve"> However, t</w:t>
      </w:r>
      <w:r w:rsidR="002B4273" w:rsidRPr="006429F4">
        <w:rPr>
          <w:rFonts w:cstheme="minorHAnsi"/>
        </w:rPr>
        <w:t>o define ‘the body’ is not, in fact, the simple task it first appears. The body, as a concept, is complex. Because of this, we must take into account multiple perspectives in order to decide how best to investigate “the body”. Anthropologists have shown that the body is culturally constructed</w:t>
      </w:r>
      <w:r w:rsidR="000F3468" w:rsidRPr="006429F4">
        <w:rPr>
          <w:rFonts w:cstheme="minorHAnsi"/>
        </w:rPr>
        <w:t xml:space="preserve">. The biomedical definition of the body in our culture has been strongly promoted as a universal truth, but anthropologists such as Lock </w:t>
      </w:r>
      <w:r w:rsidR="000F3468" w:rsidRPr="006429F4">
        <w:rPr>
          <w:rFonts w:cstheme="minorHAnsi"/>
        </w:rPr>
        <w:fldChar w:fldCharType="begin"/>
      </w:r>
      <w:r w:rsidR="000F3468" w:rsidRPr="006429F4">
        <w:rPr>
          <w:rFonts w:cstheme="minorHAnsi"/>
        </w:rPr>
        <w:instrText xml:space="preserve"> ADDIN ZOTERO_ITEM CSL_CITATION {"citationID":"a1ndg55e9ij","properties":{"formattedCitation":"(Lock 1993)","plainCitation":"(Lock 1993)"},"citationItems":[{"id":130,"uris":["http://zotero.org/users/local/fHDFbT8E/items/CLQ4ZL9J"],"uri":["http://zotero.org/users/local/fHDFbT8E/items/CLQ4ZL9J"],"itemData":{"id":130,"type":"article-journal","title":"Cultivating the Body: Anthropology and Epistemologies of Bodily Practice and Knowledge","container-title":"Annual Review of Anthropology","page":"133-155","volume":"22","source":"JSTOR","ISSN":"0084-6570","shortTitle":"Cultivating the Body","author":[{"family":"Lock","given":"Margaret"}],"issued":{"date-parts":[["1993"]]}}}],"schema":"https://github.com/citation-style-language/schema/raw/master/csl-citation.json"} </w:instrText>
      </w:r>
      <w:r w:rsidR="000F3468" w:rsidRPr="006429F4">
        <w:rPr>
          <w:rFonts w:cstheme="minorHAnsi"/>
        </w:rPr>
        <w:fldChar w:fldCharType="separate"/>
      </w:r>
      <w:r w:rsidR="000F3468" w:rsidRPr="006429F4">
        <w:rPr>
          <w:rFonts w:cstheme="minorHAnsi"/>
        </w:rPr>
        <w:t>(Lock 1993)</w:t>
      </w:r>
      <w:r w:rsidR="000F3468" w:rsidRPr="006429F4">
        <w:rPr>
          <w:rFonts w:cstheme="minorHAnsi"/>
        </w:rPr>
        <w:fldChar w:fldCharType="end"/>
      </w:r>
      <w:r w:rsidR="000F3468" w:rsidRPr="006429F4">
        <w:rPr>
          <w:rFonts w:cstheme="minorHAnsi"/>
        </w:rPr>
        <w:t xml:space="preserve"> have challenged the purely scientific definition</w:t>
      </w:r>
      <w:r w:rsidR="000F3468" w:rsidRPr="00227984">
        <w:rPr>
          <w:rFonts w:cstheme="minorHAnsi"/>
        </w:rPr>
        <w:t xml:space="preserve"> of the body, demonstrating that the body is a product of ‘social, cultural, and historical contexts.’ </w:t>
      </w:r>
      <w:r w:rsidR="000F3468" w:rsidRPr="00227984">
        <w:rPr>
          <w:rFonts w:cstheme="minorHAnsi"/>
        </w:rPr>
        <w:fldChar w:fldCharType="begin"/>
      </w:r>
      <w:r w:rsidR="000F3468" w:rsidRPr="00227984">
        <w:rPr>
          <w:rFonts w:cstheme="minorHAnsi"/>
        </w:rPr>
        <w:instrText xml:space="preserve"> ADDIN ZOTERO_ITEM CSL_CITATION {"citationID":"a2hbtocbrn8","properties":{"formattedCitation":"(Lock 1993)","plainCitation":"(Lock 1993)"},"citationItems":[{"id":130,"uris":["http://zotero.org/users/local/fHDFbT8E/items/CLQ4ZL9J"],"uri":["http://zotero.org/users/local/fHDFbT8E/items/CLQ4ZL9J"],"itemData":{"id":130,"type":"article-journal","title":"Cultivating the Body: Anthropology and Epistemologies of Bodily Practice and Knowledge","container-title":"Annual Review of Anthropology","page":"133-155","volume":"22","source":"JSTOR","ISSN":"0084-6570","shortTitle":"Cultivating the Body","author":[{"family":"Lock","given":"Margaret"}],"issued":{"date-parts":[["1993"]]}}}],"schema":"https://github.com/citation-style-language/schema/raw/master/csl-citation.json"} </w:instrText>
      </w:r>
      <w:r w:rsidR="000F3468" w:rsidRPr="00227984">
        <w:rPr>
          <w:rFonts w:cstheme="minorHAnsi"/>
        </w:rPr>
        <w:fldChar w:fldCharType="separate"/>
      </w:r>
      <w:r w:rsidR="000F3468" w:rsidRPr="00227984">
        <w:rPr>
          <w:rFonts w:cstheme="minorHAnsi"/>
        </w:rPr>
        <w:t>(Lock 1993)</w:t>
      </w:r>
      <w:r w:rsidR="000F3468" w:rsidRPr="00227984">
        <w:rPr>
          <w:rFonts w:cstheme="minorHAnsi"/>
        </w:rPr>
        <w:fldChar w:fldCharType="end"/>
      </w:r>
    </w:p>
    <w:p w14:paraId="3B1A62CF" w14:textId="4FE12B53" w:rsidR="00CE7328" w:rsidRDefault="008E5E97" w:rsidP="006B34E8">
      <w:pPr>
        <w:autoSpaceDE w:val="0"/>
        <w:autoSpaceDN w:val="0"/>
        <w:adjustRightInd w:val="0"/>
        <w:spacing w:after="0" w:line="240" w:lineRule="auto"/>
      </w:pPr>
      <w:r>
        <w:t xml:space="preserve">Mary Douglas claims that the constraints formed by society are responsible </w:t>
      </w:r>
      <w:r w:rsidR="001825C7">
        <w:t xml:space="preserve">for the variations seen in representation of the body. This means that every “natural” expression is actually determined by culture. We understand our feelings without outward expression, but </w:t>
      </w:r>
      <w:r w:rsidR="006B34E8">
        <w:t>upon outward expression, we behave within our social boundaries.</w:t>
      </w:r>
      <w:r w:rsidR="00AD3790">
        <w:t xml:space="preserve"> </w:t>
      </w:r>
      <w:r w:rsidR="00AD3790">
        <w:fldChar w:fldCharType="begin"/>
      </w:r>
      <w:r w:rsidR="00AD3790">
        <w:instrText xml:space="preserve"> ADDIN ZOTERO_ITEM CSL_CITATION {"citationID":"a10hkgohqii","properties":{"formattedCitation":"(Lock 1993)","plainCitation":"(Lock 1993)","noteIndex":0},"citationItems":[{"id":130,"uris":["http://zotero.org/users/local/fHDFbT8E/items/CLQ4ZL9J"],"uri":["http://zotero.org/users/local/fHDFbT8E/items/CLQ4ZL9J"],"itemData":{"id":130,"type":"article-journal","title":"Cultivating the Body: Anthropology and Epistemologies of Bodily Practice and Knowledge","container-title":"Annual Review of Anthropology","page":"133-155","volume":"22","source":"JSTOR","ISSN":"0084-6570","shortTitle":"Cultivating the Body","author":[{"family":"Lock","given":"Margaret"}],"issued":{"date-parts":[["1993"]]}}}],"schema":"https://github.com/citation-style-language/schema/raw/master/csl-citation.json"} </w:instrText>
      </w:r>
      <w:r w:rsidR="00AD3790">
        <w:fldChar w:fldCharType="separate"/>
      </w:r>
      <w:r w:rsidR="00AD3790" w:rsidRPr="00AD3790">
        <w:rPr>
          <w:rFonts w:ascii="Calibri" w:hAnsi="Calibri" w:cs="Calibri"/>
        </w:rPr>
        <w:t>(Lock 1993)</w:t>
      </w:r>
      <w:r w:rsidR="00AD3790">
        <w:fldChar w:fldCharType="end"/>
      </w:r>
      <w:r w:rsidR="006B34E8">
        <w:t xml:space="preserve"> Culture cannot provide us with sensation, but it provides us with words to refer to our interpretations of these.</w:t>
      </w:r>
    </w:p>
    <w:p w14:paraId="39007067" w14:textId="77777777" w:rsidR="006B34E8" w:rsidRPr="00227984" w:rsidRDefault="006B34E8" w:rsidP="006B34E8">
      <w:pPr>
        <w:autoSpaceDE w:val="0"/>
        <w:autoSpaceDN w:val="0"/>
        <w:adjustRightInd w:val="0"/>
        <w:spacing w:after="0" w:line="240" w:lineRule="auto"/>
        <w:rPr>
          <w:rFonts w:cstheme="minorHAnsi"/>
        </w:rPr>
      </w:pPr>
    </w:p>
    <w:p w14:paraId="585BA4FE" w14:textId="77777777" w:rsidR="00E7565F" w:rsidRDefault="00754B3E" w:rsidP="00E7565F">
      <w:pPr>
        <w:autoSpaceDE w:val="0"/>
        <w:autoSpaceDN w:val="0"/>
        <w:adjustRightInd w:val="0"/>
        <w:spacing w:after="0" w:line="240" w:lineRule="auto"/>
      </w:pPr>
      <w:r w:rsidRPr="00227984">
        <w:rPr>
          <w:rFonts w:cstheme="minorHAnsi"/>
        </w:rPr>
        <w:t xml:space="preserve">Anthropologists have come to recognise that the body is an intricately constructed social entity, and that the nature and boundaries of the body can significantly vary between social and cultural contexts. </w:t>
      </w:r>
      <w:r w:rsidR="000872D6" w:rsidRPr="00227984">
        <w:rPr>
          <w:rFonts w:cstheme="minorHAnsi"/>
        </w:rPr>
        <w:t>Unique cultural notions of the body</w:t>
      </w:r>
      <w:r w:rsidRPr="00227984">
        <w:rPr>
          <w:rFonts w:cstheme="minorHAnsi"/>
        </w:rPr>
        <w:t xml:space="preserve"> must always be taken into account</w:t>
      </w:r>
      <w:r w:rsidR="000872D6" w:rsidRPr="00227984">
        <w:rPr>
          <w:rFonts w:cstheme="minorHAnsi"/>
        </w:rPr>
        <w:t xml:space="preserve"> in anthropological stud</w:t>
      </w:r>
      <w:r w:rsidR="00716931" w:rsidRPr="00227984">
        <w:rPr>
          <w:rFonts w:cstheme="minorHAnsi"/>
        </w:rPr>
        <w:t>ies,</w:t>
      </w:r>
      <w:r w:rsidRPr="00227984">
        <w:rPr>
          <w:rFonts w:cstheme="minorHAnsi"/>
        </w:rPr>
        <w:t xml:space="preserve"> as </w:t>
      </w:r>
      <w:r w:rsidR="000872D6" w:rsidRPr="00227984">
        <w:rPr>
          <w:rFonts w:cstheme="minorHAnsi"/>
        </w:rPr>
        <w:t>an accurate</w:t>
      </w:r>
      <w:r w:rsidRPr="00227984">
        <w:rPr>
          <w:rFonts w:cstheme="minorHAnsi"/>
        </w:rPr>
        <w:t xml:space="preserve"> understanding </w:t>
      </w:r>
      <w:r w:rsidR="00875493" w:rsidRPr="00227984">
        <w:rPr>
          <w:rFonts w:cstheme="minorHAnsi"/>
        </w:rPr>
        <w:t xml:space="preserve">of the body </w:t>
      </w:r>
      <w:r w:rsidR="000872D6" w:rsidRPr="00227984">
        <w:rPr>
          <w:rFonts w:cstheme="minorHAnsi"/>
        </w:rPr>
        <w:t>is necessary for</w:t>
      </w:r>
      <w:r w:rsidR="00875493" w:rsidRPr="00227984">
        <w:rPr>
          <w:rFonts w:cstheme="minorHAnsi"/>
        </w:rPr>
        <w:t xml:space="preserve"> </w:t>
      </w:r>
      <w:r w:rsidR="000872D6" w:rsidRPr="00227984">
        <w:rPr>
          <w:rFonts w:cstheme="minorHAnsi"/>
        </w:rPr>
        <w:t>the appropriate</w:t>
      </w:r>
      <w:r w:rsidR="00875493" w:rsidRPr="00227984">
        <w:rPr>
          <w:rFonts w:cstheme="minorHAnsi"/>
        </w:rPr>
        <w:t xml:space="preserve"> interpretation of social practices. </w:t>
      </w:r>
      <w:r w:rsidR="00716931" w:rsidRPr="00227984">
        <w:rPr>
          <w:rFonts w:cstheme="minorHAnsi"/>
        </w:rPr>
        <w:t>D</w:t>
      </w:r>
      <w:r w:rsidR="007038EC" w:rsidRPr="00227984">
        <w:rPr>
          <w:rFonts w:cstheme="minorHAnsi"/>
        </w:rPr>
        <w:t xml:space="preserve">ifferent cultural views and backgrounds promote different ideas of the body, and we </w:t>
      </w:r>
      <w:r w:rsidR="007038EC" w:rsidRPr="006429F4">
        <w:rPr>
          <w:rFonts w:cstheme="minorHAnsi"/>
        </w:rPr>
        <w:t xml:space="preserve">cannot assume an ethno-centric notion of what the body is when looking </w:t>
      </w:r>
      <w:r w:rsidR="002B4273" w:rsidRPr="006429F4">
        <w:rPr>
          <w:rFonts w:cstheme="minorHAnsi"/>
        </w:rPr>
        <w:t>at</w:t>
      </w:r>
      <w:r w:rsidR="007038EC" w:rsidRPr="006429F4">
        <w:rPr>
          <w:rFonts w:cstheme="minorHAnsi"/>
        </w:rPr>
        <w:t xml:space="preserve"> different cultural contexts. </w:t>
      </w:r>
      <w:r w:rsidR="00AF2AC1" w:rsidRPr="006429F4">
        <w:rPr>
          <w:rFonts w:cstheme="minorHAnsi"/>
        </w:rPr>
        <w:t>The ‘body’ is culturally constructed to have boundaries, but the nature and location of these boundaries may vary across cultures.</w:t>
      </w:r>
      <w:r w:rsidR="00AF2AC1" w:rsidRPr="00227984">
        <w:rPr>
          <w:rFonts w:cstheme="minorHAnsi"/>
        </w:rPr>
        <w:t xml:space="preserve">  </w:t>
      </w:r>
    </w:p>
    <w:p w14:paraId="1350FF39" w14:textId="77777777" w:rsidR="00E7565F" w:rsidRDefault="00E7565F" w:rsidP="00E7565F">
      <w:pPr>
        <w:autoSpaceDE w:val="0"/>
        <w:autoSpaceDN w:val="0"/>
        <w:adjustRightInd w:val="0"/>
        <w:spacing w:after="0" w:line="240" w:lineRule="auto"/>
      </w:pPr>
    </w:p>
    <w:p w14:paraId="582FB58F" w14:textId="108684CE" w:rsidR="00E7565F" w:rsidRDefault="00E7565F" w:rsidP="00E7565F">
      <w:pPr>
        <w:autoSpaceDE w:val="0"/>
        <w:autoSpaceDN w:val="0"/>
        <w:adjustRightInd w:val="0"/>
        <w:spacing w:after="0" w:line="240" w:lineRule="auto"/>
      </w:pPr>
      <w:r w:rsidRPr="0025763F">
        <w:lastRenderedPageBreak/>
        <w:t xml:space="preserve">In </w:t>
      </w:r>
      <w:r w:rsidRPr="0025763F">
        <w:rPr>
          <w:rFonts w:cstheme="minorHAnsi"/>
          <w:i/>
        </w:rPr>
        <w:t>Careful eating; bodies, food, and care</w:t>
      </w:r>
      <w:r w:rsidRPr="0025763F">
        <w:t>, Abbots et al discuss the entanglements between food and care. This is in order to highlight how food in the form of care can influence the body; ’how individual eating bodies are lived, shaped</w:t>
      </w:r>
      <w:r>
        <w:t xml:space="preserve"> and sculpted by and through care, and how care is ingested, felt and lived in the ‘ordinary’ spaces of everyday lives.’ (Abbots et al, 2015) </w:t>
      </w:r>
    </w:p>
    <w:p w14:paraId="13A18D48" w14:textId="77777777" w:rsidR="00E7565F" w:rsidRPr="00E7565F" w:rsidRDefault="00E7565F" w:rsidP="00E7565F">
      <w:pPr>
        <w:autoSpaceDE w:val="0"/>
        <w:autoSpaceDN w:val="0"/>
        <w:adjustRightInd w:val="0"/>
        <w:spacing w:after="0" w:line="240" w:lineRule="auto"/>
      </w:pPr>
    </w:p>
    <w:p w14:paraId="5E0624CD" w14:textId="46FB7E65" w:rsidR="00716931" w:rsidRPr="00227984" w:rsidRDefault="00716931" w:rsidP="00E7565F">
      <w:pPr>
        <w:rPr>
          <w:rFonts w:cstheme="minorHAnsi"/>
        </w:rPr>
      </w:pPr>
      <w:r w:rsidRPr="006429F4">
        <w:rPr>
          <w:rFonts w:cstheme="minorHAnsi"/>
        </w:rPr>
        <w:t>Using a materialities approach, Coard</w:t>
      </w:r>
      <w:r w:rsidRPr="006429F4">
        <w:t xml:space="preserve"> </w:t>
      </w:r>
      <w:r w:rsidRPr="006429F4">
        <w:rPr>
          <w:rFonts w:cstheme="minorHAnsi"/>
        </w:rPr>
        <w:t xml:space="preserve">has investigated how the body </w:t>
      </w:r>
      <w:r w:rsidRPr="006429F4">
        <w:rPr>
          <w:rFonts w:cstheme="minorHAnsi"/>
        </w:rPr>
        <w:t>is not necessarily the ‘bounded’</w:t>
      </w:r>
      <w:r w:rsidR="001E5BD4" w:rsidRPr="006429F4">
        <w:rPr>
          <w:rFonts w:cstheme="minorHAnsi"/>
        </w:rPr>
        <w:t xml:space="preserve"> </w:t>
      </w:r>
      <w:r w:rsidRPr="006429F4">
        <w:rPr>
          <w:rFonts w:cstheme="minorHAnsi"/>
        </w:rPr>
        <w:t>entity that it is commonly understood to be.</w:t>
      </w:r>
      <w:r w:rsidRPr="006429F4">
        <w:rPr>
          <w:rStyle w:val="CommentReference"/>
          <w:rFonts w:cstheme="minorHAnsi"/>
          <w:sz w:val="22"/>
          <w:szCs w:val="22"/>
        </w:rPr>
        <w:t xml:space="preserve"> </w:t>
      </w:r>
      <w:r w:rsidRPr="006429F4">
        <w:rPr>
          <w:rStyle w:val="CommentReference"/>
          <w:rFonts w:cstheme="minorHAnsi"/>
          <w:sz w:val="22"/>
          <w:szCs w:val="22"/>
        </w:rPr>
        <w:t xml:space="preserve">Our skin constantly fragments and discards parts of itself, distributing them. (Coard, </w:t>
      </w:r>
      <w:r w:rsidR="00DB3080" w:rsidRPr="006429F4">
        <w:rPr>
          <w:rStyle w:val="CommentReference"/>
          <w:rFonts w:cstheme="minorHAnsi"/>
          <w:sz w:val="22"/>
          <w:szCs w:val="22"/>
        </w:rPr>
        <w:t xml:space="preserve">n.d.) </w:t>
      </w:r>
      <w:r w:rsidRPr="006429F4">
        <w:rPr>
          <w:rStyle w:val="CommentReference"/>
          <w:rFonts w:cstheme="minorHAnsi"/>
          <w:sz w:val="22"/>
          <w:szCs w:val="22"/>
        </w:rPr>
        <w:t>Shed material that was once a valued aspect of a living body becomes distasteful and a ‘shed-self</w:t>
      </w:r>
      <w:r w:rsidR="00DB3080" w:rsidRPr="006429F4">
        <w:rPr>
          <w:rStyle w:val="CommentReference"/>
          <w:rFonts w:cstheme="minorHAnsi"/>
          <w:sz w:val="22"/>
          <w:szCs w:val="22"/>
        </w:rPr>
        <w:t>’,</w:t>
      </w:r>
      <w:r w:rsidRPr="006429F4">
        <w:rPr>
          <w:rStyle w:val="CommentReference"/>
          <w:rFonts w:cstheme="minorHAnsi"/>
          <w:sz w:val="22"/>
          <w:szCs w:val="22"/>
        </w:rPr>
        <w:t xml:space="preserve"> becom</w:t>
      </w:r>
      <w:r w:rsidR="0005776F" w:rsidRPr="006429F4">
        <w:rPr>
          <w:rStyle w:val="CommentReference"/>
          <w:rFonts w:cstheme="minorHAnsi"/>
          <w:sz w:val="22"/>
          <w:szCs w:val="22"/>
        </w:rPr>
        <w:t>ing</w:t>
      </w:r>
      <w:r w:rsidRPr="006429F4">
        <w:rPr>
          <w:rStyle w:val="CommentReference"/>
          <w:rFonts w:cstheme="minorHAnsi"/>
          <w:sz w:val="22"/>
          <w:szCs w:val="22"/>
        </w:rPr>
        <w:t xml:space="preserve"> a detritus of ‘</w:t>
      </w:r>
      <w:r w:rsidRPr="006429F4">
        <w:rPr>
          <w:rFonts w:cstheme="minorHAnsi"/>
        </w:rPr>
        <w:t>Clothing fibres, insect remains, soil and sediment particles, pollen spores and plant macros</w:t>
      </w:r>
      <w:r w:rsidRPr="00227984">
        <w:rPr>
          <w:rFonts w:cstheme="minorHAnsi"/>
        </w:rPr>
        <w:t>, food particles, along with trace elements of non-toxic and toxic varieties, such as lead, (Chang Ho, et al. 2006</w:t>
      </w:r>
      <w:r w:rsidR="0005776F" w:rsidRPr="00227984">
        <w:rPr>
          <w:rFonts w:cstheme="minorHAnsi"/>
        </w:rPr>
        <w:t>, cited in Coard)</w:t>
      </w:r>
      <w:r w:rsidRPr="00227984">
        <w:rPr>
          <w:rFonts w:cstheme="minorHAnsi"/>
        </w:rPr>
        <w:t xml:space="preserve"> all mingle as the discarded flotsam and jetsam components of house dust.’(Coard</w:t>
      </w:r>
      <w:r w:rsidR="00DB3080" w:rsidRPr="00227984">
        <w:rPr>
          <w:rFonts w:cstheme="minorHAnsi"/>
        </w:rPr>
        <w:t>, n.d</w:t>
      </w:r>
      <w:r w:rsidRPr="00227984">
        <w:rPr>
          <w:rFonts w:cstheme="minorHAnsi"/>
        </w:rPr>
        <w:t>)</w:t>
      </w:r>
      <w:r w:rsidR="0005776F" w:rsidRPr="00227984">
        <w:rPr>
          <w:rFonts w:cstheme="minorHAnsi"/>
        </w:rPr>
        <w:t xml:space="preserve"> </w:t>
      </w:r>
      <w:r w:rsidRPr="00227984">
        <w:rPr>
          <w:rFonts w:cstheme="minorHAnsi"/>
        </w:rPr>
        <w:t>Without viewing this through a microscope, we cannot distinguish the parts of us from the other</w:t>
      </w:r>
      <w:r w:rsidR="0005776F" w:rsidRPr="00227984">
        <w:rPr>
          <w:rFonts w:cstheme="minorHAnsi"/>
        </w:rPr>
        <w:t xml:space="preserve"> </w:t>
      </w:r>
      <w:r w:rsidRPr="00227984">
        <w:rPr>
          <w:rFonts w:cstheme="minorHAnsi"/>
        </w:rPr>
        <w:t>discarded remains.</w:t>
      </w:r>
    </w:p>
    <w:p w14:paraId="63924AAF" w14:textId="37B5D0B5" w:rsidR="000B514D" w:rsidRPr="00227984" w:rsidRDefault="00716931" w:rsidP="000B514D">
      <w:pPr>
        <w:rPr>
          <w:rFonts w:cstheme="minorHAnsi"/>
        </w:rPr>
      </w:pPr>
      <w:r w:rsidRPr="00227984">
        <w:rPr>
          <w:rStyle w:val="CommentReference"/>
          <w:rFonts w:cstheme="minorHAnsi"/>
          <w:sz w:val="22"/>
          <w:szCs w:val="22"/>
        </w:rPr>
        <w:t>In our lifetimes, we could shed our entire body weight in discarded parts. This would mean that there is a “shed-us” in the environment, for each of us. However, we do not recognise it as part of our body.</w:t>
      </w:r>
      <w:r w:rsidR="0005776F" w:rsidRPr="00227984">
        <w:rPr>
          <w:rFonts w:cstheme="minorHAnsi"/>
        </w:rPr>
        <w:t xml:space="preserve"> </w:t>
      </w:r>
      <w:r w:rsidRPr="00227984">
        <w:rPr>
          <w:rStyle w:val="CommentReference"/>
          <w:rFonts w:cstheme="minorHAnsi"/>
          <w:sz w:val="22"/>
          <w:szCs w:val="22"/>
        </w:rPr>
        <w:t>Shed parts of the body do not seem to be recognised in the same way as other body parts. The Human Tissue Act does not consider them, bones of past people are recognized as part of the body, yet shed tissues are not. They have not been ‘thingified’</w:t>
      </w:r>
      <w:r w:rsidR="0005776F" w:rsidRPr="00227984">
        <w:rPr>
          <w:rFonts w:cstheme="minorHAnsi"/>
        </w:rPr>
        <w:t xml:space="preserve"> </w:t>
      </w:r>
      <w:r w:rsidRPr="00227984">
        <w:rPr>
          <w:rFonts w:cstheme="minorHAnsi"/>
        </w:rPr>
        <w:t>‘Our shed-selves are actually ‘us’ but we do not recognize them as such. Our shed-selves have no perceptive visibility, they are in the present but have no presence</w:t>
      </w:r>
      <w:r w:rsidR="0005776F" w:rsidRPr="00227984">
        <w:rPr>
          <w:rFonts w:cstheme="minorHAnsi"/>
        </w:rPr>
        <w:t xml:space="preserve">’ (Coard, n.d.). </w:t>
      </w:r>
    </w:p>
    <w:p w14:paraId="78253A70" w14:textId="719CACB2" w:rsidR="00716931" w:rsidRPr="00227984" w:rsidRDefault="000B514D" w:rsidP="00057B2B">
      <w:pPr>
        <w:rPr>
          <w:rFonts w:cstheme="minorHAnsi"/>
        </w:rPr>
      </w:pPr>
      <w:r w:rsidRPr="00227984">
        <w:rPr>
          <w:rFonts w:cstheme="minorHAnsi"/>
        </w:rPr>
        <w:t xml:space="preserve">While the body can be seen to shed parts of itself, </w:t>
      </w:r>
      <w:r w:rsidRPr="00227984">
        <w:rPr>
          <w:rFonts w:cstheme="minorHAnsi"/>
        </w:rPr>
        <w:t xml:space="preserve">Mol draws attention to the fact that bodies </w:t>
      </w:r>
      <w:r w:rsidRPr="00227984">
        <w:rPr>
          <w:rFonts w:cstheme="minorHAnsi"/>
        </w:rPr>
        <w:t xml:space="preserve">can </w:t>
      </w:r>
      <w:r w:rsidRPr="00227984">
        <w:rPr>
          <w:rFonts w:cstheme="minorHAnsi"/>
        </w:rPr>
        <w:t>also incorporate</w:t>
      </w:r>
      <w:r w:rsidRPr="00227984">
        <w:rPr>
          <w:rFonts w:cstheme="minorHAnsi"/>
        </w:rPr>
        <w:t xml:space="preserve"> (Mol, </w:t>
      </w:r>
      <w:r w:rsidR="00057B2B" w:rsidRPr="00227984">
        <w:rPr>
          <w:rFonts w:cstheme="minorHAnsi"/>
        </w:rPr>
        <w:t>2008)</w:t>
      </w:r>
      <w:r w:rsidRPr="00227984">
        <w:rPr>
          <w:rFonts w:cstheme="minorHAnsi"/>
        </w:rPr>
        <w:t>.</w:t>
      </w:r>
      <w:r w:rsidRPr="00227984">
        <w:rPr>
          <w:rFonts w:cstheme="minorHAnsi"/>
        </w:rPr>
        <w:t xml:space="preserve"> I</w:t>
      </w:r>
      <w:r w:rsidRPr="00227984">
        <w:rPr>
          <w:rFonts w:cstheme="minorHAnsi"/>
        </w:rPr>
        <w:t xml:space="preserve">n </w:t>
      </w:r>
      <w:r w:rsidRPr="00227984">
        <w:rPr>
          <w:rFonts w:cstheme="minorHAnsi"/>
          <w:i/>
        </w:rPr>
        <w:t xml:space="preserve">I eat an apple, </w:t>
      </w:r>
      <w:r w:rsidRPr="00227984">
        <w:rPr>
          <w:rFonts w:cstheme="minorHAnsi"/>
        </w:rPr>
        <w:t>Mol discussed how</w:t>
      </w:r>
      <w:r w:rsidRPr="00227984">
        <w:rPr>
          <w:rFonts w:cstheme="minorHAnsi"/>
        </w:rPr>
        <w:t xml:space="preserve"> the apple is absorbed and becomes a part of the body, as do the far-reaching biographical details of the apple, which become connected to the body and incorporated into it, in some way</w:t>
      </w:r>
      <w:r w:rsidR="00A64F37">
        <w:rPr>
          <w:rFonts w:cstheme="minorHAnsi"/>
        </w:rPr>
        <w:t xml:space="preserve"> (Mol, 2008)</w:t>
      </w:r>
      <w:r w:rsidR="00A64F37" w:rsidRPr="00A64F37">
        <w:rPr>
          <w:rFonts w:cstheme="minorHAnsi"/>
        </w:rPr>
        <w:t xml:space="preserve"> </w:t>
      </w:r>
      <w:r w:rsidRPr="00A64F37">
        <w:rPr>
          <w:rFonts w:cstheme="minorHAnsi"/>
        </w:rPr>
        <w:t xml:space="preserve"> </w:t>
      </w:r>
      <w:r w:rsidRPr="00227984">
        <w:rPr>
          <w:rFonts w:cstheme="minorHAnsi"/>
        </w:rPr>
        <w:t>Through shedding and incorporating, the boundaries of the body become more fluid.</w:t>
      </w:r>
      <w:r w:rsidR="00057B2B" w:rsidRPr="00227984">
        <w:rPr>
          <w:rFonts w:cstheme="minorHAnsi"/>
        </w:rPr>
        <w:t xml:space="preserve"> </w:t>
      </w:r>
      <w:r w:rsidRPr="00227984">
        <w:rPr>
          <w:rFonts w:cstheme="minorHAnsi"/>
        </w:rPr>
        <w:t xml:space="preserve">If, as </w:t>
      </w:r>
      <w:r w:rsidR="00A64F37" w:rsidRPr="00227984">
        <w:rPr>
          <w:rFonts w:cstheme="minorHAnsi"/>
        </w:rPr>
        <w:t>Coard and</w:t>
      </w:r>
      <w:r w:rsidRPr="00227984">
        <w:rPr>
          <w:rFonts w:cstheme="minorHAnsi"/>
        </w:rPr>
        <w:t xml:space="preserve"> Mol </w:t>
      </w:r>
      <w:r w:rsidRPr="00227984">
        <w:rPr>
          <w:rFonts w:cstheme="minorHAnsi"/>
        </w:rPr>
        <w:t>describe, the body is not the bounded entity that it appears to be; it follows that, at</w:t>
      </w:r>
      <w:r w:rsidR="00057B2B" w:rsidRPr="00227984">
        <w:rPr>
          <w:rFonts w:cstheme="minorHAnsi"/>
        </w:rPr>
        <w:t xml:space="preserve"> </w:t>
      </w:r>
      <w:r w:rsidRPr="00227984">
        <w:rPr>
          <w:rFonts w:cstheme="minorHAnsi"/>
        </w:rPr>
        <w:t>some point, cultural and social definitions are decided on what the body is and where it begins and ends.</w:t>
      </w:r>
    </w:p>
    <w:p w14:paraId="214F5FFF" w14:textId="3E535489" w:rsidR="007038EC" w:rsidRPr="00227984" w:rsidRDefault="00AB7DE7" w:rsidP="007038EC">
      <w:pPr>
        <w:rPr>
          <w:rFonts w:cstheme="minorHAnsi"/>
        </w:rPr>
      </w:pPr>
      <w:r w:rsidRPr="00227984">
        <w:rPr>
          <w:rFonts w:cstheme="minorHAnsi"/>
        </w:rPr>
        <w:t xml:space="preserve">Sharp has investigated how definitions of the body are constructed </w:t>
      </w:r>
      <w:r w:rsidRPr="00227984">
        <w:rPr>
          <w:rFonts w:cstheme="minorHAnsi"/>
        </w:rPr>
        <w:fldChar w:fldCharType="begin"/>
      </w:r>
      <w:r w:rsidRPr="00227984">
        <w:rPr>
          <w:rFonts w:cstheme="minorHAnsi"/>
        </w:rPr>
        <w:instrText xml:space="preserve"> ADDIN ZOTERO_ITEM CSL_CITATION {"citationID":"a1n7ol3e1ks","properties":{"formattedCitation":"(Sharp 2000)","plainCitation":"(Sharp 2000)","noteIndex":0},"citationItems":[{"id":122,"uris":["http://zotero.org/users/local/fHDFbT8E/items/SV3LBCE3"],"uri":["http://zotero.org/users/local/fHDFbT8E/items/SV3LBCE3"],"itemData":{"id":122,"type":"article-journal","title":"The Commodification of the Body and its Parts","container-title":"Annual review of anthropology.","page":"287–328","volume":"29","issue":"1","source":"whel-primo.com","DOI":"10.1146/annurev.anthro.29.1.287","ISSN":"0084-6570","author":[{"family":"Sharp","given":"L"}],"issued":{"date-parts":[["2000"]]}}}],"schema":"https://github.com/citation-style-language/schema/raw/master/csl-citation.json"} </w:instrText>
      </w:r>
      <w:r w:rsidRPr="00227984">
        <w:rPr>
          <w:rFonts w:cstheme="minorHAnsi"/>
        </w:rPr>
        <w:fldChar w:fldCharType="separate"/>
      </w:r>
      <w:r w:rsidRPr="00227984">
        <w:rPr>
          <w:rFonts w:cstheme="minorHAnsi"/>
        </w:rPr>
        <w:t>(Sharp 2000)</w:t>
      </w:r>
      <w:r w:rsidRPr="00227984">
        <w:rPr>
          <w:rFonts w:cstheme="minorHAnsi"/>
        </w:rPr>
        <w:fldChar w:fldCharType="end"/>
      </w:r>
      <w:r w:rsidRPr="00227984">
        <w:rPr>
          <w:rFonts w:cstheme="minorHAnsi"/>
        </w:rPr>
        <w:t xml:space="preserve">. </w:t>
      </w:r>
      <w:r w:rsidR="007038EC" w:rsidRPr="00227984">
        <w:rPr>
          <w:rFonts w:cstheme="minorHAnsi"/>
        </w:rPr>
        <w:t>The body is conceived of and defined differently depending on perspective</w:t>
      </w:r>
      <w:r w:rsidR="00AF2AC1" w:rsidRPr="00227984">
        <w:rPr>
          <w:rFonts w:cstheme="minorHAnsi"/>
        </w:rPr>
        <w:t xml:space="preserve">. According to Sharp, </w:t>
      </w:r>
      <w:r w:rsidR="00116458" w:rsidRPr="00227984">
        <w:rPr>
          <w:rFonts w:cstheme="minorHAnsi"/>
        </w:rPr>
        <w:t xml:space="preserve">there are </w:t>
      </w:r>
      <w:r w:rsidR="00B048AD" w:rsidRPr="00227984">
        <w:rPr>
          <w:rFonts w:cstheme="minorHAnsi"/>
        </w:rPr>
        <w:t xml:space="preserve">a </w:t>
      </w:r>
      <w:r w:rsidR="00116458" w:rsidRPr="00227984">
        <w:rPr>
          <w:rFonts w:cstheme="minorHAnsi"/>
        </w:rPr>
        <w:t>multitude</w:t>
      </w:r>
      <w:r w:rsidR="00B048AD" w:rsidRPr="00227984">
        <w:rPr>
          <w:rFonts w:cstheme="minorHAnsi"/>
        </w:rPr>
        <w:t xml:space="preserve"> </w:t>
      </w:r>
      <w:r w:rsidR="00116458" w:rsidRPr="00227984">
        <w:rPr>
          <w:rFonts w:cstheme="minorHAnsi"/>
        </w:rPr>
        <w:t xml:space="preserve">of </w:t>
      </w:r>
      <w:r w:rsidR="00116458" w:rsidRPr="006429F4">
        <w:rPr>
          <w:rFonts w:cstheme="minorHAnsi"/>
        </w:rPr>
        <w:t xml:space="preserve">factors that can influence the image and integrity of the body, and these are all crucial to understanding how the body is constructed. Social class, age, and faith are all elements to consider, but also </w:t>
      </w:r>
      <w:r w:rsidR="00561C05" w:rsidRPr="006429F4">
        <w:rPr>
          <w:rFonts w:cstheme="minorHAnsi"/>
        </w:rPr>
        <w:t>the frameworks present in the society; cultural views, political state, the economy, scientific views and research. These</w:t>
      </w:r>
      <w:r w:rsidR="00561C05" w:rsidRPr="00227984">
        <w:rPr>
          <w:rFonts w:cstheme="minorHAnsi"/>
        </w:rPr>
        <w:t xml:space="preserve"> can all show very different concepts of the body, and how it can be commodified or fragment</w:t>
      </w:r>
      <w:r w:rsidRPr="00227984">
        <w:rPr>
          <w:rFonts w:cstheme="minorHAnsi"/>
        </w:rPr>
        <w:t>ed.</w:t>
      </w:r>
    </w:p>
    <w:p w14:paraId="2538333C" w14:textId="77777777" w:rsidR="00073BA4" w:rsidRPr="00227984" w:rsidRDefault="009026B0" w:rsidP="00FE6321">
      <w:pPr>
        <w:autoSpaceDE w:val="0"/>
        <w:autoSpaceDN w:val="0"/>
        <w:adjustRightInd w:val="0"/>
        <w:spacing w:after="0" w:line="240" w:lineRule="auto"/>
        <w:rPr>
          <w:rFonts w:cstheme="minorHAnsi"/>
        </w:rPr>
      </w:pPr>
      <w:r w:rsidRPr="00227984">
        <w:rPr>
          <w:rFonts w:cstheme="minorHAnsi"/>
          <w:color w:val="000000"/>
        </w:rPr>
        <w:t>Until recent times, the dominant view of the body has been a biomedical one</w:t>
      </w:r>
      <w:r w:rsidR="0099246F" w:rsidRPr="00227984">
        <w:rPr>
          <w:rFonts w:cstheme="minorHAnsi"/>
          <w:color w:val="000000"/>
        </w:rPr>
        <w:t xml:space="preserve">. As the </w:t>
      </w:r>
      <w:r w:rsidR="00FE6321" w:rsidRPr="00227984">
        <w:rPr>
          <w:rFonts w:cstheme="minorHAnsi"/>
          <w:color w:val="000000"/>
        </w:rPr>
        <w:t xml:space="preserve">representation of the </w:t>
      </w:r>
      <w:r w:rsidR="0099246F" w:rsidRPr="00227984">
        <w:rPr>
          <w:rFonts w:cstheme="minorHAnsi"/>
          <w:color w:val="000000"/>
        </w:rPr>
        <w:t xml:space="preserve">body has become more of a focus in the discourse, however, </w:t>
      </w:r>
      <w:r w:rsidR="00FE6321" w:rsidRPr="00227984">
        <w:rPr>
          <w:rFonts w:cstheme="minorHAnsi"/>
          <w:color w:val="000000"/>
        </w:rPr>
        <w:t xml:space="preserve">views of the body </w:t>
      </w:r>
      <w:r w:rsidR="0099246F" w:rsidRPr="00227984">
        <w:rPr>
          <w:rFonts w:cstheme="minorHAnsi"/>
          <w:color w:val="000000"/>
        </w:rPr>
        <w:t>ha</w:t>
      </w:r>
      <w:r w:rsidR="00FE6321" w:rsidRPr="00227984">
        <w:rPr>
          <w:rFonts w:cstheme="minorHAnsi"/>
          <w:color w:val="000000"/>
        </w:rPr>
        <w:t>ve become less set</w:t>
      </w:r>
      <w:r w:rsidR="0099246F" w:rsidRPr="00227984">
        <w:rPr>
          <w:rFonts w:cstheme="minorHAnsi"/>
          <w:color w:val="000000"/>
        </w:rPr>
        <w:t xml:space="preserve">, </w:t>
      </w:r>
      <w:r w:rsidR="00FE6321" w:rsidRPr="00227984">
        <w:rPr>
          <w:rFonts w:cstheme="minorHAnsi"/>
          <w:color w:val="000000"/>
        </w:rPr>
        <w:t xml:space="preserve">and the various concepts of the body seem to only widen the </w:t>
      </w:r>
      <w:r w:rsidR="00AB7DE7" w:rsidRPr="00227984">
        <w:rPr>
          <w:rFonts w:cstheme="minorHAnsi"/>
          <w:color w:val="000000"/>
        </w:rPr>
        <w:t>debat</w:t>
      </w:r>
      <w:r w:rsidR="00FE6321" w:rsidRPr="00227984">
        <w:rPr>
          <w:rFonts w:cstheme="minorHAnsi"/>
          <w:color w:val="000000"/>
        </w:rPr>
        <w:t>e.</w:t>
      </w:r>
      <w:r w:rsidR="00073BA4" w:rsidRPr="00227984">
        <w:rPr>
          <w:rFonts w:cstheme="minorHAnsi"/>
        </w:rPr>
        <w:t xml:space="preserve"> </w:t>
      </w:r>
    </w:p>
    <w:p w14:paraId="6FDD11E4" w14:textId="77777777" w:rsidR="00073BA4" w:rsidRPr="00227984" w:rsidRDefault="00073BA4" w:rsidP="00FE6321">
      <w:pPr>
        <w:autoSpaceDE w:val="0"/>
        <w:autoSpaceDN w:val="0"/>
        <w:adjustRightInd w:val="0"/>
        <w:spacing w:after="0" w:line="240" w:lineRule="auto"/>
        <w:rPr>
          <w:rFonts w:cstheme="minorHAnsi"/>
          <w:color w:val="000000"/>
        </w:rPr>
      </w:pPr>
    </w:p>
    <w:p w14:paraId="3898BD62" w14:textId="1367EE24" w:rsidR="00FE6321" w:rsidRPr="006429F4" w:rsidRDefault="00FE6321" w:rsidP="00FE6321">
      <w:pPr>
        <w:autoSpaceDE w:val="0"/>
        <w:autoSpaceDN w:val="0"/>
        <w:adjustRightInd w:val="0"/>
        <w:spacing w:after="0" w:line="240" w:lineRule="auto"/>
        <w:rPr>
          <w:rFonts w:cstheme="minorHAnsi"/>
          <w:color w:val="000000"/>
        </w:rPr>
      </w:pPr>
      <w:r w:rsidRPr="006429F4">
        <w:rPr>
          <w:rFonts w:cstheme="minorHAnsi"/>
          <w:color w:val="000000"/>
        </w:rPr>
        <w:t>According to Lock</w:t>
      </w:r>
      <w:r w:rsidR="00073BA4" w:rsidRPr="006429F4">
        <w:rPr>
          <w:rFonts w:cstheme="minorHAnsi"/>
          <w:color w:val="000000"/>
        </w:rPr>
        <w:t>,</w:t>
      </w:r>
      <w:r w:rsidRPr="006429F4">
        <w:rPr>
          <w:rFonts w:cstheme="minorHAnsi"/>
          <w:color w:val="000000"/>
        </w:rPr>
        <w:t xml:space="preserve"> an understanding of the world </w:t>
      </w:r>
      <w:r w:rsidR="00073BA4" w:rsidRPr="006429F4">
        <w:rPr>
          <w:rFonts w:cstheme="minorHAnsi"/>
          <w:color w:val="000000"/>
        </w:rPr>
        <w:t>in which a</w:t>
      </w:r>
      <w:r w:rsidRPr="006429F4">
        <w:rPr>
          <w:rFonts w:cstheme="minorHAnsi"/>
          <w:color w:val="000000"/>
        </w:rPr>
        <w:t xml:space="preserve"> body exists can be read by analysing the ‘inscriptions’ on the body, such</w:t>
      </w:r>
      <w:r w:rsidR="00780889" w:rsidRPr="006429F4">
        <w:rPr>
          <w:rFonts w:cstheme="minorHAnsi"/>
          <w:color w:val="000000"/>
        </w:rPr>
        <w:t xml:space="preserve"> as clothing and hair, but also ritual tattoos and piercings, scars, etc. </w:t>
      </w:r>
    </w:p>
    <w:p w14:paraId="1527A2A3" w14:textId="77777777" w:rsidR="007E09F5" w:rsidRPr="006429F4" w:rsidRDefault="007E09F5" w:rsidP="00FE6321">
      <w:pPr>
        <w:autoSpaceDE w:val="0"/>
        <w:autoSpaceDN w:val="0"/>
        <w:adjustRightInd w:val="0"/>
        <w:spacing w:after="0" w:line="240" w:lineRule="auto"/>
        <w:rPr>
          <w:rFonts w:cstheme="minorHAnsi"/>
        </w:rPr>
      </w:pPr>
    </w:p>
    <w:p w14:paraId="0AD2F626" w14:textId="77777777" w:rsidR="008E5E97" w:rsidRDefault="008E5E97" w:rsidP="007E09F5">
      <w:pPr>
        <w:autoSpaceDE w:val="0"/>
        <w:autoSpaceDN w:val="0"/>
        <w:adjustRightInd w:val="0"/>
        <w:spacing w:after="0" w:line="240" w:lineRule="auto"/>
        <w:ind w:left="720"/>
        <w:rPr>
          <w:rFonts w:cstheme="minorHAnsi"/>
          <w:i/>
          <w:color w:val="000000"/>
        </w:rPr>
      </w:pPr>
    </w:p>
    <w:p w14:paraId="6FBC5AC6" w14:textId="569AC70C" w:rsidR="009026B0" w:rsidRDefault="007E09F5" w:rsidP="007E09F5">
      <w:pPr>
        <w:autoSpaceDE w:val="0"/>
        <w:autoSpaceDN w:val="0"/>
        <w:adjustRightInd w:val="0"/>
        <w:spacing w:after="0" w:line="240" w:lineRule="auto"/>
        <w:ind w:left="720"/>
        <w:rPr>
          <w:rFonts w:cstheme="minorHAnsi"/>
          <w:i/>
          <w:color w:val="000000"/>
        </w:rPr>
      </w:pPr>
      <w:r w:rsidRPr="006429F4">
        <w:rPr>
          <w:rFonts w:cstheme="minorHAnsi"/>
          <w:i/>
          <w:color w:val="000000"/>
        </w:rPr>
        <w:t>…s</w:t>
      </w:r>
      <w:r w:rsidR="009026B0" w:rsidRPr="006429F4">
        <w:rPr>
          <w:rFonts w:cstheme="minorHAnsi"/>
          <w:i/>
          <w:color w:val="000000"/>
        </w:rPr>
        <w:t>ocial</w:t>
      </w:r>
      <w:r w:rsidR="009026B0" w:rsidRPr="00227984">
        <w:rPr>
          <w:rFonts w:cstheme="minorHAnsi"/>
          <w:i/>
          <w:color w:val="000000"/>
        </w:rPr>
        <w:t xml:space="preserve"> categories are literally inscribed on and into the body, which, with prescriptions about body fluids, cosmetics, clothing, hair styles, depilation, and ornamentation, acts as a signifier of local social and moral world</w:t>
      </w:r>
      <w:r w:rsidRPr="00227984">
        <w:rPr>
          <w:rFonts w:cstheme="minorHAnsi"/>
          <w:i/>
          <w:color w:val="000000"/>
        </w:rPr>
        <w:t>s.</w:t>
      </w:r>
    </w:p>
    <w:p w14:paraId="036F4142" w14:textId="2C2790A8" w:rsidR="006429F4" w:rsidRPr="00227984" w:rsidRDefault="006429F4" w:rsidP="007E09F5">
      <w:pPr>
        <w:autoSpaceDE w:val="0"/>
        <w:autoSpaceDN w:val="0"/>
        <w:adjustRightInd w:val="0"/>
        <w:spacing w:after="0" w:line="240" w:lineRule="auto"/>
        <w:ind w:left="720"/>
        <w:rPr>
          <w:rFonts w:cstheme="minorHAnsi"/>
          <w:i/>
          <w:color w:val="000000"/>
        </w:rPr>
      </w:pPr>
      <w:r>
        <w:rPr>
          <w:rFonts w:cstheme="minorHAnsi"/>
          <w:i/>
          <w:color w:val="000000"/>
        </w:rPr>
        <w:t>- Lock, 1993</w:t>
      </w:r>
    </w:p>
    <w:p w14:paraId="39CB2B10" w14:textId="77777777" w:rsidR="007E09F5" w:rsidRPr="00227984" w:rsidRDefault="007E09F5" w:rsidP="007E09F5">
      <w:pPr>
        <w:autoSpaceDE w:val="0"/>
        <w:autoSpaceDN w:val="0"/>
        <w:adjustRightInd w:val="0"/>
        <w:spacing w:after="0" w:line="240" w:lineRule="auto"/>
        <w:ind w:left="720"/>
        <w:rPr>
          <w:rFonts w:cstheme="minorHAnsi"/>
          <w:i/>
          <w:color w:val="000000"/>
        </w:rPr>
      </w:pPr>
    </w:p>
    <w:p w14:paraId="3CFCCBE0" w14:textId="1E15D5F1" w:rsidR="00A902DF" w:rsidRPr="00227984" w:rsidRDefault="00073BA4" w:rsidP="00CE7328">
      <w:pPr>
        <w:autoSpaceDE w:val="0"/>
        <w:autoSpaceDN w:val="0"/>
        <w:adjustRightInd w:val="0"/>
        <w:spacing w:after="0" w:line="240" w:lineRule="auto"/>
        <w:rPr>
          <w:rFonts w:cstheme="minorHAnsi"/>
          <w:i/>
          <w:color w:val="000000"/>
        </w:rPr>
      </w:pPr>
      <w:r w:rsidRPr="00227984">
        <w:rPr>
          <w:rFonts w:cstheme="minorHAnsi"/>
          <w:color w:val="000000"/>
        </w:rPr>
        <w:lastRenderedPageBreak/>
        <w:t xml:space="preserve">The cultural views of these inscriptions on the body and what they represent are key to </w:t>
      </w:r>
      <w:r w:rsidR="007E09F5" w:rsidRPr="00227984">
        <w:rPr>
          <w:rFonts w:cstheme="minorHAnsi"/>
          <w:color w:val="000000"/>
        </w:rPr>
        <w:t>understanding the social and cultural context in which people live</w:t>
      </w:r>
      <w:r w:rsidRPr="00227984">
        <w:rPr>
          <w:rFonts w:cstheme="minorHAnsi"/>
          <w:color w:val="000000"/>
        </w:rPr>
        <w:t xml:space="preserve">. </w:t>
      </w:r>
      <w:r w:rsidRPr="00227984">
        <w:rPr>
          <w:rFonts w:cstheme="minorHAnsi"/>
          <w:color w:val="000000"/>
        </w:rPr>
        <w:fldChar w:fldCharType="begin"/>
      </w:r>
      <w:r w:rsidRPr="00227984">
        <w:rPr>
          <w:rFonts w:cstheme="minorHAnsi"/>
          <w:color w:val="000000"/>
        </w:rPr>
        <w:instrText xml:space="preserve"> ADDIN ZOTERO_ITEM CSL_CITATION {"citationID":"a2ea94g4c0f","properties":{"formattedCitation":"(Lock 1993)","plainCitation":"(Lock 1993)","noteIndex":0},"citationItems":[{"id":130,"uris":["http://zotero.org/users/local/fHDFbT8E/items/CLQ4ZL9J"],"uri":["http://zotero.org/users/local/fHDFbT8E/items/CLQ4ZL9J"],"itemData":{"id":130,"type":"article-journal","title":"Cultivating the Body: Anthropology and Epistemologies of Bodily Practice and Knowledge","container-title":"Annual Review of Anthropology","page":"133-155","volume":"22","source":"JSTOR","ISSN":"0084-6570","shortTitle":"Cultivating the Body","author":[{"family":"Lock","given":"Margaret"}],"issued":{"date-parts":[["1993"]]}}}],"schema":"https://github.com/citation-style-language/schema/raw/master/csl-citation.json"} </w:instrText>
      </w:r>
      <w:r w:rsidRPr="00227984">
        <w:rPr>
          <w:rFonts w:cstheme="minorHAnsi"/>
          <w:color w:val="000000"/>
        </w:rPr>
        <w:fldChar w:fldCharType="separate"/>
      </w:r>
      <w:r w:rsidRPr="00227984">
        <w:rPr>
          <w:rFonts w:cstheme="minorHAnsi"/>
        </w:rPr>
        <w:t>(Lock 1993)</w:t>
      </w:r>
      <w:r w:rsidRPr="00227984">
        <w:rPr>
          <w:rFonts w:cstheme="minorHAnsi"/>
          <w:color w:val="000000"/>
        </w:rPr>
        <w:fldChar w:fldCharType="end"/>
      </w:r>
    </w:p>
    <w:p w14:paraId="46BD382C" w14:textId="77777777" w:rsidR="00CE7328" w:rsidRPr="00227984" w:rsidRDefault="00CE7328" w:rsidP="00CE7328">
      <w:pPr>
        <w:autoSpaceDE w:val="0"/>
        <w:autoSpaceDN w:val="0"/>
        <w:adjustRightInd w:val="0"/>
        <w:spacing w:after="0" w:line="240" w:lineRule="auto"/>
        <w:rPr>
          <w:rFonts w:cstheme="minorHAnsi"/>
          <w:i/>
          <w:color w:val="000000"/>
        </w:rPr>
      </w:pPr>
    </w:p>
    <w:p w14:paraId="485B3664" w14:textId="0248EA0D" w:rsidR="0025763F" w:rsidRPr="006429F4" w:rsidRDefault="00A902DF" w:rsidP="006429F4">
      <w:pPr>
        <w:rPr>
          <w:rFonts w:ascii="TimesNewRomanPSMT" w:eastAsia="TimesNewRomanPSMT" w:hAnsi="Times New Roman" w:cs="TimesNewRomanPSMT"/>
          <w:sz w:val="20"/>
          <w:szCs w:val="20"/>
        </w:rPr>
      </w:pPr>
      <w:r w:rsidRPr="00AF401E">
        <w:rPr>
          <w:rFonts w:cstheme="minorHAnsi"/>
        </w:rPr>
        <w:t xml:space="preserve">Where one sees taboos surrounding the body, this is likely to indicate a culturally shared view of the body, and in order to understand the taboo, anthropologists </w:t>
      </w:r>
      <w:r w:rsidR="00A64F37" w:rsidRPr="00AF401E">
        <w:rPr>
          <w:rFonts w:cstheme="minorHAnsi"/>
        </w:rPr>
        <w:t>must first</w:t>
      </w:r>
      <w:r w:rsidRPr="00AF401E">
        <w:rPr>
          <w:rFonts w:cstheme="minorHAnsi"/>
        </w:rPr>
        <w:t xml:space="preserve"> investigat</w:t>
      </w:r>
      <w:r w:rsidR="00CE7328" w:rsidRPr="00AF401E">
        <w:rPr>
          <w:rFonts w:cstheme="minorHAnsi"/>
        </w:rPr>
        <w:t>e how th</w:t>
      </w:r>
      <w:r w:rsidRPr="00AF401E">
        <w:rPr>
          <w:rFonts w:cstheme="minorHAnsi"/>
        </w:rPr>
        <w:t>at society views the body.</w:t>
      </w:r>
      <w:r w:rsidR="00AF401E" w:rsidRPr="00AF401E">
        <w:rPr>
          <w:rFonts w:cstheme="minorHAnsi"/>
        </w:rPr>
        <w:t xml:space="preserve"> In</w:t>
      </w:r>
      <w:r w:rsidR="00AF401E">
        <w:rPr>
          <w:rFonts w:cstheme="minorHAnsi"/>
        </w:rPr>
        <w:t xml:space="preserve"> </w:t>
      </w:r>
      <w:proofErr w:type="spellStart"/>
      <w:r w:rsidR="00AF401E">
        <w:rPr>
          <w:rFonts w:cstheme="minorHAnsi"/>
        </w:rPr>
        <w:t>Chagnon’s</w:t>
      </w:r>
      <w:proofErr w:type="spellEnd"/>
      <w:r w:rsidR="00AF401E">
        <w:rPr>
          <w:rFonts w:cstheme="minorHAnsi"/>
        </w:rPr>
        <w:t xml:space="preserve"> </w:t>
      </w:r>
      <w:r w:rsidR="00AF401E" w:rsidRPr="00AF401E">
        <w:rPr>
          <w:rFonts w:cstheme="minorHAnsi"/>
          <w:i/>
        </w:rPr>
        <w:t>Noble Savages: My Life Among Two Dangerous Tribes -- the Yanomamo and the Anthropologists</w:t>
      </w:r>
      <w:r w:rsidR="006429F4">
        <w:rPr>
          <w:rFonts w:cstheme="minorHAnsi"/>
          <w:i/>
        </w:rPr>
        <w:t xml:space="preserve"> </w:t>
      </w:r>
      <w:r w:rsidR="006429F4">
        <w:rPr>
          <w:rFonts w:cstheme="minorHAnsi"/>
          <w:i/>
        </w:rPr>
        <w:fldChar w:fldCharType="begin"/>
      </w:r>
      <w:r w:rsidR="00AD3790">
        <w:rPr>
          <w:rFonts w:cstheme="minorHAnsi"/>
          <w:i/>
        </w:rPr>
        <w:instrText xml:space="preserve"> ADDIN ZOTERO_ITEM CSL_CITATION {"citationID":"a2je3v63s6l","properties":{"formattedCitation":"(Chagnon 2013)","plainCitation":"(Chagnon 2013)","dontUpdate":true,"noteIndex":0},"citationItems":[{"id":171,"uris":["http://zotero.org/users/local/fHDFbT8E/items/UG6VQBIW"],"uri":["http://zotero.org/users/local/fHDFbT8E/items/UG6VQBIW"],"itemData":{"id":171,"type":"book","title":"Noble Savages: My Life Among Two Dangerous Tribes -- the Yanomamo and the Anthropologists","publisher":"Simon and Schuster","number-of-pages":"526","source":"Google Books","abstract":"The most controversial and famous anthropologist of our time describes his seminal lifelong research among the Yanomamö Indians of the Amazon basin and how his startling observations provoked admiration among many fellow anthropologists and outrage among others.ONE OF THE MOST IMPORTANT SCIENTIFIC MEMOIRS OF OUR TIME When Napoleon Chagnon arrived in Venezuela’s Amazon region in 1964 to study the Yanomamö Indians, one of the last large tribal groups still living in isolation, he expected to find Rousseau’s “noble savages,” so-called primitive people living contentedly in a pristine state of nature. Instead Chagnon discovered a remarkably violent society. Men who killed others had the most wives and offspring, their violence possibly giving them an evolutionary advantage. The prime reasons for violence, Chagnon found, were to avenge deaths and, if possible, abduct women. When Chagnon began publishing his observations, some cultural anthropologists who could not accept an evolutionary basis for human behavior refused to believe them. Chagnon became perhaps the most famous American anthropologist since Margaret Mead—and the most controversial. He was attacked in a scathing popular book, whose central allegation that he helped start a measles epidemic among the Yanomamö was quickly disproven, and the American Anthropological Association condemned him, only to rescind its condemnation after a vote by the membership. Throughout his career Chagnon insisted on an evidence-based scientific approach to anthropology, even as his professional association dithered over whether it really is a scientific organization. In Noble Savages, Chagnon describes his seminal fieldwork—during which he lived among the Yanomamö, was threatened by tyrannical headmen, and experienced an uncomfortably close encounter with a jaguar—taking readers inside Yanomamö villages to glimpse the kind of life our distant ancestors may have lived thousands of years ago. And he forcefully indicts his discipline of cultural anthropology, accusing it of having traded its scientific mission for political activism. This book, like Chagnon’s research, raises fundamental questions about human nature itself.","ISBN":"978-0-684-85510-3","note":"Google-Books-ID: 5eeRG9QAAioC","shortTitle":"Noble Savages","language":"en","author":[{"family":"Chagnon","given":"Napoleon A."}],"issued":{"date-parts":[["2013",2,19]]}}}],"schema":"https://github.com/citation-style-language/schema/raw/master/csl-citation.json"} </w:instrText>
      </w:r>
      <w:r w:rsidR="006429F4">
        <w:rPr>
          <w:rFonts w:cstheme="minorHAnsi"/>
          <w:i/>
        </w:rPr>
        <w:fldChar w:fldCharType="separate"/>
      </w:r>
      <w:r w:rsidR="006429F4" w:rsidRPr="006429F4">
        <w:rPr>
          <w:rFonts w:ascii="Calibri" w:hAnsi="Calibri" w:cs="Calibri"/>
        </w:rPr>
        <w:t>(2013)</w:t>
      </w:r>
      <w:r w:rsidR="006429F4">
        <w:rPr>
          <w:rFonts w:cstheme="minorHAnsi"/>
          <w:i/>
        </w:rPr>
        <w:fldChar w:fldCharType="end"/>
      </w:r>
      <w:r w:rsidR="00AF401E">
        <w:rPr>
          <w:rFonts w:cstheme="minorHAnsi"/>
        </w:rPr>
        <w:t>, he describes obvious cultural differences between the globalised world and</w:t>
      </w:r>
      <w:r w:rsidR="00AF401E" w:rsidRPr="00AF401E">
        <w:rPr>
          <w:rFonts w:cstheme="minorHAnsi"/>
        </w:rPr>
        <w:t xml:space="preserve"> </w:t>
      </w:r>
      <w:r w:rsidR="00AF401E">
        <w:rPr>
          <w:rFonts w:cstheme="minorHAnsi"/>
        </w:rPr>
        <w:t>t</w:t>
      </w:r>
      <w:r w:rsidR="000270F7" w:rsidRPr="00AF401E">
        <w:rPr>
          <w:rFonts w:cstheme="minorHAnsi"/>
        </w:rPr>
        <w:t>he Yanomami Indians</w:t>
      </w:r>
      <w:r w:rsidR="00AF401E">
        <w:rPr>
          <w:rFonts w:cstheme="minorHAnsi"/>
        </w:rPr>
        <w:t xml:space="preserve">. ‘They also had the rather unpleasant habit of blowing </w:t>
      </w:r>
      <w:r w:rsidR="00FB7ABD">
        <w:rPr>
          <w:rFonts w:cstheme="minorHAnsi"/>
        </w:rPr>
        <w:t>large quantities of slimy</w:t>
      </w:r>
      <w:r w:rsidR="000270F7" w:rsidRPr="00AF401E">
        <w:rPr>
          <w:rFonts w:cstheme="minorHAnsi"/>
        </w:rPr>
        <w:t xml:space="preserve"> snot</w:t>
      </w:r>
      <w:r w:rsidR="00FB7ABD">
        <w:rPr>
          <w:rFonts w:cstheme="minorHAnsi"/>
        </w:rPr>
        <w:t xml:space="preserve"> out of their noses into their hands and then wiping it on any nearby surface…’</w:t>
      </w:r>
      <w:r w:rsidR="006429F4">
        <w:rPr>
          <w:rFonts w:cstheme="minorHAnsi"/>
        </w:rPr>
        <w:t xml:space="preserve"> (</w:t>
      </w:r>
      <w:proofErr w:type="spellStart"/>
      <w:r w:rsidR="006429F4">
        <w:rPr>
          <w:rFonts w:cstheme="minorHAnsi"/>
        </w:rPr>
        <w:t>Chagnon</w:t>
      </w:r>
      <w:proofErr w:type="spellEnd"/>
      <w:r w:rsidR="006429F4">
        <w:rPr>
          <w:rFonts w:cstheme="minorHAnsi"/>
        </w:rPr>
        <w:t>, 2013, p.126).</w:t>
      </w:r>
      <w:r w:rsidR="000270F7" w:rsidRPr="00AF401E">
        <w:rPr>
          <w:rFonts w:cstheme="minorHAnsi"/>
        </w:rPr>
        <w:t xml:space="preserve"> </w:t>
      </w:r>
      <w:proofErr w:type="spellStart"/>
      <w:r w:rsidR="00FB7ABD">
        <w:rPr>
          <w:rFonts w:cstheme="minorHAnsi"/>
        </w:rPr>
        <w:t>Chagnon</w:t>
      </w:r>
      <w:proofErr w:type="spellEnd"/>
      <w:r w:rsidR="00FB7ABD">
        <w:rPr>
          <w:rFonts w:cstheme="minorHAnsi"/>
        </w:rPr>
        <w:t xml:space="preserve"> mentions the large quantities of snot multiple times in his work, which serves </w:t>
      </w:r>
      <w:r w:rsidR="00FB7ABD" w:rsidRPr="008037DC">
        <w:rPr>
          <w:rFonts w:cstheme="minorHAnsi"/>
        </w:rPr>
        <w:t>to highlight the cultural difference in how we view bodily taboo</w:t>
      </w:r>
      <w:r w:rsidR="00FB7ABD">
        <w:rPr>
          <w:rFonts w:cstheme="minorHAnsi"/>
        </w:rPr>
        <w:t xml:space="preserve">; to the Yanomami, that behaviour is socially acceptable, whereas to us, it is seen as unclean. </w:t>
      </w:r>
      <w:r w:rsidR="00412E1E">
        <w:rPr>
          <w:rFonts w:cstheme="minorHAnsi"/>
        </w:rPr>
        <w:t xml:space="preserve">The Yanomami also practice a form of </w:t>
      </w:r>
      <w:proofErr w:type="spellStart"/>
      <w:r w:rsidR="00412E1E">
        <w:rPr>
          <w:rFonts w:cstheme="minorHAnsi"/>
        </w:rPr>
        <w:t>endocannibalism</w:t>
      </w:r>
      <w:proofErr w:type="spellEnd"/>
      <w:r w:rsidR="00412E1E">
        <w:rPr>
          <w:rFonts w:cstheme="minorHAnsi"/>
        </w:rPr>
        <w:t xml:space="preserve">, in which they ritually consume the cremation ash of </w:t>
      </w:r>
      <w:r w:rsidR="0020032A">
        <w:rPr>
          <w:rFonts w:cstheme="minorHAnsi"/>
        </w:rPr>
        <w:t xml:space="preserve">those in their kin, mixing ashes with a soup which is shared amongst the group, in order to preserve the </w:t>
      </w:r>
      <w:r w:rsidR="0020032A" w:rsidRPr="006429F4">
        <w:rPr>
          <w:rFonts w:cstheme="minorHAnsi"/>
        </w:rPr>
        <w:t>spirit of the deceased</w:t>
      </w:r>
      <w:r w:rsidR="006429F4" w:rsidRPr="006429F4">
        <w:rPr>
          <w:rFonts w:cstheme="minorHAnsi"/>
        </w:rPr>
        <w:t xml:space="preserve"> (</w:t>
      </w:r>
      <w:proofErr w:type="spellStart"/>
      <w:r w:rsidR="006429F4" w:rsidRPr="006429F4">
        <w:rPr>
          <w:rFonts w:cstheme="minorHAnsi"/>
        </w:rPr>
        <w:t>Chagnon</w:t>
      </w:r>
      <w:proofErr w:type="spellEnd"/>
      <w:r w:rsidR="006429F4" w:rsidRPr="006429F4">
        <w:rPr>
          <w:rFonts w:cstheme="minorHAnsi"/>
        </w:rPr>
        <w:t>, 2013, p.74)</w:t>
      </w:r>
    </w:p>
    <w:p w14:paraId="01DC7065" w14:textId="52AD7774" w:rsidR="00E26AF0" w:rsidRPr="00227984" w:rsidRDefault="00CE7328" w:rsidP="00E26AF0">
      <w:pPr>
        <w:autoSpaceDE w:val="0"/>
        <w:autoSpaceDN w:val="0"/>
        <w:adjustRightInd w:val="0"/>
        <w:spacing w:after="0" w:line="240" w:lineRule="auto"/>
        <w:rPr>
          <w:rFonts w:cstheme="minorHAnsi"/>
        </w:rPr>
      </w:pPr>
      <w:r w:rsidRPr="006429F4">
        <w:rPr>
          <w:rFonts w:cstheme="minorHAnsi"/>
        </w:rPr>
        <w:t xml:space="preserve">In modern capitalist societies, </w:t>
      </w:r>
      <w:r w:rsidR="00E26AF0" w:rsidRPr="006429F4">
        <w:rPr>
          <w:rFonts w:cstheme="minorHAnsi"/>
        </w:rPr>
        <w:t>anthropologists have argued that the body has become a working commodity (Sharp, 2000). Sharp argues that parts of the body have individual value in the economy, such as wombs</w:t>
      </w:r>
      <w:r w:rsidR="00E26AF0" w:rsidRPr="00227984">
        <w:rPr>
          <w:rFonts w:cstheme="minorHAnsi"/>
        </w:rPr>
        <w:t xml:space="preserve"> for rent, human-hair wigs, and commercial organ donation. </w:t>
      </w:r>
      <w:r w:rsidR="00C31FEE" w:rsidRPr="00227984">
        <w:rPr>
          <w:rFonts w:cstheme="minorHAnsi"/>
          <w:color w:val="000000"/>
        </w:rPr>
        <w:t>To discuss the commodification of the human body, we must explore the body's anthropological significance, and question the definition of a body "part"</w:t>
      </w:r>
      <w:r w:rsidR="00E26AF0" w:rsidRPr="00227984">
        <w:rPr>
          <w:rFonts w:cstheme="minorHAnsi"/>
          <w:color w:val="000000"/>
        </w:rPr>
        <w:t xml:space="preserve"> </w:t>
      </w:r>
      <w:r w:rsidR="00E26AF0" w:rsidRPr="00227984">
        <w:rPr>
          <w:rFonts w:cstheme="minorHAnsi"/>
          <w:color w:val="000000"/>
        </w:rPr>
        <w:t>(Sharp, 2000, p.287)</w:t>
      </w:r>
      <w:r w:rsidR="00E26AF0" w:rsidRPr="00227984">
        <w:rPr>
          <w:rFonts w:cstheme="minorHAnsi"/>
          <w:color w:val="000000"/>
        </w:rPr>
        <w:t>.</w:t>
      </w:r>
    </w:p>
    <w:p w14:paraId="2542428B" w14:textId="0E332518" w:rsidR="00C31FEE" w:rsidRPr="00227984" w:rsidRDefault="00C31FEE" w:rsidP="00C31FEE">
      <w:pPr>
        <w:autoSpaceDE w:val="0"/>
        <w:autoSpaceDN w:val="0"/>
        <w:adjustRightInd w:val="0"/>
        <w:spacing w:after="0" w:line="240" w:lineRule="auto"/>
        <w:rPr>
          <w:rFonts w:cstheme="minorHAnsi"/>
          <w:color w:val="000000"/>
        </w:rPr>
      </w:pPr>
      <w:r w:rsidRPr="00227984">
        <w:rPr>
          <w:rFonts w:cstheme="minorHAnsi"/>
          <w:color w:val="000000"/>
        </w:rPr>
        <w:t xml:space="preserve">Fragmentation of the body can occur through language and visual imagery, or physically, via surgical procedures. </w:t>
      </w:r>
      <w:r w:rsidR="007038EC" w:rsidRPr="00227984">
        <w:rPr>
          <w:rFonts w:cstheme="minorHAnsi"/>
          <w:color w:val="000000"/>
        </w:rPr>
        <w:t xml:space="preserve">Through its life, the body fragments through life processes, such as reproduction, </w:t>
      </w:r>
      <w:r w:rsidR="00746E20" w:rsidRPr="00227984">
        <w:rPr>
          <w:rFonts w:cstheme="minorHAnsi"/>
          <w:color w:val="000000"/>
        </w:rPr>
        <w:t xml:space="preserve">shedding, etc, or more forcefully, such as through injury, or even grooming. </w:t>
      </w:r>
    </w:p>
    <w:p w14:paraId="79FF91B4" w14:textId="77777777" w:rsidR="00C31FEE" w:rsidRPr="00227984" w:rsidRDefault="00C31FEE" w:rsidP="00C31FEE">
      <w:pPr>
        <w:autoSpaceDE w:val="0"/>
        <w:autoSpaceDN w:val="0"/>
        <w:adjustRightInd w:val="0"/>
        <w:spacing w:after="0" w:line="240" w:lineRule="auto"/>
        <w:rPr>
          <w:rFonts w:cstheme="minorHAnsi"/>
        </w:rPr>
      </w:pPr>
      <w:r w:rsidRPr="00227984">
        <w:rPr>
          <w:rFonts w:cstheme="minorHAnsi"/>
          <w:color w:val="000000"/>
        </w:rPr>
        <w:t>(Sharp, 2000, p.289)</w:t>
      </w:r>
    </w:p>
    <w:p w14:paraId="27A631F9" w14:textId="2DD7F533" w:rsidR="00C31FEE" w:rsidRPr="00227984" w:rsidRDefault="00C31FEE" w:rsidP="00C31FEE">
      <w:pPr>
        <w:rPr>
          <w:rFonts w:cstheme="minorHAnsi"/>
          <w:color w:val="FF0000"/>
        </w:rPr>
      </w:pPr>
    </w:p>
    <w:p w14:paraId="17CF4E0D" w14:textId="34AF6B14" w:rsidR="000B514D" w:rsidRPr="006429F4" w:rsidRDefault="0094437C" w:rsidP="000B514D">
      <w:pPr>
        <w:rPr>
          <w:rFonts w:cstheme="minorHAnsi"/>
        </w:rPr>
      </w:pPr>
      <w:r w:rsidRPr="008037DC">
        <w:rPr>
          <w:rFonts w:cstheme="minorHAnsi"/>
        </w:rPr>
        <w:t>Political anth</w:t>
      </w:r>
      <w:r w:rsidR="00FC708C" w:rsidRPr="008037DC">
        <w:rPr>
          <w:rFonts w:cstheme="minorHAnsi"/>
        </w:rPr>
        <w:t>ropologists</w:t>
      </w:r>
      <w:r w:rsidR="00E26AF0" w:rsidRPr="008037DC">
        <w:rPr>
          <w:rFonts w:cstheme="minorHAnsi"/>
        </w:rPr>
        <w:t xml:space="preserve"> also</w:t>
      </w:r>
      <w:r w:rsidR="00FC708C" w:rsidRPr="008037DC">
        <w:rPr>
          <w:rFonts w:cstheme="minorHAnsi"/>
        </w:rPr>
        <w:t xml:space="preserve"> view the body as sited within structures of power and authority. As</w:t>
      </w:r>
      <w:r w:rsidR="00FC708C" w:rsidRPr="00227984">
        <w:rPr>
          <w:rFonts w:cstheme="minorHAnsi"/>
        </w:rPr>
        <w:t xml:space="preserve"> such, bodes can be controlled and manipulated, but also become sites of resistance. </w:t>
      </w:r>
      <w:r w:rsidR="00780889" w:rsidRPr="00227984">
        <w:rPr>
          <w:rFonts w:cstheme="minorHAnsi"/>
        </w:rPr>
        <w:t xml:space="preserve">When one has no power or autonomy over one’s life, the body can become </w:t>
      </w:r>
      <w:r w:rsidR="00780889" w:rsidRPr="00227984">
        <w:rPr>
          <w:rFonts w:cstheme="minorHAnsi"/>
        </w:rPr>
        <w:t xml:space="preserve">one such </w:t>
      </w:r>
      <w:r w:rsidR="00780889" w:rsidRPr="00227984">
        <w:rPr>
          <w:rFonts w:cstheme="minorHAnsi"/>
        </w:rPr>
        <w:t>site</w:t>
      </w:r>
      <w:r w:rsidR="00E26AF0" w:rsidRPr="00227984">
        <w:rPr>
          <w:rFonts w:cstheme="minorHAnsi"/>
        </w:rPr>
        <w:t xml:space="preserve"> </w:t>
      </w:r>
      <w:r w:rsidR="00AD3790">
        <w:rPr>
          <w:rFonts w:cstheme="minorHAnsi"/>
        </w:rPr>
        <w:fldChar w:fldCharType="begin"/>
      </w:r>
      <w:r w:rsidR="00AD3790">
        <w:rPr>
          <w:rFonts w:cstheme="minorHAnsi"/>
        </w:rPr>
        <w:instrText xml:space="preserve"> ADDIN ZOTERO_ITEM CSL_CITATION {"citationID":"a250b7of30l","properties":{"formattedCitation":"(Aihwa Ong [no date])","plainCitation":"(Aihwa Ong [no date])","noteIndex":0},"citationItems":[{"id":145,"uris":["http://zotero.org/users/local/fHDFbT8E/items/FN2W56B3"],"uri":["http://zotero.org/users/local/fHDFbT8E/items/FN2W56B3"],"itemData":{"id":145,"type":"article-journal","title":"The Production of Possession: Spirits and the Multinational Corporation in Malaysia","container-title":"American Ethnologist","page":"28–42","volume":"15","issue":"1","source":"whel-primo.com","DOI":"10.1525/ae.1988.15.1.02a00030","ISSN":"0094-0496","shortTitle":"The Production of Possession","author":[{"literal":"Aihwa Ong"}]}}],"schema":"https://github.com/citation-style-language/schema/raw/master/csl-citation.json"} </w:instrText>
      </w:r>
      <w:r w:rsidR="00AD3790">
        <w:rPr>
          <w:rFonts w:cstheme="minorHAnsi"/>
        </w:rPr>
        <w:fldChar w:fldCharType="separate"/>
      </w:r>
      <w:r w:rsidR="00AD3790" w:rsidRPr="00AD3790">
        <w:rPr>
          <w:rFonts w:ascii="Calibri" w:hAnsi="Calibri" w:cs="Calibri"/>
        </w:rPr>
        <w:t xml:space="preserve">(Ong </w:t>
      </w:r>
      <w:r w:rsidR="00AD3790">
        <w:rPr>
          <w:rFonts w:ascii="Calibri" w:hAnsi="Calibri" w:cs="Calibri"/>
        </w:rPr>
        <w:t>1988</w:t>
      </w:r>
      <w:r w:rsidR="00AD3790" w:rsidRPr="00AD3790">
        <w:rPr>
          <w:rFonts w:ascii="Calibri" w:hAnsi="Calibri" w:cs="Calibri"/>
        </w:rPr>
        <w:t>)</w:t>
      </w:r>
      <w:r w:rsidR="00AD3790">
        <w:rPr>
          <w:rFonts w:cstheme="minorHAnsi"/>
        </w:rPr>
        <w:fldChar w:fldCharType="end"/>
      </w:r>
      <w:r w:rsidR="00AD3790">
        <w:rPr>
          <w:rFonts w:cstheme="minorHAnsi"/>
        </w:rPr>
        <w:t xml:space="preserve">. </w:t>
      </w:r>
      <w:r w:rsidR="00780889" w:rsidRPr="00227984">
        <w:rPr>
          <w:rFonts w:cstheme="minorHAnsi"/>
        </w:rPr>
        <w:t xml:space="preserve">Ong describes </w:t>
      </w:r>
      <w:r w:rsidR="009D6291" w:rsidRPr="00227984">
        <w:rPr>
          <w:rFonts w:cstheme="minorHAnsi"/>
        </w:rPr>
        <w:t xml:space="preserve">young Malay women working in a strictly controlled, modern factory environment, where the Malay belief of spirits clashes with the biomedical view of the dominantly male factory supervisors. As the women are reduced to a commodity with no autonomy during the work, with no other way to assert control over themselves, they sometimes demonstrate this resistance, resulting in an episode of ‘spirit possession.’ </w:t>
      </w:r>
      <w:r w:rsidR="00DC11C5" w:rsidRPr="00227984">
        <w:rPr>
          <w:rFonts w:cstheme="minorHAnsi"/>
        </w:rPr>
        <w:t xml:space="preserve">This can involve hyperventilation, destructive behaviour, shouting, and often other </w:t>
      </w:r>
      <w:r w:rsidR="00D06074" w:rsidRPr="00227984">
        <w:rPr>
          <w:rFonts w:cstheme="minorHAnsi"/>
        </w:rPr>
        <w:t xml:space="preserve">forms </w:t>
      </w:r>
      <w:r w:rsidR="00DC11C5" w:rsidRPr="00227984">
        <w:rPr>
          <w:rFonts w:cstheme="minorHAnsi"/>
        </w:rPr>
        <w:t>aggression. The workers truly believe they are undergoing spirit possession,</w:t>
      </w:r>
      <w:r w:rsidR="00E26AF0" w:rsidRPr="00227984">
        <w:rPr>
          <w:rFonts w:cstheme="minorHAnsi"/>
        </w:rPr>
        <w:t xml:space="preserve"> </w:t>
      </w:r>
      <w:r w:rsidR="00DC11C5" w:rsidRPr="00227984">
        <w:rPr>
          <w:rFonts w:cstheme="minorHAnsi"/>
        </w:rPr>
        <w:t xml:space="preserve">and </w:t>
      </w:r>
      <w:r w:rsidR="00D06074" w:rsidRPr="00227984">
        <w:rPr>
          <w:rFonts w:cstheme="minorHAnsi"/>
        </w:rPr>
        <w:t xml:space="preserve">as such, </w:t>
      </w:r>
      <w:r w:rsidR="00DC11C5" w:rsidRPr="00227984">
        <w:rPr>
          <w:rFonts w:cstheme="minorHAnsi"/>
        </w:rPr>
        <w:t>are able to act without repercussion</w:t>
      </w:r>
      <w:r w:rsidR="00D06074" w:rsidRPr="00227984">
        <w:rPr>
          <w:rFonts w:cstheme="minorHAnsi"/>
        </w:rPr>
        <w:t>,</w:t>
      </w:r>
      <w:r w:rsidR="00DC11C5" w:rsidRPr="00227984">
        <w:rPr>
          <w:rFonts w:cstheme="minorHAnsi"/>
        </w:rPr>
        <w:t xml:space="preserve"> as they are not to blame. </w:t>
      </w:r>
      <w:r w:rsidR="00950CBC" w:rsidRPr="00227984">
        <w:rPr>
          <w:rFonts w:cstheme="minorHAnsi"/>
        </w:rPr>
        <w:t>This appears to be</w:t>
      </w:r>
      <w:r w:rsidR="00D06074" w:rsidRPr="00227984">
        <w:rPr>
          <w:rFonts w:cstheme="minorHAnsi"/>
        </w:rPr>
        <w:t xml:space="preserve"> a form of social control, through which the bodies and behaviours are manipulated by ancestral spirits. </w:t>
      </w:r>
      <w:r w:rsidR="00AD3790">
        <w:rPr>
          <w:rFonts w:cstheme="minorHAnsi"/>
        </w:rPr>
        <w:t>(Ong, 1988)</w:t>
      </w:r>
    </w:p>
    <w:p w14:paraId="1578D6EC" w14:textId="4E5B6C52" w:rsidR="00227984" w:rsidRDefault="00F067B7">
      <w:r>
        <w:t xml:space="preserve">To properly investigate the body, we must understand its role in anthropological discourse; without the body, we would have no means of interpreting the physical world around us. </w:t>
      </w:r>
      <w:r w:rsidR="00884F79">
        <w:t>However, our means of interpretation, and therefore the resulting world view, can differ massively between cultures. In this way, anthropologists have interpreted different views of the body in order to understand the societies these bodies fit into</w:t>
      </w:r>
      <w:r w:rsidR="0056290D">
        <w:t xml:space="preserve">. </w:t>
      </w:r>
      <w:r w:rsidR="00DB41E6">
        <w:t xml:space="preserve">Various individual qualities a person has can influence their interpretation, and ‘inscribed’ qualities can reflect the world around them. </w:t>
      </w:r>
      <w:r w:rsidR="0056290D">
        <w:t xml:space="preserve">However, investigations into the body seem only to lead into more questions about what the body really is and means. </w:t>
      </w:r>
      <w:r w:rsidR="00DB41E6">
        <w:t>Capitalist societies can be seen to view the body as a working commodity, where its value is measured by its ability to produce</w:t>
      </w:r>
      <w:r w:rsidR="005D1D03">
        <w:t xml:space="preserve">. This view can lead to working bodies having no feeling of autonomy; in which case the body can become a site of resistance in order to </w:t>
      </w:r>
      <w:r w:rsidR="008037DC">
        <w:t xml:space="preserve">regain a feeling of </w:t>
      </w:r>
      <w:r w:rsidR="008037DC">
        <w:lastRenderedPageBreak/>
        <w:t>control again.</w:t>
      </w:r>
      <w:r w:rsidR="00DB41E6">
        <w:t xml:space="preserve"> </w:t>
      </w:r>
      <w:r w:rsidR="0056290D">
        <w:t xml:space="preserve">Coard and Mol explore how the boundaries of the body can shift and change, through fragmentation of body parts into dust, and </w:t>
      </w:r>
      <w:r w:rsidR="00A72B77">
        <w:t>through incorporation of materials into the body</w:t>
      </w:r>
      <w:r w:rsidR="00177F0C">
        <w:t>.</w:t>
      </w:r>
      <w:r w:rsidR="00DB41E6">
        <w:t xml:space="preserve"> </w:t>
      </w:r>
      <w:r w:rsidR="005D1D03">
        <w:t>The nature and flexibility of these boundaries of the body also vary between culture and society,</w:t>
      </w:r>
      <w:r w:rsidR="008037DC">
        <w:t xml:space="preserve"> and these can be analysed in order to understand differences in bodily taboos between cultures.</w:t>
      </w:r>
    </w:p>
    <w:p w14:paraId="24577403" w14:textId="4A0A51FC" w:rsidR="006B34E8" w:rsidRDefault="006B34E8"/>
    <w:p w14:paraId="08F8018C" w14:textId="2D6018E6" w:rsidR="006B34E8" w:rsidRDefault="006B34E8"/>
    <w:p w14:paraId="5AA7FC81" w14:textId="798ECF9B" w:rsidR="006B34E8" w:rsidRDefault="006B34E8"/>
    <w:p w14:paraId="76BF58FA" w14:textId="25C56FC6" w:rsidR="006B34E8" w:rsidRDefault="006B34E8"/>
    <w:p w14:paraId="225DC9A3" w14:textId="030D295E" w:rsidR="006B34E8" w:rsidRDefault="006B34E8"/>
    <w:p w14:paraId="2AF8A2A3" w14:textId="1F84167E" w:rsidR="006B34E8" w:rsidRDefault="006B34E8"/>
    <w:p w14:paraId="295FB0FF" w14:textId="5715FC94" w:rsidR="006B34E8" w:rsidRDefault="006B34E8"/>
    <w:p w14:paraId="0187A0B9" w14:textId="4B2D7C59" w:rsidR="006B34E8" w:rsidRDefault="006B34E8"/>
    <w:p w14:paraId="2B084371" w14:textId="77101493" w:rsidR="006B34E8" w:rsidRDefault="006B34E8"/>
    <w:p w14:paraId="3EF23307" w14:textId="6C9C7579" w:rsidR="006B34E8" w:rsidRDefault="006B34E8"/>
    <w:p w14:paraId="49538C4E" w14:textId="253A752A" w:rsidR="006B34E8" w:rsidRDefault="006B34E8"/>
    <w:p w14:paraId="4EAD8427" w14:textId="71B3B956" w:rsidR="006B34E8" w:rsidRDefault="006B34E8"/>
    <w:p w14:paraId="16DA0B09" w14:textId="45E6163C" w:rsidR="006B34E8" w:rsidRDefault="006B34E8"/>
    <w:p w14:paraId="26EFDDF4" w14:textId="5B22B188" w:rsidR="006B34E8" w:rsidRDefault="006B34E8"/>
    <w:p w14:paraId="5D018AB7" w14:textId="1F33864B" w:rsidR="006B34E8" w:rsidRDefault="006B34E8"/>
    <w:p w14:paraId="16B3AFBC" w14:textId="06697387" w:rsidR="006B34E8" w:rsidRDefault="006B34E8"/>
    <w:p w14:paraId="1681A650" w14:textId="06D5FB3F" w:rsidR="006B34E8" w:rsidRDefault="006B34E8"/>
    <w:p w14:paraId="5A144B7E" w14:textId="57A11609" w:rsidR="006B34E8" w:rsidRDefault="006B34E8"/>
    <w:p w14:paraId="59D73B5F" w14:textId="310D9F21" w:rsidR="006B34E8" w:rsidRDefault="006B34E8"/>
    <w:p w14:paraId="729E72E0" w14:textId="43A9FCED" w:rsidR="006B34E8" w:rsidRDefault="006B34E8"/>
    <w:p w14:paraId="6B58EC2F" w14:textId="4D69A9FB" w:rsidR="006B34E8" w:rsidRDefault="006B34E8"/>
    <w:p w14:paraId="69AAD307" w14:textId="596EB35F" w:rsidR="006B34E8" w:rsidRDefault="006B34E8"/>
    <w:p w14:paraId="06E418B6" w14:textId="77949F62" w:rsidR="006B34E8" w:rsidRDefault="006B34E8"/>
    <w:p w14:paraId="1BB36552" w14:textId="4C42B1DC" w:rsidR="006B34E8" w:rsidRDefault="006B34E8"/>
    <w:p w14:paraId="35AE322B" w14:textId="76C76F03" w:rsidR="006B34E8" w:rsidRDefault="006B34E8"/>
    <w:p w14:paraId="5BFACCA9" w14:textId="3F8A51ED" w:rsidR="006B34E8" w:rsidRDefault="006B34E8"/>
    <w:p w14:paraId="3875C578" w14:textId="1925544E" w:rsidR="006B34E8" w:rsidRDefault="006B34E8"/>
    <w:p w14:paraId="481FE14B" w14:textId="0A12D37D" w:rsidR="006B34E8" w:rsidRDefault="006B34E8"/>
    <w:p w14:paraId="23B75FDE" w14:textId="4CE597D2" w:rsidR="006B34E8" w:rsidRDefault="006B34E8"/>
    <w:p w14:paraId="79953613"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Abbots, </w:t>
      </w:r>
      <w:proofErr w:type="gramStart"/>
      <w:r w:rsidRPr="006B34E8">
        <w:rPr>
          <w:rFonts w:ascii="Times New Roman" w:eastAsia="Times New Roman" w:hAnsi="Times New Roman" w:cs="Times New Roman"/>
          <w:sz w:val="24"/>
          <w:szCs w:val="24"/>
          <w:lang w:eastAsia="en-GB"/>
        </w:rPr>
        <w:t>E..</w:t>
      </w:r>
      <w:proofErr w:type="gramEnd"/>
      <w:r w:rsidRPr="006B34E8">
        <w:rPr>
          <w:rFonts w:ascii="Times New Roman" w:eastAsia="Times New Roman" w:hAnsi="Times New Roman" w:cs="Times New Roman"/>
          <w:sz w:val="24"/>
          <w:szCs w:val="24"/>
          <w:lang w:eastAsia="en-GB"/>
        </w:rPr>
        <w:t xml:space="preserve"> and Lavis, A. 2016. </w:t>
      </w:r>
      <w:r w:rsidRPr="006B34E8">
        <w:rPr>
          <w:rFonts w:ascii="Times New Roman" w:eastAsia="Times New Roman" w:hAnsi="Times New Roman" w:cs="Times New Roman"/>
          <w:i/>
          <w:iCs/>
          <w:sz w:val="24"/>
          <w:szCs w:val="24"/>
          <w:lang w:eastAsia="en-GB"/>
        </w:rPr>
        <w:t>Why We Eat, How We Eat: Contemporary Encounters Between Foods and Bodies</w:t>
      </w:r>
      <w:r w:rsidRPr="006B34E8">
        <w:rPr>
          <w:rFonts w:ascii="Times New Roman" w:eastAsia="Times New Roman" w:hAnsi="Times New Roman" w:cs="Times New Roman"/>
          <w:sz w:val="24"/>
          <w:szCs w:val="24"/>
          <w:lang w:eastAsia="en-GB"/>
        </w:rPr>
        <w:t>. Routledge.</w:t>
      </w:r>
    </w:p>
    <w:p w14:paraId="6C4861C7" w14:textId="23588899" w:rsidR="006B34E8" w:rsidRPr="006B34E8" w:rsidRDefault="006B34E8" w:rsidP="006B34E8">
      <w:pPr>
        <w:spacing w:line="240" w:lineRule="auto"/>
        <w:rPr>
          <w:rFonts w:ascii="Times New Roman" w:eastAsia="Times New Roman" w:hAnsi="Times New Roman" w:cs="Times New Roman"/>
          <w:sz w:val="24"/>
          <w:szCs w:val="24"/>
          <w:lang w:eastAsia="en-GB"/>
        </w:rPr>
      </w:pPr>
      <w:proofErr w:type="spellStart"/>
      <w:r w:rsidRPr="006B34E8">
        <w:rPr>
          <w:rFonts w:ascii="Times New Roman" w:eastAsia="Times New Roman" w:hAnsi="Times New Roman" w:cs="Times New Roman"/>
          <w:sz w:val="24"/>
          <w:szCs w:val="24"/>
          <w:lang w:eastAsia="en-GB"/>
        </w:rPr>
        <w:t>Aihwa</w:t>
      </w:r>
      <w:proofErr w:type="spellEnd"/>
      <w:r w:rsidRPr="006B34E8">
        <w:rPr>
          <w:rFonts w:ascii="Times New Roman" w:eastAsia="Times New Roman" w:hAnsi="Times New Roman" w:cs="Times New Roman"/>
          <w:sz w:val="24"/>
          <w:szCs w:val="24"/>
          <w:lang w:eastAsia="en-GB"/>
        </w:rPr>
        <w:t xml:space="preserve"> Ong [</w:t>
      </w:r>
      <w:r w:rsidR="00AD3790">
        <w:rPr>
          <w:rFonts w:ascii="Times New Roman" w:eastAsia="Times New Roman" w:hAnsi="Times New Roman" w:cs="Times New Roman"/>
          <w:sz w:val="24"/>
          <w:szCs w:val="24"/>
          <w:lang w:eastAsia="en-GB"/>
        </w:rPr>
        <w:t>1988</w:t>
      </w:r>
      <w:r w:rsidRPr="006B34E8">
        <w:rPr>
          <w:rFonts w:ascii="Times New Roman" w:eastAsia="Times New Roman" w:hAnsi="Times New Roman" w:cs="Times New Roman"/>
          <w:sz w:val="24"/>
          <w:szCs w:val="24"/>
          <w:lang w:eastAsia="en-GB"/>
        </w:rPr>
        <w:t xml:space="preserve">]. The Production of Possession: Spirits and the Multinational Corporation in Malaysia. </w:t>
      </w:r>
      <w:r w:rsidRPr="006B34E8">
        <w:rPr>
          <w:rFonts w:ascii="Times New Roman" w:eastAsia="Times New Roman" w:hAnsi="Times New Roman" w:cs="Times New Roman"/>
          <w:i/>
          <w:iCs/>
          <w:sz w:val="24"/>
          <w:szCs w:val="24"/>
          <w:lang w:eastAsia="en-GB"/>
        </w:rPr>
        <w:t>American Ethnologist</w:t>
      </w:r>
      <w:r w:rsidRPr="006B34E8">
        <w:rPr>
          <w:rFonts w:ascii="Times New Roman" w:eastAsia="Times New Roman" w:hAnsi="Times New Roman" w:cs="Times New Roman"/>
          <w:sz w:val="24"/>
          <w:szCs w:val="24"/>
          <w:lang w:eastAsia="en-GB"/>
        </w:rPr>
        <w:t xml:space="preserve"> 15(1), pp. 28–42. </w:t>
      </w:r>
      <w:proofErr w:type="spellStart"/>
      <w:r w:rsidRPr="006B34E8">
        <w:rPr>
          <w:rFonts w:ascii="Times New Roman" w:eastAsia="Times New Roman" w:hAnsi="Times New Roman" w:cs="Times New Roman"/>
          <w:sz w:val="24"/>
          <w:szCs w:val="24"/>
          <w:lang w:eastAsia="en-GB"/>
        </w:rPr>
        <w:t>doi</w:t>
      </w:r>
      <w:proofErr w:type="spellEnd"/>
      <w:r w:rsidRPr="006B34E8">
        <w:rPr>
          <w:rFonts w:ascii="Times New Roman" w:eastAsia="Times New Roman" w:hAnsi="Times New Roman" w:cs="Times New Roman"/>
          <w:sz w:val="24"/>
          <w:szCs w:val="24"/>
          <w:lang w:eastAsia="en-GB"/>
        </w:rPr>
        <w:t xml:space="preserve">: </w:t>
      </w:r>
      <w:hyperlink r:id="rId8" w:history="1">
        <w:r w:rsidRPr="006B34E8">
          <w:rPr>
            <w:rFonts w:ascii="Times New Roman" w:eastAsia="Times New Roman" w:hAnsi="Times New Roman" w:cs="Times New Roman"/>
            <w:color w:val="0000FF"/>
            <w:sz w:val="24"/>
            <w:szCs w:val="24"/>
            <w:u w:val="single"/>
            <w:lang w:eastAsia="en-GB"/>
          </w:rPr>
          <w:t>10.1525/ae.1988.15.1.02a00030</w:t>
        </w:r>
      </w:hyperlink>
      <w:r w:rsidRPr="006B34E8">
        <w:rPr>
          <w:rFonts w:ascii="Times New Roman" w:eastAsia="Times New Roman" w:hAnsi="Times New Roman" w:cs="Times New Roman"/>
          <w:sz w:val="24"/>
          <w:szCs w:val="24"/>
          <w:lang w:eastAsia="en-GB"/>
        </w:rPr>
        <w:t>.</w:t>
      </w:r>
    </w:p>
    <w:p w14:paraId="2FDBF160"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Brown, P.J. and Barrett, R. 2010. </w:t>
      </w:r>
      <w:r w:rsidRPr="006B34E8">
        <w:rPr>
          <w:rFonts w:ascii="Times New Roman" w:eastAsia="Times New Roman" w:hAnsi="Times New Roman" w:cs="Times New Roman"/>
          <w:i/>
          <w:iCs/>
          <w:sz w:val="24"/>
          <w:szCs w:val="24"/>
          <w:lang w:eastAsia="en-GB"/>
        </w:rPr>
        <w:t>Understanding and Applying Medical Anthropology</w:t>
      </w:r>
      <w:r w:rsidRPr="006B34E8">
        <w:rPr>
          <w:rFonts w:ascii="Times New Roman" w:eastAsia="Times New Roman" w:hAnsi="Times New Roman" w:cs="Times New Roman"/>
          <w:sz w:val="24"/>
          <w:szCs w:val="24"/>
          <w:lang w:eastAsia="en-GB"/>
        </w:rPr>
        <w:t>. 2nd ed. New York: McGraw Hill.</w:t>
      </w:r>
    </w:p>
    <w:p w14:paraId="23C7C0E0"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proofErr w:type="spellStart"/>
      <w:r w:rsidRPr="006B34E8">
        <w:rPr>
          <w:rFonts w:ascii="Times New Roman" w:eastAsia="Times New Roman" w:hAnsi="Times New Roman" w:cs="Times New Roman"/>
          <w:sz w:val="24"/>
          <w:szCs w:val="24"/>
          <w:lang w:eastAsia="en-GB"/>
        </w:rPr>
        <w:t>Chagnon</w:t>
      </w:r>
      <w:proofErr w:type="spellEnd"/>
      <w:r w:rsidRPr="006B34E8">
        <w:rPr>
          <w:rFonts w:ascii="Times New Roman" w:eastAsia="Times New Roman" w:hAnsi="Times New Roman" w:cs="Times New Roman"/>
          <w:sz w:val="24"/>
          <w:szCs w:val="24"/>
          <w:lang w:eastAsia="en-GB"/>
        </w:rPr>
        <w:t xml:space="preserve">, N.A. 2013. </w:t>
      </w:r>
      <w:r w:rsidRPr="006B34E8">
        <w:rPr>
          <w:rFonts w:ascii="Times New Roman" w:eastAsia="Times New Roman" w:hAnsi="Times New Roman" w:cs="Times New Roman"/>
          <w:i/>
          <w:iCs/>
          <w:sz w:val="24"/>
          <w:szCs w:val="24"/>
          <w:lang w:eastAsia="en-GB"/>
        </w:rPr>
        <w:t>Noble Savages: My Life Among Two Dangerous Tribes -- the Yanomamo and the Anthropologists</w:t>
      </w:r>
      <w:r w:rsidRPr="006B34E8">
        <w:rPr>
          <w:rFonts w:ascii="Times New Roman" w:eastAsia="Times New Roman" w:hAnsi="Times New Roman" w:cs="Times New Roman"/>
          <w:sz w:val="24"/>
          <w:szCs w:val="24"/>
          <w:lang w:eastAsia="en-GB"/>
        </w:rPr>
        <w:t>. Simon and Schuster.</w:t>
      </w:r>
    </w:p>
    <w:p w14:paraId="413F126A"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Haraway, D. 2013. A Manifesto for Cyborgs. In: </w:t>
      </w:r>
      <w:r w:rsidRPr="006B34E8">
        <w:rPr>
          <w:rFonts w:ascii="Times New Roman" w:eastAsia="Times New Roman" w:hAnsi="Times New Roman" w:cs="Times New Roman"/>
          <w:i/>
          <w:iCs/>
          <w:sz w:val="24"/>
          <w:szCs w:val="24"/>
          <w:lang w:eastAsia="en-GB"/>
        </w:rPr>
        <w:t>Feminism/Postmodernism</w:t>
      </w:r>
      <w:r w:rsidRPr="006B34E8">
        <w:rPr>
          <w:rFonts w:ascii="Times New Roman" w:eastAsia="Times New Roman" w:hAnsi="Times New Roman" w:cs="Times New Roman"/>
          <w:sz w:val="24"/>
          <w:szCs w:val="24"/>
          <w:lang w:eastAsia="en-GB"/>
        </w:rPr>
        <w:t>. New York and London: Routledge, pp. 190–233.</w:t>
      </w:r>
    </w:p>
    <w:p w14:paraId="2BB23976"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proofErr w:type="spellStart"/>
      <w:r w:rsidRPr="006B34E8">
        <w:rPr>
          <w:rFonts w:ascii="Times New Roman" w:eastAsia="Times New Roman" w:hAnsi="Times New Roman" w:cs="Times New Roman"/>
          <w:sz w:val="24"/>
          <w:szCs w:val="24"/>
          <w:lang w:eastAsia="en-GB"/>
        </w:rPr>
        <w:t>Heyes</w:t>
      </w:r>
      <w:proofErr w:type="spellEnd"/>
      <w:r w:rsidRPr="006B34E8">
        <w:rPr>
          <w:rFonts w:ascii="Times New Roman" w:eastAsia="Times New Roman" w:hAnsi="Times New Roman" w:cs="Times New Roman"/>
          <w:sz w:val="24"/>
          <w:szCs w:val="24"/>
          <w:lang w:eastAsia="en-GB"/>
        </w:rPr>
        <w:t xml:space="preserve"> Cressida J. 2009. Foucault Goes to Weight Watchers. </w:t>
      </w:r>
      <w:r w:rsidRPr="006B34E8">
        <w:rPr>
          <w:rFonts w:ascii="Times New Roman" w:eastAsia="Times New Roman" w:hAnsi="Times New Roman" w:cs="Times New Roman"/>
          <w:i/>
          <w:iCs/>
          <w:sz w:val="24"/>
          <w:szCs w:val="24"/>
          <w:lang w:eastAsia="en-GB"/>
        </w:rPr>
        <w:t>Hypatia</w:t>
      </w:r>
      <w:r w:rsidRPr="006B34E8">
        <w:rPr>
          <w:rFonts w:ascii="Times New Roman" w:eastAsia="Times New Roman" w:hAnsi="Times New Roman" w:cs="Times New Roman"/>
          <w:sz w:val="24"/>
          <w:szCs w:val="24"/>
          <w:lang w:eastAsia="en-GB"/>
        </w:rPr>
        <w:t xml:space="preserve"> 21(2), pp. 126–149. </w:t>
      </w:r>
      <w:proofErr w:type="spellStart"/>
      <w:r w:rsidRPr="006B34E8">
        <w:rPr>
          <w:rFonts w:ascii="Times New Roman" w:eastAsia="Times New Roman" w:hAnsi="Times New Roman" w:cs="Times New Roman"/>
          <w:sz w:val="24"/>
          <w:szCs w:val="24"/>
          <w:lang w:eastAsia="en-GB"/>
        </w:rPr>
        <w:t>doi</w:t>
      </w:r>
      <w:proofErr w:type="spellEnd"/>
      <w:r w:rsidRPr="006B34E8">
        <w:rPr>
          <w:rFonts w:ascii="Times New Roman" w:eastAsia="Times New Roman" w:hAnsi="Times New Roman" w:cs="Times New Roman"/>
          <w:sz w:val="24"/>
          <w:szCs w:val="24"/>
          <w:lang w:eastAsia="en-GB"/>
        </w:rPr>
        <w:t xml:space="preserve">: </w:t>
      </w:r>
      <w:hyperlink r:id="rId9" w:history="1">
        <w:r w:rsidRPr="006B34E8">
          <w:rPr>
            <w:rFonts w:ascii="Times New Roman" w:eastAsia="Times New Roman" w:hAnsi="Times New Roman" w:cs="Times New Roman"/>
            <w:color w:val="0000FF"/>
            <w:sz w:val="24"/>
            <w:szCs w:val="24"/>
            <w:u w:val="single"/>
            <w:lang w:eastAsia="en-GB"/>
          </w:rPr>
          <w:t>10.1111/j.1527-2001.2006.tb01097.x</w:t>
        </w:r>
      </w:hyperlink>
      <w:r w:rsidRPr="006B34E8">
        <w:rPr>
          <w:rFonts w:ascii="Times New Roman" w:eastAsia="Times New Roman" w:hAnsi="Times New Roman" w:cs="Times New Roman"/>
          <w:sz w:val="24"/>
          <w:szCs w:val="24"/>
          <w:lang w:eastAsia="en-GB"/>
        </w:rPr>
        <w:t>.</w:t>
      </w:r>
    </w:p>
    <w:p w14:paraId="6F532C3F"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Lavis, A. 2016. </w:t>
      </w:r>
      <w:r w:rsidRPr="006B34E8">
        <w:rPr>
          <w:rFonts w:ascii="Times New Roman" w:eastAsia="Times New Roman" w:hAnsi="Times New Roman" w:cs="Times New Roman"/>
          <w:i/>
          <w:iCs/>
          <w:sz w:val="24"/>
          <w:szCs w:val="24"/>
          <w:lang w:eastAsia="en-GB"/>
        </w:rPr>
        <w:t>Why We Eat, How We Eat: Contemporary Encounters Between Foods and Bodies</w:t>
      </w:r>
      <w:r w:rsidRPr="006B34E8">
        <w:rPr>
          <w:rFonts w:ascii="Times New Roman" w:eastAsia="Times New Roman" w:hAnsi="Times New Roman" w:cs="Times New Roman"/>
          <w:sz w:val="24"/>
          <w:szCs w:val="24"/>
          <w:lang w:eastAsia="en-GB"/>
        </w:rPr>
        <w:t>. Routledge.</w:t>
      </w:r>
    </w:p>
    <w:p w14:paraId="64D5588F"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Lock, M. 1993. Cultivating the Body: Anthropology and Epistemologies of Bodily Practice and Knowledge. </w:t>
      </w:r>
      <w:r w:rsidRPr="006B34E8">
        <w:rPr>
          <w:rFonts w:ascii="Times New Roman" w:eastAsia="Times New Roman" w:hAnsi="Times New Roman" w:cs="Times New Roman"/>
          <w:i/>
          <w:iCs/>
          <w:sz w:val="24"/>
          <w:szCs w:val="24"/>
          <w:lang w:eastAsia="en-GB"/>
        </w:rPr>
        <w:t>Annual Review of Anthropology</w:t>
      </w:r>
      <w:r w:rsidRPr="006B34E8">
        <w:rPr>
          <w:rFonts w:ascii="Times New Roman" w:eastAsia="Times New Roman" w:hAnsi="Times New Roman" w:cs="Times New Roman"/>
          <w:sz w:val="24"/>
          <w:szCs w:val="24"/>
          <w:lang w:eastAsia="en-GB"/>
        </w:rPr>
        <w:t xml:space="preserve"> 22, pp. 133–155.</w:t>
      </w:r>
    </w:p>
    <w:p w14:paraId="67B34089"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Mol, A. et al. 2002. </w:t>
      </w:r>
      <w:r w:rsidRPr="006B34E8">
        <w:rPr>
          <w:rFonts w:ascii="Times New Roman" w:eastAsia="Times New Roman" w:hAnsi="Times New Roman" w:cs="Times New Roman"/>
          <w:i/>
          <w:iCs/>
          <w:sz w:val="24"/>
          <w:szCs w:val="24"/>
          <w:lang w:eastAsia="en-GB"/>
        </w:rPr>
        <w:t>The Body Multiple: Ontology in Medical Practice</w:t>
      </w:r>
      <w:r w:rsidRPr="006B34E8">
        <w:rPr>
          <w:rFonts w:ascii="Times New Roman" w:eastAsia="Times New Roman" w:hAnsi="Times New Roman" w:cs="Times New Roman"/>
          <w:sz w:val="24"/>
          <w:szCs w:val="24"/>
          <w:lang w:eastAsia="en-GB"/>
        </w:rPr>
        <w:t xml:space="preserve">. Durham, UNITED STATES: Duke University Press. Available at: </w:t>
      </w:r>
      <w:hyperlink r:id="rId10" w:history="1">
        <w:r w:rsidRPr="006B34E8">
          <w:rPr>
            <w:rFonts w:ascii="Times New Roman" w:eastAsia="Times New Roman" w:hAnsi="Times New Roman" w:cs="Times New Roman"/>
            <w:color w:val="0000FF"/>
            <w:sz w:val="24"/>
            <w:szCs w:val="24"/>
            <w:u w:val="single"/>
            <w:lang w:eastAsia="en-GB"/>
          </w:rPr>
          <w:t>http://ebookcentral.proquest.com/lib/trinity/detail.action?docID=1167835</w:t>
        </w:r>
      </w:hyperlink>
      <w:r w:rsidRPr="006B34E8">
        <w:rPr>
          <w:rFonts w:ascii="Times New Roman" w:eastAsia="Times New Roman" w:hAnsi="Times New Roman" w:cs="Times New Roman"/>
          <w:sz w:val="24"/>
          <w:szCs w:val="24"/>
          <w:lang w:eastAsia="en-GB"/>
        </w:rPr>
        <w:t xml:space="preserve"> [Accessed: 30 March 2018].</w:t>
      </w:r>
    </w:p>
    <w:p w14:paraId="62BFB8C2"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Mol, A. 2008. I Eat an Apple. On Theorizing Subjectivities. </w:t>
      </w:r>
      <w:r w:rsidRPr="006B34E8">
        <w:rPr>
          <w:rFonts w:ascii="Times New Roman" w:eastAsia="Times New Roman" w:hAnsi="Times New Roman" w:cs="Times New Roman"/>
          <w:i/>
          <w:iCs/>
          <w:sz w:val="24"/>
          <w:szCs w:val="24"/>
          <w:lang w:eastAsia="en-GB"/>
        </w:rPr>
        <w:t>Subjectivity</w:t>
      </w:r>
      <w:r w:rsidRPr="006B34E8">
        <w:rPr>
          <w:rFonts w:ascii="Times New Roman" w:eastAsia="Times New Roman" w:hAnsi="Times New Roman" w:cs="Times New Roman"/>
          <w:sz w:val="24"/>
          <w:szCs w:val="24"/>
          <w:lang w:eastAsia="en-GB"/>
        </w:rPr>
        <w:t xml:space="preserve"> 22(1), pp. 28–37. </w:t>
      </w:r>
      <w:proofErr w:type="spellStart"/>
      <w:r w:rsidRPr="006B34E8">
        <w:rPr>
          <w:rFonts w:ascii="Times New Roman" w:eastAsia="Times New Roman" w:hAnsi="Times New Roman" w:cs="Times New Roman"/>
          <w:sz w:val="24"/>
          <w:szCs w:val="24"/>
          <w:lang w:eastAsia="en-GB"/>
        </w:rPr>
        <w:t>doi</w:t>
      </w:r>
      <w:proofErr w:type="spellEnd"/>
      <w:r w:rsidRPr="006B34E8">
        <w:rPr>
          <w:rFonts w:ascii="Times New Roman" w:eastAsia="Times New Roman" w:hAnsi="Times New Roman" w:cs="Times New Roman"/>
          <w:sz w:val="24"/>
          <w:szCs w:val="24"/>
          <w:lang w:eastAsia="en-GB"/>
        </w:rPr>
        <w:t xml:space="preserve">: </w:t>
      </w:r>
      <w:hyperlink r:id="rId11" w:history="1">
        <w:r w:rsidRPr="006B34E8">
          <w:rPr>
            <w:rFonts w:ascii="Times New Roman" w:eastAsia="Times New Roman" w:hAnsi="Times New Roman" w:cs="Times New Roman"/>
            <w:color w:val="0000FF"/>
            <w:sz w:val="24"/>
            <w:szCs w:val="24"/>
            <w:u w:val="single"/>
            <w:lang w:eastAsia="en-GB"/>
          </w:rPr>
          <w:t>10.1057/sub.2008.2</w:t>
        </w:r>
      </w:hyperlink>
      <w:r w:rsidRPr="006B34E8">
        <w:rPr>
          <w:rFonts w:ascii="Times New Roman" w:eastAsia="Times New Roman" w:hAnsi="Times New Roman" w:cs="Times New Roman"/>
          <w:sz w:val="24"/>
          <w:szCs w:val="24"/>
          <w:lang w:eastAsia="en-GB"/>
        </w:rPr>
        <w:t>.</w:t>
      </w:r>
    </w:p>
    <w:p w14:paraId="701FE761"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Mollona, M. 2005. Factory, Family and Neighbourhood: The Political Economy of Informal Labour in Sheffield. </w:t>
      </w:r>
      <w:r w:rsidRPr="006B34E8">
        <w:rPr>
          <w:rFonts w:ascii="Times New Roman" w:eastAsia="Times New Roman" w:hAnsi="Times New Roman" w:cs="Times New Roman"/>
          <w:i/>
          <w:iCs/>
          <w:sz w:val="24"/>
          <w:szCs w:val="24"/>
          <w:lang w:eastAsia="en-GB"/>
        </w:rPr>
        <w:t>The Journal of the Royal Anthropological Institute</w:t>
      </w:r>
      <w:r w:rsidRPr="006B34E8">
        <w:rPr>
          <w:rFonts w:ascii="Times New Roman" w:eastAsia="Times New Roman" w:hAnsi="Times New Roman" w:cs="Times New Roman"/>
          <w:sz w:val="24"/>
          <w:szCs w:val="24"/>
          <w:lang w:eastAsia="en-GB"/>
        </w:rPr>
        <w:t xml:space="preserve"> 11(3), pp. 527–548.</w:t>
      </w:r>
    </w:p>
    <w:p w14:paraId="12FC6C94"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Scheper-</w:t>
      </w:r>
      <w:proofErr w:type="spellStart"/>
      <w:r w:rsidRPr="006B34E8">
        <w:rPr>
          <w:rFonts w:ascii="Times New Roman" w:eastAsia="Times New Roman" w:hAnsi="Times New Roman" w:cs="Times New Roman"/>
          <w:sz w:val="24"/>
          <w:szCs w:val="24"/>
          <w:lang w:eastAsia="en-GB"/>
        </w:rPr>
        <w:t>Hugher</w:t>
      </w:r>
      <w:proofErr w:type="spellEnd"/>
      <w:r w:rsidRPr="006B34E8">
        <w:rPr>
          <w:rFonts w:ascii="Times New Roman" w:eastAsia="Times New Roman" w:hAnsi="Times New Roman" w:cs="Times New Roman"/>
          <w:sz w:val="24"/>
          <w:szCs w:val="24"/>
          <w:lang w:eastAsia="en-GB"/>
        </w:rPr>
        <w:t xml:space="preserve">, N. 2000. The Global Traffic in Human Organs. </w:t>
      </w:r>
      <w:r w:rsidRPr="006B34E8">
        <w:rPr>
          <w:rFonts w:ascii="Times New Roman" w:eastAsia="Times New Roman" w:hAnsi="Times New Roman" w:cs="Times New Roman"/>
          <w:i/>
          <w:iCs/>
          <w:sz w:val="24"/>
          <w:szCs w:val="24"/>
          <w:lang w:eastAsia="en-GB"/>
        </w:rPr>
        <w:t>Current Anthropology</w:t>
      </w:r>
      <w:r w:rsidRPr="006B34E8">
        <w:rPr>
          <w:rFonts w:ascii="Times New Roman" w:eastAsia="Times New Roman" w:hAnsi="Times New Roman" w:cs="Times New Roman"/>
          <w:sz w:val="24"/>
          <w:szCs w:val="24"/>
          <w:lang w:eastAsia="en-GB"/>
        </w:rPr>
        <w:t xml:space="preserve"> 41(2), pp. 191–224.</w:t>
      </w:r>
    </w:p>
    <w:p w14:paraId="78DE1273" w14:textId="77777777" w:rsidR="006B34E8" w:rsidRPr="006B34E8" w:rsidRDefault="006B34E8" w:rsidP="006B34E8">
      <w:pPr>
        <w:spacing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Scheper-Hughes, N. 1983. Problem of bias in androcentric and feminist anthropology. </w:t>
      </w:r>
      <w:r w:rsidRPr="006B34E8">
        <w:rPr>
          <w:rFonts w:ascii="Times New Roman" w:eastAsia="Times New Roman" w:hAnsi="Times New Roman" w:cs="Times New Roman"/>
          <w:i/>
          <w:iCs/>
          <w:sz w:val="24"/>
          <w:szCs w:val="24"/>
          <w:lang w:eastAsia="en-GB"/>
        </w:rPr>
        <w:t>Women’s Studies</w:t>
      </w:r>
      <w:r w:rsidRPr="006B34E8">
        <w:rPr>
          <w:rFonts w:ascii="Times New Roman" w:eastAsia="Times New Roman" w:hAnsi="Times New Roman" w:cs="Times New Roman"/>
          <w:sz w:val="24"/>
          <w:szCs w:val="24"/>
          <w:lang w:eastAsia="en-GB"/>
        </w:rPr>
        <w:t xml:space="preserve"> 10(2), pp. 109–117.</w:t>
      </w:r>
    </w:p>
    <w:p w14:paraId="37528990" w14:textId="74741D58" w:rsidR="006B34E8" w:rsidRPr="006B34E8" w:rsidRDefault="006B34E8" w:rsidP="006B34E8">
      <w:pPr>
        <w:spacing w:after="0" w:line="240" w:lineRule="auto"/>
        <w:rPr>
          <w:rFonts w:ascii="Times New Roman" w:eastAsia="Times New Roman" w:hAnsi="Times New Roman" w:cs="Times New Roman"/>
          <w:sz w:val="24"/>
          <w:szCs w:val="24"/>
          <w:lang w:eastAsia="en-GB"/>
        </w:rPr>
      </w:pPr>
      <w:r w:rsidRPr="006B34E8">
        <w:rPr>
          <w:rFonts w:ascii="Times New Roman" w:eastAsia="Times New Roman" w:hAnsi="Times New Roman" w:cs="Times New Roman"/>
          <w:sz w:val="24"/>
          <w:szCs w:val="24"/>
          <w:lang w:eastAsia="en-GB"/>
        </w:rPr>
        <w:t xml:space="preserve">Sharp, L. 2000. The Commodification of the Body and its Parts. </w:t>
      </w:r>
      <w:r w:rsidRPr="006B34E8">
        <w:rPr>
          <w:rFonts w:ascii="Times New Roman" w:eastAsia="Times New Roman" w:hAnsi="Times New Roman" w:cs="Times New Roman"/>
          <w:i/>
          <w:iCs/>
          <w:sz w:val="24"/>
          <w:szCs w:val="24"/>
          <w:lang w:eastAsia="en-GB"/>
        </w:rPr>
        <w:t>Annual review of anthropology.</w:t>
      </w:r>
      <w:r w:rsidRPr="006B34E8">
        <w:rPr>
          <w:rFonts w:ascii="Times New Roman" w:eastAsia="Times New Roman" w:hAnsi="Times New Roman" w:cs="Times New Roman"/>
          <w:sz w:val="24"/>
          <w:szCs w:val="24"/>
          <w:lang w:eastAsia="en-GB"/>
        </w:rPr>
        <w:t xml:space="preserve"> 29(1), pp. 287–328. </w:t>
      </w:r>
      <w:proofErr w:type="spellStart"/>
      <w:r w:rsidRPr="006B34E8">
        <w:rPr>
          <w:rFonts w:ascii="Times New Roman" w:eastAsia="Times New Roman" w:hAnsi="Times New Roman" w:cs="Times New Roman"/>
          <w:sz w:val="24"/>
          <w:szCs w:val="24"/>
          <w:lang w:eastAsia="en-GB"/>
        </w:rPr>
        <w:t>doi</w:t>
      </w:r>
      <w:proofErr w:type="spellEnd"/>
      <w:r w:rsidRPr="006B34E8">
        <w:rPr>
          <w:rFonts w:ascii="Times New Roman" w:eastAsia="Times New Roman" w:hAnsi="Times New Roman" w:cs="Times New Roman"/>
          <w:sz w:val="24"/>
          <w:szCs w:val="24"/>
          <w:lang w:eastAsia="en-GB"/>
        </w:rPr>
        <w:t xml:space="preserve">: </w:t>
      </w:r>
      <w:hyperlink r:id="rId12" w:history="1">
        <w:r w:rsidRPr="006B34E8">
          <w:rPr>
            <w:rFonts w:ascii="Times New Roman" w:eastAsia="Times New Roman" w:hAnsi="Times New Roman" w:cs="Times New Roman"/>
            <w:color w:val="0000FF"/>
            <w:sz w:val="24"/>
            <w:szCs w:val="24"/>
            <w:u w:val="single"/>
            <w:lang w:eastAsia="en-GB"/>
          </w:rPr>
          <w:t>10.1146/annurev.anthro.29.1.287</w:t>
        </w:r>
      </w:hyperlink>
      <w:r w:rsidRPr="006B34E8">
        <w:rPr>
          <w:rFonts w:ascii="Times New Roman" w:eastAsia="Times New Roman" w:hAnsi="Times New Roman" w:cs="Times New Roman"/>
          <w:sz w:val="24"/>
          <w:szCs w:val="24"/>
          <w:lang w:eastAsia="en-GB"/>
        </w:rPr>
        <w:t>.</w:t>
      </w:r>
    </w:p>
    <w:sectPr w:rsidR="006B34E8" w:rsidRPr="006B34E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AD346" w14:textId="77777777" w:rsidR="009B6BFA" w:rsidRDefault="009B6BFA" w:rsidP="007038EC">
      <w:pPr>
        <w:spacing w:after="0" w:line="240" w:lineRule="auto"/>
      </w:pPr>
      <w:r>
        <w:separator/>
      </w:r>
    </w:p>
  </w:endnote>
  <w:endnote w:type="continuationSeparator" w:id="0">
    <w:p w14:paraId="6AC3F02D" w14:textId="77777777" w:rsidR="009B6BFA" w:rsidRDefault="009B6BFA" w:rsidP="007038EC">
      <w:pPr>
        <w:spacing w:after="0" w:line="240" w:lineRule="auto"/>
      </w:pPr>
      <w:r>
        <w:continuationSeparator/>
      </w:r>
    </w:p>
  </w:endnote>
  <w:endnote w:type="continuationNotice" w:id="1">
    <w:p w14:paraId="67C3AB59" w14:textId="77777777" w:rsidR="009B6BFA" w:rsidRDefault="009B6B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NewRomanPSMT">
    <w:altName w:val="Yu Gothic"/>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B4B14" w14:textId="77777777" w:rsidR="009026B0" w:rsidRDefault="00902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727CF5" w14:textId="77777777" w:rsidR="009B6BFA" w:rsidRDefault="009B6BFA" w:rsidP="007038EC">
      <w:pPr>
        <w:spacing w:after="0" w:line="240" w:lineRule="auto"/>
      </w:pPr>
      <w:r>
        <w:separator/>
      </w:r>
    </w:p>
  </w:footnote>
  <w:footnote w:type="continuationSeparator" w:id="0">
    <w:p w14:paraId="7CFDDC23" w14:textId="77777777" w:rsidR="009B6BFA" w:rsidRDefault="009B6BFA" w:rsidP="007038EC">
      <w:pPr>
        <w:spacing w:after="0" w:line="240" w:lineRule="auto"/>
      </w:pPr>
      <w:r>
        <w:continuationSeparator/>
      </w:r>
    </w:p>
  </w:footnote>
  <w:footnote w:type="continuationNotice" w:id="1">
    <w:p w14:paraId="58B6CBA2" w14:textId="77777777" w:rsidR="009B6BFA" w:rsidRDefault="009B6B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29D96" w14:textId="77777777" w:rsidR="009026B0" w:rsidRDefault="009026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715A9"/>
    <w:multiLevelType w:val="hybridMultilevel"/>
    <w:tmpl w:val="561C0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D6C63"/>
    <w:multiLevelType w:val="multilevel"/>
    <w:tmpl w:val="B05A1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FB5DAB"/>
    <w:multiLevelType w:val="hybridMultilevel"/>
    <w:tmpl w:val="9C9EC3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9397E"/>
    <w:multiLevelType w:val="hybridMultilevel"/>
    <w:tmpl w:val="D1A8C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57386"/>
    <w:multiLevelType w:val="hybridMultilevel"/>
    <w:tmpl w:val="6BA88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3F0"/>
    <w:rsid w:val="000270F7"/>
    <w:rsid w:val="0005776F"/>
    <w:rsid w:val="00057B2B"/>
    <w:rsid w:val="00073BA4"/>
    <w:rsid w:val="000872D6"/>
    <w:rsid w:val="000A776B"/>
    <w:rsid w:val="000B514D"/>
    <w:rsid w:val="000F3468"/>
    <w:rsid w:val="00116458"/>
    <w:rsid w:val="00125BE8"/>
    <w:rsid w:val="00127CFC"/>
    <w:rsid w:val="00177F0C"/>
    <w:rsid w:val="001825C7"/>
    <w:rsid w:val="001C3D68"/>
    <w:rsid w:val="001E5BD4"/>
    <w:rsid w:val="0020032A"/>
    <w:rsid w:val="00227984"/>
    <w:rsid w:val="0025763F"/>
    <w:rsid w:val="002613D7"/>
    <w:rsid w:val="002673CC"/>
    <w:rsid w:val="002B10E4"/>
    <w:rsid w:val="002B4273"/>
    <w:rsid w:val="002C03F0"/>
    <w:rsid w:val="002D1739"/>
    <w:rsid w:val="002E5902"/>
    <w:rsid w:val="002F3304"/>
    <w:rsid w:val="0030675A"/>
    <w:rsid w:val="003360BA"/>
    <w:rsid w:val="00360056"/>
    <w:rsid w:val="00412E1E"/>
    <w:rsid w:val="00415EF9"/>
    <w:rsid w:val="00463CE7"/>
    <w:rsid w:val="00503CE5"/>
    <w:rsid w:val="005057DB"/>
    <w:rsid w:val="00506EE9"/>
    <w:rsid w:val="00532DCC"/>
    <w:rsid w:val="00561C05"/>
    <w:rsid w:val="0056290D"/>
    <w:rsid w:val="005A7E25"/>
    <w:rsid w:val="005D1906"/>
    <w:rsid w:val="005D1D03"/>
    <w:rsid w:val="005D2E21"/>
    <w:rsid w:val="006144FD"/>
    <w:rsid w:val="006429F4"/>
    <w:rsid w:val="0067592D"/>
    <w:rsid w:val="006B34E8"/>
    <w:rsid w:val="007038EC"/>
    <w:rsid w:val="00716931"/>
    <w:rsid w:val="00720861"/>
    <w:rsid w:val="00746E20"/>
    <w:rsid w:val="00754B3E"/>
    <w:rsid w:val="00755ECB"/>
    <w:rsid w:val="00765758"/>
    <w:rsid w:val="00780889"/>
    <w:rsid w:val="007B4040"/>
    <w:rsid w:val="007E09F5"/>
    <w:rsid w:val="007F1E6E"/>
    <w:rsid w:val="008037DC"/>
    <w:rsid w:val="0081161A"/>
    <w:rsid w:val="008171D0"/>
    <w:rsid w:val="00825DA4"/>
    <w:rsid w:val="00827B94"/>
    <w:rsid w:val="00831BB1"/>
    <w:rsid w:val="00875493"/>
    <w:rsid w:val="00884F79"/>
    <w:rsid w:val="008E5E97"/>
    <w:rsid w:val="009026B0"/>
    <w:rsid w:val="009134AC"/>
    <w:rsid w:val="0094437C"/>
    <w:rsid w:val="00950CBC"/>
    <w:rsid w:val="0099246F"/>
    <w:rsid w:val="009971F6"/>
    <w:rsid w:val="009B6BFA"/>
    <w:rsid w:val="009D6291"/>
    <w:rsid w:val="00A43A47"/>
    <w:rsid w:val="00A54D57"/>
    <w:rsid w:val="00A64F37"/>
    <w:rsid w:val="00A72B77"/>
    <w:rsid w:val="00A902DF"/>
    <w:rsid w:val="00AB05CF"/>
    <w:rsid w:val="00AB7DE7"/>
    <w:rsid w:val="00AD0568"/>
    <w:rsid w:val="00AD3790"/>
    <w:rsid w:val="00AF2AC1"/>
    <w:rsid w:val="00AF401E"/>
    <w:rsid w:val="00B048AD"/>
    <w:rsid w:val="00B27208"/>
    <w:rsid w:val="00B52DC6"/>
    <w:rsid w:val="00B65090"/>
    <w:rsid w:val="00BA6376"/>
    <w:rsid w:val="00BF0E9F"/>
    <w:rsid w:val="00C31FEE"/>
    <w:rsid w:val="00C83619"/>
    <w:rsid w:val="00CE7328"/>
    <w:rsid w:val="00D06074"/>
    <w:rsid w:val="00D52939"/>
    <w:rsid w:val="00D604E7"/>
    <w:rsid w:val="00D6218F"/>
    <w:rsid w:val="00DA7981"/>
    <w:rsid w:val="00DB3080"/>
    <w:rsid w:val="00DB41E6"/>
    <w:rsid w:val="00DC11C5"/>
    <w:rsid w:val="00DC5D90"/>
    <w:rsid w:val="00E07751"/>
    <w:rsid w:val="00E10DEC"/>
    <w:rsid w:val="00E221FD"/>
    <w:rsid w:val="00E26AF0"/>
    <w:rsid w:val="00E37CBE"/>
    <w:rsid w:val="00E61BB6"/>
    <w:rsid w:val="00E7565F"/>
    <w:rsid w:val="00ED2C4B"/>
    <w:rsid w:val="00F067B7"/>
    <w:rsid w:val="00F257F6"/>
    <w:rsid w:val="00F32148"/>
    <w:rsid w:val="00FA5ECE"/>
    <w:rsid w:val="00FB7ABD"/>
    <w:rsid w:val="00FC708C"/>
    <w:rsid w:val="00FE6321"/>
    <w:rsid w:val="00FF5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BE363"/>
  <w15:chartTrackingRefBased/>
  <w15:docId w15:val="{887F8DC7-4070-4279-9AAA-68E8A04ED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AD3790"/>
    <w:pPr>
      <w:keepNext/>
      <w:spacing w:before="240" w:after="60" w:line="240" w:lineRule="auto"/>
      <w:outlineLvl w:val="0"/>
    </w:pPr>
    <w:rPr>
      <w:rFonts w:ascii="Arial" w:eastAsia="SimSun" w:hAnsi="Arial" w:cs="Arial"/>
      <w:b/>
      <w:bCs/>
      <w:kern w:val="32"/>
      <w:sz w:val="32"/>
      <w:szCs w:val="32"/>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568"/>
    <w:pPr>
      <w:ind w:left="720"/>
      <w:contextualSpacing/>
    </w:pPr>
  </w:style>
  <w:style w:type="character" w:styleId="CommentReference">
    <w:name w:val="annotation reference"/>
    <w:basedOn w:val="DefaultParagraphFont"/>
    <w:uiPriority w:val="99"/>
    <w:semiHidden/>
    <w:unhideWhenUsed/>
    <w:rsid w:val="00C31FEE"/>
    <w:rPr>
      <w:sz w:val="16"/>
      <w:szCs w:val="16"/>
    </w:rPr>
  </w:style>
  <w:style w:type="paragraph" w:styleId="CommentText">
    <w:name w:val="annotation text"/>
    <w:basedOn w:val="Normal"/>
    <w:link w:val="CommentTextChar"/>
    <w:uiPriority w:val="99"/>
    <w:unhideWhenUsed/>
    <w:rsid w:val="00503CE5"/>
    <w:pPr>
      <w:spacing w:line="240" w:lineRule="auto"/>
    </w:pPr>
    <w:rPr>
      <w:sz w:val="20"/>
      <w:szCs w:val="20"/>
    </w:rPr>
  </w:style>
  <w:style w:type="character" w:customStyle="1" w:styleId="CommentTextChar">
    <w:name w:val="Comment Text Char"/>
    <w:basedOn w:val="DefaultParagraphFont"/>
    <w:link w:val="CommentText"/>
    <w:uiPriority w:val="99"/>
    <w:rsid w:val="00503CE5"/>
    <w:rPr>
      <w:sz w:val="20"/>
      <w:szCs w:val="20"/>
    </w:rPr>
  </w:style>
  <w:style w:type="paragraph" w:styleId="Header">
    <w:name w:val="header"/>
    <w:basedOn w:val="Normal"/>
    <w:link w:val="HeaderChar"/>
    <w:uiPriority w:val="99"/>
    <w:unhideWhenUsed/>
    <w:rsid w:val="00703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8EC"/>
  </w:style>
  <w:style w:type="paragraph" w:styleId="Footer">
    <w:name w:val="footer"/>
    <w:basedOn w:val="Normal"/>
    <w:link w:val="FooterChar"/>
    <w:uiPriority w:val="99"/>
    <w:unhideWhenUsed/>
    <w:rsid w:val="00703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8EC"/>
  </w:style>
  <w:style w:type="character" w:styleId="Hyperlink">
    <w:name w:val="Hyperlink"/>
    <w:basedOn w:val="DefaultParagraphFont"/>
    <w:uiPriority w:val="99"/>
    <w:semiHidden/>
    <w:unhideWhenUsed/>
    <w:rsid w:val="006B34E8"/>
    <w:rPr>
      <w:color w:val="0000FF"/>
      <w:u w:val="single"/>
    </w:rPr>
  </w:style>
  <w:style w:type="character" w:customStyle="1" w:styleId="Heading1Char">
    <w:name w:val="Heading 1 Char"/>
    <w:basedOn w:val="DefaultParagraphFont"/>
    <w:link w:val="Heading1"/>
    <w:rsid w:val="00AD3790"/>
    <w:rPr>
      <w:rFonts w:ascii="Arial" w:eastAsia="SimSun" w:hAnsi="Arial" w:cs="Arial"/>
      <w:b/>
      <w:bCs/>
      <w:kern w:val="32"/>
      <w:sz w:val="32"/>
      <w:szCs w:val="32"/>
      <w:lang w:eastAsia="zh-CN"/>
    </w:rPr>
  </w:style>
  <w:style w:type="paragraph" w:styleId="NormalWeb">
    <w:name w:val="Normal (Web)"/>
    <w:basedOn w:val="Normal"/>
    <w:unhideWhenUsed/>
    <w:rsid w:val="00AD37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6878623">
      <w:bodyDiv w:val="1"/>
      <w:marLeft w:val="0"/>
      <w:marRight w:val="0"/>
      <w:marTop w:val="0"/>
      <w:marBottom w:val="0"/>
      <w:divBdr>
        <w:top w:val="none" w:sz="0" w:space="0" w:color="auto"/>
        <w:left w:val="none" w:sz="0" w:space="0" w:color="auto"/>
        <w:bottom w:val="none" w:sz="0" w:space="0" w:color="auto"/>
        <w:right w:val="none" w:sz="0" w:space="0" w:color="auto"/>
      </w:divBdr>
    </w:div>
    <w:div w:id="1954239453">
      <w:bodyDiv w:val="1"/>
      <w:marLeft w:val="0"/>
      <w:marRight w:val="0"/>
      <w:marTop w:val="0"/>
      <w:marBottom w:val="0"/>
      <w:divBdr>
        <w:top w:val="none" w:sz="0" w:space="0" w:color="auto"/>
        <w:left w:val="none" w:sz="0" w:space="0" w:color="auto"/>
        <w:bottom w:val="none" w:sz="0" w:space="0" w:color="auto"/>
        <w:right w:val="none" w:sz="0" w:space="0" w:color="auto"/>
      </w:divBdr>
    </w:div>
    <w:div w:id="2031756922">
      <w:bodyDiv w:val="1"/>
      <w:marLeft w:val="0"/>
      <w:marRight w:val="0"/>
      <w:marTop w:val="0"/>
      <w:marBottom w:val="0"/>
      <w:divBdr>
        <w:top w:val="none" w:sz="0" w:space="0" w:color="auto"/>
        <w:left w:val="none" w:sz="0" w:space="0" w:color="auto"/>
        <w:bottom w:val="none" w:sz="0" w:space="0" w:color="auto"/>
        <w:right w:val="none" w:sz="0" w:space="0" w:color="auto"/>
      </w:divBdr>
      <w:divsChild>
        <w:div w:id="1643000111">
          <w:marLeft w:val="0"/>
          <w:marRight w:val="0"/>
          <w:marTop w:val="0"/>
          <w:marBottom w:val="0"/>
          <w:divBdr>
            <w:top w:val="none" w:sz="0" w:space="0" w:color="auto"/>
            <w:left w:val="none" w:sz="0" w:space="0" w:color="auto"/>
            <w:bottom w:val="none" w:sz="0" w:space="0" w:color="auto"/>
            <w:right w:val="none" w:sz="0" w:space="0" w:color="auto"/>
          </w:divBdr>
          <w:divsChild>
            <w:div w:id="450442489">
              <w:marLeft w:val="0"/>
              <w:marRight w:val="0"/>
              <w:marTop w:val="0"/>
              <w:marBottom w:val="240"/>
              <w:divBdr>
                <w:top w:val="none" w:sz="0" w:space="0" w:color="auto"/>
                <w:left w:val="none" w:sz="0" w:space="0" w:color="auto"/>
                <w:bottom w:val="none" w:sz="0" w:space="0" w:color="auto"/>
                <w:right w:val="none" w:sz="0" w:space="0" w:color="auto"/>
              </w:divBdr>
            </w:div>
            <w:div w:id="1039234613">
              <w:marLeft w:val="0"/>
              <w:marRight w:val="0"/>
              <w:marTop w:val="0"/>
              <w:marBottom w:val="240"/>
              <w:divBdr>
                <w:top w:val="none" w:sz="0" w:space="0" w:color="auto"/>
                <w:left w:val="none" w:sz="0" w:space="0" w:color="auto"/>
                <w:bottom w:val="none" w:sz="0" w:space="0" w:color="auto"/>
                <w:right w:val="none" w:sz="0" w:space="0" w:color="auto"/>
              </w:divBdr>
            </w:div>
            <w:div w:id="190538621">
              <w:marLeft w:val="0"/>
              <w:marRight w:val="0"/>
              <w:marTop w:val="0"/>
              <w:marBottom w:val="240"/>
              <w:divBdr>
                <w:top w:val="none" w:sz="0" w:space="0" w:color="auto"/>
                <w:left w:val="none" w:sz="0" w:space="0" w:color="auto"/>
                <w:bottom w:val="none" w:sz="0" w:space="0" w:color="auto"/>
                <w:right w:val="none" w:sz="0" w:space="0" w:color="auto"/>
              </w:divBdr>
            </w:div>
            <w:div w:id="1534686560">
              <w:marLeft w:val="0"/>
              <w:marRight w:val="0"/>
              <w:marTop w:val="0"/>
              <w:marBottom w:val="240"/>
              <w:divBdr>
                <w:top w:val="none" w:sz="0" w:space="0" w:color="auto"/>
                <w:left w:val="none" w:sz="0" w:space="0" w:color="auto"/>
                <w:bottom w:val="none" w:sz="0" w:space="0" w:color="auto"/>
                <w:right w:val="none" w:sz="0" w:space="0" w:color="auto"/>
              </w:divBdr>
            </w:div>
            <w:div w:id="130948788">
              <w:marLeft w:val="0"/>
              <w:marRight w:val="0"/>
              <w:marTop w:val="0"/>
              <w:marBottom w:val="240"/>
              <w:divBdr>
                <w:top w:val="none" w:sz="0" w:space="0" w:color="auto"/>
                <w:left w:val="none" w:sz="0" w:space="0" w:color="auto"/>
                <w:bottom w:val="none" w:sz="0" w:space="0" w:color="auto"/>
                <w:right w:val="none" w:sz="0" w:space="0" w:color="auto"/>
              </w:divBdr>
            </w:div>
            <w:div w:id="1821849227">
              <w:marLeft w:val="0"/>
              <w:marRight w:val="0"/>
              <w:marTop w:val="0"/>
              <w:marBottom w:val="240"/>
              <w:divBdr>
                <w:top w:val="none" w:sz="0" w:space="0" w:color="auto"/>
                <w:left w:val="none" w:sz="0" w:space="0" w:color="auto"/>
                <w:bottom w:val="none" w:sz="0" w:space="0" w:color="auto"/>
                <w:right w:val="none" w:sz="0" w:space="0" w:color="auto"/>
              </w:divBdr>
            </w:div>
            <w:div w:id="419763889">
              <w:marLeft w:val="0"/>
              <w:marRight w:val="0"/>
              <w:marTop w:val="0"/>
              <w:marBottom w:val="240"/>
              <w:divBdr>
                <w:top w:val="none" w:sz="0" w:space="0" w:color="auto"/>
                <w:left w:val="none" w:sz="0" w:space="0" w:color="auto"/>
                <w:bottom w:val="none" w:sz="0" w:space="0" w:color="auto"/>
                <w:right w:val="none" w:sz="0" w:space="0" w:color="auto"/>
              </w:divBdr>
            </w:div>
            <w:div w:id="119226787">
              <w:marLeft w:val="0"/>
              <w:marRight w:val="0"/>
              <w:marTop w:val="0"/>
              <w:marBottom w:val="240"/>
              <w:divBdr>
                <w:top w:val="none" w:sz="0" w:space="0" w:color="auto"/>
                <w:left w:val="none" w:sz="0" w:space="0" w:color="auto"/>
                <w:bottom w:val="none" w:sz="0" w:space="0" w:color="auto"/>
                <w:right w:val="none" w:sz="0" w:space="0" w:color="auto"/>
              </w:divBdr>
            </w:div>
            <w:div w:id="403769086">
              <w:marLeft w:val="0"/>
              <w:marRight w:val="0"/>
              <w:marTop w:val="0"/>
              <w:marBottom w:val="240"/>
              <w:divBdr>
                <w:top w:val="none" w:sz="0" w:space="0" w:color="auto"/>
                <w:left w:val="none" w:sz="0" w:space="0" w:color="auto"/>
                <w:bottom w:val="none" w:sz="0" w:space="0" w:color="auto"/>
                <w:right w:val="none" w:sz="0" w:space="0" w:color="auto"/>
              </w:divBdr>
            </w:div>
            <w:div w:id="991449446">
              <w:marLeft w:val="0"/>
              <w:marRight w:val="0"/>
              <w:marTop w:val="0"/>
              <w:marBottom w:val="240"/>
              <w:divBdr>
                <w:top w:val="none" w:sz="0" w:space="0" w:color="auto"/>
                <w:left w:val="none" w:sz="0" w:space="0" w:color="auto"/>
                <w:bottom w:val="none" w:sz="0" w:space="0" w:color="auto"/>
                <w:right w:val="none" w:sz="0" w:space="0" w:color="auto"/>
              </w:divBdr>
            </w:div>
            <w:div w:id="1356034499">
              <w:marLeft w:val="0"/>
              <w:marRight w:val="0"/>
              <w:marTop w:val="0"/>
              <w:marBottom w:val="240"/>
              <w:divBdr>
                <w:top w:val="none" w:sz="0" w:space="0" w:color="auto"/>
                <w:left w:val="none" w:sz="0" w:space="0" w:color="auto"/>
                <w:bottom w:val="none" w:sz="0" w:space="0" w:color="auto"/>
                <w:right w:val="none" w:sz="0" w:space="0" w:color="auto"/>
              </w:divBdr>
            </w:div>
            <w:div w:id="13654177">
              <w:marLeft w:val="0"/>
              <w:marRight w:val="0"/>
              <w:marTop w:val="0"/>
              <w:marBottom w:val="240"/>
              <w:divBdr>
                <w:top w:val="none" w:sz="0" w:space="0" w:color="auto"/>
                <w:left w:val="none" w:sz="0" w:space="0" w:color="auto"/>
                <w:bottom w:val="none" w:sz="0" w:space="0" w:color="auto"/>
                <w:right w:val="none" w:sz="0" w:space="0" w:color="auto"/>
              </w:divBdr>
            </w:div>
            <w:div w:id="1166365804">
              <w:marLeft w:val="0"/>
              <w:marRight w:val="0"/>
              <w:marTop w:val="0"/>
              <w:marBottom w:val="240"/>
              <w:divBdr>
                <w:top w:val="none" w:sz="0" w:space="0" w:color="auto"/>
                <w:left w:val="none" w:sz="0" w:space="0" w:color="auto"/>
                <w:bottom w:val="none" w:sz="0" w:space="0" w:color="auto"/>
                <w:right w:val="none" w:sz="0" w:space="0" w:color="auto"/>
              </w:divBdr>
            </w:div>
            <w:div w:id="125824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5/ae.1988.15.1.02a0003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46/annurev.anthro.29.1.28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57/sub.2008.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ebookcentral.proquest.com/lib/trinity/detail.action?docID=1167835" TargetMode="External"/><Relationship Id="rId4" Type="http://schemas.openxmlformats.org/officeDocument/2006/relationships/webSettings" Target="webSettings.xml"/><Relationship Id="rId9" Type="http://schemas.openxmlformats.org/officeDocument/2006/relationships/hyperlink" Target="https://doi.org/10.1111/j.1527-2001.2006.tb01097.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27491</TotalTime>
  <Pages>6</Pages>
  <Words>3948</Words>
  <Characters>22510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Daegan</dc:creator>
  <cp:keywords/>
  <dc:description/>
  <cp:lastModifiedBy>Daegan</cp:lastModifiedBy>
  <cp:revision>10</cp:revision>
  <dcterms:created xsi:type="dcterms:W3CDTF">2018-02-16T15:24:00Z</dcterms:created>
  <dcterms:modified xsi:type="dcterms:W3CDTF">2018-03-30T20:40:00Z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zotero-version="5.0.38"&gt;&lt;session id="4MBvLFdJ"/&gt;&lt;style id="http://www.zotero.org/styles/harvard-cardiff-university" hasBibliography="1" bibliographyStyleHasBeenSet="0"/&gt;&lt;prefs&gt;&lt;pref name="fieldType" value="Field"/&gt;&lt;pref name="automa</vt:lpwstr>
  </property>
  <property fmtid="{D5CDD505-2E9C-101B-9397-08002B2CF9AE}" pid="3" name="ZOTERO_PREF_2">
    <vt:lpwstr>ticJournalAbbreviations" value="true"/&gt;&lt;/prefs&gt;&lt;/data&gt;</vt:lpwstr>
  </property>
</Properties>
</file>