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6FC94" w14:textId="77777777" w:rsidR="000B3A1E" w:rsidRPr="0026421D" w:rsidRDefault="000B3A1E" w:rsidP="0026421D">
      <w:pPr>
        <w:pStyle w:val="Normal1"/>
        <w:spacing w:line="360" w:lineRule="auto"/>
        <w:jc w:val="center"/>
        <w:rPr>
          <w:rFonts w:ascii="Arial" w:hAnsi="Arial" w:cs="Arial"/>
          <w:b/>
          <w:bCs/>
          <w:i/>
          <w:iCs/>
          <w:sz w:val="32"/>
          <w:szCs w:val="32"/>
        </w:rPr>
      </w:pPr>
      <w:r w:rsidRPr="0026421D">
        <w:rPr>
          <w:rFonts w:ascii="Arial" w:hAnsi="Arial" w:cs="Arial"/>
          <w:b/>
          <w:bCs/>
          <w:i/>
          <w:iCs/>
          <w:sz w:val="32"/>
          <w:szCs w:val="32"/>
        </w:rPr>
        <w:t>Type 1 Diabetes as a Public Health Issue: Measurement, Control, Community Consequences and Health and Social Care Support</w:t>
      </w:r>
    </w:p>
    <w:p w14:paraId="2DFA5677" w14:textId="77777777" w:rsidR="000B3A1E" w:rsidRDefault="000B3A1E" w:rsidP="0026421D">
      <w:pPr>
        <w:pStyle w:val="Normal1"/>
        <w:spacing w:line="360" w:lineRule="auto"/>
        <w:jc w:val="left"/>
        <w:rPr>
          <w:rFonts w:ascii="Arial" w:hAnsi="Arial" w:cs="Arial"/>
          <w:b/>
          <w:bCs/>
          <w:sz w:val="32"/>
          <w:szCs w:val="32"/>
        </w:rPr>
      </w:pPr>
    </w:p>
    <w:p w14:paraId="29AAF5EF" w14:textId="77777777" w:rsidR="0026421D" w:rsidRPr="0026421D" w:rsidRDefault="0026421D" w:rsidP="0026421D">
      <w:pPr>
        <w:pStyle w:val="Normal1"/>
        <w:spacing w:line="360" w:lineRule="auto"/>
        <w:jc w:val="left"/>
        <w:rPr>
          <w:rFonts w:ascii="Arial" w:hAnsi="Arial" w:cs="Arial"/>
          <w:b/>
          <w:bCs/>
          <w:sz w:val="32"/>
          <w:szCs w:val="32"/>
        </w:rPr>
      </w:pPr>
    </w:p>
    <w:p w14:paraId="25A9E5DC" w14:textId="02450C6D" w:rsidR="000B3A1E" w:rsidRPr="0026421D" w:rsidRDefault="000B3A1E" w:rsidP="0026421D">
      <w:pPr>
        <w:pStyle w:val="Normal1"/>
        <w:spacing w:line="360" w:lineRule="auto"/>
        <w:jc w:val="left"/>
        <w:rPr>
          <w:rFonts w:ascii="Arial" w:hAnsi="Arial" w:cs="Arial"/>
          <w:b/>
          <w:bCs/>
          <w:sz w:val="32"/>
          <w:szCs w:val="32"/>
        </w:rPr>
      </w:pPr>
      <w:r w:rsidRPr="0026421D">
        <w:rPr>
          <w:rFonts w:ascii="Arial" w:hAnsi="Arial" w:cs="Arial"/>
          <w:b/>
          <w:bCs/>
          <w:sz w:val="32"/>
          <w:szCs w:val="32"/>
        </w:rPr>
        <w:t xml:space="preserve">Module: </w:t>
      </w:r>
      <w:r w:rsidRPr="0026421D">
        <w:rPr>
          <w:rFonts w:ascii="Arial" w:hAnsi="Arial" w:cs="Arial"/>
          <w:sz w:val="32"/>
          <w:szCs w:val="32"/>
        </w:rPr>
        <w:t>Introduction to Public Health</w:t>
      </w:r>
    </w:p>
    <w:p w14:paraId="1F962F31" w14:textId="3A130833" w:rsidR="000B3A1E" w:rsidRPr="0026421D" w:rsidRDefault="000B3A1E" w:rsidP="0026421D">
      <w:pPr>
        <w:pStyle w:val="Normal1"/>
        <w:spacing w:line="360" w:lineRule="auto"/>
        <w:jc w:val="left"/>
        <w:rPr>
          <w:rFonts w:ascii="Arial" w:hAnsi="Arial" w:cs="Arial"/>
          <w:sz w:val="32"/>
          <w:szCs w:val="32"/>
        </w:rPr>
      </w:pPr>
      <w:r w:rsidRPr="0026421D">
        <w:rPr>
          <w:rFonts w:ascii="Arial" w:hAnsi="Arial" w:cs="Arial"/>
          <w:b/>
          <w:bCs/>
          <w:sz w:val="32"/>
          <w:szCs w:val="32"/>
        </w:rPr>
        <w:t>Module Code:</w:t>
      </w:r>
      <w:r w:rsidRPr="0026421D">
        <w:rPr>
          <w:rFonts w:ascii="Arial" w:hAnsi="Arial" w:cs="Arial"/>
          <w:sz w:val="32"/>
          <w:szCs w:val="32"/>
        </w:rPr>
        <w:t xml:space="preserve"> LCHS4008</w:t>
      </w:r>
    </w:p>
    <w:p w14:paraId="6293DD6C" w14:textId="7F7D8D47" w:rsidR="000B3A1E" w:rsidRPr="0026421D" w:rsidRDefault="000B3A1E" w:rsidP="0026421D">
      <w:pPr>
        <w:pStyle w:val="Normal1"/>
        <w:spacing w:line="360" w:lineRule="auto"/>
        <w:jc w:val="left"/>
        <w:rPr>
          <w:rFonts w:ascii="Arial" w:hAnsi="Arial" w:cs="Arial"/>
          <w:b/>
          <w:bCs/>
          <w:sz w:val="32"/>
          <w:szCs w:val="32"/>
        </w:rPr>
      </w:pPr>
      <w:r w:rsidRPr="0026421D">
        <w:rPr>
          <w:rFonts w:ascii="Arial" w:hAnsi="Arial" w:cs="Arial"/>
          <w:b/>
          <w:bCs/>
          <w:sz w:val="32"/>
          <w:szCs w:val="32"/>
        </w:rPr>
        <w:t xml:space="preserve">Component 2: </w:t>
      </w:r>
      <w:r w:rsidRPr="0026421D">
        <w:rPr>
          <w:rFonts w:ascii="Arial" w:hAnsi="Arial" w:cs="Arial"/>
          <w:sz w:val="32"/>
          <w:szCs w:val="32"/>
        </w:rPr>
        <w:t>Report on a Health Issue</w:t>
      </w:r>
    </w:p>
    <w:p w14:paraId="5DA274D7" w14:textId="5A405C93" w:rsidR="000B3A1E" w:rsidRPr="0026421D" w:rsidRDefault="000B3A1E" w:rsidP="0026421D">
      <w:pPr>
        <w:pStyle w:val="Normal1"/>
        <w:spacing w:line="360" w:lineRule="auto"/>
        <w:jc w:val="left"/>
        <w:rPr>
          <w:rFonts w:ascii="Arial" w:hAnsi="Arial" w:cs="Arial"/>
          <w:sz w:val="32"/>
          <w:szCs w:val="32"/>
        </w:rPr>
      </w:pPr>
      <w:r w:rsidRPr="0026421D">
        <w:rPr>
          <w:rFonts w:ascii="Arial" w:hAnsi="Arial" w:cs="Arial"/>
          <w:b/>
          <w:bCs/>
          <w:sz w:val="32"/>
          <w:szCs w:val="32"/>
        </w:rPr>
        <w:t>Student Name:</w:t>
      </w:r>
      <w:r w:rsidRPr="0026421D">
        <w:rPr>
          <w:rFonts w:ascii="Arial" w:hAnsi="Arial" w:cs="Arial"/>
          <w:sz w:val="32"/>
          <w:szCs w:val="32"/>
        </w:rPr>
        <w:t xml:space="preserve"> </w:t>
      </w:r>
      <w:r w:rsidR="00C52EAC">
        <w:rPr>
          <w:rFonts w:ascii="Arial" w:hAnsi="Arial" w:cs="Arial"/>
          <w:sz w:val="32"/>
          <w:szCs w:val="32"/>
        </w:rPr>
        <w:t>Teodora Ganchevska</w:t>
      </w:r>
      <w:r w:rsidRPr="0026421D">
        <w:rPr>
          <w:rFonts w:ascii="Arial" w:hAnsi="Arial" w:cs="Arial"/>
          <w:sz w:val="32"/>
          <w:szCs w:val="32"/>
        </w:rPr>
        <w:br/>
      </w:r>
      <w:r w:rsidRPr="0026421D">
        <w:rPr>
          <w:rFonts w:ascii="Arial" w:hAnsi="Arial" w:cs="Arial"/>
          <w:b/>
          <w:bCs/>
          <w:sz w:val="32"/>
          <w:szCs w:val="32"/>
        </w:rPr>
        <w:t xml:space="preserve">Student </w:t>
      </w:r>
      <w:r w:rsidR="007A3F74">
        <w:rPr>
          <w:rFonts w:ascii="Arial" w:hAnsi="Arial" w:cs="Arial"/>
          <w:b/>
          <w:bCs/>
          <w:sz w:val="32"/>
          <w:szCs w:val="32"/>
        </w:rPr>
        <w:t>number</w:t>
      </w:r>
      <w:r w:rsidRPr="0026421D">
        <w:rPr>
          <w:rFonts w:ascii="Arial" w:hAnsi="Arial" w:cs="Arial"/>
          <w:b/>
          <w:bCs/>
          <w:sz w:val="32"/>
          <w:szCs w:val="32"/>
        </w:rPr>
        <w:t>:</w:t>
      </w:r>
      <w:r w:rsidRPr="0026421D">
        <w:rPr>
          <w:rFonts w:ascii="Arial" w:hAnsi="Arial" w:cs="Arial"/>
          <w:sz w:val="32"/>
          <w:szCs w:val="32"/>
        </w:rPr>
        <w:t xml:space="preserve"> </w:t>
      </w:r>
      <w:r w:rsidR="007A3F74">
        <w:rPr>
          <w:rFonts w:ascii="Arial" w:hAnsi="Arial" w:cs="Arial"/>
          <w:sz w:val="32"/>
          <w:szCs w:val="32"/>
        </w:rPr>
        <w:t>2532</w:t>
      </w:r>
      <w:r w:rsidR="00875DB4">
        <w:rPr>
          <w:rFonts w:ascii="Arial" w:hAnsi="Arial" w:cs="Arial"/>
          <w:sz w:val="32"/>
          <w:szCs w:val="32"/>
        </w:rPr>
        <w:t>550</w:t>
      </w:r>
      <w:r w:rsidRPr="0026421D">
        <w:rPr>
          <w:rFonts w:ascii="Arial" w:hAnsi="Arial" w:cs="Arial"/>
          <w:sz w:val="32"/>
          <w:szCs w:val="32"/>
        </w:rPr>
        <w:br/>
      </w:r>
      <w:r w:rsidRPr="0026421D">
        <w:rPr>
          <w:rFonts w:ascii="Arial" w:hAnsi="Arial" w:cs="Arial"/>
          <w:b/>
          <w:bCs/>
          <w:sz w:val="32"/>
          <w:szCs w:val="32"/>
        </w:rPr>
        <w:t>Lecturer’s Name:</w:t>
      </w:r>
      <w:r w:rsidRPr="0026421D">
        <w:rPr>
          <w:rFonts w:ascii="Arial" w:hAnsi="Arial" w:cs="Arial"/>
          <w:sz w:val="32"/>
          <w:szCs w:val="32"/>
        </w:rPr>
        <w:t xml:space="preserve"> </w:t>
      </w:r>
      <w:r w:rsidR="00E8330E">
        <w:rPr>
          <w:rFonts w:ascii="Arial" w:hAnsi="Arial" w:cs="Arial"/>
          <w:sz w:val="32"/>
          <w:szCs w:val="32"/>
        </w:rPr>
        <w:t>Muhammad Ali</w:t>
      </w:r>
      <w:r w:rsidR="00235113">
        <w:rPr>
          <w:rFonts w:ascii="Arial" w:hAnsi="Arial" w:cs="Arial"/>
          <w:sz w:val="32"/>
          <w:szCs w:val="32"/>
        </w:rPr>
        <w:t>yu</w:t>
      </w:r>
      <w:r w:rsidR="00AC7719">
        <w:rPr>
          <w:rFonts w:ascii="Arial" w:hAnsi="Arial" w:cs="Arial"/>
          <w:sz w:val="32"/>
          <w:szCs w:val="32"/>
        </w:rPr>
        <w:t xml:space="preserve"> </w:t>
      </w:r>
      <w:r w:rsidRPr="0026421D">
        <w:rPr>
          <w:rFonts w:ascii="Arial" w:hAnsi="Arial" w:cs="Arial"/>
          <w:sz w:val="32"/>
          <w:szCs w:val="32"/>
        </w:rPr>
        <w:br/>
      </w:r>
      <w:r w:rsidRPr="0026421D">
        <w:rPr>
          <w:rFonts w:ascii="Arial" w:hAnsi="Arial" w:cs="Arial"/>
          <w:b/>
          <w:bCs/>
          <w:sz w:val="32"/>
          <w:szCs w:val="32"/>
        </w:rPr>
        <w:t>Programme:</w:t>
      </w:r>
      <w:r w:rsidRPr="0026421D">
        <w:rPr>
          <w:rFonts w:ascii="Arial" w:hAnsi="Arial" w:cs="Arial"/>
          <w:sz w:val="32"/>
          <w:szCs w:val="32"/>
        </w:rPr>
        <w:t xml:space="preserve"> Certificate of Higher Education Skills for the Workplace</w:t>
      </w:r>
      <w:r w:rsidRPr="0026421D">
        <w:rPr>
          <w:rFonts w:ascii="Arial" w:hAnsi="Arial" w:cs="Arial"/>
          <w:sz w:val="32"/>
          <w:szCs w:val="32"/>
        </w:rPr>
        <w:br/>
      </w:r>
    </w:p>
    <w:p w14:paraId="4343D3DE" w14:textId="77777777" w:rsidR="000B3A1E" w:rsidRPr="0026421D" w:rsidRDefault="000B3A1E" w:rsidP="0026421D">
      <w:pPr>
        <w:pStyle w:val="Normal1"/>
        <w:spacing w:line="360" w:lineRule="auto"/>
        <w:rPr>
          <w:rFonts w:ascii="Arial" w:hAnsi="Arial" w:cs="Arial"/>
          <w:sz w:val="32"/>
          <w:szCs w:val="32"/>
        </w:rPr>
      </w:pPr>
    </w:p>
    <w:p w14:paraId="25058AF2" w14:textId="77777777" w:rsidR="000B3A1E" w:rsidRPr="0026421D" w:rsidRDefault="000B3A1E" w:rsidP="0026421D">
      <w:pPr>
        <w:spacing w:line="360" w:lineRule="auto"/>
        <w:jc w:val="left"/>
        <w:rPr>
          <w:rFonts w:ascii="Arial" w:eastAsia="Calibri" w:hAnsi="Arial" w:cs="Arial"/>
          <w:b/>
          <w:color w:val="156082" w:themeColor="accent1"/>
          <w:sz w:val="32"/>
          <w:szCs w:val="32"/>
          <w:lang w:eastAsia="en-US" w:bidi="ar-SA"/>
        </w:rPr>
      </w:pPr>
      <w:r w:rsidRPr="0026421D">
        <w:rPr>
          <w:rFonts w:ascii="Arial" w:hAnsi="Arial" w:cs="Arial"/>
          <w:sz w:val="32"/>
          <w:szCs w:val="32"/>
        </w:rPr>
        <w:br w:type="page"/>
      </w:r>
    </w:p>
    <w:sdt>
      <w:sdtPr>
        <w:rPr>
          <w:rFonts w:ascii="Arial" w:eastAsiaTheme="minorEastAsia" w:hAnsi="Arial" w:cs="Arial"/>
          <w:b/>
          <w:bCs/>
          <w:color w:val="156082" w:themeColor="accent1"/>
          <w:kern w:val="2"/>
          <w:sz w:val="24"/>
          <w:szCs w:val="30"/>
          <w:lang w:val="en-GB" w:eastAsia="zh-CN" w:bidi="th-TH"/>
          <w14:ligatures w14:val="standardContextual"/>
        </w:rPr>
        <w:id w:val="-390346579"/>
        <w:docPartObj>
          <w:docPartGallery w:val="Table of Contents"/>
          <w:docPartUnique/>
        </w:docPartObj>
      </w:sdtPr>
      <w:sdtEndPr>
        <w:rPr>
          <w:noProof/>
          <w:color w:val="000000" w:themeColor="text1"/>
          <w:sz w:val="22"/>
          <w:szCs w:val="22"/>
        </w:rPr>
      </w:sdtEndPr>
      <w:sdtContent>
        <w:p w14:paraId="2F13D6DC" w14:textId="2743F017" w:rsidR="00C2459E" w:rsidRPr="0026421D" w:rsidRDefault="00C2459E" w:rsidP="0026421D">
          <w:pPr>
            <w:pStyle w:val="TOCHeading"/>
            <w:spacing w:line="360" w:lineRule="auto"/>
            <w:rPr>
              <w:rFonts w:ascii="Arial" w:hAnsi="Arial" w:cs="Arial"/>
              <w:b/>
              <w:bCs/>
              <w:color w:val="156082" w:themeColor="accent1"/>
              <w:szCs w:val="30"/>
              <w:lang w:val="en-GB"/>
            </w:rPr>
          </w:pPr>
          <w:r w:rsidRPr="0026421D">
            <w:rPr>
              <w:rFonts w:ascii="Arial" w:hAnsi="Arial" w:cs="Arial"/>
              <w:b/>
              <w:bCs/>
              <w:color w:val="156082" w:themeColor="accent1"/>
              <w:szCs w:val="30"/>
              <w:lang w:val="en-GB"/>
            </w:rPr>
            <w:t>Table of Contents</w:t>
          </w:r>
        </w:p>
        <w:p w14:paraId="5BF78B48" w14:textId="2F71E0DF" w:rsidR="0026421D" w:rsidRPr="0026421D" w:rsidRDefault="00C2459E" w:rsidP="0026421D">
          <w:pPr>
            <w:pStyle w:val="TOC1"/>
            <w:tabs>
              <w:tab w:val="right" w:leader="dot" w:pos="9350"/>
            </w:tabs>
            <w:spacing w:line="360" w:lineRule="auto"/>
            <w:rPr>
              <w:rFonts w:ascii="Arial" w:hAnsi="Arial" w:cs="Arial"/>
              <w:noProof/>
              <w:color w:val="auto"/>
              <w:lang w:val="en-US"/>
            </w:rPr>
          </w:pPr>
          <w:r w:rsidRPr="0026421D">
            <w:rPr>
              <w:rFonts w:ascii="Arial" w:hAnsi="Arial" w:cs="Arial"/>
              <w:sz w:val="22"/>
              <w:szCs w:val="22"/>
            </w:rPr>
            <w:fldChar w:fldCharType="begin"/>
          </w:r>
          <w:r w:rsidRPr="0026421D">
            <w:rPr>
              <w:rFonts w:ascii="Arial" w:hAnsi="Arial" w:cs="Arial"/>
              <w:sz w:val="22"/>
              <w:szCs w:val="22"/>
            </w:rPr>
            <w:instrText xml:space="preserve"> TOC \o "1-3" \h \z \u </w:instrText>
          </w:r>
          <w:r w:rsidRPr="0026421D">
            <w:rPr>
              <w:rFonts w:ascii="Arial" w:hAnsi="Arial" w:cs="Arial"/>
              <w:sz w:val="22"/>
              <w:szCs w:val="22"/>
            </w:rPr>
            <w:fldChar w:fldCharType="separate"/>
          </w:r>
          <w:hyperlink w:anchor="_Toc236861187" w:history="1">
            <w:r w:rsidR="0026421D" w:rsidRPr="0026421D">
              <w:rPr>
                <w:rStyle w:val="Hyperlink"/>
                <w:rFonts w:ascii="Arial" w:hAnsi="Arial" w:cs="Arial"/>
                <w:noProof/>
                <w:lang w:bidi="ar-SA"/>
              </w:rPr>
              <w:t>1. Introduction</w:t>
            </w:r>
            <w:r w:rsidR="0026421D" w:rsidRPr="0026421D">
              <w:rPr>
                <w:rFonts w:ascii="Arial" w:hAnsi="Arial" w:cs="Arial"/>
                <w:noProof/>
                <w:webHidden/>
              </w:rPr>
              <w:tab/>
            </w:r>
            <w:r w:rsidR="0026421D" w:rsidRPr="0026421D">
              <w:rPr>
                <w:rFonts w:ascii="Arial" w:hAnsi="Arial" w:cs="Arial"/>
                <w:noProof/>
                <w:webHidden/>
              </w:rPr>
              <w:fldChar w:fldCharType="begin"/>
            </w:r>
            <w:r w:rsidR="0026421D" w:rsidRPr="0026421D">
              <w:rPr>
                <w:rFonts w:ascii="Arial" w:hAnsi="Arial" w:cs="Arial"/>
                <w:noProof/>
                <w:webHidden/>
              </w:rPr>
              <w:instrText xml:space="preserve"> PAGEREF _Toc236861187 \h </w:instrText>
            </w:r>
            <w:r w:rsidR="0026421D" w:rsidRPr="0026421D">
              <w:rPr>
                <w:rFonts w:ascii="Arial" w:hAnsi="Arial" w:cs="Arial"/>
                <w:noProof/>
                <w:webHidden/>
              </w:rPr>
            </w:r>
            <w:r w:rsidR="0026421D" w:rsidRPr="0026421D">
              <w:rPr>
                <w:rFonts w:ascii="Arial" w:hAnsi="Arial" w:cs="Arial"/>
                <w:noProof/>
                <w:webHidden/>
              </w:rPr>
              <w:fldChar w:fldCharType="separate"/>
            </w:r>
            <w:r w:rsidR="0075609A">
              <w:rPr>
                <w:rFonts w:ascii="Arial" w:hAnsi="Arial" w:cs="Arial"/>
                <w:noProof/>
                <w:webHidden/>
              </w:rPr>
              <w:t>3</w:t>
            </w:r>
            <w:r w:rsidR="0026421D" w:rsidRPr="0026421D">
              <w:rPr>
                <w:rFonts w:ascii="Arial" w:hAnsi="Arial" w:cs="Arial"/>
                <w:noProof/>
                <w:webHidden/>
              </w:rPr>
              <w:fldChar w:fldCharType="end"/>
            </w:r>
          </w:hyperlink>
        </w:p>
        <w:p w14:paraId="42A735BA" w14:textId="5F3059B3" w:rsidR="0026421D" w:rsidRPr="0026421D" w:rsidRDefault="0026421D" w:rsidP="0026421D">
          <w:pPr>
            <w:pStyle w:val="TOC1"/>
            <w:tabs>
              <w:tab w:val="right" w:leader="dot" w:pos="9350"/>
            </w:tabs>
            <w:spacing w:line="360" w:lineRule="auto"/>
            <w:rPr>
              <w:rFonts w:ascii="Arial" w:hAnsi="Arial" w:cs="Arial"/>
              <w:noProof/>
              <w:color w:val="auto"/>
              <w:lang w:val="en-US"/>
            </w:rPr>
          </w:pPr>
          <w:hyperlink w:anchor="_Toc236861188" w:history="1">
            <w:r w:rsidRPr="0026421D">
              <w:rPr>
                <w:rStyle w:val="Hyperlink"/>
                <w:rFonts w:ascii="Arial" w:hAnsi="Arial" w:cs="Arial"/>
                <w:noProof/>
                <w:lang w:bidi="ar-SA"/>
              </w:rPr>
              <w:t>2. Approaches Used to Measure and Monitor Type 1 Diabetes</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_Toc236861188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4</w:t>
            </w:r>
            <w:r w:rsidRPr="0026421D">
              <w:rPr>
                <w:rFonts w:ascii="Arial" w:hAnsi="Arial" w:cs="Arial"/>
                <w:noProof/>
                <w:webHidden/>
              </w:rPr>
              <w:fldChar w:fldCharType="end"/>
            </w:r>
          </w:hyperlink>
        </w:p>
        <w:p w14:paraId="23C501FB" w14:textId="2BB2D636"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89" w:history="1">
            <w:r w:rsidRPr="0026421D">
              <w:rPr>
                <w:rStyle w:val="Hyperlink"/>
                <w:rFonts w:ascii="Arial" w:hAnsi="Arial" w:cs="Arial"/>
                <w:noProof/>
                <w:lang w:bidi="ar-SA"/>
              </w:rPr>
              <w:t>2.1 Population-level measurement</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_Toc236861189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4</w:t>
            </w:r>
            <w:r w:rsidRPr="0026421D">
              <w:rPr>
                <w:rFonts w:ascii="Arial" w:hAnsi="Arial" w:cs="Arial"/>
                <w:noProof/>
                <w:webHidden/>
              </w:rPr>
              <w:fldChar w:fldCharType="end"/>
            </w:r>
          </w:hyperlink>
        </w:p>
        <w:p w14:paraId="57E9B2C1" w14:textId="2C374B23"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90" w:history="1">
            <w:r w:rsidRPr="0026421D">
              <w:rPr>
                <w:rStyle w:val="Hyperlink"/>
                <w:rFonts w:ascii="Arial" w:hAnsi="Arial" w:cs="Arial"/>
                <w:noProof/>
                <w:lang w:bidi="ar-SA"/>
              </w:rPr>
              <w:t>2.2 Public-health surveillance</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_Toc236861190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4</w:t>
            </w:r>
            <w:r w:rsidRPr="0026421D">
              <w:rPr>
                <w:rFonts w:ascii="Arial" w:hAnsi="Arial" w:cs="Arial"/>
                <w:noProof/>
                <w:webHidden/>
              </w:rPr>
              <w:fldChar w:fldCharType="end"/>
            </w:r>
          </w:hyperlink>
        </w:p>
        <w:p w14:paraId="3B7B7546" w14:textId="69A34F74"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91" w:history="1">
            <w:r w:rsidRPr="0026421D">
              <w:rPr>
                <w:rStyle w:val="Hyperlink"/>
                <w:rFonts w:ascii="Arial" w:hAnsi="Arial" w:cs="Arial"/>
                <w:noProof/>
                <w:lang w:bidi="ar-SA"/>
              </w:rPr>
              <w:t>2.3 Individual clinical monitoring</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_Toc236861191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4</w:t>
            </w:r>
            <w:r w:rsidRPr="0026421D">
              <w:rPr>
                <w:rFonts w:ascii="Arial" w:hAnsi="Arial" w:cs="Arial"/>
                <w:noProof/>
                <w:webHidden/>
              </w:rPr>
              <w:fldChar w:fldCharType="end"/>
            </w:r>
          </w:hyperlink>
        </w:p>
        <w:p w14:paraId="0A4ECC22" w14:textId="4151491F" w:rsidR="0026421D" w:rsidRPr="0026421D" w:rsidRDefault="0026421D" w:rsidP="0026421D">
          <w:pPr>
            <w:pStyle w:val="TOC1"/>
            <w:tabs>
              <w:tab w:val="right" w:leader="dot" w:pos="9350"/>
            </w:tabs>
            <w:spacing w:line="360" w:lineRule="auto"/>
            <w:rPr>
              <w:rFonts w:ascii="Arial" w:hAnsi="Arial" w:cs="Arial"/>
              <w:noProof/>
              <w:color w:val="auto"/>
              <w:lang w:val="en-US"/>
            </w:rPr>
          </w:pPr>
          <w:hyperlink w:anchor="_Toc236861192" w:history="1">
            <w:r w:rsidRPr="0026421D">
              <w:rPr>
                <w:rStyle w:val="Hyperlink"/>
                <w:rFonts w:ascii="Arial" w:hAnsi="Arial" w:cs="Arial"/>
                <w:noProof/>
                <w:lang w:bidi="ar-SA"/>
              </w:rPr>
              <w:t>3. How Type 1 Diabetes Is Controlled</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_Toc236861192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6</w:t>
            </w:r>
            <w:r w:rsidRPr="0026421D">
              <w:rPr>
                <w:rFonts w:ascii="Arial" w:hAnsi="Arial" w:cs="Arial"/>
                <w:noProof/>
                <w:webHidden/>
              </w:rPr>
              <w:fldChar w:fldCharType="end"/>
            </w:r>
          </w:hyperlink>
        </w:p>
        <w:p w14:paraId="0BF9F5B1" w14:textId="3052D0B3"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93" w:history="1">
            <w:r w:rsidRPr="0026421D">
              <w:rPr>
                <w:rStyle w:val="Hyperlink"/>
                <w:rFonts w:ascii="Arial" w:hAnsi="Arial" w:cs="Arial"/>
                <w:noProof/>
                <w:lang w:bidi="ar-SA"/>
              </w:rPr>
              <w:t>3.1 Daily and acute control</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_Toc236861193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6</w:t>
            </w:r>
            <w:r w:rsidRPr="0026421D">
              <w:rPr>
                <w:rFonts w:ascii="Arial" w:hAnsi="Arial" w:cs="Arial"/>
                <w:noProof/>
                <w:webHidden/>
              </w:rPr>
              <w:fldChar w:fldCharType="end"/>
            </w:r>
          </w:hyperlink>
        </w:p>
        <w:p w14:paraId="0F5349C4" w14:textId="71ADF31F"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94" w:history="1">
            <w:r w:rsidRPr="0026421D">
              <w:rPr>
                <w:rStyle w:val="Hyperlink"/>
                <w:rFonts w:ascii="Arial" w:hAnsi="Arial" w:cs="Arial"/>
                <w:noProof/>
                <w:lang w:bidi="ar-SA"/>
              </w:rPr>
              <w:t>3.2 Long-term control</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_Toc236861194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6</w:t>
            </w:r>
            <w:r w:rsidRPr="0026421D">
              <w:rPr>
                <w:rFonts w:ascii="Arial" w:hAnsi="Arial" w:cs="Arial"/>
                <w:noProof/>
                <w:webHidden/>
              </w:rPr>
              <w:fldChar w:fldCharType="end"/>
            </w:r>
          </w:hyperlink>
        </w:p>
        <w:p w14:paraId="09419C1A" w14:textId="3DF284B3" w:rsidR="0026421D" w:rsidRPr="0026421D" w:rsidRDefault="0026421D" w:rsidP="0026421D">
          <w:pPr>
            <w:pStyle w:val="TOC1"/>
            <w:tabs>
              <w:tab w:val="right" w:leader="dot" w:pos="9350"/>
            </w:tabs>
            <w:spacing w:line="360" w:lineRule="auto"/>
            <w:rPr>
              <w:rFonts w:ascii="Arial" w:hAnsi="Arial" w:cs="Arial"/>
              <w:noProof/>
              <w:color w:val="auto"/>
              <w:lang w:val="en-US"/>
            </w:rPr>
          </w:pPr>
          <w:hyperlink w:anchor="_Toc236861195" w:history="1">
            <w:r w:rsidRPr="0026421D">
              <w:rPr>
                <w:rStyle w:val="Hyperlink"/>
                <w:rFonts w:ascii="Arial" w:hAnsi="Arial" w:cs="Arial"/>
                <w:noProof/>
                <w:lang w:bidi="ar-SA"/>
              </w:rPr>
              <w:t>4. Consequences for People in the Community</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_Toc236861195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7</w:t>
            </w:r>
            <w:r w:rsidRPr="0026421D">
              <w:rPr>
                <w:rFonts w:ascii="Arial" w:hAnsi="Arial" w:cs="Arial"/>
                <w:noProof/>
                <w:webHidden/>
              </w:rPr>
              <w:fldChar w:fldCharType="end"/>
            </w:r>
          </w:hyperlink>
        </w:p>
        <w:p w14:paraId="350E5841" w14:textId="1B7A0B17"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96" w:history="1">
            <w:r w:rsidRPr="0026421D">
              <w:rPr>
                <w:rStyle w:val="Hyperlink"/>
                <w:rFonts w:ascii="Arial" w:hAnsi="Arial" w:cs="Arial"/>
                <w:noProof/>
                <w:lang w:bidi="ar-SA"/>
              </w:rPr>
              <w:t>4.1 Physical consequences</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_Toc236861196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7</w:t>
            </w:r>
            <w:r w:rsidRPr="0026421D">
              <w:rPr>
                <w:rFonts w:ascii="Arial" w:hAnsi="Arial" w:cs="Arial"/>
                <w:noProof/>
                <w:webHidden/>
              </w:rPr>
              <w:fldChar w:fldCharType="end"/>
            </w:r>
          </w:hyperlink>
        </w:p>
        <w:p w14:paraId="025C820B" w14:textId="6C195896"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97" w:history="1">
            <w:r w:rsidRPr="0026421D">
              <w:rPr>
                <w:rStyle w:val="Hyperlink"/>
                <w:rFonts w:ascii="Arial" w:hAnsi="Arial" w:cs="Arial"/>
                <w:noProof/>
                <w:lang w:bidi="ar-SA"/>
              </w:rPr>
              <w:t>4.2 Psychological and social consequences</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_Toc236861197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7</w:t>
            </w:r>
            <w:r w:rsidRPr="0026421D">
              <w:rPr>
                <w:rFonts w:ascii="Arial" w:hAnsi="Arial" w:cs="Arial"/>
                <w:noProof/>
                <w:webHidden/>
              </w:rPr>
              <w:fldChar w:fldCharType="end"/>
            </w:r>
          </w:hyperlink>
        </w:p>
        <w:p w14:paraId="31F59DF7" w14:textId="0E1DFCDA"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198" w:history="1">
            <w:r w:rsidRPr="0026421D">
              <w:rPr>
                <w:rStyle w:val="Hyperlink"/>
                <w:rFonts w:ascii="Arial" w:hAnsi="Arial" w:cs="Arial"/>
                <w:noProof/>
                <w:lang w:bidi="ar-SA"/>
              </w:rPr>
              <w:t>4.3 Family and community consequences</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_Toc236861198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7</w:t>
            </w:r>
            <w:r w:rsidRPr="0026421D">
              <w:rPr>
                <w:rFonts w:ascii="Arial" w:hAnsi="Arial" w:cs="Arial"/>
                <w:noProof/>
                <w:webHidden/>
              </w:rPr>
              <w:fldChar w:fldCharType="end"/>
            </w:r>
          </w:hyperlink>
        </w:p>
        <w:p w14:paraId="36B9C887" w14:textId="7679AF7C" w:rsidR="0026421D" w:rsidRPr="0026421D" w:rsidRDefault="0026421D" w:rsidP="0026421D">
          <w:pPr>
            <w:pStyle w:val="TOC1"/>
            <w:tabs>
              <w:tab w:val="right" w:leader="dot" w:pos="9350"/>
            </w:tabs>
            <w:spacing w:line="360" w:lineRule="auto"/>
            <w:rPr>
              <w:rFonts w:ascii="Arial" w:hAnsi="Arial" w:cs="Arial"/>
              <w:noProof/>
              <w:color w:val="auto"/>
              <w:lang w:val="en-US"/>
            </w:rPr>
          </w:pPr>
          <w:hyperlink w:anchor="_Toc236861199" w:history="1">
            <w:r w:rsidRPr="0026421D">
              <w:rPr>
                <w:rStyle w:val="Hyperlink"/>
                <w:rFonts w:ascii="Arial" w:hAnsi="Arial" w:cs="Arial"/>
                <w:noProof/>
                <w:lang w:bidi="ar-SA"/>
              </w:rPr>
              <w:t>5. Health and Social Care Support Services Required</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_Toc236861199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8</w:t>
            </w:r>
            <w:r w:rsidRPr="0026421D">
              <w:rPr>
                <w:rFonts w:ascii="Arial" w:hAnsi="Arial" w:cs="Arial"/>
                <w:noProof/>
                <w:webHidden/>
              </w:rPr>
              <w:fldChar w:fldCharType="end"/>
            </w:r>
          </w:hyperlink>
        </w:p>
        <w:p w14:paraId="104EAB94" w14:textId="15D86534"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200" w:history="1">
            <w:r w:rsidRPr="0026421D">
              <w:rPr>
                <w:rStyle w:val="Hyperlink"/>
                <w:rFonts w:ascii="Arial" w:hAnsi="Arial" w:cs="Arial"/>
                <w:noProof/>
                <w:lang w:bidi="ar-SA"/>
              </w:rPr>
              <w:t>5.1 Multidisciplinary healthcare</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_Toc236861200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8</w:t>
            </w:r>
            <w:r w:rsidRPr="0026421D">
              <w:rPr>
                <w:rFonts w:ascii="Arial" w:hAnsi="Arial" w:cs="Arial"/>
                <w:noProof/>
                <w:webHidden/>
              </w:rPr>
              <w:fldChar w:fldCharType="end"/>
            </w:r>
          </w:hyperlink>
        </w:p>
        <w:p w14:paraId="3518F9A6" w14:textId="53ADCDEE"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201" w:history="1">
            <w:r w:rsidRPr="0026421D">
              <w:rPr>
                <w:rStyle w:val="Hyperlink"/>
                <w:rFonts w:ascii="Arial" w:hAnsi="Arial" w:cs="Arial"/>
                <w:noProof/>
                <w:lang w:bidi="ar-SA"/>
              </w:rPr>
              <w:t>5.2 Preventive and specialist services</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_Toc236861201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8</w:t>
            </w:r>
            <w:r w:rsidRPr="0026421D">
              <w:rPr>
                <w:rFonts w:ascii="Arial" w:hAnsi="Arial" w:cs="Arial"/>
                <w:noProof/>
                <w:webHidden/>
              </w:rPr>
              <w:fldChar w:fldCharType="end"/>
            </w:r>
          </w:hyperlink>
        </w:p>
        <w:p w14:paraId="1A2E2794" w14:textId="266AABF8" w:rsidR="0026421D" w:rsidRPr="0026421D" w:rsidRDefault="0026421D" w:rsidP="0026421D">
          <w:pPr>
            <w:pStyle w:val="TOC2"/>
            <w:tabs>
              <w:tab w:val="right" w:leader="dot" w:pos="9350"/>
            </w:tabs>
            <w:spacing w:line="360" w:lineRule="auto"/>
            <w:rPr>
              <w:rFonts w:ascii="Arial" w:hAnsi="Arial" w:cs="Arial"/>
              <w:noProof/>
              <w:color w:val="auto"/>
              <w:lang w:val="en-US"/>
            </w:rPr>
          </w:pPr>
          <w:hyperlink w:anchor="_Toc236861202" w:history="1">
            <w:r w:rsidRPr="0026421D">
              <w:rPr>
                <w:rStyle w:val="Hyperlink"/>
                <w:rFonts w:ascii="Arial" w:hAnsi="Arial" w:cs="Arial"/>
                <w:noProof/>
                <w:lang w:bidi="ar-SA"/>
              </w:rPr>
              <w:t>5.3 Community and social care</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_Toc236861202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8</w:t>
            </w:r>
            <w:r w:rsidRPr="0026421D">
              <w:rPr>
                <w:rFonts w:ascii="Arial" w:hAnsi="Arial" w:cs="Arial"/>
                <w:noProof/>
                <w:webHidden/>
              </w:rPr>
              <w:fldChar w:fldCharType="end"/>
            </w:r>
          </w:hyperlink>
        </w:p>
        <w:p w14:paraId="77B11D2C" w14:textId="6A74F191" w:rsidR="0026421D" w:rsidRPr="0026421D" w:rsidRDefault="0026421D" w:rsidP="0026421D">
          <w:pPr>
            <w:pStyle w:val="TOC1"/>
            <w:tabs>
              <w:tab w:val="right" w:leader="dot" w:pos="9350"/>
            </w:tabs>
            <w:spacing w:line="360" w:lineRule="auto"/>
            <w:rPr>
              <w:rFonts w:ascii="Arial" w:hAnsi="Arial" w:cs="Arial"/>
              <w:noProof/>
              <w:color w:val="auto"/>
              <w:lang w:val="en-US"/>
            </w:rPr>
          </w:pPr>
          <w:hyperlink w:anchor="_Toc236861203" w:history="1">
            <w:r w:rsidRPr="0026421D">
              <w:rPr>
                <w:rStyle w:val="Hyperlink"/>
                <w:rFonts w:ascii="Arial" w:hAnsi="Arial" w:cs="Arial"/>
                <w:noProof/>
                <w:lang w:bidi="ar-SA"/>
              </w:rPr>
              <w:t>6. Conclusion</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_Toc236861203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9</w:t>
            </w:r>
            <w:r w:rsidRPr="0026421D">
              <w:rPr>
                <w:rFonts w:ascii="Arial" w:hAnsi="Arial" w:cs="Arial"/>
                <w:noProof/>
                <w:webHidden/>
              </w:rPr>
              <w:fldChar w:fldCharType="end"/>
            </w:r>
          </w:hyperlink>
        </w:p>
        <w:p w14:paraId="60B91AF7" w14:textId="2CBFF49E" w:rsidR="0026421D" w:rsidRPr="0026421D" w:rsidRDefault="0026421D" w:rsidP="0026421D">
          <w:pPr>
            <w:pStyle w:val="TOC1"/>
            <w:tabs>
              <w:tab w:val="right" w:leader="dot" w:pos="9350"/>
            </w:tabs>
            <w:spacing w:line="360" w:lineRule="auto"/>
            <w:rPr>
              <w:rFonts w:ascii="Arial" w:hAnsi="Arial" w:cs="Arial"/>
              <w:noProof/>
              <w:color w:val="auto"/>
              <w:lang w:val="en-US"/>
            </w:rPr>
          </w:pPr>
          <w:hyperlink w:anchor="_Toc236861204" w:history="1">
            <w:r w:rsidRPr="0026421D">
              <w:rPr>
                <w:rStyle w:val="Hyperlink"/>
                <w:rFonts w:ascii="Arial" w:hAnsi="Arial" w:cs="Arial"/>
                <w:noProof/>
                <w:lang w:bidi="ar-SA"/>
              </w:rPr>
              <w:t>References</w:t>
            </w:r>
            <w:r w:rsidRPr="0026421D">
              <w:rPr>
                <w:rFonts w:ascii="Arial" w:hAnsi="Arial" w:cs="Arial"/>
                <w:noProof/>
                <w:webHidden/>
              </w:rPr>
              <w:tab/>
            </w:r>
            <w:r w:rsidRPr="0026421D">
              <w:rPr>
                <w:rFonts w:ascii="Arial" w:hAnsi="Arial" w:cs="Arial"/>
                <w:noProof/>
                <w:webHidden/>
              </w:rPr>
              <w:fldChar w:fldCharType="begin"/>
            </w:r>
            <w:r w:rsidRPr="0026421D">
              <w:rPr>
                <w:rFonts w:ascii="Arial" w:hAnsi="Arial" w:cs="Arial"/>
                <w:noProof/>
                <w:webHidden/>
              </w:rPr>
              <w:instrText xml:space="preserve"> PAGEREF _Toc236861204 \h </w:instrText>
            </w:r>
            <w:r w:rsidRPr="0026421D">
              <w:rPr>
                <w:rFonts w:ascii="Arial" w:hAnsi="Arial" w:cs="Arial"/>
                <w:noProof/>
                <w:webHidden/>
              </w:rPr>
            </w:r>
            <w:r w:rsidRPr="0026421D">
              <w:rPr>
                <w:rFonts w:ascii="Arial" w:hAnsi="Arial" w:cs="Arial"/>
                <w:noProof/>
                <w:webHidden/>
              </w:rPr>
              <w:fldChar w:fldCharType="separate"/>
            </w:r>
            <w:r w:rsidR="0075609A">
              <w:rPr>
                <w:rFonts w:ascii="Arial" w:hAnsi="Arial" w:cs="Arial"/>
                <w:noProof/>
                <w:webHidden/>
              </w:rPr>
              <w:t>10</w:t>
            </w:r>
            <w:r w:rsidRPr="0026421D">
              <w:rPr>
                <w:rFonts w:ascii="Arial" w:hAnsi="Arial" w:cs="Arial"/>
                <w:noProof/>
                <w:webHidden/>
              </w:rPr>
              <w:fldChar w:fldCharType="end"/>
            </w:r>
          </w:hyperlink>
        </w:p>
        <w:p w14:paraId="2726898B" w14:textId="384C6AD8" w:rsidR="00C2459E" w:rsidRPr="0026421D" w:rsidRDefault="00C2459E" w:rsidP="0026421D">
          <w:pPr>
            <w:spacing w:line="360" w:lineRule="auto"/>
            <w:rPr>
              <w:rFonts w:ascii="Arial" w:hAnsi="Arial" w:cs="Arial"/>
            </w:rPr>
          </w:pPr>
          <w:r w:rsidRPr="0026421D">
            <w:rPr>
              <w:rFonts w:ascii="Arial" w:hAnsi="Arial" w:cs="Arial"/>
              <w:b/>
              <w:bCs/>
              <w:noProof/>
              <w:sz w:val="22"/>
              <w:szCs w:val="22"/>
            </w:rPr>
            <w:fldChar w:fldCharType="end"/>
          </w:r>
        </w:p>
      </w:sdtContent>
    </w:sdt>
    <w:p w14:paraId="5F4F1D0D" w14:textId="77777777" w:rsidR="000B3A1E" w:rsidRPr="0026421D" w:rsidRDefault="000B3A1E" w:rsidP="0026421D">
      <w:pPr>
        <w:pStyle w:val="Heading1"/>
        <w:rPr>
          <w:lang w:val="en-GB"/>
        </w:rPr>
      </w:pPr>
    </w:p>
    <w:p w14:paraId="029643E2" w14:textId="77777777" w:rsidR="000B3A1E" w:rsidRPr="0026421D" w:rsidRDefault="000B3A1E" w:rsidP="0026421D">
      <w:pPr>
        <w:spacing w:line="360" w:lineRule="auto"/>
        <w:jc w:val="left"/>
        <w:rPr>
          <w:rFonts w:ascii="Arial" w:eastAsia="Calibri" w:hAnsi="Arial" w:cs="Arial"/>
          <w:b/>
          <w:color w:val="156082" w:themeColor="accent1"/>
          <w:sz w:val="30"/>
          <w:szCs w:val="22"/>
          <w:lang w:eastAsia="en-US" w:bidi="ar-SA"/>
        </w:rPr>
      </w:pPr>
      <w:r w:rsidRPr="0026421D">
        <w:rPr>
          <w:rFonts w:ascii="Arial" w:hAnsi="Arial" w:cs="Arial"/>
        </w:rPr>
        <w:br w:type="page"/>
      </w:r>
    </w:p>
    <w:p w14:paraId="43883703" w14:textId="791A575B" w:rsidR="00B31B43" w:rsidRPr="0026421D" w:rsidRDefault="00B31B43" w:rsidP="0026421D">
      <w:pPr>
        <w:pStyle w:val="Heading1"/>
        <w:rPr>
          <w:lang w:val="en-GB"/>
        </w:rPr>
      </w:pPr>
      <w:bookmarkStart w:id="0" w:name="_Toc236861187"/>
      <w:r w:rsidRPr="0026421D">
        <w:rPr>
          <w:lang w:val="en-GB"/>
        </w:rPr>
        <w:lastRenderedPageBreak/>
        <w:t>1. Introduction</w:t>
      </w:r>
      <w:bookmarkEnd w:id="0"/>
    </w:p>
    <w:p w14:paraId="73540D66" w14:textId="7DC121F8"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 xml:space="preserve">Type 1 diabetes is a lifelong autoimmune disease in which </w:t>
      </w:r>
      <w:r w:rsidR="00B008B1" w:rsidRPr="0026421D">
        <w:rPr>
          <w:rFonts w:ascii="Arial" w:hAnsi="Arial" w:cs="Arial"/>
          <w:sz w:val="22"/>
          <w:szCs w:val="22"/>
        </w:rPr>
        <w:t>pancreatic beta cells are damaged, so the pancreas does not produce enough insulin,</w:t>
      </w:r>
      <w:r w:rsidRPr="0026421D">
        <w:rPr>
          <w:rFonts w:ascii="Arial" w:hAnsi="Arial" w:cs="Arial"/>
          <w:sz w:val="22"/>
          <w:szCs w:val="22"/>
        </w:rPr>
        <w:t xml:space="preserve"> leading to ongoing hyperglycaemia (DiMeglio, Evans-Molina and Oram, 2018). Common symptoms include thirst, needing to pass a lot of urine, tiredness, vision problems and unexplained weight loss; it is easy to overlook </w:t>
      </w:r>
      <w:r w:rsidR="0021591C" w:rsidRPr="0026421D">
        <w:rPr>
          <w:rFonts w:ascii="Arial" w:hAnsi="Arial" w:cs="Arial"/>
          <w:sz w:val="22"/>
          <w:szCs w:val="22"/>
        </w:rPr>
        <w:t>them,</w:t>
      </w:r>
      <w:r w:rsidRPr="0026421D">
        <w:rPr>
          <w:rFonts w:ascii="Arial" w:hAnsi="Arial" w:cs="Arial"/>
          <w:sz w:val="22"/>
          <w:szCs w:val="22"/>
        </w:rPr>
        <w:t xml:space="preserve"> and this can lead to a life-threatening diabetic ketoacidosis (NHS, 2024). There are risk factors such as genes and environmental factors, but lifestyle is not the main cause of this. In 2021, 8.4 million people had Type 1 </w:t>
      </w:r>
      <w:r w:rsidR="0021591C" w:rsidRPr="0026421D">
        <w:rPr>
          <w:rFonts w:ascii="Arial" w:hAnsi="Arial" w:cs="Arial"/>
          <w:sz w:val="22"/>
          <w:szCs w:val="22"/>
        </w:rPr>
        <w:t>diabetes,</w:t>
      </w:r>
      <w:r w:rsidRPr="0026421D">
        <w:rPr>
          <w:rFonts w:ascii="Arial" w:hAnsi="Arial" w:cs="Arial"/>
          <w:sz w:val="22"/>
          <w:szCs w:val="22"/>
        </w:rPr>
        <w:t xml:space="preserve"> and 0.5 million new cases were </w:t>
      </w:r>
      <w:r w:rsidR="0021591C" w:rsidRPr="0026421D">
        <w:rPr>
          <w:rFonts w:ascii="Arial" w:hAnsi="Arial" w:cs="Arial"/>
          <w:sz w:val="22"/>
          <w:szCs w:val="22"/>
        </w:rPr>
        <w:t>identified</w:t>
      </w:r>
      <w:r w:rsidR="006A484F" w:rsidRPr="0026421D">
        <w:rPr>
          <w:rFonts w:ascii="Arial" w:hAnsi="Arial" w:cs="Arial"/>
          <w:sz w:val="22"/>
          <w:szCs w:val="22"/>
        </w:rPr>
        <w:t>;</w:t>
      </w:r>
      <w:r w:rsidRPr="0026421D">
        <w:rPr>
          <w:rFonts w:ascii="Arial" w:hAnsi="Arial" w:cs="Arial"/>
          <w:sz w:val="22"/>
          <w:szCs w:val="22"/>
        </w:rPr>
        <w:t xml:space="preserve"> it is estimated that the number of people living with Type 1 diabetes will increase by 2040 (Gregory et al., 2022). In the UK</w:t>
      </w:r>
      <w:r w:rsidR="006A484F" w:rsidRPr="0026421D">
        <w:rPr>
          <w:rFonts w:ascii="Arial" w:hAnsi="Arial" w:cs="Arial"/>
          <w:sz w:val="22"/>
          <w:szCs w:val="22"/>
        </w:rPr>
        <w:t>,</w:t>
      </w:r>
      <w:r w:rsidRPr="0026421D">
        <w:rPr>
          <w:rFonts w:ascii="Arial" w:hAnsi="Arial" w:cs="Arial"/>
          <w:sz w:val="22"/>
          <w:szCs w:val="22"/>
        </w:rPr>
        <w:t xml:space="preserve"> there are over 400,000 people </w:t>
      </w:r>
      <w:r w:rsidR="006A484F" w:rsidRPr="0026421D">
        <w:rPr>
          <w:rFonts w:ascii="Arial" w:hAnsi="Arial" w:cs="Arial"/>
          <w:sz w:val="22"/>
          <w:szCs w:val="22"/>
        </w:rPr>
        <w:t>who</w:t>
      </w:r>
      <w:r w:rsidRPr="0026421D">
        <w:rPr>
          <w:rFonts w:ascii="Arial" w:hAnsi="Arial" w:cs="Arial"/>
          <w:sz w:val="22"/>
          <w:szCs w:val="22"/>
        </w:rPr>
        <w:t xml:space="preserve"> live with the condition, highlighting a need for specialist and community care (Diabetes UK, 2023). </w:t>
      </w:r>
    </w:p>
    <w:p w14:paraId="25190E4A" w14:textId="77777777" w:rsidR="0021591C" w:rsidRPr="0026421D" w:rsidRDefault="0021591C" w:rsidP="0026421D">
      <w:pPr>
        <w:spacing w:line="360" w:lineRule="auto"/>
        <w:jc w:val="left"/>
        <w:rPr>
          <w:rFonts w:ascii="Arial" w:eastAsia="Calibri" w:hAnsi="Arial" w:cs="Arial"/>
          <w:b/>
          <w:color w:val="156082" w:themeColor="accent1"/>
          <w:sz w:val="30"/>
          <w:szCs w:val="22"/>
          <w:lang w:val="en-US" w:eastAsia="en-US" w:bidi="ar-SA"/>
        </w:rPr>
      </w:pPr>
      <w:r w:rsidRPr="0026421D">
        <w:rPr>
          <w:rFonts w:ascii="Arial" w:hAnsi="Arial" w:cs="Arial"/>
        </w:rPr>
        <w:br w:type="page"/>
      </w:r>
    </w:p>
    <w:p w14:paraId="0673375A" w14:textId="12CB877A" w:rsidR="0021591C" w:rsidRPr="0026421D" w:rsidRDefault="0021591C" w:rsidP="0026421D">
      <w:pPr>
        <w:pStyle w:val="Heading1"/>
      </w:pPr>
      <w:bookmarkStart w:id="1" w:name="_Toc236861188"/>
      <w:r w:rsidRPr="0026421D">
        <w:lastRenderedPageBreak/>
        <w:t>2. Approaches Used to Measure and Monitor Type 1 Diabetes</w:t>
      </w:r>
      <w:bookmarkEnd w:id="1"/>
    </w:p>
    <w:p w14:paraId="0D1F3810" w14:textId="77777777" w:rsidR="0021591C" w:rsidRPr="0026421D" w:rsidRDefault="0021591C" w:rsidP="0026421D">
      <w:pPr>
        <w:pStyle w:val="Heading2"/>
      </w:pPr>
      <w:bookmarkStart w:id="2" w:name="_Toc236861189"/>
      <w:r w:rsidRPr="0026421D">
        <w:t>2.1 Population-level measurement</w:t>
      </w:r>
      <w:bookmarkEnd w:id="2"/>
    </w:p>
    <w:p w14:paraId="5E1C261E" w14:textId="576DA68A"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 xml:space="preserve">Incidence refers to the number of new cases that are diagnosed within a specific </w:t>
      </w:r>
      <w:r w:rsidR="0021591C" w:rsidRPr="0026421D">
        <w:rPr>
          <w:rFonts w:ascii="Arial" w:hAnsi="Arial" w:cs="Arial"/>
          <w:sz w:val="22"/>
          <w:szCs w:val="22"/>
        </w:rPr>
        <w:t>period</w:t>
      </w:r>
      <w:r w:rsidR="000F2558">
        <w:rPr>
          <w:rFonts w:ascii="Arial" w:hAnsi="Arial" w:cs="Arial"/>
          <w:sz w:val="22"/>
          <w:szCs w:val="22"/>
        </w:rPr>
        <w:t>,</w:t>
      </w:r>
      <w:r w:rsidRPr="0026421D">
        <w:rPr>
          <w:rFonts w:ascii="Arial" w:hAnsi="Arial" w:cs="Arial"/>
          <w:sz w:val="22"/>
          <w:szCs w:val="22"/>
        </w:rPr>
        <w:t xml:space="preserve"> while prevalence refers to the number of people with the disease at a certain time.</w:t>
      </w:r>
      <w:r w:rsidR="006A484F" w:rsidRPr="0026421D">
        <w:rPr>
          <w:rFonts w:ascii="Arial" w:hAnsi="Arial" w:cs="Arial"/>
          <w:sz w:val="22"/>
          <w:szCs w:val="22"/>
        </w:rPr>
        <w:t xml:space="preserve"> </w:t>
      </w:r>
      <w:r w:rsidR="0021591C" w:rsidRPr="0026421D">
        <w:rPr>
          <w:rFonts w:ascii="Arial" w:hAnsi="Arial" w:cs="Arial"/>
          <w:sz w:val="22"/>
          <w:szCs w:val="22"/>
        </w:rPr>
        <w:t>Other</w:t>
      </w:r>
      <w:r w:rsidRPr="0026421D">
        <w:rPr>
          <w:rFonts w:ascii="Arial" w:hAnsi="Arial" w:cs="Arial"/>
          <w:sz w:val="22"/>
          <w:szCs w:val="22"/>
        </w:rPr>
        <w:t xml:space="preserve"> indicators of severity are age at diagnosis and admission rates for diabetic ketoacidosis or severe hypoglycaemia. Prevalence and admission data must be understood in conjunction with incidence – the information provides insights into the ongoing burden of treatment and service, whereas the information from incidence can give emerging trends (Bilous et al., 2021). Inequalities that are not apparent at the national level can also be identified by comparing by age, ethnicity, deprivation and location.</w:t>
      </w:r>
    </w:p>
    <w:p w14:paraId="1321559F" w14:textId="77777777" w:rsidR="0021591C" w:rsidRPr="0026421D" w:rsidRDefault="0021591C" w:rsidP="0026421D">
      <w:pPr>
        <w:pStyle w:val="Heading2"/>
      </w:pPr>
      <w:bookmarkStart w:id="3" w:name="_Toc236861190"/>
      <w:r w:rsidRPr="0026421D">
        <w:t>2.2 Public-health surveillance</w:t>
      </w:r>
      <w:bookmarkEnd w:id="3"/>
    </w:p>
    <w:p w14:paraId="0BA7DB93" w14:textId="4DEBC994"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 xml:space="preserve">The National Diabetes Audit in England and Wales is an audit which brings together data from Primary-care records, clinical measures, complications and mortality data to assess the quality and variation of diabetes care. It is well covered and can be used for trend analysis and for comparisons between population </w:t>
      </w:r>
      <w:r w:rsidR="00402ED4" w:rsidRPr="0026421D">
        <w:rPr>
          <w:rFonts w:ascii="Arial" w:hAnsi="Arial" w:cs="Arial"/>
          <w:sz w:val="22"/>
          <w:szCs w:val="22"/>
        </w:rPr>
        <w:t>groups,</w:t>
      </w:r>
      <w:r w:rsidRPr="0026421D">
        <w:rPr>
          <w:rFonts w:ascii="Arial" w:hAnsi="Arial" w:cs="Arial"/>
          <w:sz w:val="22"/>
          <w:szCs w:val="22"/>
        </w:rPr>
        <w:t xml:space="preserve"> but data may be missing or inconsistently coded (Holman et al., 2021). In addition to the evidence provided by the Hospital Episode Statistics, evidence on acute events and outcomes is provided by death registrations, and burden estimates are provided through modelling where there is incomplete surveillance. Modelled estimates are still subject to assumptions and the quality of input data and information.</w:t>
      </w:r>
    </w:p>
    <w:p w14:paraId="7B13EEDD" w14:textId="77777777" w:rsidR="0021591C" w:rsidRPr="0026421D" w:rsidRDefault="0021591C" w:rsidP="0026421D">
      <w:pPr>
        <w:pStyle w:val="Heading2"/>
      </w:pPr>
      <w:bookmarkStart w:id="4" w:name="_Toc236861191"/>
      <w:r w:rsidRPr="0026421D">
        <w:t>2.3 Individual clinical monitoring</w:t>
      </w:r>
      <w:bookmarkEnd w:id="4"/>
    </w:p>
    <w:p w14:paraId="44F17DAE" w14:textId="0667EFE3" w:rsidR="0021591C" w:rsidRDefault="005C23C6" w:rsidP="0026421D">
      <w:pPr>
        <w:spacing w:line="360" w:lineRule="auto"/>
        <w:rPr>
          <w:rFonts w:ascii="Arial" w:hAnsi="Arial" w:cs="Arial"/>
          <w:sz w:val="22"/>
          <w:szCs w:val="22"/>
        </w:rPr>
      </w:pPr>
      <w:r w:rsidRPr="0026421D">
        <w:rPr>
          <w:rFonts w:ascii="Arial" w:hAnsi="Arial" w:cs="Arial"/>
          <w:sz w:val="22"/>
          <w:szCs w:val="22"/>
        </w:rPr>
        <w:t xml:space="preserve">Monitoring is also done at a personal level by using a finger prick test, continuous or flash glucose monitoring, HbA1c test, and ketone testing. Eye, kidney, cardiovascular and foot examinations are made regularly to allow the detection of complications before they reach an irreversible stage (Melmed et al., 2024). However, there can be unequal access to technology that can result in unequal data and information, which can lead to unequal outcomes and, </w:t>
      </w:r>
      <w:r w:rsidR="0021591C" w:rsidRPr="0026421D">
        <w:rPr>
          <w:rFonts w:ascii="Arial" w:hAnsi="Arial" w:cs="Arial"/>
          <w:sz w:val="22"/>
          <w:szCs w:val="22"/>
        </w:rPr>
        <w:t>therefore</w:t>
      </w:r>
      <w:r w:rsidRPr="0026421D">
        <w:rPr>
          <w:rFonts w:ascii="Arial" w:hAnsi="Arial" w:cs="Arial"/>
          <w:sz w:val="22"/>
          <w:szCs w:val="22"/>
        </w:rPr>
        <w:t>, unequal care.</w:t>
      </w:r>
    </w:p>
    <w:p w14:paraId="18466A09" w14:textId="77777777" w:rsidR="00847141" w:rsidRDefault="00847141" w:rsidP="0026421D">
      <w:pPr>
        <w:spacing w:line="360" w:lineRule="auto"/>
        <w:rPr>
          <w:rFonts w:ascii="Arial" w:hAnsi="Arial" w:cs="Arial"/>
          <w:sz w:val="22"/>
          <w:szCs w:val="22"/>
        </w:rPr>
      </w:pPr>
    </w:p>
    <w:p w14:paraId="27D058F7" w14:textId="77777777" w:rsidR="00847141" w:rsidRPr="0026421D" w:rsidRDefault="00847141" w:rsidP="0026421D">
      <w:pPr>
        <w:spacing w:line="360" w:lineRule="auto"/>
        <w:rPr>
          <w:rFonts w:ascii="Arial" w:hAnsi="Arial" w:cs="Arial"/>
          <w:sz w:val="22"/>
          <w:szCs w:val="22"/>
        </w:rPr>
      </w:pPr>
    </w:p>
    <w:tbl>
      <w:tblPr>
        <w:tblStyle w:val="TableGrid2"/>
        <w:tblW w:w="0" w:type="auto"/>
        <w:tblInd w:w="-5" w:type="dxa"/>
        <w:tblLook w:val="04A0" w:firstRow="1" w:lastRow="0" w:firstColumn="1" w:lastColumn="0" w:noHBand="0" w:noVBand="1"/>
      </w:tblPr>
      <w:tblGrid>
        <w:gridCol w:w="1710"/>
        <w:gridCol w:w="2700"/>
        <w:gridCol w:w="2629"/>
        <w:gridCol w:w="2316"/>
      </w:tblGrid>
      <w:tr w:rsidR="0021591C" w:rsidRPr="0026421D" w14:paraId="289A81C1" w14:textId="77777777" w:rsidTr="00C81FC1">
        <w:tc>
          <w:tcPr>
            <w:tcW w:w="1710" w:type="dxa"/>
            <w:hideMark/>
          </w:tcPr>
          <w:p w14:paraId="7F6F555F" w14:textId="77777777" w:rsidR="0021591C" w:rsidRPr="0026421D" w:rsidRDefault="0021591C" w:rsidP="00F84D04">
            <w:pPr>
              <w:spacing w:after="160" w:line="360" w:lineRule="auto"/>
              <w:rPr>
                <w:rFonts w:ascii="Arial" w:hAnsi="Arial" w:cs="Arial"/>
                <w:b/>
                <w:bCs/>
              </w:rPr>
            </w:pPr>
            <w:r w:rsidRPr="0026421D">
              <w:rPr>
                <w:rFonts w:ascii="Arial" w:hAnsi="Arial" w:cs="Arial"/>
                <w:b/>
                <w:bCs/>
              </w:rPr>
              <w:lastRenderedPageBreak/>
              <w:t>Approach</w:t>
            </w:r>
          </w:p>
        </w:tc>
        <w:tc>
          <w:tcPr>
            <w:tcW w:w="2700" w:type="dxa"/>
            <w:hideMark/>
          </w:tcPr>
          <w:p w14:paraId="6D2B238E" w14:textId="77777777" w:rsidR="0021591C" w:rsidRPr="0026421D" w:rsidRDefault="0021591C" w:rsidP="00F84D04">
            <w:pPr>
              <w:spacing w:after="160" w:line="360" w:lineRule="auto"/>
              <w:rPr>
                <w:rFonts w:ascii="Arial" w:hAnsi="Arial" w:cs="Arial"/>
                <w:b/>
                <w:bCs/>
              </w:rPr>
            </w:pPr>
            <w:r w:rsidRPr="0026421D">
              <w:rPr>
                <w:rFonts w:ascii="Arial" w:hAnsi="Arial" w:cs="Arial"/>
                <w:b/>
                <w:bCs/>
              </w:rPr>
              <w:t>What it measures</w:t>
            </w:r>
          </w:p>
        </w:tc>
        <w:tc>
          <w:tcPr>
            <w:tcW w:w="2629" w:type="dxa"/>
            <w:hideMark/>
          </w:tcPr>
          <w:p w14:paraId="2AFFFD24" w14:textId="77777777" w:rsidR="0021591C" w:rsidRPr="0026421D" w:rsidRDefault="0021591C" w:rsidP="00F84D04">
            <w:pPr>
              <w:spacing w:after="160" w:line="360" w:lineRule="auto"/>
              <w:rPr>
                <w:rFonts w:ascii="Arial" w:hAnsi="Arial" w:cs="Arial"/>
                <w:b/>
                <w:bCs/>
              </w:rPr>
            </w:pPr>
            <w:r w:rsidRPr="0026421D">
              <w:rPr>
                <w:rFonts w:ascii="Arial" w:hAnsi="Arial" w:cs="Arial"/>
                <w:b/>
                <w:bCs/>
              </w:rPr>
              <w:t>Public-health value</w:t>
            </w:r>
          </w:p>
        </w:tc>
        <w:tc>
          <w:tcPr>
            <w:tcW w:w="2316" w:type="dxa"/>
            <w:hideMark/>
          </w:tcPr>
          <w:p w14:paraId="399F1FFA" w14:textId="77777777" w:rsidR="0021591C" w:rsidRPr="0026421D" w:rsidRDefault="0021591C" w:rsidP="00F84D04">
            <w:pPr>
              <w:spacing w:after="160" w:line="360" w:lineRule="auto"/>
              <w:rPr>
                <w:rFonts w:ascii="Arial" w:hAnsi="Arial" w:cs="Arial"/>
                <w:b/>
                <w:bCs/>
              </w:rPr>
            </w:pPr>
            <w:r w:rsidRPr="0026421D">
              <w:rPr>
                <w:rFonts w:ascii="Arial" w:hAnsi="Arial" w:cs="Arial"/>
                <w:b/>
                <w:bCs/>
              </w:rPr>
              <w:t>Main limitation</w:t>
            </w:r>
          </w:p>
        </w:tc>
      </w:tr>
      <w:tr w:rsidR="0021591C" w:rsidRPr="0026421D" w14:paraId="274C4DD3" w14:textId="77777777" w:rsidTr="00C81FC1">
        <w:tc>
          <w:tcPr>
            <w:tcW w:w="1710" w:type="dxa"/>
            <w:hideMark/>
          </w:tcPr>
          <w:p w14:paraId="4A708AFA" w14:textId="77777777" w:rsidR="0021591C" w:rsidRPr="0026421D" w:rsidRDefault="0021591C" w:rsidP="00F84D04">
            <w:pPr>
              <w:spacing w:after="160" w:line="360" w:lineRule="auto"/>
              <w:rPr>
                <w:rFonts w:ascii="Arial" w:hAnsi="Arial" w:cs="Arial"/>
              </w:rPr>
            </w:pPr>
            <w:r w:rsidRPr="0026421D">
              <w:rPr>
                <w:rFonts w:ascii="Arial" w:hAnsi="Arial" w:cs="Arial"/>
              </w:rPr>
              <w:t>Incidence</w:t>
            </w:r>
          </w:p>
        </w:tc>
        <w:tc>
          <w:tcPr>
            <w:tcW w:w="2700" w:type="dxa"/>
            <w:hideMark/>
          </w:tcPr>
          <w:p w14:paraId="5A9065B2" w14:textId="77777777" w:rsidR="0021591C" w:rsidRPr="0026421D" w:rsidRDefault="0021591C" w:rsidP="00F84D04">
            <w:pPr>
              <w:spacing w:after="160" w:line="360" w:lineRule="auto"/>
              <w:rPr>
                <w:rFonts w:ascii="Arial" w:hAnsi="Arial" w:cs="Arial"/>
              </w:rPr>
            </w:pPr>
            <w:r w:rsidRPr="0026421D">
              <w:rPr>
                <w:rFonts w:ascii="Arial" w:hAnsi="Arial" w:cs="Arial"/>
              </w:rPr>
              <w:t>Newly diagnosed cases during a specified period</w:t>
            </w:r>
          </w:p>
        </w:tc>
        <w:tc>
          <w:tcPr>
            <w:tcW w:w="2629" w:type="dxa"/>
            <w:hideMark/>
          </w:tcPr>
          <w:p w14:paraId="709A4570" w14:textId="77777777" w:rsidR="0021591C" w:rsidRPr="0026421D" w:rsidRDefault="0021591C" w:rsidP="00F84D04">
            <w:pPr>
              <w:spacing w:after="160" w:line="360" w:lineRule="auto"/>
              <w:rPr>
                <w:rFonts w:ascii="Arial" w:hAnsi="Arial" w:cs="Arial"/>
              </w:rPr>
            </w:pPr>
            <w:r w:rsidRPr="0026421D">
              <w:rPr>
                <w:rFonts w:ascii="Arial" w:hAnsi="Arial" w:cs="Arial"/>
              </w:rPr>
              <w:t>Identifies changing patterns and groups experiencing higher diagnosis rates</w:t>
            </w:r>
          </w:p>
        </w:tc>
        <w:tc>
          <w:tcPr>
            <w:tcW w:w="2316" w:type="dxa"/>
            <w:hideMark/>
          </w:tcPr>
          <w:p w14:paraId="6966C97A" w14:textId="77777777" w:rsidR="0021591C" w:rsidRPr="0026421D" w:rsidRDefault="0021591C" w:rsidP="00F84D04">
            <w:pPr>
              <w:spacing w:after="160" w:line="360" w:lineRule="auto"/>
              <w:rPr>
                <w:rFonts w:ascii="Arial" w:hAnsi="Arial" w:cs="Arial"/>
              </w:rPr>
            </w:pPr>
            <w:r w:rsidRPr="0026421D">
              <w:rPr>
                <w:rFonts w:ascii="Arial" w:hAnsi="Arial" w:cs="Arial"/>
              </w:rPr>
              <w:t>Depends on accurate and timely diagnosis</w:t>
            </w:r>
          </w:p>
        </w:tc>
      </w:tr>
      <w:tr w:rsidR="0021591C" w:rsidRPr="0026421D" w14:paraId="209B2DC3" w14:textId="77777777" w:rsidTr="00C81FC1">
        <w:tc>
          <w:tcPr>
            <w:tcW w:w="1710" w:type="dxa"/>
            <w:hideMark/>
          </w:tcPr>
          <w:p w14:paraId="35525ED6" w14:textId="77777777" w:rsidR="0021591C" w:rsidRPr="0026421D" w:rsidRDefault="0021591C" w:rsidP="00F84D04">
            <w:pPr>
              <w:spacing w:after="160" w:line="360" w:lineRule="auto"/>
              <w:rPr>
                <w:rFonts w:ascii="Arial" w:hAnsi="Arial" w:cs="Arial"/>
              </w:rPr>
            </w:pPr>
            <w:r w:rsidRPr="0026421D">
              <w:rPr>
                <w:rFonts w:ascii="Arial" w:hAnsi="Arial" w:cs="Arial"/>
              </w:rPr>
              <w:t>Prevalence</w:t>
            </w:r>
          </w:p>
        </w:tc>
        <w:tc>
          <w:tcPr>
            <w:tcW w:w="2700" w:type="dxa"/>
            <w:hideMark/>
          </w:tcPr>
          <w:p w14:paraId="340D00A6" w14:textId="77777777" w:rsidR="0021591C" w:rsidRPr="0026421D" w:rsidRDefault="0021591C" w:rsidP="00F84D04">
            <w:pPr>
              <w:spacing w:after="160" w:line="360" w:lineRule="auto"/>
              <w:rPr>
                <w:rFonts w:ascii="Arial" w:hAnsi="Arial" w:cs="Arial"/>
              </w:rPr>
            </w:pPr>
            <w:r w:rsidRPr="0026421D">
              <w:rPr>
                <w:rFonts w:ascii="Arial" w:hAnsi="Arial" w:cs="Arial"/>
              </w:rPr>
              <w:t>The total population living with Type 1 diabetes</w:t>
            </w:r>
          </w:p>
        </w:tc>
        <w:tc>
          <w:tcPr>
            <w:tcW w:w="2629" w:type="dxa"/>
            <w:hideMark/>
          </w:tcPr>
          <w:p w14:paraId="71DEB007" w14:textId="77777777" w:rsidR="0021591C" w:rsidRPr="0026421D" w:rsidRDefault="0021591C" w:rsidP="00F84D04">
            <w:pPr>
              <w:spacing w:after="160" w:line="360" w:lineRule="auto"/>
              <w:rPr>
                <w:rFonts w:ascii="Arial" w:hAnsi="Arial" w:cs="Arial"/>
              </w:rPr>
            </w:pPr>
            <w:r w:rsidRPr="0026421D">
              <w:rPr>
                <w:rFonts w:ascii="Arial" w:hAnsi="Arial" w:cs="Arial"/>
              </w:rPr>
              <w:t>Demonstrates continuing demand for insulin, monitoring and specialist services</w:t>
            </w:r>
          </w:p>
        </w:tc>
        <w:tc>
          <w:tcPr>
            <w:tcW w:w="2316" w:type="dxa"/>
            <w:hideMark/>
          </w:tcPr>
          <w:p w14:paraId="0713E093" w14:textId="77777777" w:rsidR="0021591C" w:rsidRPr="0026421D" w:rsidRDefault="0021591C" w:rsidP="00F84D04">
            <w:pPr>
              <w:spacing w:after="160" w:line="360" w:lineRule="auto"/>
              <w:rPr>
                <w:rFonts w:ascii="Arial" w:hAnsi="Arial" w:cs="Arial"/>
              </w:rPr>
            </w:pPr>
            <w:r w:rsidRPr="0026421D">
              <w:rPr>
                <w:rFonts w:ascii="Arial" w:hAnsi="Arial" w:cs="Arial"/>
              </w:rPr>
              <w:t>May be affected by incomplete or misclassified records</w:t>
            </w:r>
          </w:p>
        </w:tc>
      </w:tr>
      <w:tr w:rsidR="0021591C" w:rsidRPr="0026421D" w14:paraId="0D92397E" w14:textId="77777777" w:rsidTr="00C81FC1">
        <w:tc>
          <w:tcPr>
            <w:tcW w:w="1710" w:type="dxa"/>
            <w:hideMark/>
          </w:tcPr>
          <w:p w14:paraId="7C375AD1" w14:textId="77777777" w:rsidR="0021591C" w:rsidRPr="0026421D" w:rsidRDefault="0021591C" w:rsidP="00F84D04">
            <w:pPr>
              <w:spacing w:after="160" w:line="360" w:lineRule="auto"/>
              <w:rPr>
                <w:rFonts w:ascii="Arial" w:hAnsi="Arial" w:cs="Arial"/>
              </w:rPr>
            </w:pPr>
            <w:r w:rsidRPr="0026421D">
              <w:rPr>
                <w:rFonts w:ascii="Arial" w:hAnsi="Arial" w:cs="Arial"/>
              </w:rPr>
              <w:t>Hospital admissions</w:t>
            </w:r>
          </w:p>
        </w:tc>
        <w:tc>
          <w:tcPr>
            <w:tcW w:w="2700" w:type="dxa"/>
            <w:hideMark/>
          </w:tcPr>
          <w:p w14:paraId="72A400FA" w14:textId="77777777" w:rsidR="0021591C" w:rsidRPr="0026421D" w:rsidRDefault="0021591C" w:rsidP="00F84D04">
            <w:pPr>
              <w:spacing w:after="160" w:line="360" w:lineRule="auto"/>
              <w:rPr>
                <w:rFonts w:ascii="Arial" w:hAnsi="Arial" w:cs="Arial"/>
              </w:rPr>
            </w:pPr>
            <w:r w:rsidRPr="0026421D">
              <w:rPr>
                <w:rFonts w:ascii="Arial" w:hAnsi="Arial" w:cs="Arial"/>
              </w:rPr>
              <w:t>Admissions for diabetic ketoacidosis or severe hypoglycaemia</w:t>
            </w:r>
          </w:p>
        </w:tc>
        <w:tc>
          <w:tcPr>
            <w:tcW w:w="2629" w:type="dxa"/>
            <w:hideMark/>
          </w:tcPr>
          <w:p w14:paraId="18C67D2B" w14:textId="77777777" w:rsidR="0021591C" w:rsidRPr="0026421D" w:rsidRDefault="0021591C" w:rsidP="00F84D04">
            <w:pPr>
              <w:spacing w:after="160" w:line="360" w:lineRule="auto"/>
              <w:rPr>
                <w:rFonts w:ascii="Arial" w:hAnsi="Arial" w:cs="Arial"/>
              </w:rPr>
            </w:pPr>
            <w:r w:rsidRPr="0026421D">
              <w:rPr>
                <w:rFonts w:ascii="Arial" w:hAnsi="Arial" w:cs="Arial"/>
              </w:rPr>
              <w:t>Indicates acute complications and pressure on hospital services</w:t>
            </w:r>
          </w:p>
        </w:tc>
        <w:tc>
          <w:tcPr>
            <w:tcW w:w="2316" w:type="dxa"/>
            <w:hideMark/>
          </w:tcPr>
          <w:p w14:paraId="11BCA853" w14:textId="77777777" w:rsidR="0021591C" w:rsidRPr="0026421D" w:rsidRDefault="0021591C" w:rsidP="00F84D04">
            <w:pPr>
              <w:spacing w:after="160" w:line="360" w:lineRule="auto"/>
              <w:rPr>
                <w:rFonts w:ascii="Arial" w:hAnsi="Arial" w:cs="Arial"/>
              </w:rPr>
            </w:pPr>
            <w:r w:rsidRPr="0026421D">
              <w:rPr>
                <w:rFonts w:ascii="Arial" w:hAnsi="Arial" w:cs="Arial"/>
              </w:rPr>
              <w:t>Excludes events managed outside hospital</w:t>
            </w:r>
          </w:p>
        </w:tc>
      </w:tr>
      <w:tr w:rsidR="0021591C" w:rsidRPr="0026421D" w14:paraId="200CEEC0" w14:textId="77777777" w:rsidTr="00C81FC1">
        <w:tc>
          <w:tcPr>
            <w:tcW w:w="1710" w:type="dxa"/>
            <w:hideMark/>
          </w:tcPr>
          <w:p w14:paraId="3DB4593C" w14:textId="77777777" w:rsidR="0021591C" w:rsidRPr="0026421D" w:rsidRDefault="0021591C" w:rsidP="00F84D04">
            <w:pPr>
              <w:spacing w:after="160" w:line="360" w:lineRule="auto"/>
              <w:rPr>
                <w:rFonts w:ascii="Arial" w:hAnsi="Arial" w:cs="Arial"/>
              </w:rPr>
            </w:pPr>
            <w:r w:rsidRPr="0026421D">
              <w:rPr>
                <w:rFonts w:ascii="Arial" w:hAnsi="Arial" w:cs="Arial"/>
              </w:rPr>
              <w:t>Mortality data</w:t>
            </w:r>
          </w:p>
        </w:tc>
        <w:tc>
          <w:tcPr>
            <w:tcW w:w="2700" w:type="dxa"/>
            <w:hideMark/>
          </w:tcPr>
          <w:p w14:paraId="4AD0310E" w14:textId="77777777" w:rsidR="0021591C" w:rsidRPr="0026421D" w:rsidRDefault="0021591C" w:rsidP="00F84D04">
            <w:pPr>
              <w:spacing w:after="160" w:line="360" w:lineRule="auto"/>
              <w:rPr>
                <w:rFonts w:ascii="Arial" w:hAnsi="Arial" w:cs="Arial"/>
              </w:rPr>
            </w:pPr>
            <w:r w:rsidRPr="0026421D">
              <w:rPr>
                <w:rFonts w:ascii="Arial" w:hAnsi="Arial" w:cs="Arial"/>
              </w:rPr>
              <w:t>Deaths associated with Type 1 diabetes or its complications</w:t>
            </w:r>
          </w:p>
        </w:tc>
        <w:tc>
          <w:tcPr>
            <w:tcW w:w="2629" w:type="dxa"/>
            <w:hideMark/>
          </w:tcPr>
          <w:p w14:paraId="2FF6D342" w14:textId="77777777" w:rsidR="0021591C" w:rsidRPr="0026421D" w:rsidRDefault="0021591C" w:rsidP="00F84D04">
            <w:pPr>
              <w:spacing w:after="160" w:line="360" w:lineRule="auto"/>
              <w:rPr>
                <w:rFonts w:ascii="Arial" w:hAnsi="Arial" w:cs="Arial"/>
              </w:rPr>
            </w:pPr>
            <w:r w:rsidRPr="0026421D">
              <w:rPr>
                <w:rFonts w:ascii="Arial" w:hAnsi="Arial" w:cs="Arial"/>
              </w:rPr>
              <w:t>Assesses disease severity and long-term outcomes</w:t>
            </w:r>
          </w:p>
        </w:tc>
        <w:tc>
          <w:tcPr>
            <w:tcW w:w="2316" w:type="dxa"/>
            <w:hideMark/>
          </w:tcPr>
          <w:p w14:paraId="2B135768" w14:textId="77777777" w:rsidR="0021591C" w:rsidRPr="0026421D" w:rsidRDefault="0021591C" w:rsidP="00F84D04">
            <w:pPr>
              <w:spacing w:after="160" w:line="360" w:lineRule="auto"/>
              <w:rPr>
                <w:rFonts w:ascii="Arial" w:hAnsi="Arial" w:cs="Arial"/>
              </w:rPr>
            </w:pPr>
            <w:r w:rsidRPr="0026421D">
              <w:rPr>
                <w:rFonts w:ascii="Arial" w:hAnsi="Arial" w:cs="Arial"/>
              </w:rPr>
              <w:t>Cause-of-death recording may be inconsistent</w:t>
            </w:r>
          </w:p>
        </w:tc>
      </w:tr>
      <w:tr w:rsidR="0021591C" w:rsidRPr="0026421D" w14:paraId="7FB45501" w14:textId="77777777" w:rsidTr="00C81FC1">
        <w:tc>
          <w:tcPr>
            <w:tcW w:w="1710" w:type="dxa"/>
            <w:hideMark/>
          </w:tcPr>
          <w:p w14:paraId="2B2FF78B" w14:textId="77777777" w:rsidR="0021591C" w:rsidRPr="0026421D" w:rsidRDefault="0021591C" w:rsidP="00F84D04">
            <w:pPr>
              <w:spacing w:after="160" w:line="360" w:lineRule="auto"/>
              <w:rPr>
                <w:rFonts w:ascii="Arial" w:hAnsi="Arial" w:cs="Arial"/>
              </w:rPr>
            </w:pPr>
            <w:r w:rsidRPr="0026421D">
              <w:rPr>
                <w:rFonts w:ascii="Arial" w:hAnsi="Arial" w:cs="Arial"/>
              </w:rPr>
              <w:t>National diabetes audits</w:t>
            </w:r>
          </w:p>
        </w:tc>
        <w:tc>
          <w:tcPr>
            <w:tcW w:w="2700" w:type="dxa"/>
            <w:hideMark/>
          </w:tcPr>
          <w:p w14:paraId="6A386762" w14:textId="77777777" w:rsidR="0021591C" w:rsidRPr="0026421D" w:rsidRDefault="0021591C" w:rsidP="00F84D04">
            <w:pPr>
              <w:spacing w:after="160" w:line="360" w:lineRule="auto"/>
              <w:rPr>
                <w:rFonts w:ascii="Arial" w:hAnsi="Arial" w:cs="Arial"/>
              </w:rPr>
            </w:pPr>
            <w:r w:rsidRPr="0026421D">
              <w:rPr>
                <w:rFonts w:ascii="Arial" w:hAnsi="Arial" w:cs="Arial"/>
              </w:rPr>
              <w:t>Care processes, clinical outcomes and complications</w:t>
            </w:r>
          </w:p>
        </w:tc>
        <w:tc>
          <w:tcPr>
            <w:tcW w:w="2629" w:type="dxa"/>
            <w:hideMark/>
          </w:tcPr>
          <w:p w14:paraId="10E31D48" w14:textId="77777777" w:rsidR="0021591C" w:rsidRPr="0026421D" w:rsidRDefault="0021591C" w:rsidP="00F84D04">
            <w:pPr>
              <w:spacing w:after="160" w:line="360" w:lineRule="auto"/>
              <w:rPr>
                <w:rFonts w:ascii="Arial" w:hAnsi="Arial" w:cs="Arial"/>
              </w:rPr>
            </w:pPr>
            <w:r w:rsidRPr="0026421D">
              <w:rPr>
                <w:rFonts w:ascii="Arial" w:hAnsi="Arial" w:cs="Arial"/>
              </w:rPr>
              <w:t>Supports service comparison, planning and identification of inequalities</w:t>
            </w:r>
          </w:p>
        </w:tc>
        <w:tc>
          <w:tcPr>
            <w:tcW w:w="2316" w:type="dxa"/>
            <w:hideMark/>
          </w:tcPr>
          <w:p w14:paraId="73E6FE3D" w14:textId="77777777" w:rsidR="0021591C" w:rsidRPr="0026421D" w:rsidRDefault="0021591C" w:rsidP="00F84D04">
            <w:pPr>
              <w:spacing w:after="160" w:line="360" w:lineRule="auto"/>
              <w:rPr>
                <w:rFonts w:ascii="Arial" w:hAnsi="Arial" w:cs="Arial"/>
              </w:rPr>
            </w:pPr>
            <w:r w:rsidRPr="0026421D">
              <w:rPr>
                <w:rFonts w:ascii="Arial" w:hAnsi="Arial" w:cs="Arial"/>
              </w:rPr>
              <w:t>Missing data and inconsistent coding may affect accuracy</w:t>
            </w:r>
          </w:p>
        </w:tc>
      </w:tr>
      <w:tr w:rsidR="0021591C" w:rsidRPr="0026421D" w14:paraId="746A3BC8" w14:textId="77777777" w:rsidTr="00C81FC1">
        <w:tc>
          <w:tcPr>
            <w:tcW w:w="1710" w:type="dxa"/>
            <w:hideMark/>
          </w:tcPr>
          <w:p w14:paraId="442E0877" w14:textId="77777777" w:rsidR="0021591C" w:rsidRPr="0026421D" w:rsidRDefault="0021591C" w:rsidP="00F84D04">
            <w:pPr>
              <w:spacing w:after="160" w:line="360" w:lineRule="auto"/>
              <w:rPr>
                <w:rFonts w:ascii="Arial" w:hAnsi="Arial" w:cs="Arial"/>
              </w:rPr>
            </w:pPr>
            <w:r w:rsidRPr="0026421D">
              <w:rPr>
                <w:rFonts w:ascii="Arial" w:hAnsi="Arial" w:cs="Arial"/>
              </w:rPr>
              <w:t>Individual clinical monitoring</w:t>
            </w:r>
          </w:p>
        </w:tc>
        <w:tc>
          <w:tcPr>
            <w:tcW w:w="2700" w:type="dxa"/>
            <w:hideMark/>
          </w:tcPr>
          <w:p w14:paraId="350795DF" w14:textId="77777777" w:rsidR="0021591C" w:rsidRPr="0026421D" w:rsidRDefault="0021591C" w:rsidP="00F84D04">
            <w:pPr>
              <w:spacing w:after="160" w:line="360" w:lineRule="auto"/>
              <w:rPr>
                <w:rFonts w:ascii="Arial" w:hAnsi="Arial" w:cs="Arial"/>
              </w:rPr>
            </w:pPr>
            <w:r w:rsidRPr="0026421D">
              <w:rPr>
                <w:rFonts w:ascii="Arial" w:hAnsi="Arial" w:cs="Arial"/>
              </w:rPr>
              <w:t>Blood glucose, HbA1c, ketones and complication screening</w:t>
            </w:r>
          </w:p>
        </w:tc>
        <w:tc>
          <w:tcPr>
            <w:tcW w:w="2629" w:type="dxa"/>
            <w:hideMark/>
          </w:tcPr>
          <w:p w14:paraId="7F0D6147" w14:textId="77777777" w:rsidR="0021591C" w:rsidRPr="0026421D" w:rsidRDefault="0021591C" w:rsidP="00F84D04">
            <w:pPr>
              <w:spacing w:after="160" w:line="360" w:lineRule="auto"/>
              <w:rPr>
                <w:rFonts w:ascii="Arial" w:hAnsi="Arial" w:cs="Arial"/>
              </w:rPr>
            </w:pPr>
            <w:r w:rsidRPr="0026421D">
              <w:rPr>
                <w:rFonts w:ascii="Arial" w:hAnsi="Arial" w:cs="Arial"/>
              </w:rPr>
              <w:t>Supports treatment adjustment and early intervention</w:t>
            </w:r>
          </w:p>
        </w:tc>
        <w:tc>
          <w:tcPr>
            <w:tcW w:w="2316" w:type="dxa"/>
            <w:hideMark/>
          </w:tcPr>
          <w:p w14:paraId="3F59D5C2" w14:textId="77777777" w:rsidR="0021591C" w:rsidRPr="0026421D" w:rsidRDefault="0021591C" w:rsidP="00F84D04">
            <w:pPr>
              <w:spacing w:after="160" w:line="360" w:lineRule="auto"/>
              <w:rPr>
                <w:rFonts w:ascii="Arial" w:hAnsi="Arial" w:cs="Arial"/>
              </w:rPr>
            </w:pPr>
            <w:r w:rsidRPr="0026421D">
              <w:rPr>
                <w:rFonts w:ascii="Arial" w:hAnsi="Arial" w:cs="Arial"/>
              </w:rPr>
              <w:t>Access to monitoring technology may be unequal</w:t>
            </w:r>
          </w:p>
        </w:tc>
      </w:tr>
    </w:tbl>
    <w:p w14:paraId="2A844C5D" w14:textId="77777777" w:rsidR="0021591C" w:rsidRPr="0026421D" w:rsidRDefault="0021591C" w:rsidP="0026421D">
      <w:pPr>
        <w:spacing w:line="360" w:lineRule="auto"/>
        <w:jc w:val="center"/>
        <w:rPr>
          <w:rFonts w:ascii="Arial" w:hAnsi="Arial" w:cs="Arial"/>
          <w:b/>
          <w:bCs/>
          <w:i/>
          <w:iCs/>
          <w:sz w:val="22"/>
          <w:szCs w:val="22"/>
        </w:rPr>
      </w:pPr>
      <w:r w:rsidRPr="0026421D">
        <w:rPr>
          <w:rFonts w:ascii="Arial" w:hAnsi="Arial" w:cs="Arial"/>
          <w:b/>
          <w:bCs/>
          <w:i/>
          <w:iCs/>
          <w:sz w:val="22"/>
          <w:szCs w:val="22"/>
        </w:rPr>
        <w:t>Table 1: Key Approaches Used to Measure and Monitor Type 1 Diabetes</w:t>
      </w:r>
    </w:p>
    <w:p w14:paraId="3072440F" w14:textId="77777777" w:rsidR="0021591C" w:rsidRPr="0026421D" w:rsidRDefault="0021591C" w:rsidP="0026421D">
      <w:pPr>
        <w:spacing w:line="360" w:lineRule="auto"/>
        <w:jc w:val="center"/>
        <w:rPr>
          <w:rFonts w:ascii="Arial" w:hAnsi="Arial" w:cs="Arial"/>
          <w:b/>
          <w:bCs/>
          <w:i/>
          <w:iCs/>
          <w:sz w:val="22"/>
          <w:szCs w:val="22"/>
        </w:rPr>
      </w:pPr>
      <w:r w:rsidRPr="0026421D">
        <w:rPr>
          <w:rFonts w:ascii="Arial" w:hAnsi="Arial" w:cs="Arial"/>
          <w:b/>
          <w:bCs/>
          <w:i/>
          <w:iCs/>
          <w:sz w:val="22"/>
          <w:szCs w:val="22"/>
        </w:rPr>
        <w:t>Source: Based on Holman et al. (2021).</w:t>
      </w:r>
    </w:p>
    <w:p w14:paraId="6A9A851C" w14:textId="1AB655F6"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As shown in Table 1, there is no single indicator that reflects the entire burden of Type 1 diabetes; there is a need for both population surveillance and clinical monitoring to assess the burden of the disease.</w:t>
      </w:r>
    </w:p>
    <w:p w14:paraId="1234DC1D" w14:textId="77777777" w:rsidR="0021591C" w:rsidRPr="0026421D" w:rsidRDefault="0021591C" w:rsidP="0026421D">
      <w:pPr>
        <w:spacing w:line="360" w:lineRule="auto"/>
        <w:jc w:val="left"/>
        <w:rPr>
          <w:rFonts w:ascii="Arial" w:eastAsia="Calibri" w:hAnsi="Arial" w:cs="Arial"/>
          <w:b/>
          <w:color w:val="156082" w:themeColor="accent1"/>
          <w:sz w:val="30"/>
          <w:szCs w:val="22"/>
          <w:lang w:val="en-US" w:eastAsia="en-US" w:bidi="ar-SA"/>
        </w:rPr>
      </w:pPr>
      <w:r w:rsidRPr="0026421D">
        <w:rPr>
          <w:rFonts w:ascii="Arial" w:hAnsi="Arial" w:cs="Arial"/>
        </w:rPr>
        <w:br w:type="page"/>
      </w:r>
    </w:p>
    <w:p w14:paraId="090D244B" w14:textId="4D4604D9" w:rsidR="0021591C" w:rsidRPr="0026421D" w:rsidRDefault="0021591C" w:rsidP="0026421D">
      <w:pPr>
        <w:pStyle w:val="Heading1"/>
      </w:pPr>
      <w:bookmarkStart w:id="5" w:name="_Toc236861192"/>
      <w:r w:rsidRPr="0026421D">
        <w:lastRenderedPageBreak/>
        <w:t>3. How Type 1 Diabetes Is Controlled</w:t>
      </w:r>
      <w:bookmarkEnd w:id="5"/>
    </w:p>
    <w:p w14:paraId="58360FCF" w14:textId="77777777" w:rsidR="0021591C" w:rsidRPr="0026421D" w:rsidRDefault="0021591C" w:rsidP="0026421D">
      <w:pPr>
        <w:pStyle w:val="Heading2"/>
      </w:pPr>
      <w:bookmarkStart w:id="6" w:name="_Toc236861193"/>
      <w:r w:rsidRPr="0026421D">
        <w:t>3.1 Daily and acute control</w:t>
      </w:r>
      <w:bookmarkEnd w:id="6"/>
    </w:p>
    <w:p w14:paraId="325E2AA0" w14:textId="61233881"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There is currently no routine cure for type 1 diabetes and insulin replacement must be carried out for life. Insulin can be administered in several doses per day or via a pump</w:t>
      </w:r>
      <w:r w:rsidR="006A484F" w:rsidRPr="0026421D">
        <w:rPr>
          <w:rFonts w:ascii="Arial" w:hAnsi="Arial" w:cs="Arial"/>
          <w:sz w:val="22"/>
          <w:szCs w:val="22"/>
        </w:rPr>
        <w:t>,</w:t>
      </w:r>
      <w:r w:rsidRPr="0026421D">
        <w:rPr>
          <w:rFonts w:ascii="Arial" w:hAnsi="Arial" w:cs="Arial"/>
          <w:sz w:val="22"/>
          <w:szCs w:val="22"/>
        </w:rPr>
        <w:t xml:space="preserve"> and doses can be adjusted based on the amount of glucose, carbohydrates, exercise, illness and life's events (Holt et al., 2021). </w:t>
      </w:r>
      <w:r w:rsidR="00B23B4B" w:rsidRPr="00B23B4B">
        <w:rPr>
          <w:rFonts w:ascii="Arial" w:hAnsi="Arial" w:cs="Arial"/>
          <w:sz w:val="22"/>
          <w:szCs w:val="22"/>
        </w:rPr>
        <w:t>While continuous glucose monitoring can detect patterns between readings, it only benefits when it is used to make decisions on what to do with the data.</w:t>
      </w:r>
    </w:p>
    <w:p w14:paraId="61961630" w14:textId="39EDF5D5" w:rsidR="005C23C6" w:rsidRPr="0026421D" w:rsidRDefault="005C23C6" w:rsidP="0026421D">
      <w:pPr>
        <w:spacing w:line="360" w:lineRule="auto"/>
        <w:rPr>
          <w:rFonts w:ascii="Arial" w:hAnsi="Arial" w:cs="Arial"/>
          <w:sz w:val="22"/>
          <w:szCs w:val="22"/>
        </w:rPr>
      </w:pPr>
      <w:r w:rsidRPr="0026421D">
        <w:rPr>
          <w:rFonts w:ascii="Arial" w:hAnsi="Arial" w:cs="Arial"/>
          <w:sz w:val="22"/>
          <w:szCs w:val="22"/>
        </w:rPr>
        <w:t xml:space="preserve">The daily management of diabetes also involves counting carbohydrates, nutrition and safe physical activity. People should be aware of symptoms of hypoglycaemia, have some fast-acting glucose to take when suffering from low blood sugar and make sure family members know how to use emergency glucagon. An increased frequency of glucose and ketone testing and sick day guidelines during illness will decrease the likelihood of developing diabetic ketoacidosis (Hanas, 2019). These demands create </w:t>
      </w:r>
      <w:r w:rsidR="006A484F" w:rsidRPr="0026421D">
        <w:rPr>
          <w:rFonts w:ascii="Arial" w:hAnsi="Arial" w:cs="Arial"/>
          <w:sz w:val="22"/>
          <w:szCs w:val="22"/>
        </w:rPr>
        <w:t>self-management-intensive demands</w:t>
      </w:r>
      <w:r w:rsidRPr="0026421D">
        <w:rPr>
          <w:rFonts w:ascii="Arial" w:hAnsi="Arial" w:cs="Arial"/>
          <w:sz w:val="22"/>
          <w:szCs w:val="22"/>
        </w:rPr>
        <w:t xml:space="preserve"> – particularly for children, people with unstable housing, and those with irregular working hours.</w:t>
      </w:r>
    </w:p>
    <w:p w14:paraId="08AD24F1" w14:textId="77777777" w:rsidR="0021591C" w:rsidRPr="0026421D" w:rsidRDefault="0021591C" w:rsidP="0026421D">
      <w:pPr>
        <w:pStyle w:val="Heading2"/>
      </w:pPr>
      <w:bookmarkStart w:id="7" w:name="_Toc236861194"/>
      <w:r w:rsidRPr="0026421D">
        <w:t>3.2 Long-term control</w:t>
      </w:r>
      <w:bookmarkEnd w:id="7"/>
    </w:p>
    <w:p w14:paraId="4EBE2C60" w14:textId="6F2DF270" w:rsidR="005F2DA8" w:rsidRPr="0026421D" w:rsidRDefault="0044101C" w:rsidP="0026421D">
      <w:pPr>
        <w:spacing w:line="360" w:lineRule="auto"/>
        <w:rPr>
          <w:rFonts w:ascii="Arial" w:hAnsi="Arial" w:cs="Arial"/>
          <w:sz w:val="22"/>
          <w:szCs w:val="22"/>
        </w:rPr>
      </w:pPr>
      <w:r>
        <w:rPr>
          <w:rFonts w:ascii="Arial" w:hAnsi="Arial" w:cs="Arial"/>
          <w:sz w:val="22"/>
          <w:szCs w:val="22"/>
        </w:rPr>
        <w:t>Long-term</w:t>
      </w:r>
      <w:r w:rsidR="00186CEE" w:rsidRPr="00186CEE">
        <w:rPr>
          <w:rFonts w:ascii="Arial" w:hAnsi="Arial" w:cs="Arial"/>
          <w:sz w:val="22"/>
          <w:szCs w:val="22"/>
        </w:rPr>
        <w:t xml:space="preserve"> control consists of the monitoring of HbA1c, retinal screening, assessment of kidney function, assessment of blood pressure and examination of the feet.</w:t>
      </w:r>
      <w:r w:rsidR="005C23C6" w:rsidRPr="0026421D">
        <w:rPr>
          <w:rFonts w:ascii="Arial" w:hAnsi="Arial" w:cs="Arial"/>
          <w:sz w:val="22"/>
          <w:szCs w:val="22"/>
        </w:rPr>
        <w:t xml:space="preserve"> Confidence should be nurtured</w:t>
      </w:r>
      <w:r w:rsidR="006A484F" w:rsidRPr="0026421D">
        <w:rPr>
          <w:rFonts w:ascii="Arial" w:hAnsi="Arial" w:cs="Arial"/>
          <w:sz w:val="22"/>
          <w:szCs w:val="22"/>
        </w:rPr>
        <w:t>,</w:t>
      </w:r>
      <w:r w:rsidR="005C23C6" w:rsidRPr="0026421D">
        <w:rPr>
          <w:rFonts w:ascii="Arial" w:hAnsi="Arial" w:cs="Arial"/>
          <w:sz w:val="22"/>
          <w:szCs w:val="22"/>
        </w:rPr>
        <w:t xml:space="preserve"> not just imparted</w:t>
      </w:r>
      <w:r w:rsidR="006A484F" w:rsidRPr="0026421D">
        <w:rPr>
          <w:rFonts w:ascii="Arial" w:hAnsi="Arial" w:cs="Arial"/>
          <w:sz w:val="22"/>
          <w:szCs w:val="22"/>
        </w:rPr>
        <w:t>,</w:t>
      </w:r>
      <w:r w:rsidR="005C23C6" w:rsidRPr="0026421D">
        <w:rPr>
          <w:rFonts w:ascii="Arial" w:hAnsi="Arial" w:cs="Arial"/>
          <w:sz w:val="22"/>
          <w:szCs w:val="22"/>
        </w:rPr>
        <w:t xml:space="preserve"> in structured </w:t>
      </w:r>
      <w:r w:rsidR="00186CEE" w:rsidRPr="0026421D">
        <w:rPr>
          <w:rFonts w:ascii="Arial" w:hAnsi="Arial" w:cs="Arial"/>
          <w:sz w:val="22"/>
          <w:szCs w:val="22"/>
        </w:rPr>
        <w:t>education</w:t>
      </w:r>
      <w:r w:rsidR="00186CEE">
        <w:rPr>
          <w:rFonts w:ascii="Arial" w:hAnsi="Arial" w:cs="Arial"/>
          <w:sz w:val="22"/>
          <w:szCs w:val="22"/>
        </w:rPr>
        <w:t>.</w:t>
      </w:r>
      <w:r w:rsidR="00186CEE" w:rsidRPr="00186CEE">
        <w:rPr>
          <w:rFonts w:ascii="Arial" w:hAnsi="Arial" w:cs="Arial"/>
          <w:sz w:val="22"/>
          <w:szCs w:val="22"/>
        </w:rPr>
        <w:t xml:space="preserve"> Recurrent hypoglycaemia, treatment burden and the technology available to the individual and their abilities should be reviewed by specialist teams (Sperling, 2020).</w:t>
      </w:r>
      <w:r w:rsidR="005C23C6" w:rsidRPr="0026421D">
        <w:rPr>
          <w:rFonts w:ascii="Arial" w:hAnsi="Arial" w:cs="Arial"/>
          <w:sz w:val="22"/>
          <w:szCs w:val="22"/>
        </w:rPr>
        <w:t xml:space="preserve"> Control should not be blamed exclusively on the individual - affordability, health literacy, family support and the continuity of services, and access to specialist advice, have a strong influence on control.</w:t>
      </w:r>
    </w:p>
    <w:p w14:paraId="7EF819E4" w14:textId="77777777" w:rsidR="00E35FE2" w:rsidRPr="0026421D" w:rsidRDefault="00E35FE2" w:rsidP="0026421D">
      <w:pPr>
        <w:spacing w:line="360" w:lineRule="auto"/>
        <w:jc w:val="left"/>
        <w:rPr>
          <w:rFonts w:ascii="Arial" w:eastAsia="Calibri" w:hAnsi="Arial" w:cs="Arial"/>
          <w:b/>
          <w:color w:val="156082" w:themeColor="accent1"/>
          <w:sz w:val="22"/>
          <w:szCs w:val="22"/>
          <w:lang w:bidi="ar-SA"/>
        </w:rPr>
      </w:pPr>
      <w:r w:rsidRPr="0026421D">
        <w:rPr>
          <w:rFonts w:ascii="Arial" w:hAnsi="Arial" w:cs="Arial"/>
          <w:sz w:val="22"/>
          <w:szCs w:val="22"/>
        </w:rPr>
        <w:br w:type="page"/>
      </w:r>
    </w:p>
    <w:p w14:paraId="19608B5D" w14:textId="397CACA5" w:rsidR="004C6612" w:rsidRPr="0026421D" w:rsidRDefault="004C6612" w:rsidP="0026421D">
      <w:pPr>
        <w:pStyle w:val="Heading1"/>
        <w:rPr>
          <w:lang w:val="en-GB"/>
        </w:rPr>
      </w:pPr>
      <w:bookmarkStart w:id="8" w:name="_Toc236861195"/>
      <w:r w:rsidRPr="0026421D">
        <w:rPr>
          <w:lang w:val="en-GB"/>
        </w:rPr>
        <w:lastRenderedPageBreak/>
        <w:t>4. Consequences for People in the Community</w:t>
      </w:r>
      <w:bookmarkEnd w:id="8"/>
    </w:p>
    <w:p w14:paraId="27CF33A5" w14:textId="77777777" w:rsidR="004C6612" w:rsidRPr="0026421D" w:rsidRDefault="004C6612" w:rsidP="0026421D">
      <w:pPr>
        <w:pStyle w:val="Heading2"/>
        <w:rPr>
          <w:lang w:val="en-GB"/>
        </w:rPr>
      </w:pPr>
      <w:bookmarkStart w:id="9" w:name="_Toc236861196"/>
      <w:r w:rsidRPr="0026421D">
        <w:rPr>
          <w:lang w:val="en-GB"/>
        </w:rPr>
        <w:t>4.1 Physical consequences</w:t>
      </w:r>
      <w:bookmarkEnd w:id="9"/>
    </w:p>
    <w:p w14:paraId="1F739586" w14:textId="7DFCF391" w:rsidR="0021591C" w:rsidRPr="0026421D" w:rsidRDefault="003E365A" w:rsidP="0026421D">
      <w:pPr>
        <w:spacing w:line="360" w:lineRule="auto"/>
        <w:rPr>
          <w:rFonts w:ascii="Arial" w:hAnsi="Arial" w:cs="Arial"/>
          <w:sz w:val="22"/>
          <w:szCs w:val="22"/>
        </w:rPr>
      </w:pPr>
      <w:r w:rsidRPr="003E365A">
        <w:rPr>
          <w:rFonts w:ascii="Arial" w:hAnsi="Arial" w:cs="Arial"/>
          <w:sz w:val="22"/>
          <w:szCs w:val="22"/>
        </w:rPr>
        <w:t>Acute complications are severe hypoglycaemia, hyperglycaemia, seizures, loss of consciousness and diabetic ketoacidosis.</w:t>
      </w:r>
      <w:r w:rsidR="0021591C" w:rsidRPr="0026421D">
        <w:rPr>
          <w:rFonts w:ascii="Arial" w:hAnsi="Arial" w:cs="Arial"/>
          <w:sz w:val="22"/>
          <w:szCs w:val="22"/>
        </w:rPr>
        <w:t xml:space="preserve"> </w:t>
      </w:r>
      <w:r w:rsidR="0063308A" w:rsidRPr="0063308A">
        <w:rPr>
          <w:rFonts w:ascii="Arial" w:hAnsi="Arial" w:cs="Arial"/>
          <w:sz w:val="22"/>
          <w:szCs w:val="22"/>
        </w:rPr>
        <w:t>The sustained hyperglycaemia can lead to retinopathy, kidney disease, neuropathy, and cardiovascular diseases, which can impact mobility, independence, and life expectancy (Bilous, Donnelly and Idris, 2021).</w:t>
      </w:r>
      <w:r w:rsidR="0063308A">
        <w:rPr>
          <w:rFonts w:ascii="Arial" w:hAnsi="Arial" w:cs="Arial"/>
          <w:sz w:val="22"/>
          <w:szCs w:val="22"/>
        </w:rPr>
        <w:t xml:space="preserve"> </w:t>
      </w:r>
      <w:r w:rsidR="0021591C" w:rsidRPr="0026421D">
        <w:rPr>
          <w:rFonts w:ascii="Arial" w:hAnsi="Arial" w:cs="Arial"/>
          <w:sz w:val="22"/>
          <w:szCs w:val="22"/>
        </w:rPr>
        <w:t>These consequences also lead to more admissions to the emergency department and long-term health and social care services in the NHS.</w:t>
      </w:r>
    </w:p>
    <w:p w14:paraId="3CF5714B" w14:textId="77777777" w:rsidR="0021591C" w:rsidRPr="0026421D" w:rsidRDefault="0021591C" w:rsidP="0026421D">
      <w:pPr>
        <w:pStyle w:val="Heading2"/>
      </w:pPr>
      <w:bookmarkStart w:id="10" w:name="_Toc236861197"/>
      <w:r w:rsidRPr="0026421D">
        <w:t>4.2 Psychological and social consequences</w:t>
      </w:r>
      <w:bookmarkEnd w:id="10"/>
    </w:p>
    <w:p w14:paraId="05A5F29F" w14:textId="1F5A3865"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The </w:t>
      </w:r>
      <w:r w:rsidR="003E365A">
        <w:rPr>
          <w:rFonts w:ascii="Arial" w:hAnsi="Arial" w:cs="Arial"/>
          <w:sz w:val="22"/>
          <w:szCs w:val="22"/>
        </w:rPr>
        <w:t>fear</w:t>
      </w:r>
      <w:r w:rsidRPr="0026421D">
        <w:rPr>
          <w:rFonts w:ascii="Arial" w:hAnsi="Arial" w:cs="Arial"/>
          <w:sz w:val="22"/>
          <w:szCs w:val="22"/>
        </w:rPr>
        <w:t xml:space="preserve"> of developing hypoglycaemia, diabetes distress, anxiety, depression and sleep problems can negatively impact self-management and quality of life (de Wit et al., 2022). Injections, devices and the fear of being treated differently may have an impact on school attendance, friendship and participation in activities for children and youth. Changes that happen when the care responsibility shifts too quickly are an added risk during transition to adult care.</w:t>
      </w:r>
    </w:p>
    <w:p w14:paraId="4A596B18" w14:textId="77777777" w:rsidR="0021591C" w:rsidRPr="0026421D" w:rsidRDefault="0021591C" w:rsidP="0026421D">
      <w:pPr>
        <w:pStyle w:val="Heading2"/>
      </w:pPr>
      <w:bookmarkStart w:id="11" w:name="_Toc236861198"/>
      <w:r w:rsidRPr="0026421D">
        <w:t>4.3 Family and community consequences</w:t>
      </w:r>
      <w:bookmarkEnd w:id="11"/>
    </w:p>
    <w:p w14:paraId="636E4D6F" w14:textId="0E1E4395"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Overnight monitoring, attending appointments and dealing with </w:t>
      </w:r>
      <w:r w:rsidR="007021C5">
        <w:rPr>
          <w:rFonts w:ascii="Arial" w:hAnsi="Arial" w:cs="Arial"/>
          <w:sz w:val="22"/>
          <w:szCs w:val="22"/>
        </w:rPr>
        <w:t>emergencies</w:t>
      </w:r>
      <w:r w:rsidRPr="0026421D">
        <w:rPr>
          <w:rFonts w:ascii="Arial" w:hAnsi="Arial" w:cs="Arial"/>
          <w:sz w:val="22"/>
          <w:szCs w:val="22"/>
        </w:rPr>
        <w:t xml:space="preserve"> can lead to emotional and practical stress for families. Adults also may have problems with shift work, driving, </w:t>
      </w:r>
      <w:r w:rsidR="006A484F" w:rsidRPr="0026421D">
        <w:rPr>
          <w:rFonts w:ascii="Arial" w:hAnsi="Arial" w:cs="Arial"/>
          <w:sz w:val="22"/>
          <w:szCs w:val="22"/>
        </w:rPr>
        <w:t>travelling,</w:t>
      </w:r>
      <w:r w:rsidRPr="0026421D">
        <w:rPr>
          <w:rFonts w:ascii="Arial" w:hAnsi="Arial" w:cs="Arial"/>
          <w:sz w:val="22"/>
          <w:szCs w:val="22"/>
        </w:rPr>
        <w:t xml:space="preserve"> or telling employers. These effects are not uniform, and poverty, unstable jobs, and restricted mobility and access to health information make it more difficult for some to make appointments, access healthful foods, and access technology (Delamater and Marrero, 2020). Therefore, Type 1 diabetes is a clinical problem as well as a community problem that is influenced by social factors.</w:t>
      </w:r>
    </w:p>
    <w:p w14:paraId="71D31024" w14:textId="77777777" w:rsidR="0021591C" w:rsidRPr="0026421D" w:rsidRDefault="0021591C" w:rsidP="0026421D">
      <w:pPr>
        <w:spacing w:line="360" w:lineRule="auto"/>
        <w:jc w:val="left"/>
        <w:rPr>
          <w:rFonts w:ascii="Arial" w:eastAsia="Calibri" w:hAnsi="Arial" w:cs="Arial"/>
          <w:b/>
          <w:color w:val="156082" w:themeColor="accent1"/>
          <w:sz w:val="30"/>
          <w:szCs w:val="22"/>
          <w:lang w:val="en-US" w:eastAsia="en-US" w:bidi="ar-SA"/>
        </w:rPr>
      </w:pPr>
      <w:r w:rsidRPr="0026421D">
        <w:rPr>
          <w:rFonts w:ascii="Arial" w:hAnsi="Arial" w:cs="Arial"/>
        </w:rPr>
        <w:br w:type="page"/>
      </w:r>
    </w:p>
    <w:p w14:paraId="064C243E" w14:textId="10ED11DD" w:rsidR="0021591C" w:rsidRPr="0026421D" w:rsidRDefault="0021591C" w:rsidP="0026421D">
      <w:pPr>
        <w:pStyle w:val="Heading1"/>
      </w:pPr>
      <w:bookmarkStart w:id="12" w:name="_Toc236861199"/>
      <w:r w:rsidRPr="0026421D">
        <w:lastRenderedPageBreak/>
        <w:t>5. Health and Social Care Support Services Required</w:t>
      </w:r>
      <w:bookmarkEnd w:id="12"/>
    </w:p>
    <w:p w14:paraId="32170603" w14:textId="77777777" w:rsidR="0021591C" w:rsidRPr="0026421D" w:rsidRDefault="0021591C" w:rsidP="0026421D">
      <w:pPr>
        <w:pStyle w:val="Heading2"/>
      </w:pPr>
      <w:bookmarkStart w:id="13" w:name="_Toc236861200"/>
      <w:r w:rsidRPr="0026421D">
        <w:t>5.1 Multidisciplinary healthcare</w:t>
      </w:r>
      <w:bookmarkEnd w:id="13"/>
    </w:p>
    <w:p w14:paraId="2E84503E" w14:textId="56E557F3"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Support needs are complex and need a multidisciplinary approach. GPs should be responsible for monitoring global health, prescribing treatment and </w:t>
      </w:r>
      <w:r w:rsidR="006A484F" w:rsidRPr="0026421D">
        <w:rPr>
          <w:rFonts w:ascii="Arial" w:hAnsi="Arial" w:cs="Arial"/>
          <w:sz w:val="22"/>
          <w:szCs w:val="22"/>
        </w:rPr>
        <w:t>referring</w:t>
      </w:r>
      <w:r w:rsidRPr="0026421D">
        <w:rPr>
          <w:rFonts w:ascii="Arial" w:hAnsi="Arial" w:cs="Arial"/>
          <w:sz w:val="22"/>
          <w:szCs w:val="22"/>
        </w:rPr>
        <w:t xml:space="preserve"> to the specialist quickly, and endocrinologists should be responsible for complex control and complications. Insulin adjustment and insulin device use and sick-day management are taught by diabetes specialist nurses while carbohydrate counting is supported by dietitians and safe insulin supply, storage and use are promoted by pharmacists (Holt et al., 2021). Psychological professionals need to conduct screening for distress, anxiety and depression and intervene before a crisis occurs.</w:t>
      </w:r>
    </w:p>
    <w:p w14:paraId="430E5882" w14:textId="77777777" w:rsidR="0021591C" w:rsidRPr="0026421D" w:rsidRDefault="0021591C" w:rsidP="0026421D">
      <w:pPr>
        <w:pStyle w:val="Heading2"/>
      </w:pPr>
      <w:bookmarkStart w:id="14" w:name="_Toc236861201"/>
      <w:r w:rsidRPr="0026421D">
        <w:t>5.2 Preventive and specialist services</w:t>
      </w:r>
      <w:bookmarkEnd w:id="14"/>
    </w:p>
    <w:p w14:paraId="1E9C1A8A" w14:textId="3CF9CC52"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Preventive services involve screening of the retina, monitoring of the kidney, cardiovascular and foot care. These services need to be able to effectively communicate results</w:t>
      </w:r>
      <w:r w:rsidR="006A484F" w:rsidRPr="0026421D">
        <w:rPr>
          <w:rFonts w:ascii="Arial" w:hAnsi="Arial" w:cs="Arial"/>
          <w:sz w:val="22"/>
          <w:szCs w:val="22"/>
        </w:rPr>
        <w:t>,</w:t>
      </w:r>
      <w:r w:rsidRPr="0026421D">
        <w:rPr>
          <w:rFonts w:ascii="Arial" w:hAnsi="Arial" w:cs="Arial"/>
          <w:sz w:val="22"/>
          <w:szCs w:val="22"/>
        </w:rPr>
        <w:t xml:space="preserve"> as screening has little value if abnormal results are not followed by treatment. Planned transition arrangements, the development of care plans and quick access to advice should be available in paediatric and adult </w:t>
      </w:r>
      <w:r w:rsidR="000F2558">
        <w:rPr>
          <w:rFonts w:ascii="Arial" w:hAnsi="Arial" w:cs="Arial"/>
          <w:sz w:val="22"/>
          <w:szCs w:val="22"/>
        </w:rPr>
        <w:t>clinics</w:t>
      </w:r>
      <w:r w:rsidRPr="0026421D">
        <w:rPr>
          <w:rFonts w:ascii="Arial" w:hAnsi="Arial" w:cs="Arial"/>
          <w:sz w:val="22"/>
          <w:szCs w:val="22"/>
        </w:rPr>
        <w:t xml:space="preserve"> (Melmed et al., 2024)</w:t>
      </w:r>
      <w:r w:rsidR="00511E24">
        <w:rPr>
          <w:rFonts w:ascii="Arial" w:hAnsi="Arial" w:cs="Arial"/>
          <w:sz w:val="22"/>
          <w:szCs w:val="22"/>
        </w:rPr>
        <w:t>.</w:t>
      </w:r>
      <w:r w:rsidRPr="0026421D">
        <w:rPr>
          <w:rFonts w:ascii="Arial" w:hAnsi="Arial" w:cs="Arial"/>
          <w:sz w:val="22"/>
          <w:szCs w:val="22"/>
        </w:rPr>
        <w:t xml:space="preserve"> </w:t>
      </w:r>
      <w:r w:rsidR="00511E24" w:rsidRPr="00511E24">
        <w:rPr>
          <w:rFonts w:ascii="Arial" w:hAnsi="Arial" w:cs="Arial"/>
          <w:sz w:val="22"/>
          <w:szCs w:val="22"/>
        </w:rPr>
        <w:t>The emergency professional needs to understand that vomiting, abdominal pain and rapid breathing could be a sign of diabetic ketoacidosis.</w:t>
      </w:r>
    </w:p>
    <w:p w14:paraId="0AB1F08B" w14:textId="77777777" w:rsidR="0021591C" w:rsidRPr="0026421D" w:rsidRDefault="0021591C" w:rsidP="0026421D">
      <w:pPr>
        <w:pStyle w:val="Heading2"/>
      </w:pPr>
      <w:bookmarkStart w:id="15" w:name="_Toc236861202"/>
      <w:r w:rsidRPr="0026421D">
        <w:t>5.3 Community and social care</w:t>
      </w:r>
      <w:bookmarkEnd w:id="15"/>
    </w:p>
    <w:p w14:paraId="1B49D85E" w14:textId="347DB0D3" w:rsidR="0021591C" w:rsidRPr="0026421D" w:rsidRDefault="0021591C" w:rsidP="0026421D">
      <w:pPr>
        <w:spacing w:line="360" w:lineRule="auto"/>
        <w:rPr>
          <w:rFonts w:ascii="Arial" w:hAnsi="Arial" w:cs="Arial"/>
          <w:sz w:val="22"/>
          <w:szCs w:val="22"/>
        </w:rPr>
      </w:pPr>
      <w:r w:rsidRPr="0026421D">
        <w:rPr>
          <w:rFonts w:ascii="Arial" w:hAnsi="Arial" w:cs="Arial"/>
          <w:sz w:val="22"/>
          <w:szCs w:val="22"/>
        </w:rPr>
        <w:t xml:space="preserve">Community support should consist of trained school staff, individual health care plans, reasonable workplace modifications, and family education and peer support. Social workers may be able to support with housing, finances or safeguarding when these </w:t>
      </w:r>
      <w:r w:rsidR="0010771B">
        <w:rPr>
          <w:rFonts w:ascii="Arial" w:hAnsi="Arial" w:cs="Arial"/>
          <w:sz w:val="22"/>
          <w:szCs w:val="22"/>
        </w:rPr>
        <w:t>hurt</w:t>
      </w:r>
      <w:r w:rsidRPr="0026421D">
        <w:rPr>
          <w:rFonts w:ascii="Arial" w:hAnsi="Arial" w:cs="Arial"/>
          <w:sz w:val="22"/>
          <w:szCs w:val="22"/>
        </w:rPr>
        <w:t xml:space="preserve"> care, and voluntary organisations can help to alleviate isolation and enhance practical knowledge (Delamater and Marrero, 2020). Support </w:t>
      </w:r>
      <w:r w:rsidR="006A484F" w:rsidRPr="0026421D">
        <w:rPr>
          <w:rFonts w:ascii="Arial" w:hAnsi="Arial" w:cs="Arial"/>
          <w:sz w:val="22"/>
          <w:szCs w:val="22"/>
        </w:rPr>
        <w:t>should</w:t>
      </w:r>
      <w:r w:rsidRPr="0026421D">
        <w:rPr>
          <w:rFonts w:ascii="Arial" w:hAnsi="Arial" w:cs="Arial"/>
          <w:sz w:val="22"/>
          <w:szCs w:val="22"/>
        </w:rPr>
        <w:t xml:space="preserve"> be person-centred, culturally responsive and delivered via face-to-face and digital methods. </w:t>
      </w:r>
      <w:r w:rsidR="00970D89" w:rsidRPr="00970D89">
        <w:rPr>
          <w:rFonts w:ascii="Arial" w:hAnsi="Arial" w:cs="Arial"/>
          <w:sz w:val="22"/>
          <w:szCs w:val="22"/>
        </w:rPr>
        <w:t xml:space="preserve">One central problem is the fragmented provision, as sometimes the individual </w:t>
      </w:r>
      <w:proofErr w:type="gramStart"/>
      <w:r w:rsidR="00970D89" w:rsidRPr="00970D89">
        <w:rPr>
          <w:rFonts w:ascii="Arial" w:hAnsi="Arial" w:cs="Arial"/>
          <w:sz w:val="22"/>
          <w:szCs w:val="22"/>
        </w:rPr>
        <w:t>has to</w:t>
      </w:r>
      <w:proofErr w:type="gramEnd"/>
      <w:r w:rsidR="00970D89" w:rsidRPr="00970D89">
        <w:rPr>
          <w:rFonts w:ascii="Arial" w:hAnsi="Arial" w:cs="Arial"/>
          <w:sz w:val="22"/>
          <w:szCs w:val="22"/>
        </w:rPr>
        <w:t xml:space="preserve"> coordinate their own clinical, psychological and social care.</w:t>
      </w:r>
    </w:p>
    <w:p w14:paraId="4CE181C3" w14:textId="77777777" w:rsidR="0021591C" w:rsidRPr="0026421D" w:rsidRDefault="0021591C" w:rsidP="0026421D">
      <w:pPr>
        <w:spacing w:line="360" w:lineRule="auto"/>
        <w:jc w:val="left"/>
        <w:rPr>
          <w:rFonts w:ascii="Arial" w:eastAsia="Calibri" w:hAnsi="Arial" w:cs="Arial"/>
          <w:b/>
          <w:color w:val="156082" w:themeColor="accent1"/>
          <w:sz w:val="30"/>
          <w:szCs w:val="22"/>
          <w:lang w:val="en-US" w:eastAsia="en-US" w:bidi="ar-SA"/>
        </w:rPr>
      </w:pPr>
      <w:r w:rsidRPr="0026421D">
        <w:rPr>
          <w:rFonts w:ascii="Arial" w:hAnsi="Arial" w:cs="Arial"/>
        </w:rPr>
        <w:br w:type="page"/>
      </w:r>
    </w:p>
    <w:p w14:paraId="0900D0DB" w14:textId="491F3282" w:rsidR="0021591C" w:rsidRPr="0026421D" w:rsidRDefault="0021591C" w:rsidP="0026421D">
      <w:pPr>
        <w:pStyle w:val="Heading1"/>
      </w:pPr>
      <w:bookmarkStart w:id="16" w:name="_Toc236861203"/>
      <w:r w:rsidRPr="0026421D">
        <w:lastRenderedPageBreak/>
        <w:t>6. Conclusion</w:t>
      </w:r>
      <w:bookmarkEnd w:id="16"/>
    </w:p>
    <w:p w14:paraId="18673120" w14:textId="4CF3BA49" w:rsidR="005F2DA8" w:rsidRPr="00970D89" w:rsidRDefault="00970D89" w:rsidP="0026421D">
      <w:pPr>
        <w:spacing w:line="360" w:lineRule="auto"/>
        <w:rPr>
          <w:rFonts w:ascii="Arial" w:hAnsi="Arial" w:cs="Arial"/>
          <w:sz w:val="22"/>
          <w:szCs w:val="22"/>
        </w:rPr>
      </w:pPr>
      <w:r w:rsidRPr="00970D89">
        <w:rPr>
          <w:rStyle w:val="NORMALChar"/>
          <w:rFonts w:ascii="Arial" w:hAnsi="Arial" w:cs="Arial"/>
          <w:sz w:val="22"/>
          <w:szCs w:val="22"/>
        </w:rPr>
        <w:t xml:space="preserve">The burden of type 1 diabetes is measured using incidence, prevalence, hospital admission, complications and patient outcomes, and is a long-term public-health issue. Insulin therapy, glucose monitoring, education, and preventive screening and timely specialist review are part of the key features of effective control. But psychological health is also a factor, as are family ability and social inequities. Acute emergencies and chronic conditions impact on independence, education, work and health service </w:t>
      </w:r>
      <w:r w:rsidR="000F2558">
        <w:rPr>
          <w:rStyle w:val="NORMALChar"/>
          <w:rFonts w:ascii="Arial" w:hAnsi="Arial" w:cs="Arial"/>
          <w:sz w:val="22"/>
          <w:szCs w:val="22"/>
        </w:rPr>
        <w:t>utilisation</w:t>
      </w:r>
      <w:r w:rsidRPr="00970D89">
        <w:rPr>
          <w:rStyle w:val="NORMALChar"/>
          <w:rFonts w:ascii="Arial" w:hAnsi="Arial" w:cs="Arial"/>
          <w:sz w:val="22"/>
          <w:szCs w:val="22"/>
        </w:rPr>
        <w:t>. All these, working in a coordinated manner, should be provided from primary care, diabetes services, nurses, dietitians, pharmacists, psychologists, schools and social services. The results of surveillance need to become equitable access to insulin, technology and education, and improvements in community care that are much more practical.</w:t>
      </w:r>
    </w:p>
    <w:p w14:paraId="40CC3DF3" w14:textId="77777777" w:rsidR="005F2DA8" w:rsidRPr="0026421D" w:rsidRDefault="005F2DA8" w:rsidP="0026421D">
      <w:pPr>
        <w:spacing w:line="360" w:lineRule="auto"/>
        <w:jc w:val="left"/>
        <w:rPr>
          <w:rFonts w:ascii="Arial" w:hAnsi="Arial" w:cs="Arial"/>
          <w:b/>
          <w:bCs/>
          <w:sz w:val="22"/>
          <w:szCs w:val="22"/>
        </w:rPr>
      </w:pPr>
      <w:r w:rsidRPr="0026421D">
        <w:rPr>
          <w:rFonts w:ascii="Arial" w:hAnsi="Arial" w:cs="Arial"/>
          <w:b/>
          <w:bCs/>
          <w:sz w:val="22"/>
          <w:szCs w:val="22"/>
        </w:rPr>
        <w:br w:type="page"/>
      </w:r>
    </w:p>
    <w:p w14:paraId="587BFE5E" w14:textId="59342715" w:rsidR="005F2DA8" w:rsidRPr="0026421D" w:rsidRDefault="005F2DA8" w:rsidP="0026421D">
      <w:pPr>
        <w:pStyle w:val="Heading1"/>
        <w:rPr>
          <w:lang w:val="en-GB"/>
        </w:rPr>
      </w:pPr>
      <w:bookmarkStart w:id="17" w:name="_Toc236861204"/>
      <w:r w:rsidRPr="0026421D">
        <w:rPr>
          <w:lang w:val="en-GB"/>
        </w:rPr>
        <w:lastRenderedPageBreak/>
        <w:t>References</w:t>
      </w:r>
      <w:bookmarkEnd w:id="17"/>
    </w:p>
    <w:p w14:paraId="67C6CEF4"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Bilous, R., Donnelly, R. and Idris, I. (2021) </w:t>
      </w:r>
      <w:r w:rsidRPr="0026421D">
        <w:rPr>
          <w:rFonts w:ascii="Arial" w:hAnsi="Arial" w:cs="Arial"/>
          <w:i/>
          <w:iCs/>
          <w:sz w:val="22"/>
          <w:szCs w:val="22"/>
        </w:rPr>
        <w:t>Handbook of Diabetes</w:t>
      </w:r>
      <w:r w:rsidRPr="0026421D">
        <w:rPr>
          <w:rFonts w:ascii="Arial" w:hAnsi="Arial" w:cs="Arial"/>
          <w:sz w:val="22"/>
          <w:szCs w:val="22"/>
        </w:rPr>
        <w:t xml:space="preserve">. 5th </w:t>
      </w:r>
      <w:proofErr w:type="spellStart"/>
      <w:r w:rsidRPr="0026421D">
        <w:rPr>
          <w:rFonts w:ascii="Arial" w:hAnsi="Arial" w:cs="Arial"/>
          <w:sz w:val="22"/>
          <w:szCs w:val="22"/>
        </w:rPr>
        <w:t>edn</w:t>
      </w:r>
      <w:proofErr w:type="spellEnd"/>
      <w:r w:rsidRPr="0026421D">
        <w:rPr>
          <w:rFonts w:ascii="Arial" w:hAnsi="Arial" w:cs="Arial"/>
          <w:sz w:val="22"/>
          <w:szCs w:val="22"/>
        </w:rPr>
        <w:t xml:space="preserve">. Chichester: Wiley-Blackwell. </w:t>
      </w:r>
      <w:proofErr w:type="spellStart"/>
      <w:r w:rsidRPr="0026421D">
        <w:rPr>
          <w:rFonts w:ascii="Arial" w:hAnsi="Arial" w:cs="Arial"/>
          <w:sz w:val="22"/>
          <w:szCs w:val="22"/>
        </w:rPr>
        <w:t>doi</w:t>
      </w:r>
      <w:proofErr w:type="spellEnd"/>
      <w:r w:rsidRPr="0026421D">
        <w:rPr>
          <w:rFonts w:ascii="Arial" w:hAnsi="Arial" w:cs="Arial"/>
          <w:sz w:val="22"/>
          <w:szCs w:val="22"/>
        </w:rPr>
        <w:t>: 10.1002/9781118976074.</w:t>
      </w:r>
    </w:p>
    <w:p w14:paraId="50FE445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de Wit, M., Gajewska, K.A., Goethals, E.R. et al. (2022) ‘ISPAD Clinical Practice Consensus Guidelines 2022: Psychological care of children, adolescents and young adults with diabetes’, </w:t>
      </w:r>
      <w:proofErr w:type="spellStart"/>
      <w:r w:rsidRPr="0026421D">
        <w:rPr>
          <w:rFonts w:ascii="Arial" w:hAnsi="Arial" w:cs="Arial"/>
          <w:i/>
          <w:iCs/>
          <w:sz w:val="22"/>
          <w:szCs w:val="22"/>
        </w:rPr>
        <w:t>Pediatric</w:t>
      </w:r>
      <w:proofErr w:type="spellEnd"/>
      <w:r w:rsidRPr="0026421D">
        <w:rPr>
          <w:rFonts w:ascii="Arial" w:hAnsi="Arial" w:cs="Arial"/>
          <w:i/>
          <w:iCs/>
          <w:sz w:val="22"/>
          <w:szCs w:val="22"/>
        </w:rPr>
        <w:t xml:space="preserve"> Diabetes</w:t>
      </w:r>
      <w:r w:rsidRPr="0026421D">
        <w:rPr>
          <w:rFonts w:ascii="Arial" w:hAnsi="Arial" w:cs="Arial"/>
          <w:sz w:val="22"/>
          <w:szCs w:val="22"/>
        </w:rPr>
        <w:t xml:space="preserve">, 23(8), pp. 1373–1389. </w:t>
      </w:r>
      <w:proofErr w:type="spellStart"/>
      <w:r w:rsidRPr="0026421D">
        <w:rPr>
          <w:rFonts w:ascii="Arial" w:hAnsi="Arial" w:cs="Arial"/>
          <w:sz w:val="22"/>
          <w:szCs w:val="22"/>
        </w:rPr>
        <w:t>doi</w:t>
      </w:r>
      <w:proofErr w:type="spellEnd"/>
      <w:r w:rsidRPr="0026421D">
        <w:rPr>
          <w:rFonts w:ascii="Arial" w:hAnsi="Arial" w:cs="Arial"/>
          <w:sz w:val="22"/>
          <w:szCs w:val="22"/>
        </w:rPr>
        <w:t>: 10.1111/pedi.13428.</w:t>
      </w:r>
    </w:p>
    <w:p w14:paraId="45919D9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Delamater, A.M. and Marrero, D.G. (eds.) (2020) </w:t>
      </w:r>
      <w:proofErr w:type="spellStart"/>
      <w:r w:rsidRPr="0026421D">
        <w:rPr>
          <w:rFonts w:ascii="Arial" w:hAnsi="Arial" w:cs="Arial"/>
          <w:i/>
          <w:iCs/>
          <w:sz w:val="22"/>
          <w:szCs w:val="22"/>
        </w:rPr>
        <w:t>Behavioral</w:t>
      </w:r>
      <w:proofErr w:type="spellEnd"/>
      <w:r w:rsidRPr="0026421D">
        <w:rPr>
          <w:rFonts w:ascii="Arial" w:hAnsi="Arial" w:cs="Arial"/>
          <w:i/>
          <w:iCs/>
          <w:sz w:val="22"/>
          <w:szCs w:val="22"/>
        </w:rPr>
        <w:t xml:space="preserve"> Diabetes: Social Ecological Perspectives for </w:t>
      </w:r>
      <w:proofErr w:type="spellStart"/>
      <w:r w:rsidRPr="0026421D">
        <w:rPr>
          <w:rFonts w:ascii="Arial" w:hAnsi="Arial" w:cs="Arial"/>
          <w:i/>
          <w:iCs/>
          <w:sz w:val="22"/>
          <w:szCs w:val="22"/>
        </w:rPr>
        <w:t>Pediatric</w:t>
      </w:r>
      <w:proofErr w:type="spellEnd"/>
      <w:r w:rsidRPr="0026421D">
        <w:rPr>
          <w:rFonts w:ascii="Arial" w:hAnsi="Arial" w:cs="Arial"/>
          <w:i/>
          <w:iCs/>
          <w:sz w:val="22"/>
          <w:szCs w:val="22"/>
        </w:rPr>
        <w:t xml:space="preserve"> and Adult Populations</w:t>
      </w:r>
      <w:r w:rsidRPr="0026421D">
        <w:rPr>
          <w:rFonts w:ascii="Arial" w:hAnsi="Arial" w:cs="Arial"/>
          <w:sz w:val="22"/>
          <w:szCs w:val="22"/>
        </w:rPr>
        <w:t xml:space="preserve">. Cham: Springer. </w:t>
      </w:r>
      <w:proofErr w:type="spellStart"/>
      <w:r w:rsidRPr="0026421D">
        <w:rPr>
          <w:rFonts w:ascii="Arial" w:hAnsi="Arial" w:cs="Arial"/>
          <w:sz w:val="22"/>
          <w:szCs w:val="22"/>
        </w:rPr>
        <w:t>doi</w:t>
      </w:r>
      <w:proofErr w:type="spellEnd"/>
      <w:r w:rsidRPr="0026421D">
        <w:rPr>
          <w:rFonts w:ascii="Arial" w:hAnsi="Arial" w:cs="Arial"/>
          <w:sz w:val="22"/>
          <w:szCs w:val="22"/>
        </w:rPr>
        <w:t>: 10.1007/978-3-030-33286-0.</w:t>
      </w:r>
    </w:p>
    <w:p w14:paraId="7E589D92"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Diabetes UK (2023) ‘Number of people living with diabetes in the UK tops 5 million for the first time’. Diabetes UK, 13 April. Accessed: 5 August 2026.</w:t>
      </w:r>
    </w:p>
    <w:p w14:paraId="28A1EED0"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DiMeglio, L.A., Evans-Molina, C. and Oram, R.A. (2018) ‘Type 1 diabetes’, </w:t>
      </w:r>
      <w:r w:rsidRPr="0026421D">
        <w:rPr>
          <w:rFonts w:ascii="Arial" w:hAnsi="Arial" w:cs="Arial"/>
          <w:i/>
          <w:iCs/>
          <w:sz w:val="22"/>
          <w:szCs w:val="22"/>
        </w:rPr>
        <w:t>The Lancet</w:t>
      </w:r>
      <w:r w:rsidRPr="0026421D">
        <w:rPr>
          <w:rFonts w:ascii="Arial" w:hAnsi="Arial" w:cs="Arial"/>
          <w:sz w:val="22"/>
          <w:szCs w:val="22"/>
        </w:rPr>
        <w:t xml:space="preserve">, 391(10138), pp. 2449–2462. </w:t>
      </w:r>
      <w:proofErr w:type="spellStart"/>
      <w:r w:rsidRPr="0026421D">
        <w:rPr>
          <w:rFonts w:ascii="Arial" w:hAnsi="Arial" w:cs="Arial"/>
          <w:sz w:val="22"/>
          <w:szCs w:val="22"/>
        </w:rPr>
        <w:t>doi</w:t>
      </w:r>
      <w:proofErr w:type="spellEnd"/>
      <w:r w:rsidRPr="0026421D">
        <w:rPr>
          <w:rFonts w:ascii="Arial" w:hAnsi="Arial" w:cs="Arial"/>
          <w:sz w:val="22"/>
          <w:szCs w:val="22"/>
        </w:rPr>
        <w:t>: 10.1016/S0140-6736(18)31320-5.</w:t>
      </w:r>
    </w:p>
    <w:p w14:paraId="6753764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Gregory, G.A., Robinson, T.I.G., Linklater, S.E. et al. (2022) ‘Global incidence, prevalence, and mortality of type 1 diabetes in 2021 with projection to 2040: a modelling study’, </w:t>
      </w:r>
      <w:r w:rsidRPr="0026421D">
        <w:rPr>
          <w:rFonts w:ascii="Arial" w:hAnsi="Arial" w:cs="Arial"/>
          <w:i/>
          <w:iCs/>
          <w:sz w:val="22"/>
          <w:szCs w:val="22"/>
        </w:rPr>
        <w:t>The Lancet Diabetes &amp; Endocrinology</w:t>
      </w:r>
      <w:r w:rsidRPr="0026421D">
        <w:rPr>
          <w:rFonts w:ascii="Arial" w:hAnsi="Arial" w:cs="Arial"/>
          <w:sz w:val="22"/>
          <w:szCs w:val="22"/>
        </w:rPr>
        <w:t xml:space="preserve">, 10(10), pp. 741–760. </w:t>
      </w:r>
      <w:proofErr w:type="spellStart"/>
      <w:r w:rsidRPr="0026421D">
        <w:rPr>
          <w:rFonts w:ascii="Arial" w:hAnsi="Arial" w:cs="Arial"/>
          <w:sz w:val="22"/>
          <w:szCs w:val="22"/>
        </w:rPr>
        <w:t>doi</w:t>
      </w:r>
      <w:proofErr w:type="spellEnd"/>
      <w:r w:rsidRPr="0026421D">
        <w:rPr>
          <w:rFonts w:ascii="Arial" w:hAnsi="Arial" w:cs="Arial"/>
          <w:sz w:val="22"/>
          <w:szCs w:val="22"/>
        </w:rPr>
        <w:t>: 10.1016/S2213-8587(22)00218-2.</w:t>
      </w:r>
    </w:p>
    <w:p w14:paraId="07EE78E3"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Hanas, R. (2019) </w:t>
      </w:r>
      <w:r w:rsidRPr="0026421D">
        <w:rPr>
          <w:rFonts w:ascii="Arial" w:hAnsi="Arial" w:cs="Arial"/>
          <w:i/>
          <w:iCs/>
          <w:sz w:val="22"/>
          <w:szCs w:val="22"/>
        </w:rPr>
        <w:t>Type 1 Diabetes in Children, Adolescents and Young Adults: How to Become an Expert on Your Own Diabetes</w:t>
      </w:r>
      <w:r w:rsidRPr="0026421D">
        <w:rPr>
          <w:rFonts w:ascii="Arial" w:hAnsi="Arial" w:cs="Arial"/>
          <w:sz w:val="22"/>
          <w:szCs w:val="22"/>
        </w:rPr>
        <w:t xml:space="preserve">. 7th </w:t>
      </w:r>
      <w:proofErr w:type="spellStart"/>
      <w:r w:rsidRPr="0026421D">
        <w:rPr>
          <w:rFonts w:ascii="Arial" w:hAnsi="Arial" w:cs="Arial"/>
          <w:sz w:val="22"/>
          <w:szCs w:val="22"/>
        </w:rPr>
        <w:t>edn</w:t>
      </w:r>
      <w:proofErr w:type="spellEnd"/>
      <w:r w:rsidRPr="0026421D">
        <w:rPr>
          <w:rFonts w:ascii="Arial" w:hAnsi="Arial" w:cs="Arial"/>
          <w:sz w:val="22"/>
          <w:szCs w:val="22"/>
        </w:rPr>
        <w:t>. Bridgwater: Class Publishing.</w:t>
      </w:r>
    </w:p>
    <w:p w14:paraId="62A05B2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Holman, N., Knighton, P., Wild, S.H. et al. (2021) ‘Cohort profile: National Diabetes Audit for England and Wales’, </w:t>
      </w:r>
      <w:r w:rsidRPr="0026421D">
        <w:rPr>
          <w:rFonts w:ascii="Arial" w:hAnsi="Arial" w:cs="Arial"/>
          <w:i/>
          <w:iCs/>
          <w:sz w:val="22"/>
          <w:szCs w:val="22"/>
        </w:rPr>
        <w:t>Diabetic Medicine</w:t>
      </w:r>
      <w:r w:rsidRPr="0026421D">
        <w:rPr>
          <w:rFonts w:ascii="Arial" w:hAnsi="Arial" w:cs="Arial"/>
          <w:sz w:val="22"/>
          <w:szCs w:val="22"/>
        </w:rPr>
        <w:t xml:space="preserve">, 38(9), article e14616. </w:t>
      </w:r>
      <w:proofErr w:type="spellStart"/>
      <w:r w:rsidRPr="0026421D">
        <w:rPr>
          <w:rFonts w:ascii="Arial" w:hAnsi="Arial" w:cs="Arial"/>
          <w:sz w:val="22"/>
          <w:szCs w:val="22"/>
        </w:rPr>
        <w:t>doi</w:t>
      </w:r>
      <w:proofErr w:type="spellEnd"/>
      <w:r w:rsidRPr="0026421D">
        <w:rPr>
          <w:rFonts w:ascii="Arial" w:hAnsi="Arial" w:cs="Arial"/>
          <w:sz w:val="22"/>
          <w:szCs w:val="22"/>
        </w:rPr>
        <w:t>: 10.1111/dme.14616.</w:t>
      </w:r>
    </w:p>
    <w:p w14:paraId="3CD6CED3"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Holt, R.I.G., DeVries, J.H., Hess-Fischl, A. et al. (2021) ‘The management of type 1 diabetes in adults: a consensus report by the American Diabetes Association and the European Association for the Study of Diabetes’, </w:t>
      </w:r>
      <w:proofErr w:type="spellStart"/>
      <w:r w:rsidRPr="0026421D">
        <w:rPr>
          <w:rFonts w:ascii="Arial" w:hAnsi="Arial" w:cs="Arial"/>
          <w:i/>
          <w:iCs/>
          <w:sz w:val="22"/>
          <w:szCs w:val="22"/>
        </w:rPr>
        <w:t>Diabetologia</w:t>
      </w:r>
      <w:proofErr w:type="spellEnd"/>
      <w:r w:rsidRPr="0026421D">
        <w:rPr>
          <w:rFonts w:ascii="Arial" w:hAnsi="Arial" w:cs="Arial"/>
          <w:sz w:val="22"/>
          <w:szCs w:val="22"/>
        </w:rPr>
        <w:t xml:space="preserve">, 64, pp. 2609–2652. </w:t>
      </w:r>
      <w:proofErr w:type="spellStart"/>
      <w:r w:rsidRPr="0026421D">
        <w:rPr>
          <w:rFonts w:ascii="Arial" w:hAnsi="Arial" w:cs="Arial"/>
          <w:sz w:val="22"/>
          <w:szCs w:val="22"/>
        </w:rPr>
        <w:t>doi</w:t>
      </w:r>
      <w:proofErr w:type="spellEnd"/>
      <w:r w:rsidRPr="0026421D">
        <w:rPr>
          <w:rFonts w:ascii="Arial" w:hAnsi="Arial" w:cs="Arial"/>
          <w:sz w:val="22"/>
          <w:szCs w:val="22"/>
        </w:rPr>
        <w:t>: 10.1007/s00125-021-05568-3.</w:t>
      </w:r>
    </w:p>
    <w:p w14:paraId="17C949B3"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Melmed, S., </w:t>
      </w:r>
      <w:proofErr w:type="spellStart"/>
      <w:r w:rsidRPr="0026421D">
        <w:rPr>
          <w:rFonts w:ascii="Arial" w:hAnsi="Arial" w:cs="Arial"/>
          <w:sz w:val="22"/>
          <w:szCs w:val="22"/>
        </w:rPr>
        <w:t>Auchus</w:t>
      </w:r>
      <w:proofErr w:type="spellEnd"/>
      <w:r w:rsidRPr="0026421D">
        <w:rPr>
          <w:rFonts w:ascii="Arial" w:hAnsi="Arial" w:cs="Arial"/>
          <w:sz w:val="22"/>
          <w:szCs w:val="22"/>
        </w:rPr>
        <w:t xml:space="preserve">, R.J., Goldfine, A.B., Rosen, C.J. and Kopp, P.A. (eds.) (2024) </w:t>
      </w:r>
      <w:r w:rsidRPr="0026421D">
        <w:rPr>
          <w:rFonts w:ascii="Arial" w:hAnsi="Arial" w:cs="Arial"/>
          <w:i/>
          <w:iCs/>
          <w:sz w:val="22"/>
          <w:szCs w:val="22"/>
        </w:rPr>
        <w:t>Williams Textbook of Endocrinology</w:t>
      </w:r>
      <w:r w:rsidRPr="0026421D">
        <w:rPr>
          <w:rFonts w:ascii="Arial" w:hAnsi="Arial" w:cs="Arial"/>
          <w:sz w:val="22"/>
          <w:szCs w:val="22"/>
        </w:rPr>
        <w:t xml:space="preserve">. 15th </w:t>
      </w:r>
      <w:proofErr w:type="spellStart"/>
      <w:r w:rsidRPr="0026421D">
        <w:rPr>
          <w:rFonts w:ascii="Arial" w:hAnsi="Arial" w:cs="Arial"/>
          <w:sz w:val="22"/>
          <w:szCs w:val="22"/>
        </w:rPr>
        <w:t>edn</w:t>
      </w:r>
      <w:proofErr w:type="spellEnd"/>
      <w:r w:rsidRPr="0026421D">
        <w:rPr>
          <w:rFonts w:ascii="Arial" w:hAnsi="Arial" w:cs="Arial"/>
          <w:sz w:val="22"/>
          <w:szCs w:val="22"/>
        </w:rPr>
        <w:t>. Philadelphia: Elsevier.</w:t>
      </w:r>
    </w:p>
    <w:p w14:paraId="201D11B9"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NHS (2024) ‘Type 1 diabetes’. NHS. Accessed: 5 August 2026.</w:t>
      </w:r>
    </w:p>
    <w:p w14:paraId="163DBACE" w14:textId="77777777" w:rsidR="005F2DA8" w:rsidRPr="0026421D" w:rsidRDefault="005F2DA8" w:rsidP="0026421D">
      <w:pPr>
        <w:spacing w:line="360" w:lineRule="auto"/>
        <w:rPr>
          <w:rFonts w:ascii="Arial" w:hAnsi="Arial" w:cs="Arial"/>
          <w:sz w:val="22"/>
          <w:szCs w:val="22"/>
        </w:rPr>
      </w:pPr>
      <w:r w:rsidRPr="0026421D">
        <w:rPr>
          <w:rFonts w:ascii="Arial" w:hAnsi="Arial" w:cs="Arial"/>
          <w:sz w:val="22"/>
          <w:szCs w:val="22"/>
        </w:rPr>
        <w:t xml:space="preserve">Sperling, M.A. (ed.) (2020) </w:t>
      </w:r>
      <w:r w:rsidRPr="0026421D">
        <w:rPr>
          <w:rFonts w:ascii="Arial" w:hAnsi="Arial" w:cs="Arial"/>
          <w:i/>
          <w:iCs/>
          <w:sz w:val="22"/>
          <w:szCs w:val="22"/>
        </w:rPr>
        <w:t xml:space="preserve">Sperling </w:t>
      </w:r>
      <w:proofErr w:type="spellStart"/>
      <w:r w:rsidRPr="0026421D">
        <w:rPr>
          <w:rFonts w:ascii="Arial" w:hAnsi="Arial" w:cs="Arial"/>
          <w:i/>
          <w:iCs/>
          <w:sz w:val="22"/>
          <w:szCs w:val="22"/>
        </w:rPr>
        <w:t>Pediatric</w:t>
      </w:r>
      <w:proofErr w:type="spellEnd"/>
      <w:r w:rsidRPr="0026421D">
        <w:rPr>
          <w:rFonts w:ascii="Arial" w:hAnsi="Arial" w:cs="Arial"/>
          <w:i/>
          <w:iCs/>
          <w:sz w:val="22"/>
          <w:szCs w:val="22"/>
        </w:rPr>
        <w:t xml:space="preserve"> Endocrinology</w:t>
      </w:r>
      <w:r w:rsidRPr="0026421D">
        <w:rPr>
          <w:rFonts w:ascii="Arial" w:hAnsi="Arial" w:cs="Arial"/>
          <w:sz w:val="22"/>
          <w:szCs w:val="22"/>
        </w:rPr>
        <w:t xml:space="preserve">. 5th </w:t>
      </w:r>
      <w:proofErr w:type="spellStart"/>
      <w:r w:rsidRPr="0026421D">
        <w:rPr>
          <w:rFonts w:ascii="Arial" w:hAnsi="Arial" w:cs="Arial"/>
          <w:sz w:val="22"/>
          <w:szCs w:val="22"/>
        </w:rPr>
        <w:t>edn</w:t>
      </w:r>
      <w:proofErr w:type="spellEnd"/>
      <w:r w:rsidRPr="0026421D">
        <w:rPr>
          <w:rFonts w:ascii="Arial" w:hAnsi="Arial" w:cs="Arial"/>
          <w:sz w:val="22"/>
          <w:szCs w:val="22"/>
        </w:rPr>
        <w:t>. Philadelphia: Elsevier.</w:t>
      </w:r>
    </w:p>
    <w:sectPr w:rsidR="005F2DA8" w:rsidRPr="0026421D" w:rsidSect="00C2459E">
      <w:footerReference w:type="default" r:id="rId8"/>
      <w:footerReference w:type="first" r:id="rId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BC0CE" w14:textId="77777777" w:rsidR="000936B5" w:rsidRDefault="000936B5" w:rsidP="005F1F84">
      <w:pPr>
        <w:spacing w:after="0" w:line="240" w:lineRule="auto"/>
      </w:pPr>
      <w:r>
        <w:separator/>
      </w:r>
    </w:p>
  </w:endnote>
  <w:endnote w:type="continuationSeparator" w:id="0">
    <w:p w14:paraId="075ABA12" w14:textId="77777777" w:rsidR="000936B5" w:rsidRDefault="000936B5" w:rsidP="005F1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764154"/>
      <w:docPartObj>
        <w:docPartGallery w:val="Page Numbers (Bottom of Page)"/>
        <w:docPartUnique/>
      </w:docPartObj>
    </w:sdtPr>
    <w:sdtEndPr>
      <w:rPr>
        <w:noProof/>
      </w:rPr>
    </w:sdtEndPr>
    <w:sdtContent>
      <w:p w14:paraId="23F74E2A" w14:textId="1AEEBC76" w:rsidR="00C2459E" w:rsidRDefault="00C24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2D3FAE" w14:textId="77777777" w:rsidR="005B23D9" w:rsidRDefault="005B2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11602" w14:textId="5E6A54A6" w:rsidR="001C43C5" w:rsidRDefault="001C43C5" w:rsidP="005B23D9">
    <w:pPr>
      <w:pStyle w:val="Footer"/>
    </w:pPr>
  </w:p>
  <w:p w14:paraId="70D46C86" w14:textId="77777777" w:rsidR="001C43C5" w:rsidRDefault="001C4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B0F4C" w14:textId="77777777" w:rsidR="000936B5" w:rsidRDefault="000936B5" w:rsidP="005F1F84">
      <w:pPr>
        <w:spacing w:after="0" w:line="240" w:lineRule="auto"/>
      </w:pPr>
      <w:r>
        <w:separator/>
      </w:r>
    </w:p>
  </w:footnote>
  <w:footnote w:type="continuationSeparator" w:id="0">
    <w:p w14:paraId="54239E3A" w14:textId="77777777" w:rsidR="000936B5" w:rsidRDefault="000936B5" w:rsidP="005F1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54"/>
    <w:multiLevelType w:val="multilevel"/>
    <w:tmpl w:val="DD8A7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440C2"/>
    <w:multiLevelType w:val="multilevel"/>
    <w:tmpl w:val="2956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278D9"/>
    <w:multiLevelType w:val="multilevel"/>
    <w:tmpl w:val="E0C4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47746"/>
    <w:multiLevelType w:val="multilevel"/>
    <w:tmpl w:val="1932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A5B39"/>
    <w:multiLevelType w:val="multilevel"/>
    <w:tmpl w:val="CE18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B34C1"/>
    <w:multiLevelType w:val="multilevel"/>
    <w:tmpl w:val="07AE1BE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3F82724"/>
    <w:multiLevelType w:val="multilevel"/>
    <w:tmpl w:val="8286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93B"/>
    <w:multiLevelType w:val="multilevel"/>
    <w:tmpl w:val="3BC0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76A00"/>
    <w:multiLevelType w:val="multilevel"/>
    <w:tmpl w:val="874CE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872EA8"/>
    <w:multiLevelType w:val="multilevel"/>
    <w:tmpl w:val="587C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E2C7E"/>
    <w:multiLevelType w:val="multilevel"/>
    <w:tmpl w:val="128A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0F7CFA"/>
    <w:multiLevelType w:val="multilevel"/>
    <w:tmpl w:val="A6EA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B6DDC"/>
    <w:multiLevelType w:val="multilevel"/>
    <w:tmpl w:val="B2F2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5C224E"/>
    <w:multiLevelType w:val="multilevel"/>
    <w:tmpl w:val="9F285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7446AE"/>
    <w:multiLevelType w:val="multilevel"/>
    <w:tmpl w:val="9056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056B0"/>
    <w:multiLevelType w:val="multilevel"/>
    <w:tmpl w:val="DEA8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C7A2B"/>
    <w:multiLevelType w:val="multilevel"/>
    <w:tmpl w:val="46D856AE"/>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01B1CD2"/>
    <w:multiLevelType w:val="multilevel"/>
    <w:tmpl w:val="ADC0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946A8A"/>
    <w:multiLevelType w:val="multilevel"/>
    <w:tmpl w:val="E5EC40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E3A03"/>
    <w:multiLevelType w:val="multilevel"/>
    <w:tmpl w:val="A008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5F1E0D"/>
    <w:multiLevelType w:val="hybridMultilevel"/>
    <w:tmpl w:val="88602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9E30B6"/>
    <w:multiLevelType w:val="hybridMultilevel"/>
    <w:tmpl w:val="DEA05158"/>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5AD7080"/>
    <w:multiLevelType w:val="multilevel"/>
    <w:tmpl w:val="767A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3A7E4B"/>
    <w:multiLevelType w:val="multilevel"/>
    <w:tmpl w:val="A61E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30738"/>
    <w:multiLevelType w:val="multilevel"/>
    <w:tmpl w:val="1B96C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F07D3C"/>
    <w:multiLevelType w:val="multilevel"/>
    <w:tmpl w:val="50CAAEB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7767D0"/>
    <w:multiLevelType w:val="multilevel"/>
    <w:tmpl w:val="AE8A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A963C5"/>
    <w:multiLevelType w:val="multilevel"/>
    <w:tmpl w:val="AEF6B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E01947"/>
    <w:multiLevelType w:val="multilevel"/>
    <w:tmpl w:val="D5F22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F51A01"/>
    <w:multiLevelType w:val="multilevel"/>
    <w:tmpl w:val="9D28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60E1C"/>
    <w:multiLevelType w:val="hybridMultilevel"/>
    <w:tmpl w:val="5832F7F4"/>
    <w:lvl w:ilvl="0" w:tplc="EF2851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92C5A18"/>
    <w:multiLevelType w:val="multilevel"/>
    <w:tmpl w:val="259E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785968"/>
    <w:multiLevelType w:val="multilevel"/>
    <w:tmpl w:val="5742E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E2020F"/>
    <w:multiLevelType w:val="multilevel"/>
    <w:tmpl w:val="2EE0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570B0F"/>
    <w:multiLevelType w:val="multilevel"/>
    <w:tmpl w:val="CC06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6579922">
    <w:abstractNumId w:val="22"/>
  </w:num>
  <w:num w:numId="2" w16cid:durableId="1912035658">
    <w:abstractNumId w:val="23"/>
  </w:num>
  <w:num w:numId="3" w16cid:durableId="1363166590">
    <w:abstractNumId w:val="19"/>
  </w:num>
  <w:num w:numId="4" w16cid:durableId="2105953917">
    <w:abstractNumId w:val="7"/>
  </w:num>
  <w:num w:numId="5" w16cid:durableId="435831480">
    <w:abstractNumId w:val="25"/>
  </w:num>
  <w:num w:numId="6" w16cid:durableId="1729382213">
    <w:abstractNumId w:val="9"/>
  </w:num>
  <w:num w:numId="7" w16cid:durableId="1342200962">
    <w:abstractNumId w:val="28"/>
  </w:num>
  <w:num w:numId="8" w16cid:durableId="223611349">
    <w:abstractNumId w:val="11"/>
  </w:num>
  <w:num w:numId="9" w16cid:durableId="1365448990">
    <w:abstractNumId w:val="27"/>
  </w:num>
  <w:num w:numId="10" w16cid:durableId="216288023">
    <w:abstractNumId w:val="17"/>
  </w:num>
  <w:num w:numId="11" w16cid:durableId="200939293">
    <w:abstractNumId w:val="26"/>
  </w:num>
  <w:num w:numId="12" w16cid:durableId="1353457262">
    <w:abstractNumId w:val="29"/>
  </w:num>
  <w:num w:numId="13" w16cid:durableId="1715352932">
    <w:abstractNumId w:val="6"/>
  </w:num>
  <w:num w:numId="14" w16cid:durableId="407579073">
    <w:abstractNumId w:val="2"/>
  </w:num>
  <w:num w:numId="15" w16cid:durableId="1853954152">
    <w:abstractNumId w:val="1"/>
  </w:num>
  <w:num w:numId="16" w16cid:durableId="566384796">
    <w:abstractNumId w:val="34"/>
  </w:num>
  <w:num w:numId="17" w16cid:durableId="1397043779">
    <w:abstractNumId w:val="12"/>
  </w:num>
  <w:num w:numId="18" w16cid:durableId="607930388">
    <w:abstractNumId w:val="33"/>
  </w:num>
  <w:num w:numId="19" w16cid:durableId="1176770607">
    <w:abstractNumId w:val="8"/>
  </w:num>
  <w:num w:numId="20" w16cid:durableId="141966794">
    <w:abstractNumId w:val="24"/>
  </w:num>
  <w:num w:numId="21" w16cid:durableId="900099038">
    <w:abstractNumId w:val="15"/>
  </w:num>
  <w:num w:numId="22" w16cid:durableId="2029520384">
    <w:abstractNumId w:val="32"/>
  </w:num>
  <w:num w:numId="23" w16cid:durableId="1376730954">
    <w:abstractNumId w:val="0"/>
  </w:num>
  <w:num w:numId="24" w16cid:durableId="1687977829">
    <w:abstractNumId w:val="13"/>
  </w:num>
  <w:num w:numId="25" w16cid:durableId="189496598">
    <w:abstractNumId w:val="14"/>
  </w:num>
  <w:num w:numId="26" w16cid:durableId="1512993078">
    <w:abstractNumId w:val="30"/>
  </w:num>
  <w:num w:numId="27" w16cid:durableId="1007051543">
    <w:abstractNumId w:val="3"/>
  </w:num>
  <w:num w:numId="28" w16cid:durableId="426006349">
    <w:abstractNumId w:val="10"/>
  </w:num>
  <w:num w:numId="29" w16cid:durableId="1524394918">
    <w:abstractNumId w:val="31"/>
  </w:num>
  <w:num w:numId="30" w16cid:durableId="1447195488">
    <w:abstractNumId w:val="4"/>
  </w:num>
  <w:num w:numId="31" w16cid:durableId="1884173650">
    <w:abstractNumId w:val="20"/>
  </w:num>
  <w:num w:numId="32" w16cid:durableId="1507132336">
    <w:abstractNumId w:val="16"/>
  </w:num>
  <w:num w:numId="33" w16cid:durableId="232932298">
    <w:abstractNumId w:val="21"/>
  </w:num>
  <w:num w:numId="34" w16cid:durableId="1803691579">
    <w:abstractNumId w:val="5"/>
  </w:num>
  <w:num w:numId="35" w16cid:durableId="20980185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AE"/>
    <w:rsid w:val="00000374"/>
    <w:rsid w:val="000022DE"/>
    <w:rsid w:val="00003FF8"/>
    <w:rsid w:val="000128DC"/>
    <w:rsid w:val="00014BF5"/>
    <w:rsid w:val="00015127"/>
    <w:rsid w:val="0001740F"/>
    <w:rsid w:val="000178F7"/>
    <w:rsid w:val="0002114D"/>
    <w:rsid w:val="000251F3"/>
    <w:rsid w:val="00031835"/>
    <w:rsid w:val="00032AD5"/>
    <w:rsid w:val="00036941"/>
    <w:rsid w:val="00036DC6"/>
    <w:rsid w:val="00040ACE"/>
    <w:rsid w:val="00045167"/>
    <w:rsid w:val="0004730A"/>
    <w:rsid w:val="00051871"/>
    <w:rsid w:val="000536E7"/>
    <w:rsid w:val="000545E6"/>
    <w:rsid w:val="00056649"/>
    <w:rsid w:val="00056D2D"/>
    <w:rsid w:val="000573A7"/>
    <w:rsid w:val="00062798"/>
    <w:rsid w:val="000664FA"/>
    <w:rsid w:val="00066DAE"/>
    <w:rsid w:val="00072617"/>
    <w:rsid w:val="00080FBB"/>
    <w:rsid w:val="00083406"/>
    <w:rsid w:val="0008395D"/>
    <w:rsid w:val="00083BFF"/>
    <w:rsid w:val="0008528B"/>
    <w:rsid w:val="000879EF"/>
    <w:rsid w:val="000936B5"/>
    <w:rsid w:val="00097968"/>
    <w:rsid w:val="000A0D7D"/>
    <w:rsid w:val="000A415F"/>
    <w:rsid w:val="000A51E4"/>
    <w:rsid w:val="000A6459"/>
    <w:rsid w:val="000B39CC"/>
    <w:rsid w:val="000B3A1E"/>
    <w:rsid w:val="000C4220"/>
    <w:rsid w:val="000C4596"/>
    <w:rsid w:val="000C5813"/>
    <w:rsid w:val="000C6066"/>
    <w:rsid w:val="000C7B69"/>
    <w:rsid w:val="000D0AB0"/>
    <w:rsid w:val="000D2465"/>
    <w:rsid w:val="000D4F0E"/>
    <w:rsid w:val="000D6C70"/>
    <w:rsid w:val="000E0677"/>
    <w:rsid w:val="000E23A5"/>
    <w:rsid w:val="000E75CC"/>
    <w:rsid w:val="000E7DDD"/>
    <w:rsid w:val="000F0810"/>
    <w:rsid w:val="000F2558"/>
    <w:rsid w:val="000F387F"/>
    <w:rsid w:val="000F4520"/>
    <w:rsid w:val="000F5C8F"/>
    <w:rsid w:val="000F71E4"/>
    <w:rsid w:val="00102974"/>
    <w:rsid w:val="00102FB8"/>
    <w:rsid w:val="0010771B"/>
    <w:rsid w:val="00113E07"/>
    <w:rsid w:val="001161AD"/>
    <w:rsid w:val="00117A44"/>
    <w:rsid w:val="00122EFE"/>
    <w:rsid w:val="00134585"/>
    <w:rsid w:val="001448E7"/>
    <w:rsid w:val="00145199"/>
    <w:rsid w:val="00150275"/>
    <w:rsid w:val="001505B5"/>
    <w:rsid w:val="001505E8"/>
    <w:rsid w:val="00151496"/>
    <w:rsid w:val="001562C8"/>
    <w:rsid w:val="00163FC6"/>
    <w:rsid w:val="00166984"/>
    <w:rsid w:val="00170E93"/>
    <w:rsid w:val="00182262"/>
    <w:rsid w:val="00184452"/>
    <w:rsid w:val="00185972"/>
    <w:rsid w:val="00186CEE"/>
    <w:rsid w:val="001962C1"/>
    <w:rsid w:val="00197E1C"/>
    <w:rsid w:val="001B0A7B"/>
    <w:rsid w:val="001B1586"/>
    <w:rsid w:val="001B2D60"/>
    <w:rsid w:val="001B7207"/>
    <w:rsid w:val="001B7F17"/>
    <w:rsid w:val="001C04BE"/>
    <w:rsid w:val="001C0CD6"/>
    <w:rsid w:val="001C2436"/>
    <w:rsid w:val="001C39E3"/>
    <w:rsid w:val="001C43C5"/>
    <w:rsid w:val="001C48FE"/>
    <w:rsid w:val="001C5C8A"/>
    <w:rsid w:val="001D1BE0"/>
    <w:rsid w:val="001D28EB"/>
    <w:rsid w:val="001D382C"/>
    <w:rsid w:val="001D5B12"/>
    <w:rsid w:val="001D7B7C"/>
    <w:rsid w:val="001E08EB"/>
    <w:rsid w:val="001E5E96"/>
    <w:rsid w:val="001E7EF1"/>
    <w:rsid w:val="001F2C4C"/>
    <w:rsid w:val="001F566F"/>
    <w:rsid w:val="001F6B41"/>
    <w:rsid w:val="00200BA7"/>
    <w:rsid w:val="00205715"/>
    <w:rsid w:val="00205DD2"/>
    <w:rsid w:val="0020615B"/>
    <w:rsid w:val="00211841"/>
    <w:rsid w:val="00214FAA"/>
    <w:rsid w:val="0021591C"/>
    <w:rsid w:val="00215EA0"/>
    <w:rsid w:val="0021687C"/>
    <w:rsid w:val="00217D36"/>
    <w:rsid w:val="002217DF"/>
    <w:rsid w:val="00232233"/>
    <w:rsid w:val="002323BB"/>
    <w:rsid w:val="002329A2"/>
    <w:rsid w:val="002329E8"/>
    <w:rsid w:val="00235113"/>
    <w:rsid w:val="00235DD9"/>
    <w:rsid w:val="00240645"/>
    <w:rsid w:val="00240A3A"/>
    <w:rsid w:val="00240F51"/>
    <w:rsid w:val="00242BF6"/>
    <w:rsid w:val="00252EA1"/>
    <w:rsid w:val="00256609"/>
    <w:rsid w:val="002569AF"/>
    <w:rsid w:val="00260CC5"/>
    <w:rsid w:val="0026421D"/>
    <w:rsid w:val="00270285"/>
    <w:rsid w:val="00270B39"/>
    <w:rsid w:val="002712F1"/>
    <w:rsid w:val="002719F5"/>
    <w:rsid w:val="00272B6F"/>
    <w:rsid w:val="00272FAF"/>
    <w:rsid w:val="00274447"/>
    <w:rsid w:val="00284A65"/>
    <w:rsid w:val="0029031A"/>
    <w:rsid w:val="00290630"/>
    <w:rsid w:val="0029499C"/>
    <w:rsid w:val="002A0D73"/>
    <w:rsid w:val="002A1722"/>
    <w:rsid w:val="002A2551"/>
    <w:rsid w:val="002A36A0"/>
    <w:rsid w:val="002A55D2"/>
    <w:rsid w:val="002A672C"/>
    <w:rsid w:val="002B1B2B"/>
    <w:rsid w:val="002B3111"/>
    <w:rsid w:val="002B476F"/>
    <w:rsid w:val="002C0101"/>
    <w:rsid w:val="002C19A6"/>
    <w:rsid w:val="002C20EE"/>
    <w:rsid w:val="002C2CE7"/>
    <w:rsid w:val="002C5561"/>
    <w:rsid w:val="002D3352"/>
    <w:rsid w:val="002D48C5"/>
    <w:rsid w:val="002E05E3"/>
    <w:rsid w:val="002E05EA"/>
    <w:rsid w:val="002E1AD1"/>
    <w:rsid w:val="002E2683"/>
    <w:rsid w:val="002E27D0"/>
    <w:rsid w:val="002E27F4"/>
    <w:rsid w:val="002E7663"/>
    <w:rsid w:val="002F1C6E"/>
    <w:rsid w:val="002F2D09"/>
    <w:rsid w:val="002F452D"/>
    <w:rsid w:val="003006D4"/>
    <w:rsid w:val="00300F9C"/>
    <w:rsid w:val="003019A6"/>
    <w:rsid w:val="00302A44"/>
    <w:rsid w:val="00304A19"/>
    <w:rsid w:val="00306E5F"/>
    <w:rsid w:val="003077E2"/>
    <w:rsid w:val="00307C14"/>
    <w:rsid w:val="00311EEC"/>
    <w:rsid w:val="00312869"/>
    <w:rsid w:val="003213BD"/>
    <w:rsid w:val="00321707"/>
    <w:rsid w:val="00331634"/>
    <w:rsid w:val="00332DEF"/>
    <w:rsid w:val="00335B50"/>
    <w:rsid w:val="00337C93"/>
    <w:rsid w:val="00340D90"/>
    <w:rsid w:val="003454B1"/>
    <w:rsid w:val="00351A5F"/>
    <w:rsid w:val="00351BA7"/>
    <w:rsid w:val="0035789B"/>
    <w:rsid w:val="0036130B"/>
    <w:rsid w:val="00361F68"/>
    <w:rsid w:val="0036575D"/>
    <w:rsid w:val="003663AA"/>
    <w:rsid w:val="0037070C"/>
    <w:rsid w:val="003754DD"/>
    <w:rsid w:val="00387811"/>
    <w:rsid w:val="00390BC1"/>
    <w:rsid w:val="003925A5"/>
    <w:rsid w:val="003954DD"/>
    <w:rsid w:val="003A101F"/>
    <w:rsid w:val="003A4973"/>
    <w:rsid w:val="003A715F"/>
    <w:rsid w:val="003A7A83"/>
    <w:rsid w:val="003A7E7A"/>
    <w:rsid w:val="003B4075"/>
    <w:rsid w:val="003C1C4C"/>
    <w:rsid w:val="003C799F"/>
    <w:rsid w:val="003D03EB"/>
    <w:rsid w:val="003D1738"/>
    <w:rsid w:val="003D548F"/>
    <w:rsid w:val="003D55CD"/>
    <w:rsid w:val="003D7240"/>
    <w:rsid w:val="003D7941"/>
    <w:rsid w:val="003E365A"/>
    <w:rsid w:val="003E3BBE"/>
    <w:rsid w:val="003F17FF"/>
    <w:rsid w:val="003F48EA"/>
    <w:rsid w:val="003F4C24"/>
    <w:rsid w:val="00400D38"/>
    <w:rsid w:val="00402ED4"/>
    <w:rsid w:val="00407CB0"/>
    <w:rsid w:val="004108B1"/>
    <w:rsid w:val="004139F8"/>
    <w:rsid w:val="00416AA4"/>
    <w:rsid w:val="00423A90"/>
    <w:rsid w:val="00426402"/>
    <w:rsid w:val="00427500"/>
    <w:rsid w:val="00427DD2"/>
    <w:rsid w:val="00431E3E"/>
    <w:rsid w:val="004323CC"/>
    <w:rsid w:val="00435D5B"/>
    <w:rsid w:val="00437130"/>
    <w:rsid w:val="00437E99"/>
    <w:rsid w:val="0044101C"/>
    <w:rsid w:val="00443D95"/>
    <w:rsid w:val="00445D30"/>
    <w:rsid w:val="00451E4F"/>
    <w:rsid w:val="00454861"/>
    <w:rsid w:val="004561A9"/>
    <w:rsid w:val="0045648D"/>
    <w:rsid w:val="00456742"/>
    <w:rsid w:val="00456780"/>
    <w:rsid w:val="00456AF8"/>
    <w:rsid w:val="00457098"/>
    <w:rsid w:val="004613AD"/>
    <w:rsid w:val="00461BF9"/>
    <w:rsid w:val="00461C09"/>
    <w:rsid w:val="0046212E"/>
    <w:rsid w:val="004625F2"/>
    <w:rsid w:val="004654C6"/>
    <w:rsid w:val="00466D2F"/>
    <w:rsid w:val="004739D0"/>
    <w:rsid w:val="00480C39"/>
    <w:rsid w:val="0048121E"/>
    <w:rsid w:val="00487D14"/>
    <w:rsid w:val="004919B7"/>
    <w:rsid w:val="00492664"/>
    <w:rsid w:val="00496CAA"/>
    <w:rsid w:val="004975C5"/>
    <w:rsid w:val="00497AE4"/>
    <w:rsid w:val="004A038F"/>
    <w:rsid w:val="004A39A9"/>
    <w:rsid w:val="004A40F7"/>
    <w:rsid w:val="004A5010"/>
    <w:rsid w:val="004A6299"/>
    <w:rsid w:val="004B17FA"/>
    <w:rsid w:val="004B1F4D"/>
    <w:rsid w:val="004B31C1"/>
    <w:rsid w:val="004B3DF5"/>
    <w:rsid w:val="004C03EA"/>
    <w:rsid w:val="004C11BE"/>
    <w:rsid w:val="004C2D7D"/>
    <w:rsid w:val="004C2D81"/>
    <w:rsid w:val="004C6612"/>
    <w:rsid w:val="004D00B6"/>
    <w:rsid w:val="004D0417"/>
    <w:rsid w:val="004D26B4"/>
    <w:rsid w:val="004D509E"/>
    <w:rsid w:val="004E415A"/>
    <w:rsid w:val="004F0AEA"/>
    <w:rsid w:val="004F2901"/>
    <w:rsid w:val="004F37B6"/>
    <w:rsid w:val="004F3A67"/>
    <w:rsid w:val="004F3E9E"/>
    <w:rsid w:val="004F4188"/>
    <w:rsid w:val="004F4AA1"/>
    <w:rsid w:val="004F4C05"/>
    <w:rsid w:val="004F6C55"/>
    <w:rsid w:val="004F74D1"/>
    <w:rsid w:val="00501B8C"/>
    <w:rsid w:val="005021CE"/>
    <w:rsid w:val="0051026D"/>
    <w:rsid w:val="005107AE"/>
    <w:rsid w:val="00511E24"/>
    <w:rsid w:val="005147FA"/>
    <w:rsid w:val="00515CBF"/>
    <w:rsid w:val="00516A7A"/>
    <w:rsid w:val="005205DF"/>
    <w:rsid w:val="0052134F"/>
    <w:rsid w:val="00522DA8"/>
    <w:rsid w:val="005261BD"/>
    <w:rsid w:val="005273B7"/>
    <w:rsid w:val="005305DD"/>
    <w:rsid w:val="00531F80"/>
    <w:rsid w:val="00532EF7"/>
    <w:rsid w:val="00533ECC"/>
    <w:rsid w:val="005366F7"/>
    <w:rsid w:val="00540760"/>
    <w:rsid w:val="005407D9"/>
    <w:rsid w:val="00542589"/>
    <w:rsid w:val="00542886"/>
    <w:rsid w:val="00545A23"/>
    <w:rsid w:val="0054605B"/>
    <w:rsid w:val="005507CF"/>
    <w:rsid w:val="00556D7E"/>
    <w:rsid w:val="00557F5F"/>
    <w:rsid w:val="00562EED"/>
    <w:rsid w:val="00567DB4"/>
    <w:rsid w:val="00567F5A"/>
    <w:rsid w:val="00571D26"/>
    <w:rsid w:val="00580667"/>
    <w:rsid w:val="005863C7"/>
    <w:rsid w:val="00587F00"/>
    <w:rsid w:val="005901CD"/>
    <w:rsid w:val="00592F15"/>
    <w:rsid w:val="005932DD"/>
    <w:rsid w:val="00594C87"/>
    <w:rsid w:val="00595CF2"/>
    <w:rsid w:val="00595D17"/>
    <w:rsid w:val="005A0B3D"/>
    <w:rsid w:val="005A147A"/>
    <w:rsid w:val="005A3548"/>
    <w:rsid w:val="005B23D9"/>
    <w:rsid w:val="005B39C4"/>
    <w:rsid w:val="005C23C6"/>
    <w:rsid w:val="005C64CF"/>
    <w:rsid w:val="005C6FA2"/>
    <w:rsid w:val="005C706A"/>
    <w:rsid w:val="005C7764"/>
    <w:rsid w:val="005C77E6"/>
    <w:rsid w:val="005D0488"/>
    <w:rsid w:val="005D1C2B"/>
    <w:rsid w:val="005D2515"/>
    <w:rsid w:val="005D3CC8"/>
    <w:rsid w:val="005D4047"/>
    <w:rsid w:val="005D6D6A"/>
    <w:rsid w:val="005E1678"/>
    <w:rsid w:val="005E5E26"/>
    <w:rsid w:val="005E6C78"/>
    <w:rsid w:val="005F0662"/>
    <w:rsid w:val="005F1452"/>
    <w:rsid w:val="005F1C3A"/>
    <w:rsid w:val="005F1F84"/>
    <w:rsid w:val="005F26B4"/>
    <w:rsid w:val="005F2DA8"/>
    <w:rsid w:val="005F3CBE"/>
    <w:rsid w:val="005F5191"/>
    <w:rsid w:val="005F592B"/>
    <w:rsid w:val="005F6761"/>
    <w:rsid w:val="005F700E"/>
    <w:rsid w:val="00606DB9"/>
    <w:rsid w:val="00607B80"/>
    <w:rsid w:val="00610C2A"/>
    <w:rsid w:val="00610FE3"/>
    <w:rsid w:val="00611DA3"/>
    <w:rsid w:val="006152F5"/>
    <w:rsid w:val="00617C87"/>
    <w:rsid w:val="006275A4"/>
    <w:rsid w:val="00632B86"/>
    <w:rsid w:val="0063308A"/>
    <w:rsid w:val="006347E0"/>
    <w:rsid w:val="0063506C"/>
    <w:rsid w:val="00635312"/>
    <w:rsid w:val="00635F63"/>
    <w:rsid w:val="0064182F"/>
    <w:rsid w:val="00645231"/>
    <w:rsid w:val="00646706"/>
    <w:rsid w:val="00647581"/>
    <w:rsid w:val="00651EF9"/>
    <w:rsid w:val="00653B9E"/>
    <w:rsid w:val="00657A23"/>
    <w:rsid w:val="00660AB3"/>
    <w:rsid w:val="00660EC0"/>
    <w:rsid w:val="00661630"/>
    <w:rsid w:val="006618B6"/>
    <w:rsid w:val="006618D9"/>
    <w:rsid w:val="006647C5"/>
    <w:rsid w:val="0066656A"/>
    <w:rsid w:val="00670B47"/>
    <w:rsid w:val="00672395"/>
    <w:rsid w:val="0067489F"/>
    <w:rsid w:val="00680BBD"/>
    <w:rsid w:val="00683CC7"/>
    <w:rsid w:val="00687EA3"/>
    <w:rsid w:val="00690906"/>
    <w:rsid w:val="006935D7"/>
    <w:rsid w:val="00693867"/>
    <w:rsid w:val="0069476A"/>
    <w:rsid w:val="00694D1D"/>
    <w:rsid w:val="006A0D56"/>
    <w:rsid w:val="006A484F"/>
    <w:rsid w:val="006A68A1"/>
    <w:rsid w:val="006A7DC1"/>
    <w:rsid w:val="006B15F7"/>
    <w:rsid w:val="006B3331"/>
    <w:rsid w:val="006B3E0B"/>
    <w:rsid w:val="006B3E92"/>
    <w:rsid w:val="006B6BF1"/>
    <w:rsid w:val="006C4F4B"/>
    <w:rsid w:val="006C6B4B"/>
    <w:rsid w:val="006D1698"/>
    <w:rsid w:val="006D3E11"/>
    <w:rsid w:val="006D64D9"/>
    <w:rsid w:val="006D6D44"/>
    <w:rsid w:val="006E4091"/>
    <w:rsid w:val="006E639A"/>
    <w:rsid w:val="006F4D4D"/>
    <w:rsid w:val="007021C5"/>
    <w:rsid w:val="00702463"/>
    <w:rsid w:val="007028EE"/>
    <w:rsid w:val="00704105"/>
    <w:rsid w:val="007070B8"/>
    <w:rsid w:val="00710C2D"/>
    <w:rsid w:val="007166E1"/>
    <w:rsid w:val="00716755"/>
    <w:rsid w:val="007168EC"/>
    <w:rsid w:val="00717953"/>
    <w:rsid w:val="00721FFD"/>
    <w:rsid w:val="00722917"/>
    <w:rsid w:val="00723167"/>
    <w:rsid w:val="00725FAA"/>
    <w:rsid w:val="00726C8B"/>
    <w:rsid w:val="00730B7E"/>
    <w:rsid w:val="00735E67"/>
    <w:rsid w:val="007405EC"/>
    <w:rsid w:val="00742ACF"/>
    <w:rsid w:val="00745DE2"/>
    <w:rsid w:val="0075609A"/>
    <w:rsid w:val="0075744F"/>
    <w:rsid w:val="00757E09"/>
    <w:rsid w:val="00757EE4"/>
    <w:rsid w:val="00761318"/>
    <w:rsid w:val="00762EC0"/>
    <w:rsid w:val="0077196D"/>
    <w:rsid w:val="007727C7"/>
    <w:rsid w:val="00774B2F"/>
    <w:rsid w:val="007765ED"/>
    <w:rsid w:val="007859B8"/>
    <w:rsid w:val="0078727F"/>
    <w:rsid w:val="00790C5A"/>
    <w:rsid w:val="0079155C"/>
    <w:rsid w:val="0079237B"/>
    <w:rsid w:val="00792786"/>
    <w:rsid w:val="00795CE2"/>
    <w:rsid w:val="00797C20"/>
    <w:rsid w:val="007A3F74"/>
    <w:rsid w:val="007A5D71"/>
    <w:rsid w:val="007B0EAC"/>
    <w:rsid w:val="007B1BB1"/>
    <w:rsid w:val="007B2C20"/>
    <w:rsid w:val="007B3A0B"/>
    <w:rsid w:val="007B4133"/>
    <w:rsid w:val="007B7D1A"/>
    <w:rsid w:val="007C08D9"/>
    <w:rsid w:val="007C33BD"/>
    <w:rsid w:val="007D2109"/>
    <w:rsid w:val="007D3C5A"/>
    <w:rsid w:val="007D3C77"/>
    <w:rsid w:val="007D42E8"/>
    <w:rsid w:val="007D4DEB"/>
    <w:rsid w:val="007D6D3E"/>
    <w:rsid w:val="007E10F8"/>
    <w:rsid w:val="007E34F2"/>
    <w:rsid w:val="007E4676"/>
    <w:rsid w:val="007F1DED"/>
    <w:rsid w:val="007F31DF"/>
    <w:rsid w:val="007F3B3D"/>
    <w:rsid w:val="008033D4"/>
    <w:rsid w:val="00805AE3"/>
    <w:rsid w:val="00810406"/>
    <w:rsid w:val="008141B6"/>
    <w:rsid w:val="00816AF5"/>
    <w:rsid w:val="00821AF4"/>
    <w:rsid w:val="00824738"/>
    <w:rsid w:val="00833224"/>
    <w:rsid w:val="00834B01"/>
    <w:rsid w:val="00835FB2"/>
    <w:rsid w:val="008439DF"/>
    <w:rsid w:val="00847141"/>
    <w:rsid w:val="00847258"/>
    <w:rsid w:val="00850E12"/>
    <w:rsid w:val="00852FF2"/>
    <w:rsid w:val="00857770"/>
    <w:rsid w:val="00863039"/>
    <w:rsid w:val="00871C3C"/>
    <w:rsid w:val="00874209"/>
    <w:rsid w:val="00875DB4"/>
    <w:rsid w:val="00876A4F"/>
    <w:rsid w:val="008810CC"/>
    <w:rsid w:val="008831A4"/>
    <w:rsid w:val="008849DE"/>
    <w:rsid w:val="008930A1"/>
    <w:rsid w:val="008930C4"/>
    <w:rsid w:val="00893683"/>
    <w:rsid w:val="008959FB"/>
    <w:rsid w:val="008967CF"/>
    <w:rsid w:val="00896D44"/>
    <w:rsid w:val="008A0FC0"/>
    <w:rsid w:val="008A3A0A"/>
    <w:rsid w:val="008A6F6D"/>
    <w:rsid w:val="008B1890"/>
    <w:rsid w:val="008B37D8"/>
    <w:rsid w:val="008B6081"/>
    <w:rsid w:val="008C180D"/>
    <w:rsid w:val="008C1EA4"/>
    <w:rsid w:val="008C38CB"/>
    <w:rsid w:val="008C45CC"/>
    <w:rsid w:val="008C6222"/>
    <w:rsid w:val="008C713F"/>
    <w:rsid w:val="008D1ED1"/>
    <w:rsid w:val="008D4B98"/>
    <w:rsid w:val="008E0CFC"/>
    <w:rsid w:val="008E4271"/>
    <w:rsid w:val="008E4D9E"/>
    <w:rsid w:val="00907DC7"/>
    <w:rsid w:val="00914EE2"/>
    <w:rsid w:val="00916298"/>
    <w:rsid w:val="00916E79"/>
    <w:rsid w:val="00920B37"/>
    <w:rsid w:val="00921580"/>
    <w:rsid w:val="00925D01"/>
    <w:rsid w:val="009273EF"/>
    <w:rsid w:val="00932853"/>
    <w:rsid w:val="00932E2A"/>
    <w:rsid w:val="00933296"/>
    <w:rsid w:val="00936868"/>
    <w:rsid w:val="00937158"/>
    <w:rsid w:val="009414E9"/>
    <w:rsid w:val="009418BE"/>
    <w:rsid w:val="00942B03"/>
    <w:rsid w:val="00951A0D"/>
    <w:rsid w:val="0095233F"/>
    <w:rsid w:val="00952A13"/>
    <w:rsid w:val="00960E4F"/>
    <w:rsid w:val="00963D78"/>
    <w:rsid w:val="009655F7"/>
    <w:rsid w:val="00970D89"/>
    <w:rsid w:val="009742C2"/>
    <w:rsid w:val="00977929"/>
    <w:rsid w:val="00981D18"/>
    <w:rsid w:val="00983C2E"/>
    <w:rsid w:val="00984466"/>
    <w:rsid w:val="00984BB7"/>
    <w:rsid w:val="009853F9"/>
    <w:rsid w:val="0099155A"/>
    <w:rsid w:val="009B7A49"/>
    <w:rsid w:val="009C084E"/>
    <w:rsid w:val="009D0650"/>
    <w:rsid w:val="009D3CEE"/>
    <w:rsid w:val="009E0B33"/>
    <w:rsid w:val="009E30BE"/>
    <w:rsid w:val="009E44AD"/>
    <w:rsid w:val="009E6649"/>
    <w:rsid w:val="009F1D00"/>
    <w:rsid w:val="009F476A"/>
    <w:rsid w:val="009F60C0"/>
    <w:rsid w:val="00A03185"/>
    <w:rsid w:val="00A043D2"/>
    <w:rsid w:val="00A0701C"/>
    <w:rsid w:val="00A07C6E"/>
    <w:rsid w:val="00A101AA"/>
    <w:rsid w:val="00A159CF"/>
    <w:rsid w:val="00A234E8"/>
    <w:rsid w:val="00A234F8"/>
    <w:rsid w:val="00A23568"/>
    <w:rsid w:val="00A25CC0"/>
    <w:rsid w:val="00A27A7E"/>
    <w:rsid w:val="00A33665"/>
    <w:rsid w:val="00A419C9"/>
    <w:rsid w:val="00A41AB2"/>
    <w:rsid w:val="00A42555"/>
    <w:rsid w:val="00A42F9E"/>
    <w:rsid w:val="00A47CB5"/>
    <w:rsid w:val="00A51C88"/>
    <w:rsid w:val="00A70CF5"/>
    <w:rsid w:val="00A7138C"/>
    <w:rsid w:val="00A73B55"/>
    <w:rsid w:val="00A74E42"/>
    <w:rsid w:val="00A8095F"/>
    <w:rsid w:val="00A81380"/>
    <w:rsid w:val="00A8515A"/>
    <w:rsid w:val="00A91830"/>
    <w:rsid w:val="00A922CF"/>
    <w:rsid w:val="00A922E9"/>
    <w:rsid w:val="00A94581"/>
    <w:rsid w:val="00A948EE"/>
    <w:rsid w:val="00A95125"/>
    <w:rsid w:val="00A96CB3"/>
    <w:rsid w:val="00A970F2"/>
    <w:rsid w:val="00AA0DD1"/>
    <w:rsid w:val="00AA4926"/>
    <w:rsid w:val="00AB11A9"/>
    <w:rsid w:val="00AB18FE"/>
    <w:rsid w:val="00AB45CC"/>
    <w:rsid w:val="00AC3D80"/>
    <w:rsid w:val="00AC6071"/>
    <w:rsid w:val="00AC6B6A"/>
    <w:rsid w:val="00AC7719"/>
    <w:rsid w:val="00AD164E"/>
    <w:rsid w:val="00AD55F8"/>
    <w:rsid w:val="00AD5CBB"/>
    <w:rsid w:val="00AD66A3"/>
    <w:rsid w:val="00AD7B58"/>
    <w:rsid w:val="00AE1E9E"/>
    <w:rsid w:val="00AE41E2"/>
    <w:rsid w:val="00B008B1"/>
    <w:rsid w:val="00B012B5"/>
    <w:rsid w:val="00B0181C"/>
    <w:rsid w:val="00B04838"/>
    <w:rsid w:val="00B06D93"/>
    <w:rsid w:val="00B15F05"/>
    <w:rsid w:val="00B1615F"/>
    <w:rsid w:val="00B16F43"/>
    <w:rsid w:val="00B2109A"/>
    <w:rsid w:val="00B2297C"/>
    <w:rsid w:val="00B23B4B"/>
    <w:rsid w:val="00B24008"/>
    <w:rsid w:val="00B25E7D"/>
    <w:rsid w:val="00B26188"/>
    <w:rsid w:val="00B31B43"/>
    <w:rsid w:val="00B327C0"/>
    <w:rsid w:val="00B3305D"/>
    <w:rsid w:val="00B34ADA"/>
    <w:rsid w:val="00B3517F"/>
    <w:rsid w:val="00B36904"/>
    <w:rsid w:val="00B41BD0"/>
    <w:rsid w:val="00B43C41"/>
    <w:rsid w:val="00B441B1"/>
    <w:rsid w:val="00B50D98"/>
    <w:rsid w:val="00B52593"/>
    <w:rsid w:val="00B52745"/>
    <w:rsid w:val="00B56076"/>
    <w:rsid w:val="00B562CE"/>
    <w:rsid w:val="00B5636C"/>
    <w:rsid w:val="00B65ED0"/>
    <w:rsid w:val="00B66114"/>
    <w:rsid w:val="00B7093E"/>
    <w:rsid w:val="00B71277"/>
    <w:rsid w:val="00B71333"/>
    <w:rsid w:val="00B752A5"/>
    <w:rsid w:val="00B80037"/>
    <w:rsid w:val="00B81C8D"/>
    <w:rsid w:val="00B85E71"/>
    <w:rsid w:val="00B914C6"/>
    <w:rsid w:val="00B91AF2"/>
    <w:rsid w:val="00B937C6"/>
    <w:rsid w:val="00B96483"/>
    <w:rsid w:val="00BA2BC7"/>
    <w:rsid w:val="00BA389A"/>
    <w:rsid w:val="00BA3C68"/>
    <w:rsid w:val="00BA3EAB"/>
    <w:rsid w:val="00BA4348"/>
    <w:rsid w:val="00BA79BB"/>
    <w:rsid w:val="00BB4C32"/>
    <w:rsid w:val="00BC1B6F"/>
    <w:rsid w:val="00BC3245"/>
    <w:rsid w:val="00BD2694"/>
    <w:rsid w:val="00BD51B7"/>
    <w:rsid w:val="00BD6297"/>
    <w:rsid w:val="00BD6C6D"/>
    <w:rsid w:val="00BD7325"/>
    <w:rsid w:val="00BD7543"/>
    <w:rsid w:val="00BE32FC"/>
    <w:rsid w:val="00BE7B5E"/>
    <w:rsid w:val="00BF13E2"/>
    <w:rsid w:val="00BF2BB3"/>
    <w:rsid w:val="00BF590B"/>
    <w:rsid w:val="00BF5B64"/>
    <w:rsid w:val="00C01252"/>
    <w:rsid w:val="00C03694"/>
    <w:rsid w:val="00C04A88"/>
    <w:rsid w:val="00C0659D"/>
    <w:rsid w:val="00C2445A"/>
    <w:rsid w:val="00C2459E"/>
    <w:rsid w:val="00C2675A"/>
    <w:rsid w:val="00C3016E"/>
    <w:rsid w:val="00C3172F"/>
    <w:rsid w:val="00C33159"/>
    <w:rsid w:val="00C355FA"/>
    <w:rsid w:val="00C360F7"/>
    <w:rsid w:val="00C3700B"/>
    <w:rsid w:val="00C37C01"/>
    <w:rsid w:val="00C37F9F"/>
    <w:rsid w:val="00C41D81"/>
    <w:rsid w:val="00C450CB"/>
    <w:rsid w:val="00C45927"/>
    <w:rsid w:val="00C46B20"/>
    <w:rsid w:val="00C52EAC"/>
    <w:rsid w:val="00C55308"/>
    <w:rsid w:val="00C57003"/>
    <w:rsid w:val="00C61762"/>
    <w:rsid w:val="00C637A4"/>
    <w:rsid w:val="00C71779"/>
    <w:rsid w:val="00C723B3"/>
    <w:rsid w:val="00C72D13"/>
    <w:rsid w:val="00C72E33"/>
    <w:rsid w:val="00C8224A"/>
    <w:rsid w:val="00C868F3"/>
    <w:rsid w:val="00C90DF1"/>
    <w:rsid w:val="00C95422"/>
    <w:rsid w:val="00C96910"/>
    <w:rsid w:val="00CA3D84"/>
    <w:rsid w:val="00CA417B"/>
    <w:rsid w:val="00CB1D81"/>
    <w:rsid w:val="00CB2018"/>
    <w:rsid w:val="00CB2203"/>
    <w:rsid w:val="00CB51CA"/>
    <w:rsid w:val="00CB7B46"/>
    <w:rsid w:val="00CC7AB1"/>
    <w:rsid w:val="00CD4434"/>
    <w:rsid w:val="00CD5EA3"/>
    <w:rsid w:val="00CE2088"/>
    <w:rsid w:val="00CE672A"/>
    <w:rsid w:val="00CE7828"/>
    <w:rsid w:val="00CF1EBC"/>
    <w:rsid w:val="00CF3CDE"/>
    <w:rsid w:val="00CF4E14"/>
    <w:rsid w:val="00D0047E"/>
    <w:rsid w:val="00D0260C"/>
    <w:rsid w:val="00D04006"/>
    <w:rsid w:val="00D04E48"/>
    <w:rsid w:val="00D050F5"/>
    <w:rsid w:val="00D056EA"/>
    <w:rsid w:val="00D05EEA"/>
    <w:rsid w:val="00D13E14"/>
    <w:rsid w:val="00D16357"/>
    <w:rsid w:val="00D272E5"/>
    <w:rsid w:val="00D328DD"/>
    <w:rsid w:val="00D33130"/>
    <w:rsid w:val="00D34BDC"/>
    <w:rsid w:val="00D36603"/>
    <w:rsid w:val="00D37C68"/>
    <w:rsid w:val="00D411CE"/>
    <w:rsid w:val="00D427CE"/>
    <w:rsid w:val="00D44B4A"/>
    <w:rsid w:val="00D454B4"/>
    <w:rsid w:val="00D455CF"/>
    <w:rsid w:val="00D45F3A"/>
    <w:rsid w:val="00D51488"/>
    <w:rsid w:val="00D56396"/>
    <w:rsid w:val="00D56B56"/>
    <w:rsid w:val="00D574FA"/>
    <w:rsid w:val="00D6036A"/>
    <w:rsid w:val="00D607AC"/>
    <w:rsid w:val="00D62F82"/>
    <w:rsid w:val="00D654F5"/>
    <w:rsid w:val="00D66DC8"/>
    <w:rsid w:val="00D72FCD"/>
    <w:rsid w:val="00D76283"/>
    <w:rsid w:val="00D821F0"/>
    <w:rsid w:val="00D853A9"/>
    <w:rsid w:val="00D85FA1"/>
    <w:rsid w:val="00D902DD"/>
    <w:rsid w:val="00D932A4"/>
    <w:rsid w:val="00D935B2"/>
    <w:rsid w:val="00D95E5F"/>
    <w:rsid w:val="00DA3FE4"/>
    <w:rsid w:val="00DA7477"/>
    <w:rsid w:val="00DB16C4"/>
    <w:rsid w:val="00DB3973"/>
    <w:rsid w:val="00DB4E4A"/>
    <w:rsid w:val="00DB4E7F"/>
    <w:rsid w:val="00DB6BC5"/>
    <w:rsid w:val="00DD15E3"/>
    <w:rsid w:val="00DD44B5"/>
    <w:rsid w:val="00DD6AD4"/>
    <w:rsid w:val="00DE32A3"/>
    <w:rsid w:val="00DE32EF"/>
    <w:rsid w:val="00DE5FA8"/>
    <w:rsid w:val="00DF12A9"/>
    <w:rsid w:val="00DF4087"/>
    <w:rsid w:val="00DF5B49"/>
    <w:rsid w:val="00E02060"/>
    <w:rsid w:val="00E030B2"/>
    <w:rsid w:val="00E06C3A"/>
    <w:rsid w:val="00E128B6"/>
    <w:rsid w:val="00E174C5"/>
    <w:rsid w:val="00E22AA2"/>
    <w:rsid w:val="00E24DB4"/>
    <w:rsid w:val="00E27318"/>
    <w:rsid w:val="00E30C94"/>
    <w:rsid w:val="00E3283A"/>
    <w:rsid w:val="00E331B9"/>
    <w:rsid w:val="00E35FE2"/>
    <w:rsid w:val="00E415D6"/>
    <w:rsid w:val="00E4174D"/>
    <w:rsid w:val="00E428FA"/>
    <w:rsid w:val="00E44843"/>
    <w:rsid w:val="00E45FA6"/>
    <w:rsid w:val="00E46D87"/>
    <w:rsid w:val="00E5192B"/>
    <w:rsid w:val="00E52C75"/>
    <w:rsid w:val="00E532AB"/>
    <w:rsid w:val="00E5614D"/>
    <w:rsid w:val="00E5642E"/>
    <w:rsid w:val="00E60C86"/>
    <w:rsid w:val="00E6482E"/>
    <w:rsid w:val="00E64B8B"/>
    <w:rsid w:val="00E71922"/>
    <w:rsid w:val="00E71BD7"/>
    <w:rsid w:val="00E71E77"/>
    <w:rsid w:val="00E76A50"/>
    <w:rsid w:val="00E806E7"/>
    <w:rsid w:val="00E81AD8"/>
    <w:rsid w:val="00E8330E"/>
    <w:rsid w:val="00E846E6"/>
    <w:rsid w:val="00E86F6A"/>
    <w:rsid w:val="00E872FC"/>
    <w:rsid w:val="00E87FAA"/>
    <w:rsid w:val="00E91174"/>
    <w:rsid w:val="00E93332"/>
    <w:rsid w:val="00E93A78"/>
    <w:rsid w:val="00E95089"/>
    <w:rsid w:val="00EA1FFD"/>
    <w:rsid w:val="00EB2D23"/>
    <w:rsid w:val="00EB76C6"/>
    <w:rsid w:val="00EC13D7"/>
    <w:rsid w:val="00EC3340"/>
    <w:rsid w:val="00EC4E07"/>
    <w:rsid w:val="00EC7C06"/>
    <w:rsid w:val="00EC7E24"/>
    <w:rsid w:val="00EE0B09"/>
    <w:rsid w:val="00EE1C77"/>
    <w:rsid w:val="00EE274F"/>
    <w:rsid w:val="00EE3F34"/>
    <w:rsid w:val="00EE45D2"/>
    <w:rsid w:val="00EE4C54"/>
    <w:rsid w:val="00EE4C5C"/>
    <w:rsid w:val="00EE7709"/>
    <w:rsid w:val="00EF4130"/>
    <w:rsid w:val="00EF7804"/>
    <w:rsid w:val="00F0277A"/>
    <w:rsid w:val="00F04ECB"/>
    <w:rsid w:val="00F0593C"/>
    <w:rsid w:val="00F0693F"/>
    <w:rsid w:val="00F11048"/>
    <w:rsid w:val="00F1107E"/>
    <w:rsid w:val="00F12715"/>
    <w:rsid w:val="00F1538E"/>
    <w:rsid w:val="00F17391"/>
    <w:rsid w:val="00F211BB"/>
    <w:rsid w:val="00F223FB"/>
    <w:rsid w:val="00F25D08"/>
    <w:rsid w:val="00F26B03"/>
    <w:rsid w:val="00F30EA6"/>
    <w:rsid w:val="00F3255E"/>
    <w:rsid w:val="00F33211"/>
    <w:rsid w:val="00F35813"/>
    <w:rsid w:val="00F40594"/>
    <w:rsid w:val="00F40976"/>
    <w:rsid w:val="00F42F93"/>
    <w:rsid w:val="00F50B21"/>
    <w:rsid w:val="00F64C74"/>
    <w:rsid w:val="00F65D33"/>
    <w:rsid w:val="00F668DF"/>
    <w:rsid w:val="00F675DD"/>
    <w:rsid w:val="00F768D9"/>
    <w:rsid w:val="00F76DDF"/>
    <w:rsid w:val="00F779ED"/>
    <w:rsid w:val="00F83D91"/>
    <w:rsid w:val="00F84D04"/>
    <w:rsid w:val="00F91B6C"/>
    <w:rsid w:val="00F92649"/>
    <w:rsid w:val="00FA2C26"/>
    <w:rsid w:val="00FA6958"/>
    <w:rsid w:val="00FA6D08"/>
    <w:rsid w:val="00FB05AE"/>
    <w:rsid w:val="00FB3806"/>
    <w:rsid w:val="00FB3D4F"/>
    <w:rsid w:val="00FB7049"/>
    <w:rsid w:val="00FB7341"/>
    <w:rsid w:val="00FC259F"/>
    <w:rsid w:val="00FC2A2A"/>
    <w:rsid w:val="00FC553E"/>
    <w:rsid w:val="00FD13A2"/>
    <w:rsid w:val="00FE00EB"/>
    <w:rsid w:val="00FE064E"/>
    <w:rsid w:val="00FE2958"/>
    <w:rsid w:val="00FE4A01"/>
    <w:rsid w:val="00FE632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178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A6299"/>
    <w:pPr>
      <w:spacing w:line="480" w:lineRule="auto"/>
      <w:jc w:val="both"/>
    </w:pPr>
    <w:rPr>
      <w:rFonts w:ascii="Times New Roman" w:hAnsi="Times New Roman"/>
      <w:color w:val="000000" w:themeColor="text1"/>
      <w:lang w:val="en-GB"/>
    </w:rPr>
  </w:style>
  <w:style w:type="paragraph" w:styleId="Heading1">
    <w:name w:val="heading 1"/>
    <w:basedOn w:val="Normal"/>
    <w:next w:val="Normal"/>
    <w:link w:val="Heading1Char"/>
    <w:autoRedefine/>
    <w:uiPriority w:val="9"/>
    <w:qFormat/>
    <w:rsid w:val="006B15F7"/>
    <w:pPr>
      <w:spacing w:before="360" w:after="360" w:line="360" w:lineRule="auto"/>
      <w:outlineLvl w:val="0"/>
    </w:pPr>
    <w:rPr>
      <w:rFonts w:ascii="Arial" w:eastAsia="Calibri" w:hAnsi="Arial" w:cs="Arial"/>
      <w:b/>
      <w:color w:val="156082" w:themeColor="accent1"/>
      <w:sz w:val="30"/>
      <w:szCs w:val="22"/>
      <w:lang w:val="en-US" w:eastAsia="en-US" w:bidi="ar-SA"/>
    </w:rPr>
  </w:style>
  <w:style w:type="paragraph" w:styleId="Heading2">
    <w:name w:val="heading 2"/>
    <w:basedOn w:val="Normal"/>
    <w:next w:val="Normal"/>
    <w:link w:val="Heading2Char"/>
    <w:autoRedefine/>
    <w:uiPriority w:val="9"/>
    <w:unhideWhenUsed/>
    <w:qFormat/>
    <w:rsid w:val="006B15F7"/>
    <w:pPr>
      <w:keepNext/>
      <w:keepLines/>
      <w:spacing w:before="280" w:after="240" w:line="360" w:lineRule="auto"/>
      <w:outlineLvl w:val="1"/>
    </w:pPr>
    <w:rPr>
      <w:rFonts w:ascii="Arial" w:eastAsiaTheme="majorEastAsia" w:hAnsi="Arial" w:cs="Arial"/>
      <w:b/>
      <w:i/>
      <w:color w:val="80340D" w:themeColor="accent2" w:themeShade="80"/>
      <w:sz w:val="26"/>
      <w:szCs w:val="22"/>
      <w:lang w:val="en-US" w:eastAsia="en-US" w:bidi="ar-SA"/>
    </w:rPr>
  </w:style>
  <w:style w:type="paragraph" w:styleId="Heading3">
    <w:name w:val="heading 3"/>
    <w:basedOn w:val="Normal"/>
    <w:next w:val="Normal"/>
    <w:link w:val="Heading3Char"/>
    <w:autoRedefine/>
    <w:uiPriority w:val="9"/>
    <w:unhideWhenUsed/>
    <w:qFormat/>
    <w:rsid w:val="00D16357"/>
    <w:pPr>
      <w:keepNext/>
      <w:keepLines/>
      <w:spacing w:before="160" w:after="80"/>
      <w:outlineLvl w:val="2"/>
    </w:pPr>
    <w:rPr>
      <w:rFonts w:eastAsiaTheme="majorEastAsia" w:cstheme="majorBidi"/>
      <w:b/>
      <w:i/>
      <w:sz w:val="26"/>
      <w:szCs w:val="35"/>
    </w:rPr>
  </w:style>
  <w:style w:type="paragraph" w:styleId="Heading4">
    <w:name w:val="heading 4"/>
    <w:basedOn w:val="Normal"/>
    <w:next w:val="Normal"/>
    <w:link w:val="Heading4Char"/>
    <w:uiPriority w:val="9"/>
    <w:semiHidden/>
    <w:unhideWhenUsed/>
    <w:qFormat/>
    <w:rsid w:val="005107A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107A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107A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107A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107A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107A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5F7"/>
    <w:rPr>
      <w:rFonts w:ascii="Arial" w:eastAsia="Calibri" w:hAnsi="Arial" w:cs="Arial"/>
      <w:b/>
      <w:color w:val="156082" w:themeColor="accent1"/>
      <w:sz w:val="30"/>
      <w:szCs w:val="22"/>
      <w:lang w:eastAsia="en-US" w:bidi="ar-SA"/>
    </w:rPr>
  </w:style>
  <w:style w:type="character" w:customStyle="1" w:styleId="Heading2Char">
    <w:name w:val="Heading 2 Char"/>
    <w:basedOn w:val="DefaultParagraphFont"/>
    <w:link w:val="Heading2"/>
    <w:uiPriority w:val="9"/>
    <w:rsid w:val="006B15F7"/>
    <w:rPr>
      <w:rFonts w:ascii="Arial" w:eastAsiaTheme="majorEastAsia" w:hAnsi="Arial" w:cs="Arial"/>
      <w:b/>
      <w:i/>
      <w:color w:val="80340D" w:themeColor="accent2" w:themeShade="80"/>
      <w:sz w:val="26"/>
      <w:szCs w:val="22"/>
      <w:lang w:eastAsia="en-US" w:bidi="ar-SA"/>
    </w:rPr>
  </w:style>
  <w:style w:type="character" w:customStyle="1" w:styleId="Heading3Char">
    <w:name w:val="Heading 3 Char"/>
    <w:basedOn w:val="DefaultParagraphFont"/>
    <w:link w:val="Heading3"/>
    <w:uiPriority w:val="9"/>
    <w:rsid w:val="00D16357"/>
    <w:rPr>
      <w:rFonts w:ascii="Times New Roman" w:eastAsiaTheme="majorEastAsia" w:hAnsi="Times New Roman" w:cstheme="majorBidi"/>
      <w:b/>
      <w:i/>
      <w:color w:val="000000" w:themeColor="text1"/>
      <w:sz w:val="26"/>
      <w:szCs w:val="35"/>
      <w:lang w:val="en-GB"/>
    </w:rPr>
  </w:style>
  <w:style w:type="paragraph" w:customStyle="1" w:styleId="Normal1">
    <w:name w:val="Normal1"/>
    <w:basedOn w:val="Normal"/>
    <w:link w:val="NORMALChar"/>
    <w:qFormat/>
    <w:rsid w:val="004A6299"/>
  </w:style>
  <w:style w:type="character" w:customStyle="1" w:styleId="NORMALChar">
    <w:name w:val="NORMAL Char"/>
    <w:basedOn w:val="DefaultParagraphFont"/>
    <w:link w:val="Normal1"/>
    <w:rsid w:val="004A6299"/>
    <w:rPr>
      <w:rFonts w:ascii="Times New Roman" w:hAnsi="Times New Roman"/>
      <w:color w:val="000000" w:themeColor="text1"/>
      <w:lang w:val="en-GB"/>
    </w:rPr>
  </w:style>
  <w:style w:type="character" w:customStyle="1" w:styleId="Heading4Char">
    <w:name w:val="Heading 4 Char"/>
    <w:basedOn w:val="DefaultParagraphFont"/>
    <w:link w:val="Heading4"/>
    <w:uiPriority w:val="9"/>
    <w:semiHidden/>
    <w:rsid w:val="005107A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107A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107A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107A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107A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107A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107AE"/>
    <w:pPr>
      <w:spacing w:after="80" w:line="240" w:lineRule="auto"/>
      <w:contextualSpacing/>
    </w:pPr>
    <w:rPr>
      <w:rFonts w:asciiTheme="majorHAnsi" w:eastAsiaTheme="majorEastAsia" w:hAnsiTheme="majorHAnsi" w:cstheme="majorBidi"/>
      <w:color w:val="auto"/>
      <w:spacing w:val="-10"/>
      <w:kern w:val="28"/>
      <w:sz w:val="56"/>
      <w:szCs w:val="71"/>
    </w:rPr>
  </w:style>
  <w:style w:type="character" w:customStyle="1" w:styleId="TitleChar">
    <w:name w:val="Title Char"/>
    <w:basedOn w:val="DefaultParagraphFont"/>
    <w:link w:val="Title"/>
    <w:uiPriority w:val="10"/>
    <w:rsid w:val="005107AE"/>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5107AE"/>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107AE"/>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5107AE"/>
    <w:pPr>
      <w:spacing w:before="160"/>
      <w:jc w:val="center"/>
    </w:pPr>
    <w:rPr>
      <w:i/>
      <w:iCs/>
      <w:color w:val="404040" w:themeColor="text1" w:themeTint="BF"/>
    </w:rPr>
  </w:style>
  <w:style w:type="character" w:customStyle="1" w:styleId="QuoteChar">
    <w:name w:val="Quote Char"/>
    <w:basedOn w:val="DefaultParagraphFont"/>
    <w:link w:val="Quote"/>
    <w:uiPriority w:val="29"/>
    <w:rsid w:val="005107AE"/>
    <w:rPr>
      <w:rFonts w:ascii="Times New Roman" w:hAnsi="Times New Roman"/>
      <w:i/>
      <w:iCs/>
      <w:color w:val="404040" w:themeColor="text1" w:themeTint="BF"/>
      <w:lang w:val="en-GB"/>
    </w:rPr>
  </w:style>
  <w:style w:type="paragraph" w:styleId="ListParagraph">
    <w:name w:val="List Paragraph"/>
    <w:basedOn w:val="Normal"/>
    <w:uiPriority w:val="34"/>
    <w:qFormat/>
    <w:rsid w:val="005107AE"/>
    <w:pPr>
      <w:ind w:left="720"/>
      <w:contextualSpacing/>
    </w:pPr>
  </w:style>
  <w:style w:type="character" w:styleId="IntenseEmphasis">
    <w:name w:val="Intense Emphasis"/>
    <w:basedOn w:val="DefaultParagraphFont"/>
    <w:uiPriority w:val="21"/>
    <w:qFormat/>
    <w:rsid w:val="005107AE"/>
    <w:rPr>
      <w:i/>
      <w:iCs/>
      <w:color w:val="0F4761" w:themeColor="accent1" w:themeShade="BF"/>
    </w:rPr>
  </w:style>
  <w:style w:type="paragraph" w:styleId="IntenseQuote">
    <w:name w:val="Intense Quote"/>
    <w:basedOn w:val="Normal"/>
    <w:next w:val="Normal"/>
    <w:link w:val="IntenseQuoteChar"/>
    <w:uiPriority w:val="30"/>
    <w:qFormat/>
    <w:rsid w:val="00510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7AE"/>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5107AE"/>
    <w:rPr>
      <w:b/>
      <w:bCs/>
      <w:smallCaps/>
      <w:color w:val="0F4761" w:themeColor="accent1" w:themeShade="BF"/>
      <w:spacing w:val="5"/>
    </w:rPr>
  </w:style>
  <w:style w:type="table" w:styleId="TableGrid">
    <w:name w:val="Table Grid"/>
    <w:basedOn w:val="TableNormal"/>
    <w:uiPriority w:val="59"/>
    <w:rsid w:val="006D6D44"/>
    <w:pPr>
      <w:spacing w:after="0" w:line="240" w:lineRule="auto"/>
    </w:pPr>
    <w:rPr>
      <w:kern w:val="0"/>
      <w:sz w:val="22"/>
      <w:szCs w:val="22"/>
      <w:lang w:eastAsia="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1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F84"/>
    <w:rPr>
      <w:rFonts w:ascii="Times New Roman" w:hAnsi="Times New Roman"/>
      <w:color w:val="000000" w:themeColor="text1"/>
      <w:lang w:val="en-GB"/>
    </w:rPr>
  </w:style>
  <w:style w:type="paragraph" w:styleId="Footer">
    <w:name w:val="footer"/>
    <w:basedOn w:val="Normal"/>
    <w:link w:val="FooterChar"/>
    <w:uiPriority w:val="99"/>
    <w:unhideWhenUsed/>
    <w:rsid w:val="005F1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F84"/>
    <w:rPr>
      <w:rFonts w:ascii="Times New Roman" w:hAnsi="Times New Roman"/>
      <w:color w:val="000000" w:themeColor="text1"/>
      <w:lang w:val="en-GB"/>
    </w:rPr>
  </w:style>
  <w:style w:type="character" w:styleId="Hyperlink">
    <w:name w:val="Hyperlink"/>
    <w:basedOn w:val="DefaultParagraphFont"/>
    <w:uiPriority w:val="99"/>
    <w:unhideWhenUsed/>
    <w:rsid w:val="002329A2"/>
    <w:rPr>
      <w:color w:val="467886" w:themeColor="hyperlink"/>
      <w:u w:val="single"/>
    </w:rPr>
  </w:style>
  <w:style w:type="character" w:styleId="UnresolvedMention">
    <w:name w:val="Unresolved Mention"/>
    <w:basedOn w:val="DefaultParagraphFont"/>
    <w:uiPriority w:val="99"/>
    <w:semiHidden/>
    <w:unhideWhenUsed/>
    <w:rsid w:val="002329A2"/>
    <w:rPr>
      <w:color w:val="605E5C"/>
      <w:shd w:val="clear" w:color="auto" w:fill="E1DFDD"/>
    </w:rPr>
  </w:style>
  <w:style w:type="table" w:styleId="GridTable1Light-Accent5">
    <w:name w:val="Grid Table 1 Light Accent 5"/>
    <w:basedOn w:val="TableNormal"/>
    <w:uiPriority w:val="46"/>
    <w:rsid w:val="0001512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72395"/>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2E2683"/>
    <w:pPr>
      <w:keepNext/>
      <w:keepLines/>
      <w:spacing w:before="240" w:after="0" w:line="259" w:lineRule="auto"/>
      <w:outlineLvl w:val="9"/>
    </w:pPr>
    <w:rPr>
      <w:rFonts w:asciiTheme="majorHAnsi" w:eastAsiaTheme="majorEastAsia" w:hAnsiTheme="majorHAnsi" w:cstheme="majorBidi"/>
      <w:b w:val="0"/>
      <w:color w:val="0F4761" w:themeColor="accent1" w:themeShade="BF"/>
      <w:kern w:val="0"/>
      <w:szCs w:val="32"/>
      <w14:ligatures w14:val="none"/>
    </w:rPr>
  </w:style>
  <w:style w:type="paragraph" w:styleId="TOC1">
    <w:name w:val="toc 1"/>
    <w:basedOn w:val="Normal"/>
    <w:next w:val="Normal"/>
    <w:autoRedefine/>
    <w:uiPriority w:val="39"/>
    <w:unhideWhenUsed/>
    <w:rsid w:val="002E2683"/>
    <w:pPr>
      <w:spacing w:after="100"/>
    </w:pPr>
  </w:style>
  <w:style w:type="paragraph" w:styleId="TOC2">
    <w:name w:val="toc 2"/>
    <w:basedOn w:val="Normal"/>
    <w:next w:val="Normal"/>
    <w:autoRedefine/>
    <w:uiPriority w:val="39"/>
    <w:unhideWhenUsed/>
    <w:rsid w:val="002E2683"/>
    <w:pPr>
      <w:spacing w:after="100"/>
      <w:ind w:left="240"/>
    </w:pPr>
  </w:style>
  <w:style w:type="paragraph" w:styleId="NormalWeb">
    <w:name w:val="Normal (Web)"/>
    <w:basedOn w:val="Normal"/>
    <w:uiPriority w:val="99"/>
    <w:semiHidden/>
    <w:unhideWhenUsed/>
    <w:rsid w:val="004139F8"/>
    <w:rPr>
      <w:rFonts w:cs="Angsana New"/>
    </w:rPr>
  </w:style>
  <w:style w:type="paragraph" w:customStyle="1" w:styleId="Compact">
    <w:name w:val="Compact"/>
    <w:basedOn w:val="BodyText"/>
    <w:qFormat/>
    <w:rsid w:val="0054605B"/>
    <w:pPr>
      <w:spacing w:before="36" w:after="36" w:line="240" w:lineRule="auto"/>
      <w:jc w:val="left"/>
    </w:pPr>
    <w:rPr>
      <w:rFonts w:asciiTheme="minorHAnsi" w:eastAsiaTheme="minorHAnsi" w:hAnsiTheme="minorHAnsi"/>
      <w:color w:val="auto"/>
      <w:kern w:val="0"/>
      <w:szCs w:val="24"/>
      <w:lang w:val="en-US" w:eastAsia="en-US" w:bidi="ar-SA"/>
      <w14:ligatures w14:val="none"/>
    </w:rPr>
  </w:style>
  <w:style w:type="paragraph" w:styleId="BodyText">
    <w:name w:val="Body Text"/>
    <w:basedOn w:val="Normal"/>
    <w:link w:val="BodyTextChar"/>
    <w:uiPriority w:val="99"/>
    <w:semiHidden/>
    <w:unhideWhenUsed/>
    <w:rsid w:val="0054605B"/>
    <w:pPr>
      <w:spacing w:after="120"/>
    </w:pPr>
  </w:style>
  <w:style w:type="character" w:customStyle="1" w:styleId="BodyTextChar">
    <w:name w:val="Body Text Char"/>
    <w:basedOn w:val="DefaultParagraphFont"/>
    <w:link w:val="BodyText"/>
    <w:uiPriority w:val="99"/>
    <w:semiHidden/>
    <w:rsid w:val="0054605B"/>
    <w:rPr>
      <w:rFonts w:ascii="Times New Roman" w:hAnsi="Times New Roman"/>
      <w:color w:val="000000" w:themeColor="text1"/>
      <w:lang w:val="en-GB"/>
    </w:rPr>
  </w:style>
  <w:style w:type="paragraph" w:styleId="TOC3">
    <w:name w:val="toc 3"/>
    <w:basedOn w:val="Normal"/>
    <w:next w:val="Normal"/>
    <w:autoRedefine/>
    <w:uiPriority w:val="39"/>
    <w:unhideWhenUsed/>
    <w:rsid w:val="00040ACE"/>
    <w:pPr>
      <w:spacing w:after="100"/>
      <w:ind w:left="480"/>
    </w:pPr>
  </w:style>
  <w:style w:type="table" w:customStyle="1" w:styleId="TableGrid1">
    <w:name w:val="Table Grid1"/>
    <w:basedOn w:val="TableNormal"/>
    <w:next w:val="TableGrid"/>
    <w:uiPriority w:val="59"/>
    <w:rsid w:val="00083BFF"/>
    <w:pPr>
      <w:spacing w:after="0" w:line="240" w:lineRule="auto"/>
    </w:pPr>
    <w:rPr>
      <w:rFonts w:ascii="Calibri" w:eastAsia="Calibri" w:hAnsi="Calibri" w:cs="Arial"/>
      <w:kern w:val="0"/>
      <w:sz w:val="22"/>
      <w:szCs w:val="22"/>
      <w:lang w:val="en-GB" w:eastAsia="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919B7"/>
    <w:pPr>
      <w:spacing w:after="0" w:line="240" w:lineRule="auto"/>
    </w:pPr>
    <w:rPr>
      <w:rFonts w:ascii="Calibri" w:eastAsia="Calibri" w:hAnsi="Calibri" w:cs="Cordia New"/>
      <w:kern w:val="0"/>
      <w:sz w:val="22"/>
      <w:szCs w:val="22"/>
      <w:lang w:val="en-GB" w:eastAsia="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
    <w:name w:val="Reference"/>
    <w:rsid w:val="008A6F6D"/>
    <w:pPr>
      <w:spacing w:after="200" w:line="276" w:lineRule="auto"/>
    </w:pPr>
    <w:rPr>
      <w:rFonts w:ascii="Arial" w:hAnsi="Arial"/>
      <w:kern w:val="0"/>
      <w:sz w:val="21"/>
      <w:szCs w:val="22"/>
      <w:lang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D6485-069D-4612-8830-992068C46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2252</Words>
  <Characters>12843</Characters>
  <Application>Microsoft Office Word</Application>
  <DocSecurity>0</DocSecurity>
  <Lines>107</Lines>
  <Paragraphs>30</Paragraphs>
  <ScaleCrop>false</ScaleCrop>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2026-08-05T17:09:00Z</dcterms:created>
  <dcterms:modified xsi:type="dcterms:W3CDTF">2026-08-07T21:42:00Z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297b9da1-55ba-4555-8d00-0dc109e8286d</vt:lpwstr>
  </property>
</Properties>
</file>