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C5316" w14:textId="5C8B1EAA" w:rsidR="00E1684D" w:rsidRPr="00C6726B" w:rsidRDefault="00BF27DE" w:rsidP="00E1684D">
      <w:pPr>
        <w:spacing w:before="100" w:beforeAutospacing="1" w:after="100" w:afterAutospacing="1"/>
        <w:jc w:val="center"/>
        <w:outlineLvl w:val="1"/>
        <w:rPr>
          <w:rFonts w:cs="Arial"/>
          <w:b/>
          <w:bCs/>
          <w:color w:val="0D0D0D" w:themeColor="text1" w:themeTint="F2"/>
          <w:szCs w:val="23"/>
        </w:rPr>
      </w:pPr>
      <w:r w:rsidRPr="00C6726B">
        <w:rPr>
          <w:rFonts w:cs="Arial"/>
          <w:noProof/>
          <w:color w:val="0D0D0D" w:themeColor="text1" w:themeTint="F2"/>
          <w:szCs w:val="23"/>
        </w:rPr>
        <w:drawing>
          <wp:anchor distT="0" distB="0" distL="114300" distR="114300" simplePos="0" relativeHeight="251659264" behindDoc="1" locked="0" layoutInCell="1" allowOverlap="1" wp14:anchorId="49001CC8" wp14:editId="47EAE055">
            <wp:simplePos x="0" y="0"/>
            <wp:positionH relativeFrom="margin">
              <wp:posOffset>457200</wp:posOffset>
            </wp:positionH>
            <wp:positionV relativeFrom="paragraph">
              <wp:posOffset>440</wp:posOffset>
            </wp:positionV>
            <wp:extent cx="4824730" cy="1340485"/>
            <wp:effectExtent l="0" t="0" r="0" b="0"/>
            <wp:wrapTight wrapText="bothSides">
              <wp:wrapPolygon edited="0">
                <wp:start x="1023" y="3888"/>
                <wp:lineTo x="1080" y="11051"/>
                <wp:lineTo x="1478" y="14120"/>
                <wp:lineTo x="2502" y="17190"/>
                <wp:lineTo x="2559" y="17599"/>
                <wp:lineTo x="7221" y="17599"/>
                <wp:lineTo x="12963" y="17190"/>
                <wp:lineTo x="12907" y="14325"/>
                <wp:lineTo x="17171" y="13302"/>
                <wp:lineTo x="17114" y="10846"/>
                <wp:lineTo x="18081" y="10846"/>
                <wp:lineTo x="21378" y="8390"/>
                <wp:lineTo x="21435" y="5935"/>
                <wp:lineTo x="20923" y="5116"/>
                <wp:lineTo x="19275" y="3888"/>
                <wp:lineTo x="1023" y="3888"/>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824730" cy="13404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684D" w:rsidRPr="00C6726B">
        <w:rPr>
          <w:rFonts w:cs="Arial"/>
          <w:b/>
          <w:bCs/>
          <w:color w:val="0D0D0D" w:themeColor="text1" w:themeTint="F2"/>
          <w:szCs w:val="23"/>
        </w:rPr>
        <w:t xml:space="preserve">            </w:t>
      </w:r>
    </w:p>
    <w:p w14:paraId="61FC2365" w14:textId="089879F3" w:rsidR="00E1684D" w:rsidRPr="00C6726B" w:rsidRDefault="00E1684D" w:rsidP="00E1684D">
      <w:pPr>
        <w:spacing w:before="100" w:beforeAutospacing="1" w:after="100" w:afterAutospacing="1"/>
        <w:jc w:val="center"/>
        <w:outlineLvl w:val="1"/>
        <w:rPr>
          <w:rFonts w:cs="Arial"/>
          <w:b/>
          <w:bCs/>
          <w:color w:val="0D0D0D" w:themeColor="text1" w:themeTint="F2"/>
          <w:szCs w:val="23"/>
        </w:rPr>
      </w:pPr>
    </w:p>
    <w:p w14:paraId="20E6C092" w14:textId="77777777" w:rsidR="00E1684D" w:rsidRPr="00C6726B" w:rsidRDefault="00E1684D" w:rsidP="00E1684D">
      <w:pPr>
        <w:spacing w:before="100" w:beforeAutospacing="1" w:after="100" w:afterAutospacing="1"/>
        <w:jc w:val="center"/>
        <w:outlineLvl w:val="1"/>
        <w:rPr>
          <w:rFonts w:cs="Arial"/>
          <w:b/>
          <w:bCs/>
          <w:color w:val="0D0D0D" w:themeColor="text1" w:themeTint="F2"/>
          <w:szCs w:val="23"/>
        </w:rPr>
      </w:pPr>
    </w:p>
    <w:p w14:paraId="4D677269" w14:textId="77777777" w:rsidR="00BF27DE" w:rsidRPr="00C6726B" w:rsidRDefault="00BF27DE" w:rsidP="00E1684D">
      <w:pPr>
        <w:spacing w:before="100" w:beforeAutospacing="1" w:after="100" w:afterAutospacing="1"/>
        <w:jc w:val="center"/>
        <w:outlineLvl w:val="1"/>
        <w:rPr>
          <w:rFonts w:cs="Arial"/>
          <w:b/>
          <w:bCs/>
          <w:color w:val="0D0D0D" w:themeColor="text1" w:themeTint="F2"/>
          <w:szCs w:val="23"/>
        </w:rPr>
      </w:pPr>
    </w:p>
    <w:p w14:paraId="78218C97" w14:textId="77777777" w:rsidR="00947335" w:rsidRPr="00C6726B" w:rsidRDefault="00947335" w:rsidP="00E1684D">
      <w:pPr>
        <w:spacing w:before="100" w:beforeAutospacing="1" w:after="100" w:afterAutospacing="1"/>
        <w:jc w:val="center"/>
        <w:outlineLvl w:val="1"/>
        <w:rPr>
          <w:rFonts w:cs="Arial"/>
          <w:b/>
          <w:bCs/>
          <w:color w:val="0D0D0D" w:themeColor="text1" w:themeTint="F2"/>
          <w:szCs w:val="23"/>
        </w:rPr>
      </w:pPr>
    </w:p>
    <w:p w14:paraId="0BFC2EDF" w14:textId="77777777" w:rsidR="00C6726B" w:rsidRPr="00C6726B" w:rsidRDefault="00C6726B" w:rsidP="00E1684D">
      <w:pPr>
        <w:spacing w:before="100" w:beforeAutospacing="1" w:after="100" w:afterAutospacing="1"/>
        <w:jc w:val="center"/>
        <w:outlineLvl w:val="1"/>
        <w:rPr>
          <w:rFonts w:cs="Arial"/>
          <w:b/>
          <w:bCs/>
          <w:color w:val="0D0D0D" w:themeColor="text1" w:themeTint="F2"/>
          <w:szCs w:val="23"/>
        </w:rPr>
      </w:pPr>
    </w:p>
    <w:p w14:paraId="4F766393" w14:textId="77777777" w:rsidR="00E1684D" w:rsidRPr="00C6726B" w:rsidRDefault="00E1684D" w:rsidP="00E1684D">
      <w:pPr>
        <w:jc w:val="center"/>
        <w:rPr>
          <w:rFonts w:eastAsiaTheme="minorEastAsia" w:cs="Arial"/>
          <w:b/>
          <w:bCs/>
          <w:color w:val="0D0D0D" w:themeColor="text1" w:themeTint="F2"/>
          <w:szCs w:val="23"/>
          <w:lang w:val="en-US"/>
        </w:rPr>
      </w:pPr>
    </w:p>
    <w:p w14:paraId="0BD6E3A2" w14:textId="78435223" w:rsidR="00E1684D" w:rsidRPr="00C6726B" w:rsidRDefault="00E1684D" w:rsidP="00E1684D">
      <w:pPr>
        <w:jc w:val="center"/>
        <w:rPr>
          <w:rFonts w:eastAsiaTheme="minorEastAsia" w:cs="Arial"/>
          <w:b/>
          <w:bCs/>
          <w:color w:val="0D0D0D" w:themeColor="text1" w:themeTint="F2"/>
          <w:sz w:val="32"/>
          <w:szCs w:val="32"/>
          <w:lang w:val="en-US"/>
        </w:rPr>
      </w:pPr>
      <w:r w:rsidRPr="00C6726B">
        <w:rPr>
          <w:rFonts w:eastAsiaTheme="minorEastAsia" w:cs="Arial"/>
          <w:b/>
          <w:bCs/>
          <w:color w:val="0D0D0D" w:themeColor="text1" w:themeTint="F2"/>
          <w:sz w:val="32"/>
          <w:szCs w:val="32"/>
          <w:lang w:val="en-US"/>
        </w:rPr>
        <w:t xml:space="preserve">Module: </w:t>
      </w:r>
      <w:r w:rsidR="004F4FE6" w:rsidRPr="00C6726B">
        <w:rPr>
          <w:rFonts w:eastAsiaTheme="minorEastAsia" w:cs="Arial"/>
          <w:b/>
          <w:bCs/>
          <w:color w:val="0D0D0D" w:themeColor="text1" w:themeTint="F2"/>
          <w:sz w:val="32"/>
          <w:szCs w:val="32"/>
          <w:lang w:val="en-US"/>
        </w:rPr>
        <w:t xml:space="preserve">Health Care System </w:t>
      </w:r>
      <w:proofErr w:type="spellStart"/>
      <w:r w:rsidR="004F4FE6" w:rsidRPr="00C6726B">
        <w:rPr>
          <w:rFonts w:eastAsiaTheme="minorEastAsia" w:cs="Arial"/>
          <w:b/>
          <w:bCs/>
          <w:color w:val="0D0D0D" w:themeColor="text1" w:themeTint="F2"/>
          <w:sz w:val="32"/>
          <w:szCs w:val="32"/>
          <w:lang w:val="en-US"/>
        </w:rPr>
        <w:t>Organisation</w:t>
      </w:r>
      <w:proofErr w:type="spellEnd"/>
      <w:r w:rsidR="004F4FE6" w:rsidRPr="00C6726B">
        <w:rPr>
          <w:rFonts w:eastAsiaTheme="minorEastAsia" w:cs="Arial"/>
          <w:b/>
          <w:bCs/>
          <w:color w:val="0D0D0D" w:themeColor="text1" w:themeTint="F2"/>
          <w:sz w:val="32"/>
          <w:szCs w:val="32"/>
          <w:lang w:val="en-US"/>
        </w:rPr>
        <w:t xml:space="preserve"> and Leadership</w:t>
      </w:r>
    </w:p>
    <w:p w14:paraId="71E3651B" w14:textId="77777777" w:rsidR="00A2086F" w:rsidRPr="00C6726B" w:rsidRDefault="00A2086F" w:rsidP="00E1684D">
      <w:pPr>
        <w:jc w:val="center"/>
        <w:rPr>
          <w:rFonts w:cs="Arial"/>
          <w:color w:val="0D0D0D" w:themeColor="text1" w:themeTint="F2"/>
          <w:sz w:val="32"/>
          <w:szCs w:val="32"/>
          <w:lang w:val="en-US"/>
        </w:rPr>
      </w:pPr>
    </w:p>
    <w:p w14:paraId="4DE7808A" w14:textId="44BDCA60" w:rsidR="00E1684D" w:rsidRPr="00C6726B" w:rsidRDefault="00E1684D" w:rsidP="00E1684D">
      <w:pPr>
        <w:jc w:val="center"/>
        <w:rPr>
          <w:rFonts w:cs="Arial"/>
          <w:color w:val="0D0D0D" w:themeColor="text1" w:themeTint="F2"/>
          <w:kern w:val="36"/>
          <w:sz w:val="32"/>
          <w:szCs w:val="32"/>
        </w:rPr>
      </w:pPr>
      <w:r w:rsidRPr="00C6726B">
        <w:rPr>
          <w:rFonts w:cs="Arial"/>
          <w:b/>
          <w:bCs/>
          <w:color w:val="0D0D0D" w:themeColor="text1" w:themeTint="F2"/>
          <w:sz w:val="32"/>
          <w:szCs w:val="32"/>
          <w:lang w:val="en-US"/>
        </w:rPr>
        <w:t xml:space="preserve">Module code: </w:t>
      </w:r>
      <w:r w:rsidR="00B13822" w:rsidRPr="00C6726B">
        <w:rPr>
          <w:rFonts w:eastAsiaTheme="minorEastAsia" w:cs="Arial"/>
          <w:color w:val="0D0D0D" w:themeColor="text1" w:themeTint="F2"/>
          <w:sz w:val="32"/>
          <w:szCs w:val="32"/>
          <w:lang w:val="en-US"/>
        </w:rPr>
        <w:t>LCHS7002</w:t>
      </w:r>
    </w:p>
    <w:p w14:paraId="453AFAEF" w14:textId="77777777" w:rsidR="00E1684D" w:rsidRPr="00C6726B" w:rsidRDefault="00E1684D" w:rsidP="00E1684D">
      <w:pPr>
        <w:rPr>
          <w:rFonts w:cs="Arial"/>
          <w:color w:val="0D0D0D" w:themeColor="text1" w:themeTint="F2"/>
          <w:sz w:val="32"/>
          <w:szCs w:val="32"/>
          <w:lang w:val="en-US"/>
        </w:rPr>
      </w:pPr>
    </w:p>
    <w:p w14:paraId="02B983A3" w14:textId="1703662E" w:rsidR="00E1684D" w:rsidRPr="00C6726B" w:rsidRDefault="00E1684D" w:rsidP="00E1684D">
      <w:pPr>
        <w:pStyle w:val="ListParagraph"/>
        <w:jc w:val="center"/>
        <w:rPr>
          <w:rFonts w:cs="Arial"/>
          <w:color w:val="0D0D0D" w:themeColor="text1" w:themeTint="F2"/>
          <w:sz w:val="32"/>
          <w:szCs w:val="32"/>
          <w:shd w:val="clear" w:color="auto" w:fill="FFFFFF"/>
        </w:rPr>
      </w:pPr>
      <w:r w:rsidRPr="00C6726B">
        <w:rPr>
          <w:rFonts w:eastAsiaTheme="minorEastAsia" w:cs="Arial"/>
          <w:b/>
          <w:bCs/>
          <w:color w:val="0D0D0D" w:themeColor="text1" w:themeTint="F2"/>
          <w:sz w:val="32"/>
          <w:szCs w:val="32"/>
          <w:lang w:val="en-US"/>
        </w:rPr>
        <w:t xml:space="preserve">Lecturer: </w:t>
      </w:r>
      <w:r w:rsidR="00C5604A" w:rsidRPr="00C6726B">
        <w:rPr>
          <w:rFonts w:eastAsiaTheme="minorEastAsia" w:cs="Arial"/>
          <w:b/>
          <w:bCs/>
          <w:color w:val="0D0D0D" w:themeColor="text1" w:themeTint="F2"/>
          <w:sz w:val="32"/>
          <w:szCs w:val="32"/>
          <w:lang w:val="en-US"/>
        </w:rPr>
        <w:t xml:space="preserve">Dr. </w:t>
      </w:r>
      <w:r w:rsidR="007E3624" w:rsidRPr="00C6726B">
        <w:rPr>
          <w:rFonts w:eastAsiaTheme="minorEastAsia" w:cs="Arial"/>
          <w:b/>
          <w:bCs/>
          <w:color w:val="0D0D0D" w:themeColor="text1" w:themeTint="F2"/>
          <w:sz w:val="32"/>
          <w:szCs w:val="32"/>
          <w:lang w:val="en-US"/>
        </w:rPr>
        <w:t>Fahad</w:t>
      </w:r>
      <w:r w:rsidR="001E3411" w:rsidRPr="00C6726B">
        <w:rPr>
          <w:rFonts w:eastAsiaTheme="minorEastAsia" w:cs="Arial"/>
          <w:b/>
          <w:bCs/>
          <w:color w:val="0D0D0D" w:themeColor="text1" w:themeTint="F2"/>
          <w:sz w:val="32"/>
          <w:szCs w:val="32"/>
          <w:lang w:val="en-US"/>
        </w:rPr>
        <w:t xml:space="preserve"> Khan</w:t>
      </w:r>
    </w:p>
    <w:p w14:paraId="21FBAB68" w14:textId="77777777" w:rsidR="00E1684D" w:rsidRPr="00C6726B" w:rsidRDefault="00E1684D" w:rsidP="00E1684D">
      <w:pPr>
        <w:rPr>
          <w:rFonts w:cs="Arial"/>
          <w:color w:val="0D0D0D" w:themeColor="text1" w:themeTint="F2"/>
          <w:sz w:val="32"/>
          <w:szCs w:val="32"/>
          <w:shd w:val="clear" w:color="auto" w:fill="FFFFFF"/>
        </w:rPr>
      </w:pPr>
    </w:p>
    <w:p w14:paraId="4EEB682F" w14:textId="77777777" w:rsidR="00E1684D" w:rsidRPr="00C6726B" w:rsidRDefault="00E1684D" w:rsidP="00E1684D">
      <w:pPr>
        <w:jc w:val="center"/>
        <w:rPr>
          <w:rFonts w:eastAsiaTheme="minorEastAsia" w:cs="Arial"/>
          <w:color w:val="0D0D0D" w:themeColor="text1" w:themeTint="F2"/>
          <w:sz w:val="32"/>
          <w:szCs w:val="32"/>
          <w:lang w:val="en-US"/>
        </w:rPr>
      </w:pPr>
      <w:r w:rsidRPr="00C6726B">
        <w:rPr>
          <w:rFonts w:eastAsiaTheme="minorEastAsia" w:cs="Arial"/>
          <w:b/>
          <w:bCs/>
          <w:color w:val="0D0D0D" w:themeColor="text1" w:themeTint="F2"/>
          <w:sz w:val="32"/>
          <w:szCs w:val="32"/>
          <w:lang w:val="en-US"/>
        </w:rPr>
        <w:t xml:space="preserve">Student name: </w:t>
      </w:r>
      <w:proofErr w:type="spellStart"/>
      <w:r w:rsidRPr="00C6726B">
        <w:rPr>
          <w:rFonts w:eastAsiaTheme="minorEastAsia" w:cs="Arial"/>
          <w:color w:val="0D0D0D" w:themeColor="text1" w:themeTint="F2"/>
          <w:sz w:val="32"/>
          <w:szCs w:val="32"/>
          <w:lang w:val="en-US"/>
        </w:rPr>
        <w:t>Abeer</w:t>
      </w:r>
      <w:proofErr w:type="spellEnd"/>
      <w:r w:rsidRPr="00C6726B">
        <w:rPr>
          <w:rFonts w:eastAsiaTheme="minorEastAsia" w:cs="Arial"/>
          <w:color w:val="0D0D0D" w:themeColor="text1" w:themeTint="F2"/>
          <w:sz w:val="32"/>
          <w:szCs w:val="32"/>
          <w:lang w:val="en-US"/>
        </w:rPr>
        <w:t xml:space="preserve"> </w:t>
      </w:r>
      <w:proofErr w:type="spellStart"/>
      <w:r w:rsidRPr="00C6726B">
        <w:rPr>
          <w:rFonts w:eastAsiaTheme="minorEastAsia" w:cs="Arial"/>
          <w:color w:val="0D0D0D" w:themeColor="text1" w:themeTint="F2"/>
          <w:sz w:val="32"/>
          <w:szCs w:val="32"/>
          <w:lang w:val="en-US"/>
        </w:rPr>
        <w:t>Ishal</w:t>
      </w:r>
      <w:proofErr w:type="spellEnd"/>
    </w:p>
    <w:p w14:paraId="1CDA939A" w14:textId="77777777" w:rsidR="00A2086F" w:rsidRPr="00C6726B" w:rsidRDefault="00A2086F" w:rsidP="00E1684D">
      <w:pPr>
        <w:jc w:val="center"/>
        <w:rPr>
          <w:rFonts w:cs="Arial"/>
          <w:color w:val="0D0D0D" w:themeColor="text1" w:themeTint="F2"/>
          <w:sz w:val="32"/>
          <w:szCs w:val="32"/>
        </w:rPr>
      </w:pPr>
    </w:p>
    <w:p w14:paraId="3808B4C8" w14:textId="77777777" w:rsidR="00E1684D" w:rsidRPr="00C6726B" w:rsidRDefault="00E1684D" w:rsidP="00E1684D">
      <w:pPr>
        <w:jc w:val="center"/>
        <w:rPr>
          <w:rFonts w:cs="Arial"/>
          <w:color w:val="0D0D0D" w:themeColor="text1" w:themeTint="F2"/>
          <w:sz w:val="32"/>
          <w:szCs w:val="32"/>
          <w:lang w:val="en-US"/>
        </w:rPr>
      </w:pPr>
      <w:r w:rsidRPr="00C6726B">
        <w:rPr>
          <w:rFonts w:eastAsiaTheme="minorEastAsia" w:cs="Arial"/>
          <w:b/>
          <w:bCs/>
          <w:color w:val="0D0D0D" w:themeColor="text1" w:themeTint="F2"/>
          <w:sz w:val="32"/>
          <w:szCs w:val="32"/>
          <w:lang w:val="en-US"/>
        </w:rPr>
        <w:t xml:space="preserve">Student number: </w:t>
      </w:r>
      <w:r w:rsidRPr="00C6726B">
        <w:rPr>
          <w:rFonts w:eastAsiaTheme="minorEastAsia" w:cs="Arial"/>
          <w:color w:val="0D0D0D" w:themeColor="text1" w:themeTint="F2"/>
          <w:sz w:val="32"/>
          <w:szCs w:val="32"/>
          <w:lang w:val="en-US"/>
        </w:rPr>
        <w:t>2128229</w:t>
      </w:r>
    </w:p>
    <w:p w14:paraId="410C311A" w14:textId="77777777" w:rsidR="00E1684D" w:rsidRPr="00C6726B" w:rsidRDefault="00E1684D" w:rsidP="00E1684D">
      <w:pPr>
        <w:jc w:val="center"/>
        <w:rPr>
          <w:rFonts w:cs="Arial"/>
          <w:color w:val="0D0D0D" w:themeColor="text1" w:themeTint="F2"/>
          <w:sz w:val="32"/>
          <w:szCs w:val="32"/>
        </w:rPr>
      </w:pPr>
    </w:p>
    <w:p w14:paraId="0C9A5177" w14:textId="3D275F18" w:rsidR="00E1684D" w:rsidRPr="00C6726B" w:rsidRDefault="00E1684D" w:rsidP="00E1684D">
      <w:pPr>
        <w:jc w:val="center"/>
        <w:rPr>
          <w:rFonts w:cs="Arial"/>
          <w:b/>
          <w:bCs/>
          <w:color w:val="0D0D0D" w:themeColor="text1" w:themeTint="F2"/>
          <w:sz w:val="32"/>
          <w:szCs w:val="32"/>
        </w:rPr>
      </w:pPr>
      <w:r w:rsidRPr="00C6726B">
        <w:rPr>
          <w:rFonts w:cs="Arial"/>
          <w:b/>
          <w:bCs/>
          <w:color w:val="0D0D0D" w:themeColor="text1" w:themeTint="F2"/>
          <w:sz w:val="32"/>
          <w:szCs w:val="32"/>
        </w:rPr>
        <w:t xml:space="preserve">Assignment Title: </w:t>
      </w:r>
      <w:r w:rsidR="00653B89" w:rsidRPr="00653B89">
        <w:rPr>
          <w:rFonts w:cs="Arial"/>
          <w:color w:val="0D0D0D" w:themeColor="text1" w:themeTint="F2"/>
          <w:sz w:val="32"/>
          <w:szCs w:val="32"/>
        </w:rPr>
        <w:t>The</w:t>
      </w:r>
      <w:r w:rsidR="00653B89">
        <w:rPr>
          <w:rFonts w:cs="Arial"/>
          <w:b/>
          <w:bCs/>
          <w:color w:val="0D0D0D" w:themeColor="text1" w:themeTint="F2"/>
          <w:sz w:val="32"/>
          <w:szCs w:val="32"/>
        </w:rPr>
        <w:t xml:space="preserve"> </w:t>
      </w:r>
      <w:r w:rsidR="00653B89" w:rsidRPr="00653B89">
        <w:rPr>
          <w:rFonts w:cs="Arial"/>
          <w:color w:val="0D0D0D" w:themeColor="text1" w:themeTint="F2"/>
          <w:sz w:val="32"/>
          <w:szCs w:val="32"/>
        </w:rPr>
        <w:t>C</w:t>
      </w:r>
      <w:r w:rsidR="001E3411" w:rsidRPr="00C6726B">
        <w:rPr>
          <w:rFonts w:cs="Arial"/>
          <w:color w:val="0D0D0D" w:themeColor="text1" w:themeTint="F2"/>
          <w:sz w:val="32"/>
          <w:szCs w:val="32"/>
        </w:rPr>
        <w:t xml:space="preserve">ase Study </w:t>
      </w:r>
      <w:r w:rsidR="00653B89">
        <w:rPr>
          <w:rFonts w:cs="Arial"/>
          <w:color w:val="0D0D0D" w:themeColor="text1" w:themeTint="F2"/>
          <w:sz w:val="32"/>
          <w:szCs w:val="32"/>
        </w:rPr>
        <w:t xml:space="preserve">and </w:t>
      </w:r>
      <w:r w:rsidR="001E3411" w:rsidRPr="00C6726B">
        <w:rPr>
          <w:rFonts w:cs="Arial"/>
          <w:color w:val="0D0D0D" w:themeColor="text1" w:themeTint="F2"/>
          <w:sz w:val="32"/>
          <w:szCs w:val="32"/>
        </w:rPr>
        <w:t>Analysis Report</w:t>
      </w:r>
      <w:r w:rsidR="00653B89">
        <w:rPr>
          <w:rFonts w:cs="Arial"/>
          <w:color w:val="0D0D0D" w:themeColor="text1" w:themeTint="F2"/>
          <w:sz w:val="32"/>
          <w:szCs w:val="32"/>
        </w:rPr>
        <w:t xml:space="preserve"> of Professor Amit Patel</w:t>
      </w:r>
    </w:p>
    <w:p w14:paraId="62940AA2" w14:textId="77777777" w:rsidR="00100983" w:rsidRPr="00C6726B" w:rsidRDefault="00100983" w:rsidP="00100983">
      <w:pPr>
        <w:pStyle w:val="NormalWeb"/>
        <w:spacing w:before="0" w:beforeAutospacing="0" w:after="240" w:afterAutospacing="0"/>
        <w:rPr>
          <w:rFonts w:ascii="Arial" w:hAnsi="Arial" w:cs="Arial"/>
          <w:color w:val="0D0D0D" w:themeColor="text1" w:themeTint="F2"/>
          <w:sz w:val="32"/>
          <w:szCs w:val="32"/>
        </w:rPr>
      </w:pPr>
    </w:p>
    <w:p w14:paraId="4FF644CC" w14:textId="77777777" w:rsidR="00100983" w:rsidRPr="00C6726B" w:rsidRDefault="00100983" w:rsidP="00100983">
      <w:pPr>
        <w:pStyle w:val="NormalWeb"/>
        <w:spacing w:before="0" w:beforeAutospacing="0" w:after="240" w:afterAutospacing="0"/>
        <w:rPr>
          <w:rFonts w:ascii="Arial" w:hAnsi="Arial" w:cs="Arial"/>
          <w:color w:val="0D0D0D" w:themeColor="text1" w:themeTint="F2"/>
          <w:sz w:val="32"/>
          <w:szCs w:val="32"/>
        </w:rPr>
      </w:pPr>
    </w:p>
    <w:p w14:paraId="5B9B436E" w14:textId="77777777" w:rsidR="0062363B" w:rsidRPr="00C6726B" w:rsidRDefault="0062363B" w:rsidP="00100983">
      <w:pPr>
        <w:pStyle w:val="NormalWeb"/>
        <w:spacing w:before="0" w:beforeAutospacing="0" w:after="240" w:afterAutospacing="0"/>
        <w:rPr>
          <w:rFonts w:ascii="Arial" w:hAnsi="Arial" w:cs="Arial"/>
          <w:color w:val="0D0D0D" w:themeColor="text1" w:themeTint="F2"/>
          <w:sz w:val="32"/>
          <w:szCs w:val="32"/>
        </w:rPr>
      </w:pPr>
    </w:p>
    <w:p w14:paraId="2D2D5AAD"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32"/>
          <w:szCs w:val="32"/>
        </w:rPr>
      </w:pPr>
    </w:p>
    <w:p w14:paraId="50AC6C45"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199120B3"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6F4AFC04"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34EF38D5"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11F8B395"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6FB7BD74" w14:textId="77777777" w:rsidR="00C00E74" w:rsidRPr="00C6726B" w:rsidRDefault="00C00E74" w:rsidP="00100983">
      <w:pPr>
        <w:pStyle w:val="NormalWeb"/>
        <w:spacing w:before="0" w:beforeAutospacing="0" w:after="240" w:afterAutospacing="0"/>
        <w:rPr>
          <w:rFonts w:ascii="Arial" w:hAnsi="Arial" w:cs="Arial"/>
          <w:color w:val="0D0D0D" w:themeColor="text1" w:themeTint="F2"/>
          <w:sz w:val="23"/>
          <w:szCs w:val="23"/>
        </w:rPr>
      </w:pPr>
    </w:p>
    <w:p w14:paraId="5890AFCE" w14:textId="77777777" w:rsidR="00C6726B" w:rsidRPr="00C6726B" w:rsidRDefault="00C6726B" w:rsidP="00100983">
      <w:pPr>
        <w:pStyle w:val="NormalWeb"/>
        <w:spacing w:before="0" w:beforeAutospacing="0" w:after="240" w:afterAutospacing="0"/>
        <w:rPr>
          <w:rFonts w:ascii="Arial" w:hAnsi="Arial" w:cs="Arial"/>
          <w:color w:val="0D0D0D" w:themeColor="text1" w:themeTint="F2"/>
          <w:sz w:val="23"/>
          <w:szCs w:val="23"/>
        </w:rPr>
      </w:pPr>
    </w:p>
    <w:p w14:paraId="265D1FCC" w14:textId="14CC7C3B" w:rsidR="00100983" w:rsidRPr="00653B89" w:rsidRDefault="007045DC" w:rsidP="00474ADF">
      <w:pPr>
        <w:pStyle w:val="NormalWeb"/>
        <w:spacing w:before="0" w:beforeAutospacing="0" w:after="240"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lastRenderedPageBreak/>
        <w:t xml:space="preserve">Introduction </w:t>
      </w:r>
    </w:p>
    <w:p w14:paraId="33B2F837" w14:textId="631AF98F" w:rsidR="007045DC" w:rsidRPr="00653B89" w:rsidRDefault="007045DC" w:rsidP="00474ADF">
      <w:pPr>
        <w:spacing w:line="360" w:lineRule="auto"/>
        <w:rPr>
          <w:rFonts w:cs="Arial"/>
          <w:color w:val="0D0D0D" w:themeColor="text1" w:themeTint="F2"/>
          <w:sz w:val="22"/>
          <w:szCs w:val="22"/>
          <w:shd w:val="clear" w:color="auto" w:fill="FFFFFF"/>
        </w:rPr>
      </w:pPr>
      <w:r w:rsidRPr="00653B89">
        <w:rPr>
          <w:rFonts w:cs="Arial"/>
          <w:color w:val="0D0D0D" w:themeColor="text1" w:themeTint="F2"/>
          <w:sz w:val="22"/>
          <w:szCs w:val="22"/>
        </w:rPr>
        <w:t>In 2024, England recorded 113,404 avoidable deaths, while Wales reported 8,062, with males in the most deprived regions having a rate 3.7 times higher than those who resided in the least deprived areas (ONS, 2026). Patient safety remains a critical global challenge as over 3 million people die annually from preventable healthcare-related harm, half of these death</w:t>
      </w:r>
      <w:r w:rsidR="00580279" w:rsidRPr="00653B89">
        <w:rPr>
          <w:rFonts w:cs="Arial"/>
          <w:color w:val="0D0D0D" w:themeColor="text1" w:themeTint="F2"/>
          <w:sz w:val="22"/>
          <w:szCs w:val="22"/>
        </w:rPr>
        <w:t>s</w:t>
      </w:r>
      <w:r w:rsidRPr="00653B89">
        <w:rPr>
          <w:rFonts w:cs="Arial"/>
          <w:color w:val="0D0D0D" w:themeColor="text1" w:themeTint="F2"/>
          <w:sz w:val="22"/>
          <w:szCs w:val="22"/>
        </w:rPr>
        <w:t xml:space="preserve"> are related to medications error</w:t>
      </w:r>
      <w:r w:rsidR="003A22AC" w:rsidRPr="00653B89">
        <w:rPr>
          <w:rFonts w:cs="Arial"/>
          <w:color w:val="0D0D0D" w:themeColor="text1" w:themeTint="F2"/>
          <w:sz w:val="22"/>
          <w:szCs w:val="22"/>
        </w:rPr>
        <w:t>s</w:t>
      </w:r>
      <w:r w:rsidRPr="00653B89">
        <w:rPr>
          <w:rFonts w:cs="Arial"/>
          <w:color w:val="0D0D0D" w:themeColor="text1" w:themeTint="F2"/>
          <w:sz w:val="22"/>
          <w:szCs w:val="22"/>
        </w:rPr>
        <w:t xml:space="preserve">, and 10% are due to surgical neglect (WHO, 2023). The Office for National Statistics defines a preventable death as a mortality of an individual under 75 years of age resulting from causes deemed curable by prompt and adequate healthcare or prevented through public health measures (ONS, 2026). </w:t>
      </w:r>
      <w:r w:rsidRPr="00653B89">
        <w:rPr>
          <w:rFonts w:cs="Arial"/>
          <w:color w:val="0D0D0D" w:themeColor="text1" w:themeTint="F2"/>
          <w:sz w:val="22"/>
          <w:szCs w:val="22"/>
          <w:shd w:val="clear" w:color="auto" w:fill="FFFFFF"/>
        </w:rPr>
        <w:t>The annual expenditure for settling clinical negligence claims against the NHS in England for 2024-25 is £3.6 billion, while the total accumulated provision, reflecting the government's long-term liability for claims incurred but not yet fully disbursed, amounts to £60 billion (National Audit Office, 2025).</w:t>
      </w:r>
    </w:p>
    <w:p w14:paraId="7C99B194" w14:textId="77777777" w:rsidR="00BF1C2E" w:rsidRPr="00653B89" w:rsidRDefault="00BF1C2E" w:rsidP="00474ADF">
      <w:pPr>
        <w:spacing w:line="360" w:lineRule="auto"/>
        <w:rPr>
          <w:rFonts w:cs="Arial"/>
          <w:color w:val="0D0D0D" w:themeColor="text1" w:themeTint="F2"/>
          <w:sz w:val="22"/>
          <w:szCs w:val="22"/>
          <w:shd w:val="clear" w:color="auto" w:fill="FFFFFF"/>
        </w:rPr>
      </w:pPr>
    </w:p>
    <w:p w14:paraId="51051DAE" w14:textId="557A98B8" w:rsidR="007045DC" w:rsidRPr="00653B89" w:rsidRDefault="007045DC" w:rsidP="00474ADF">
      <w:pPr>
        <w:spacing w:line="360" w:lineRule="auto"/>
        <w:rPr>
          <w:rFonts w:cs="Arial"/>
          <w:color w:val="0D0D0D" w:themeColor="text1" w:themeTint="F2"/>
          <w:sz w:val="22"/>
          <w:szCs w:val="22"/>
        </w:rPr>
      </w:pPr>
      <w:r w:rsidRPr="00653B89">
        <w:rPr>
          <w:rFonts w:cs="Arial"/>
          <w:color w:val="0D0D0D" w:themeColor="text1" w:themeTint="F2"/>
          <w:sz w:val="22"/>
          <w:szCs w:val="22"/>
        </w:rPr>
        <w:t xml:space="preserve">Despite comprehensive policy frameworks like the "NHS Patient Safety Strategy", systemic failures continue, frequently stemming not from individual ineptitude but from fragmented leadership and governance structures (NHS England, 2019). Leadership in healthcare is the ability to influence, encourage, and empower individuals to enhance the efficacy and success of the health system (Murray and Cope, 2021; </w:t>
      </w:r>
      <w:proofErr w:type="spellStart"/>
      <w:r w:rsidRPr="00653B89">
        <w:rPr>
          <w:rFonts w:cs="Arial"/>
          <w:color w:val="0D0D0D" w:themeColor="text1" w:themeTint="F2"/>
          <w:sz w:val="22"/>
          <w:szCs w:val="22"/>
        </w:rPr>
        <w:t>Althobaiti</w:t>
      </w:r>
      <w:proofErr w:type="spellEnd"/>
      <w:r w:rsidRPr="00653B89">
        <w:rPr>
          <w:rFonts w:cs="Arial"/>
          <w:color w:val="0D0D0D" w:themeColor="text1" w:themeTint="F2"/>
          <w:sz w:val="22"/>
          <w:szCs w:val="22"/>
        </w:rPr>
        <w:t>, 2026). In big healthcare systems, leadership functions within centralised structures where decision-making is focused at a national or executive level, and decentralised structures, where autonomy is granted to local units (</w:t>
      </w:r>
      <w:proofErr w:type="spellStart"/>
      <w:r w:rsidRPr="00653B89">
        <w:rPr>
          <w:rFonts w:cs="Arial"/>
          <w:color w:val="0D0D0D" w:themeColor="text1" w:themeTint="F2"/>
          <w:sz w:val="22"/>
          <w:szCs w:val="22"/>
        </w:rPr>
        <w:t>Ludvigsson</w:t>
      </w:r>
      <w:proofErr w:type="spellEnd"/>
      <w:r w:rsidRPr="00653B89">
        <w:rPr>
          <w:rFonts w:cs="Arial"/>
          <w:color w:val="0D0D0D" w:themeColor="text1" w:themeTint="F2"/>
          <w:sz w:val="22"/>
          <w:szCs w:val="22"/>
        </w:rPr>
        <w:t xml:space="preserve">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w:t>
      </w:r>
      <w:r w:rsidR="00AB53E7" w:rsidRPr="00653B89">
        <w:rPr>
          <w:rFonts w:cs="Arial"/>
          <w:color w:val="0D0D0D" w:themeColor="text1" w:themeTint="F2"/>
          <w:sz w:val="22"/>
          <w:szCs w:val="22"/>
        </w:rPr>
        <w:t xml:space="preserve"> </w:t>
      </w:r>
      <w:r w:rsidRPr="00653B89">
        <w:rPr>
          <w:rFonts w:cs="Arial"/>
          <w:color w:val="0D0D0D" w:themeColor="text1" w:themeTint="F2"/>
          <w:sz w:val="22"/>
          <w:szCs w:val="22"/>
        </w:rPr>
        <w:t>The balance between these models critically impacts how information flows and how rapidly systems respond to patient deterioration.</w:t>
      </w:r>
    </w:p>
    <w:p w14:paraId="011F3051" w14:textId="77777777" w:rsidR="00BF1C2E" w:rsidRPr="00653B89" w:rsidRDefault="00BF1C2E" w:rsidP="00474ADF">
      <w:pPr>
        <w:spacing w:line="360" w:lineRule="auto"/>
        <w:rPr>
          <w:rFonts w:cs="Arial"/>
          <w:color w:val="0D0D0D" w:themeColor="text1" w:themeTint="F2"/>
          <w:sz w:val="22"/>
          <w:szCs w:val="22"/>
        </w:rPr>
      </w:pPr>
    </w:p>
    <w:p w14:paraId="4C507C7E" w14:textId="307D4648" w:rsidR="007045DC" w:rsidRPr="00653B89" w:rsidRDefault="007045DC"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r w:rsidRPr="00653B89">
        <w:rPr>
          <w:rFonts w:ascii="Arial" w:hAnsi="Arial" w:cs="Arial"/>
          <w:color w:val="0D0D0D" w:themeColor="text1" w:themeTint="F2"/>
          <w:sz w:val="22"/>
          <w:szCs w:val="22"/>
          <w:shd w:val="clear" w:color="auto" w:fill="FFFFFF"/>
        </w:rPr>
        <w:t xml:space="preserve">This research will rigorously examine leadership failure through the unfortunate case of Professor Amit Patel, a nationally acknowledged authority in Hemophagocytic </w:t>
      </w:r>
      <w:proofErr w:type="spellStart"/>
      <w:r w:rsidRPr="00653B89">
        <w:rPr>
          <w:rFonts w:ascii="Arial" w:hAnsi="Arial" w:cs="Arial"/>
          <w:color w:val="0D0D0D" w:themeColor="text1" w:themeTint="F2"/>
          <w:sz w:val="22"/>
          <w:szCs w:val="22"/>
          <w:shd w:val="clear" w:color="auto" w:fill="FFFFFF"/>
        </w:rPr>
        <w:t>Lymphohistiocytosis</w:t>
      </w:r>
      <w:proofErr w:type="spellEnd"/>
      <w:r w:rsidRPr="00653B89">
        <w:rPr>
          <w:rFonts w:ascii="Arial" w:hAnsi="Arial" w:cs="Arial"/>
          <w:color w:val="0D0D0D" w:themeColor="text1" w:themeTint="F2"/>
          <w:sz w:val="22"/>
          <w:szCs w:val="22"/>
          <w:shd w:val="clear" w:color="auto" w:fill="FFFFFF"/>
        </w:rPr>
        <w:t xml:space="preserve"> (HLH) and Consultant Respiratory </w:t>
      </w:r>
      <w:r w:rsidR="00DB4C3A" w:rsidRPr="00653B89">
        <w:rPr>
          <w:rFonts w:ascii="Arial" w:hAnsi="Arial" w:cs="Arial"/>
          <w:color w:val="0D0D0D" w:themeColor="text1" w:themeTint="F2"/>
          <w:sz w:val="22"/>
          <w:szCs w:val="22"/>
          <w:shd w:val="clear" w:color="auto" w:fill="FFFFFF"/>
        </w:rPr>
        <w:t>Physician (</w:t>
      </w:r>
      <w:proofErr w:type="spellStart"/>
      <w:r w:rsidRPr="00653B89">
        <w:rPr>
          <w:rFonts w:ascii="Arial" w:hAnsi="Arial" w:cs="Arial"/>
          <w:color w:val="0D0D0D" w:themeColor="text1" w:themeTint="F2"/>
          <w:sz w:val="22"/>
          <w:szCs w:val="22"/>
          <w:shd w:val="clear" w:color="auto" w:fill="FFFFFF"/>
        </w:rPr>
        <w:t>Charsley</w:t>
      </w:r>
      <w:proofErr w:type="spellEnd"/>
      <w:r w:rsidRPr="00653B89">
        <w:rPr>
          <w:rFonts w:ascii="Arial" w:hAnsi="Arial" w:cs="Arial"/>
          <w:color w:val="0D0D0D" w:themeColor="text1" w:themeTint="F2"/>
          <w:sz w:val="22"/>
          <w:szCs w:val="22"/>
          <w:shd w:val="clear" w:color="auto" w:fill="FFFFFF"/>
        </w:rPr>
        <w:t xml:space="preserve"> and </w:t>
      </w:r>
      <w:proofErr w:type="spellStart"/>
      <w:r w:rsidRPr="00653B89">
        <w:rPr>
          <w:rFonts w:ascii="Arial" w:hAnsi="Arial" w:cs="Arial"/>
          <w:color w:val="0D0D0D" w:themeColor="text1" w:themeTint="F2"/>
          <w:sz w:val="22"/>
          <w:szCs w:val="22"/>
          <w:shd w:val="clear" w:color="auto" w:fill="FFFFFF"/>
        </w:rPr>
        <w:t>Vesty</w:t>
      </w:r>
      <w:proofErr w:type="spellEnd"/>
      <w:r w:rsidRPr="00653B89">
        <w:rPr>
          <w:rFonts w:ascii="Arial" w:hAnsi="Arial" w:cs="Arial"/>
          <w:color w:val="0D0D0D" w:themeColor="text1" w:themeTint="F2"/>
          <w:sz w:val="22"/>
          <w:szCs w:val="22"/>
          <w:shd w:val="clear" w:color="auto" w:fill="FFFFFF"/>
        </w:rPr>
        <w:t>, 2024). Professor Patel was admitted to Wythenshawe Hospital in Manchester in August 2021, where he was denied critical treatment despite his worsening illness and proficient self-diagnosis (</w:t>
      </w:r>
      <w:proofErr w:type="spellStart"/>
      <w:r w:rsidRPr="00653B89">
        <w:rPr>
          <w:rFonts w:ascii="Arial" w:hAnsi="Arial" w:cs="Arial"/>
          <w:color w:val="0D0D0D" w:themeColor="text1" w:themeTint="F2"/>
          <w:sz w:val="22"/>
          <w:szCs w:val="22"/>
        </w:rPr>
        <w:t>Vesty</w:t>
      </w:r>
      <w:proofErr w:type="spellEnd"/>
      <w:r w:rsidRPr="00653B89">
        <w:rPr>
          <w:rFonts w:ascii="Arial" w:hAnsi="Arial" w:cs="Arial"/>
          <w:color w:val="0D0D0D" w:themeColor="text1" w:themeTint="F2"/>
          <w:sz w:val="22"/>
          <w:szCs w:val="22"/>
        </w:rPr>
        <w:t>, 2024)</w:t>
      </w:r>
      <w:r w:rsidRPr="00653B89">
        <w:rPr>
          <w:rFonts w:ascii="Arial" w:hAnsi="Arial" w:cs="Arial"/>
          <w:color w:val="0D0D0D" w:themeColor="text1" w:themeTint="F2"/>
          <w:sz w:val="22"/>
          <w:szCs w:val="22"/>
          <w:shd w:val="clear" w:color="auto" w:fill="FFFFFF"/>
        </w:rPr>
        <w:t xml:space="preserve">. </w:t>
      </w:r>
      <w:r w:rsidR="008107D5" w:rsidRPr="00653B89">
        <w:rPr>
          <w:rFonts w:ascii="Arial" w:hAnsi="Arial" w:cs="Arial"/>
          <w:color w:val="0D0D0D" w:themeColor="text1" w:themeTint="F2"/>
          <w:sz w:val="22"/>
          <w:szCs w:val="22"/>
          <w:shd w:val="clear" w:color="auto" w:fill="FFFFFF"/>
        </w:rPr>
        <w:t>Professor Patel</w:t>
      </w:r>
      <w:r w:rsidR="00AF4D8F" w:rsidRPr="00653B89">
        <w:rPr>
          <w:rFonts w:ascii="Arial" w:hAnsi="Arial" w:cs="Arial"/>
          <w:color w:val="0D0D0D" w:themeColor="text1" w:themeTint="F2"/>
          <w:sz w:val="22"/>
          <w:szCs w:val="22"/>
          <w:shd w:val="clear" w:color="auto" w:fill="FFFFFF"/>
        </w:rPr>
        <w:t xml:space="preserve"> </w:t>
      </w:r>
      <w:r w:rsidR="008107D5" w:rsidRPr="00653B89">
        <w:rPr>
          <w:rFonts w:ascii="Arial" w:hAnsi="Arial" w:cs="Arial"/>
          <w:color w:val="0D0D0D" w:themeColor="text1" w:themeTint="F2"/>
          <w:sz w:val="22"/>
          <w:szCs w:val="22"/>
          <w:shd w:val="clear" w:color="auto" w:fill="FFFFFF"/>
        </w:rPr>
        <w:t>was systematically ignored</w:t>
      </w:r>
      <w:r w:rsidR="00AF4D8F" w:rsidRPr="00653B89">
        <w:rPr>
          <w:rFonts w:ascii="Arial" w:hAnsi="Arial" w:cs="Arial"/>
          <w:color w:val="0D0D0D" w:themeColor="text1" w:themeTint="F2"/>
          <w:sz w:val="22"/>
          <w:szCs w:val="22"/>
          <w:shd w:val="clear" w:color="auto" w:fill="FFFFFF"/>
        </w:rPr>
        <w:t xml:space="preserve"> and</w:t>
      </w:r>
      <w:r w:rsidR="008107D5" w:rsidRPr="00653B89">
        <w:rPr>
          <w:rFonts w:ascii="Arial" w:hAnsi="Arial" w:cs="Arial"/>
          <w:color w:val="0D0D0D" w:themeColor="text1" w:themeTint="F2"/>
          <w:sz w:val="22"/>
          <w:szCs w:val="22"/>
          <w:shd w:val="clear" w:color="auto" w:fill="FFFFFF"/>
        </w:rPr>
        <w:t xml:space="preserve"> despite self- advocating </w:t>
      </w:r>
      <w:r w:rsidR="00842E71" w:rsidRPr="00653B89">
        <w:rPr>
          <w:rFonts w:ascii="Arial" w:hAnsi="Arial" w:cs="Arial"/>
          <w:color w:val="0D0D0D" w:themeColor="text1" w:themeTint="F2"/>
          <w:sz w:val="22"/>
          <w:szCs w:val="22"/>
          <w:shd w:val="clear" w:color="auto" w:fill="FFFFFF"/>
        </w:rPr>
        <w:t xml:space="preserve">for himself and requested to get </w:t>
      </w:r>
      <w:r w:rsidR="008107D5" w:rsidRPr="00653B89">
        <w:rPr>
          <w:rFonts w:ascii="Arial" w:hAnsi="Arial" w:cs="Arial"/>
          <w:color w:val="0D0D0D" w:themeColor="text1" w:themeTint="F2"/>
          <w:sz w:val="22"/>
          <w:szCs w:val="22"/>
          <w:shd w:val="clear" w:color="auto" w:fill="FFFFFF"/>
        </w:rPr>
        <w:t>appropriate treatment with immunosuppressants, emphasising that 'time was of the essence’ </w:t>
      </w:r>
      <w:r w:rsidR="00580279" w:rsidRPr="00653B89">
        <w:rPr>
          <w:rFonts w:ascii="Arial" w:hAnsi="Arial" w:cs="Arial"/>
          <w:color w:val="0D0D0D" w:themeColor="text1" w:themeTint="F2"/>
          <w:sz w:val="22"/>
          <w:szCs w:val="22"/>
          <w:shd w:val="clear" w:color="auto" w:fill="FFFFFF"/>
        </w:rPr>
        <w:t>d</w:t>
      </w:r>
      <w:r w:rsidR="008107D5" w:rsidRPr="00653B89">
        <w:rPr>
          <w:rFonts w:ascii="Arial" w:hAnsi="Arial" w:cs="Arial"/>
          <w:color w:val="0D0D0D" w:themeColor="text1" w:themeTint="F2"/>
          <w:sz w:val="22"/>
          <w:szCs w:val="22"/>
          <w:shd w:val="clear" w:color="auto" w:fill="FFFFFF"/>
        </w:rPr>
        <w:t xml:space="preserve">octors commenced </w:t>
      </w:r>
      <w:r w:rsidR="00733177" w:rsidRPr="00653B89">
        <w:rPr>
          <w:rFonts w:ascii="Arial" w:hAnsi="Arial" w:cs="Arial"/>
          <w:color w:val="0D0D0D" w:themeColor="text1" w:themeTint="F2"/>
          <w:sz w:val="22"/>
          <w:szCs w:val="22"/>
          <w:shd w:val="clear" w:color="auto" w:fill="FFFFFF"/>
        </w:rPr>
        <w:t xml:space="preserve">instead </w:t>
      </w:r>
      <w:r w:rsidR="008107D5" w:rsidRPr="00653B89">
        <w:rPr>
          <w:rFonts w:ascii="Arial" w:hAnsi="Arial" w:cs="Arial"/>
          <w:color w:val="0D0D0D" w:themeColor="text1" w:themeTint="F2"/>
          <w:sz w:val="22"/>
          <w:szCs w:val="22"/>
          <w:shd w:val="clear" w:color="auto" w:fill="FFFFFF"/>
        </w:rPr>
        <w:t>treatment with steroids</w:t>
      </w:r>
      <w:r w:rsidR="00733177" w:rsidRPr="00653B89">
        <w:rPr>
          <w:rFonts w:ascii="Arial" w:hAnsi="Arial" w:cs="Arial"/>
          <w:color w:val="0D0D0D" w:themeColor="text1" w:themeTint="F2"/>
          <w:sz w:val="22"/>
          <w:szCs w:val="22"/>
          <w:shd w:val="clear" w:color="auto" w:fill="FFFFFF"/>
        </w:rPr>
        <w:t xml:space="preserve"> </w:t>
      </w:r>
      <w:r w:rsidR="008107D5" w:rsidRPr="00653B89">
        <w:rPr>
          <w:rFonts w:ascii="Arial" w:hAnsi="Arial" w:cs="Arial"/>
          <w:color w:val="0D0D0D" w:themeColor="text1" w:themeTint="F2"/>
          <w:sz w:val="22"/>
          <w:szCs w:val="22"/>
          <w:shd w:val="clear" w:color="auto" w:fill="FFFFFF"/>
        </w:rPr>
        <w:t>which merely alleviated the symptoms temporarily (Tozer, 2024).</w:t>
      </w:r>
      <w:r w:rsidR="00851A70" w:rsidRPr="00653B89">
        <w:rPr>
          <w:rFonts w:ascii="Arial" w:hAnsi="Arial" w:cs="Arial"/>
          <w:color w:val="0D0D0D" w:themeColor="text1" w:themeTint="F2"/>
          <w:sz w:val="22"/>
          <w:szCs w:val="22"/>
          <w:shd w:val="clear" w:color="auto" w:fill="FFFFFF"/>
        </w:rPr>
        <w:t xml:space="preserve"> </w:t>
      </w:r>
      <w:r w:rsidR="00851A70" w:rsidRPr="00653B89">
        <w:rPr>
          <w:rFonts w:ascii="Arial" w:hAnsi="Arial" w:cs="Arial"/>
          <w:color w:val="0D0D0D" w:themeColor="text1" w:themeTint="F2"/>
          <w:sz w:val="22"/>
          <w:szCs w:val="22"/>
          <w:shd w:val="clear" w:color="auto" w:fill="FFFFFF"/>
        </w:rPr>
        <w:t xml:space="preserve">He passed away on 28 October 2021 after experiencing a succession of failures subsequently </w:t>
      </w:r>
      <w:r w:rsidRPr="00653B89">
        <w:rPr>
          <w:rFonts w:ascii="Arial" w:hAnsi="Arial" w:cs="Arial"/>
          <w:color w:val="0D0D0D" w:themeColor="text1" w:themeTint="F2"/>
          <w:sz w:val="22"/>
          <w:szCs w:val="22"/>
          <w:shd w:val="clear" w:color="auto" w:fill="FFFFFF"/>
        </w:rPr>
        <w:t>undergoing an Endobronchial Ultrasound (EBUS) procedure advised by a multidisciplinary team (MDT) that was deficient in essential clinical information (</w:t>
      </w:r>
      <w:proofErr w:type="spellStart"/>
      <w:r w:rsidRPr="00653B89">
        <w:rPr>
          <w:rFonts w:ascii="Arial" w:hAnsi="Arial" w:cs="Arial"/>
          <w:color w:val="0D0D0D" w:themeColor="text1" w:themeTint="F2"/>
          <w:sz w:val="22"/>
          <w:szCs w:val="22"/>
        </w:rPr>
        <w:t>Vesty</w:t>
      </w:r>
      <w:proofErr w:type="spellEnd"/>
      <w:r w:rsidRPr="00653B89">
        <w:rPr>
          <w:rFonts w:ascii="Arial" w:hAnsi="Arial" w:cs="Arial"/>
          <w:color w:val="0D0D0D" w:themeColor="text1" w:themeTint="F2"/>
          <w:sz w:val="22"/>
          <w:szCs w:val="22"/>
        </w:rPr>
        <w:t xml:space="preserve">, 2024; </w:t>
      </w:r>
      <w:proofErr w:type="spellStart"/>
      <w:r w:rsidRPr="00653B89">
        <w:rPr>
          <w:rFonts w:ascii="Arial" w:hAnsi="Arial" w:cs="Arial"/>
          <w:color w:val="0D0D0D" w:themeColor="text1" w:themeTint="F2"/>
          <w:sz w:val="22"/>
          <w:szCs w:val="22"/>
          <w:shd w:val="clear" w:color="auto" w:fill="FFFFFF"/>
        </w:rPr>
        <w:lastRenderedPageBreak/>
        <w:t>Charsley</w:t>
      </w:r>
      <w:proofErr w:type="spellEnd"/>
      <w:r w:rsidRPr="00653B89">
        <w:rPr>
          <w:rFonts w:ascii="Arial" w:hAnsi="Arial" w:cs="Arial"/>
          <w:color w:val="0D0D0D" w:themeColor="text1" w:themeTint="F2"/>
          <w:sz w:val="22"/>
          <w:szCs w:val="22"/>
          <w:shd w:val="clear" w:color="auto" w:fill="FFFFFF"/>
        </w:rPr>
        <w:t xml:space="preserve"> and </w:t>
      </w:r>
      <w:proofErr w:type="spellStart"/>
      <w:r w:rsidRPr="00653B89">
        <w:rPr>
          <w:rFonts w:ascii="Arial" w:hAnsi="Arial" w:cs="Arial"/>
          <w:color w:val="0D0D0D" w:themeColor="text1" w:themeTint="F2"/>
          <w:sz w:val="22"/>
          <w:szCs w:val="22"/>
          <w:shd w:val="clear" w:color="auto" w:fill="FFFFFF"/>
        </w:rPr>
        <w:t>Vesty</w:t>
      </w:r>
      <w:proofErr w:type="spellEnd"/>
      <w:r w:rsidRPr="00653B89">
        <w:rPr>
          <w:rFonts w:ascii="Arial" w:hAnsi="Arial" w:cs="Arial"/>
          <w:color w:val="0D0D0D" w:themeColor="text1" w:themeTint="F2"/>
          <w:sz w:val="22"/>
          <w:szCs w:val="22"/>
          <w:shd w:val="clear" w:color="auto" w:fill="FFFFFF"/>
        </w:rPr>
        <w:t>, 2024).</w:t>
      </w:r>
      <w:r w:rsidRPr="00653B89">
        <w:rPr>
          <w:rFonts w:ascii="Arial" w:hAnsi="Arial" w:cs="Arial"/>
          <w:color w:val="0D0D0D" w:themeColor="text1" w:themeTint="F2"/>
          <w:sz w:val="22"/>
          <w:szCs w:val="22"/>
        </w:rPr>
        <w:t xml:space="preserve"> The coroner eventually deemed Professor Patel's death preventable (</w:t>
      </w:r>
      <w:proofErr w:type="spellStart"/>
      <w:r w:rsidRPr="00653B89">
        <w:rPr>
          <w:rFonts w:ascii="Arial" w:hAnsi="Arial" w:cs="Arial"/>
          <w:color w:val="0D0D0D" w:themeColor="text1" w:themeTint="F2"/>
          <w:sz w:val="22"/>
          <w:szCs w:val="22"/>
        </w:rPr>
        <w:t>Charsley</w:t>
      </w:r>
      <w:proofErr w:type="spellEnd"/>
      <w:r w:rsidRPr="00653B89">
        <w:rPr>
          <w:rFonts w:ascii="Arial" w:hAnsi="Arial" w:cs="Arial"/>
          <w:color w:val="0D0D0D" w:themeColor="text1" w:themeTint="F2"/>
          <w:sz w:val="22"/>
          <w:szCs w:val="22"/>
        </w:rPr>
        <w:t xml:space="preserve"> and </w:t>
      </w:r>
      <w:proofErr w:type="spellStart"/>
      <w:r w:rsidRPr="00653B89">
        <w:rPr>
          <w:rFonts w:ascii="Arial" w:hAnsi="Arial" w:cs="Arial"/>
          <w:color w:val="0D0D0D" w:themeColor="text1" w:themeTint="F2"/>
          <w:sz w:val="22"/>
          <w:szCs w:val="22"/>
        </w:rPr>
        <w:t>Vesty</w:t>
      </w:r>
      <w:proofErr w:type="spellEnd"/>
      <w:r w:rsidR="00AC5709"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2024).</w:t>
      </w:r>
    </w:p>
    <w:p w14:paraId="260CAF2F" w14:textId="7137ADBE" w:rsidR="00AC0975" w:rsidRPr="00653B89" w:rsidRDefault="007045DC"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w:t>
      </w:r>
      <w:r w:rsidR="004770CC" w:rsidRPr="00653B89">
        <w:rPr>
          <w:rFonts w:ascii="Arial" w:hAnsi="Arial" w:cs="Arial"/>
          <w:color w:val="0D0D0D" w:themeColor="text1" w:themeTint="F2"/>
          <w:sz w:val="22"/>
          <w:szCs w:val="22"/>
        </w:rPr>
        <w:t>is</w:t>
      </w:r>
      <w:r w:rsidRPr="00653B89">
        <w:rPr>
          <w:rFonts w:ascii="Arial" w:hAnsi="Arial" w:cs="Arial"/>
          <w:color w:val="0D0D0D" w:themeColor="text1" w:themeTint="F2"/>
          <w:sz w:val="22"/>
          <w:szCs w:val="22"/>
        </w:rPr>
        <w:t xml:space="preserve"> study will utilise system</w:t>
      </w:r>
      <w:r w:rsidR="00331EB1" w:rsidRPr="00653B89">
        <w:rPr>
          <w:rFonts w:ascii="Arial" w:hAnsi="Arial" w:cs="Arial"/>
          <w:color w:val="0D0D0D" w:themeColor="text1" w:themeTint="F2"/>
          <w:sz w:val="22"/>
          <w:szCs w:val="22"/>
        </w:rPr>
        <w:t>s</w:t>
      </w:r>
      <w:r w:rsidRPr="00653B89">
        <w:rPr>
          <w:rFonts w:ascii="Arial" w:hAnsi="Arial" w:cs="Arial"/>
          <w:color w:val="0D0D0D" w:themeColor="text1" w:themeTint="F2"/>
          <w:sz w:val="22"/>
          <w:szCs w:val="22"/>
        </w:rPr>
        <w:t xml:space="preserve"> thinking approach to analyse this failure, employing a Rich Picture to illustrate the intricacy of this case study. This analysis will utilise fundamental leadership theories, such as Maslow’s Hierarchy of Needs, McGregor’s Theory X and Y, </w:t>
      </w:r>
      <w:proofErr w:type="spellStart"/>
      <w:r w:rsidRPr="00653B89">
        <w:rPr>
          <w:rFonts w:ascii="Arial" w:hAnsi="Arial" w:cs="Arial"/>
          <w:color w:val="0D0D0D" w:themeColor="text1" w:themeTint="F2"/>
          <w:sz w:val="22"/>
          <w:szCs w:val="22"/>
        </w:rPr>
        <w:t>Ouchi’s</w:t>
      </w:r>
      <w:proofErr w:type="spellEnd"/>
      <w:r w:rsidRPr="00653B89">
        <w:rPr>
          <w:rFonts w:ascii="Arial" w:hAnsi="Arial" w:cs="Arial"/>
          <w:color w:val="0D0D0D" w:themeColor="text1" w:themeTint="F2"/>
          <w:sz w:val="22"/>
          <w:szCs w:val="22"/>
        </w:rPr>
        <w:t xml:space="preserve"> Theory Z, and Transformational Leadership, to assess the cultural shortcomings of Wythenshawe Hospital. Additionally, it will contrast the UK's centralised NHS model with Sweden's decentralised healthcare system to extract insights for Universal Health Coverage (UHC). </w:t>
      </w:r>
      <w:r w:rsidR="00266220" w:rsidRPr="00653B89">
        <w:rPr>
          <w:rFonts w:ascii="Arial" w:hAnsi="Arial" w:cs="Arial"/>
          <w:color w:val="0D0D0D" w:themeColor="text1" w:themeTint="F2"/>
          <w:sz w:val="22"/>
          <w:szCs w:val="22"/>
        </w:rPr>
        <w:t>This research will also assess if Professor Patel's death should be perceived not merely as a clinical error, but as a possible outcome of a hierarchical, compliance-driven leadership culture that may stifle competence, disregard protocols, and compromise safety measures.</w:t>
      </w:r>
    </w:p>
    <w:p w14:paraId="41D2859E" w14:textId="0F861628" w:rsidR="007A7706" w:rsidRPr="00653B89" w:rsidRDefault="00033B4E" w:rsidP="00474ADF">
      <w:pPr>
        <w:pStyle w:val="NormalWeb"/>
        <w:spacing w:before="0" w:beforeAutospacing="0" w:after="225"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Leadership, Communication, and the Failure of Safety</w:t>
      </w:r>
    </w:p>
    <w:p w14:paraId="77CABDC6" w14:textId="31423C6C" w:rsidR="006F134A" w:rsidRPr="00653B89" w:rsidRDefault="006F134A" w:rsidP="00474ADF">
      <w:pPr>
        <w:pStyle w:val="NormalWeb"/>
        <w:spacing w:before="0" w:beforeAutospacing="0" w:after="240"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Identifying the Problem Using Systems Thinking</w:t>
      </w:r>
    </w:p>
    <w:p w14:paraId="0204D071" w14:textId="1FF3295D" w:rsidR="00473709" w:rsidRPr="00653B89" w:rsidRDefault="00E51B27" w:rsidP="00474ADF">
      <w:pPr>
        <w:pStyle w:val="NormalWeb"/>
        <w:spacing w:before="0" w:beforeAutospacing="0" w:after="240" w:afterAutospacing="0" w:line="360" w:lineRule="auto"/>
        <w:rPr>
          <w:rFonts w:ascii="Arial" w:hAnsi="Arial" w:cs="Arial"/>
          <w:b/>
          <w:bCs/>
          <w:color w:val="0D0D0D" w:themeColor="text1" w:themeTint="F2"/>
          <w:sz w:val="22"/>
          <w:szCs w:val="22"/>
        </w:rPr>
      </w:pPr>
      <w:r w:rsidRPr="00653B89">
        <w:rPr>
          <w:rFonts w:ascii="Arial" w:hAnsi="Arial" w:cs="Arial"/>
          <w:color w:val="0D0D0D" w:themeColor="text1" w:themeTint="F2"/>
          <w:sz w:val="22"/>
          <w:szCs w:val="22"/>
        </w:rPr>
        <w:t xml:space="preserve">Due to the </w:t>
      </w:r>
      <w:r w:rsidRPr="00653B89">
        <w:rPr>
          <w:rFonts w:ascii="Arial" w:hAnsi="Arial" w:cs="Arial"/>
          <w:color w:val="0D0D0D" w:themeColor="text1" w:themeTint="F2"/>
          <w:sz w:val="22"/>
          <w:szCs w:val="22"/>
        </w:rPr>
        <w:t>interconnected</w:t>
      </w:r>
      <w:r w:rsidRPr="00653B89">
        <w:rPr>
          <w:rFonts w:ascii="Arial" w:hAnsi="Arial" w:cs="Arial"/>
          <w:color w:val="0D0D0D" w:themeColor="text1" w:themeTint="F2"/>
          <w:sz w:val="22"/>
          <w:szCs w:val="22"/>
        </w:rPr>
        <w:t xml:space="preserve"> nature of healthcare systems, patient safety incidents should not be perceived as random events caused by a few "bad apples," but rather as outcomes resulting from the interplay of various human, organisational, technological, and cultural factors</w:t>
      </w:r>
      <w:r w:rsidRPr="00653B89">
        <w:rPr>
          <w:rFonts w:ascii="Arial" w:hAnsi="Arial" w:cs="Arial"/>
          <w:b/>
          <w:bCs/>
          <w:color w:val="0D0D0D" w:themeColor="text1" w:themeTint="F2"/>
          <w:sz w:val="22"/>
          <w:szCs w:val="22"/>
        </w:rPr>
        <w:t xml:space="preserve"> </w:t>
      </w:r>
      <w:r w:rsidRPr="00653B89">
        <w:rPr>
          <w:rFonts w:ascii="Arial" w:hAnsi="Arial" w:cs="Arial"/>
          <w:color w:val="0D0D0D" w:themeColor="text1" w:themeTint="F2"/>
          <w:sz w:val="22"/>
          <w:szCs w:val="22"/>
        </w:rPr>
        <w:t xml:space="preserve">(Bowditch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r w:rsidR="00473709" w:rsidRPr="00653B89">
        <w:rPr>
          <w:rFonts w:ascii="Arial" w:hAnsi="Arial" w:cs="Arial"/>
          <w:color w:val="0D0D0D" w:themeColor="text1" w:themeTint="F2"/>
          <w:sz w:val="22"/>
          <w:szCs w:val="22"/>
          <w:shd w:val="clear" w:color="auto" w:fill="FFFFFF"/>
        </w:rPr>
        <w:t xml:space="preserve"> </w:t>
      </w:r>
      <w:r w:rsidR="00473709" w:rsidRPr="00A346F4">
        <w:rPr>
          <w:rFonts w:ascii="Arial" w:hAnsi="Arial" w:cs="Arial"/>
          <w:color w:val="0D0D0D" w:themeColor="text1" w:themeTint="F2"/>
          <w:sz w:val="22"/>
          <w:szCs w:val="22"/>
          <w:shd w:val="clear" w:color="auto" w:fill="FFFFFF"/>
        </w:rPr>
        <w:t xml:space="preserve">Zhelev </w:t>
      </w:r>
      <w:r w:rsidR="00473709" w:rsidRPr="00A346F4">
        <w:rPr>
          <w:rFonts w:ascii="Arial" w:hAnsi="Arial" w:cs="Arial"/>
          <w:i/>
          <w:iCs/>
          <w:color w:val="0D0D0D" w:themeColor="text1" w:themeTint="F2"/>
          <w:sz w:val="22"/>
          <w:szCs w:val="22"/>
          <w:shd w:val="clear" w:color="auto" w:fill="FFFFFF"/>
        </w:rPr>
        <w:t>et al.</w:t>
      </w:r>
      <w:r w:rsidR="00473709" w:rsidRPr="00A346F4">
        <w:rPr>
          <w:rFonts w:ascii="Arial" w:hAnsi="Arial" w:cs="Arial"/>
          <w:color w:val="0D0D0D" w:themeColor="text1" w:themeTint="F2"/>
          <w:sz w:val="22"/>
          <w:szCs w:val="22"/>
          <w:shd w:val="clear" w:color="auto" w:fill="FFFFFF"/>
        </w:rPr>
        <w:t xml:space="preserve"> (2025) assert that systemic failures are inevitable in settings where latent factors </w:t>
      </w:r>
      <w:r w:rsidR="00473709" w:rsidRPr="00653B89">
        <w:rPr>
          <w:rFonts w:ascii="Arial" w:hAnsi="Arial" w:cs="Arial"/>
          <w:color w:val="0D0D0D" w:themeColor="text1" w:themeTint="F2"/>
          <w:sz w:val="22"/>
          <w:szCs w:val="22"/>
          <w:shd w:val="clear" w:color="auto" w:fill="FFFFFF"/>
        </w:rPr>
        <w:t>occur</w:t>
      </w:r>
      <w:r w:rsidR="00473709" w:rsidRPr="00A346F4">
        <w:rPr>
          <w:rFonts w:ascii="Arial" w:hAnsi="Arial" w:cs="Arial"/>
          <w:color w:val="0D0D0D" w:themeColor="text1" w:themeTint="F2"/>
          <w:sz w:val="22"/>
          <w:szCs w:val="22"/>
          <w:shd w:val="clear" w:color="auto" w:fill="FFFFFF"/>
        </w:rPr>
        <w:t>, such as inadequate communication protocols or hierarchical power dynamic</w:t>
      </w:r>
      <w:r w:rsidR="00C43E02" w:rsidRPr="00653B89">
        <w:rPr>
          <w:rFonts w:ascii="Arial" w:hAnsi="Arial" w:cs="Arial"/>
          <w:color w:val="0D0D0D" w:themeColor="text1" w:themeTint="F2"/>
          <w:sz w:val="22"/>
          <w:szCs w:val="22"/>
          <w:shd w:val="clear" w:color="auto" w:fill="FFFFFF"/>
        </w:rPr>
        <w:t>s</w:t>
      </w:r>
      <w:r w:rsidR="00473709" w:rsidRPr="00A346F4">
        <w:rPr>
          <w:rFonts w:ascii="Arial" w:hAnsi="Arial" w:cs="Arial"/>
          <w:color w:val="0D0D0D" w:themeColor="text1" w:themeTint="F2"/>
          <w:sz w:val="22"/>
          <w:szCs w:val="22"/>
          <w:shd w:val="clear" w:color="auto" w:fill="FFFFFF"/>
        </w:rPr>
        <w:t xml:space="preserve"> exist. </w:t>
      </w:r>
    </w:p>
    <w:p w14:paraId="1F888B5E" w14:textId="66F19BC4" w:rsidR="008E1DC5" w:rsidRPr="00653B89" w:rsidRDefault="00AB19D0"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In Professor Amit Patel’s </w:t>
      </w:r>
      <w:r w:rsidR="005E0467" w:rsidRPr="00653B89">
        <w:rPr>
          <w:rFonts w:ascii="Arial" w:hAnsi="Arial" w:cs="Arial"/>
          <w:color w:val="0D0D0D" w:themeColor="text1" w:themeTint="F2"/>
          <w:sz w:val="22"/>
          <w:szCs w:val="22"/>
        </w:rPr>
        <w:t>case, he</w:t>
      </w:r>
      <w:r w:rsidR="00FF2A10" w:rsidRPr="00653B89">
        <w:rPr>
          <w:rFonts w:ascii="Arial" w:hAnsi="Arial" w:cs="Arial"/>
          <w:color w:val="0D0D0D" w:themeColor="text1" w:themeTint="F2"/>
          <w:sz w:val="22"/>
          <w:szCs w:val="22"/>
        </w:rPr>
        <w:t xml:space="preserve"> </w:t>
      </w:r>
      <w:r w:rsidR="000D7372" w:rsidRPr="00653B89">
        <w:rPr>
          <w:rFonts w:ascii="Arial" w:hAnsi="Arial" w:cs="Arial"/>
          <w:color w:val="0D0D0D" w:themeColor="text1" w:themeTint="F2"/>
          <w:sz w:val="22"/>
          <w:szCs w:val="22"/>
        </w:rPr>
        <w:t xml:space="preserve">was afflicted with Hemophagocytic </w:t>
      </w:r>
      <w:proofErr w:type="spellStart"/>
      <w:r w:rsidR="000D7372" w:rsidRPr="00653B89">
        <w:rPr>
          <w:rFonts w:ascii="Arial" w:hAnsi="Arial" w:cs="Arial"/>
          <w:color w:val="0D0D0D" w:themeColor="text1" w:themeTint="F2"/>
          <w:sz w:val="22"/>
          <w:szCs w:val="22"/>
        </w:rPr>
        <w:t>Lymphohistiocytosis</w:t>
      </w:r>
      <w:proofErr w:type="spellEnd"/>
      <w:r w:rsidR="000D7372" w:rsidRPr="00653B89">
        <w:rPr>
          <w:rFonts w:ascii="Arial" w:hAnsi="Arial" w:cs="Arial"/>
          <w:color w:val="0D0D0D" w:themeColor="text1" w:themeTint="F2"/>
          <w:sz w:val="22"/>
          <w:szCs w:val="22"/>
        </w:rPr>
        <w:t xml:space="preserve"> (HLH), a rare condition which he was a medical specialist in (</w:t>
      </w:r>
      <w:proofErr w:type="spellStart"/>
      <w:r w:rsidR="00276EEA" w:rsidRPr="00653B89">
        <w:rPr>
          <w:rFonts w:ascii="Arial" w:hAnsi="Arial" w:cs="Arial"/>
          <w:color w:val="0D0D0D" w:themeColor="text1" w:themeTint="F2"/>
          <w:sz w:val="22"/>
          <w:szCs w:val="22"/>
        </w:rPr>
        <w:t>Charsley</w:t>
      </w:r>
      <w:proofErr w:type="spellEnd"/>
      <w:r w:rsidR="00276EEA" w:rsidRPr="00653B89">
        <w:rPr>
          <w:rFonts w:ascii="Arial" w:hAnsi="Arial" w:cs="Arial"/>
          <w:color w:val="0D0D0D" w:themeColor="text1" w:themeTint="F2"/>
          <w:sz w:val="22"/>
          <w:szCs w:val="22"/>
        </w:rPr>
        <w:t xml:space="preserve"> and </w:t>
      </w:r>
      <w:proofErr w:type="spellStart"/>
      <w:r w:rsidR="00276EEA" w:rsidRPr="00653B89">
        <w:rPr>
          <w:rFonts w:ascii="Arial" w:hAnsi="Arial" w:cs="Arial"/>
          <w:color w:val="0D0D0D" w:themeColor="text1" w:themeTint="F2"/>
          <w:sz w:val="22"/>
          <w:szCs w:val="22"/>
        </w:rPr>
        <w:t>Vesty</w:t>
      </w:r>
      <w:proofErr w:type="spellEnd"/>
      <w:r w:rsidR="00276EEA" w:rsidRPr="00653B89">
        <w:rPr>
          <w:rFonts w:ascii="Arial" w:hAnsi="Arial" w:cs="Arial"/>
          <w:color w:val="0D0D0D" w:themeColor="text1" w:themeTint="F2"/>
          <w:sz w:val="22"/>
          <w:szCs w:val="22"/>
        </w:rPr>
        <w:t xml:space="preserve">, 2024; </w:t>
      </w:r>
      <w:proofErr w:type="spellStart"/>
      <w:r w:rsidR="00276EEA" w:rsidRPr="00653B89">
        <w:rPr>
          <w:rFonts w:ascii="Arial" w:hAnsi="Arial" w:cs="Arial"/>
          <w:color w:val="0D0D0D" w:themeColor="text1" w:themeTint="F2"/>
          <w:sz w:val="22"/>
          <w:szCs w:val="22"/>
        </w:rPr>
        <w:t>Vesty</w:t>
      </w:r>
      <w:proofErr w:type="spellEnd"/>
      <w:r w:rsidR="00276EEA" w:rsidRPr="00653B89">
        <w:rPr>
          <w:rFonts w:ascii="Arial" w:hAnsi="Arial" w:cs="Arial"/>
          <w:color w:val="0D0D0D" w:themeColor="text1" w:themeTint="F2"/>
          <w:sz w:val="22"/>
          <w:szCs w:val="22"/>
        </w:rPr>
        <w:t>, 2024</w:t>
      </w:r>
      <w:r w:rsidR="00276EEA" w:rsidRPr="00653B89">
        <w:rPr>
          <w:rFonts w:ascii="Arial" w:hAnsi="Arial" w:cs="Arial"/>
          <w:color w:val="0D0D0D" w:themeColor="text1" w:themeTint="F2"/>
          <w:sz w:val="22"/>
          <w:szCs w:val="22"/>
        </w:rPr>
        <w:t xml:space="preserve">; </w:t>
      </w:r>
      <w:r w:rsidR="000D7372" w:rsidRPr="00653B89">
        <w:rPr>
          <w:rFonts w:ascii="Arial" w:hAnsi="Arial" w:cs="Arial"/>
          <w:color w:val="0D0D0D" w:themeColor="text1" w:themeTint="F2"/>
          <w:sz w:val="22"/>
          <w:szCs w:val="22"/>
        </w:rPr>
        <w:t xml:space="preserve">Coffey, 2024). </w:t>
      </w:r>
      <w:r w:rsidR="00755738" w:rsidRPr="00653B89">
        <w:rPr>
          <w:rFonts w:ascii="Arial" w:hAnsi="Arial" w:cs="Arial"/>
          <w:color w:val="0D0D0D" w:themeColor="text1" w:themeTint="F2"/>
          <w:sz w:val="22"/>
          <w:szCs w:val="22"/>
        </w:rPr>
        <w:t>A</w:t>
      </w:r>
      <w:r w:rsidR="004B7E85" w:rsidRPr="00653B89">
        <w:rPr>
          <w:rFonts w:ascii="Arial" w:hAnsi="Arial" w:cs="Arial"/>
          <w:color w:val="0D0D0D" w:themeColor="text1" w:themeTint="F2"/>
          <w:sz w:val="22"/>
          <w:szCs w:val="22"/>
        </w:rPr>
        <w:t xml:space="preserve"> linear view </w:t>
      </w:r>
      <w:r w:rsidR="00755738" w:rsidRPr="00653B89">
        <w:rPr>
          <w:rFonts w:ascii="Arial" w:hAnsi="Arial" w:cs="Arial"/>
          <w:color w:val="0D0D0D" w:themeColor="text1" w:themeTint="F2"/>
          <w:sz w:val="22"/>
          <w:szCs w:val="22"/>
        </w:rPr>
        <w:t xml:space="preserve">of </w:t>
      </w:r>
      <w:r w:rsidR="00755738" w:rsidRPr="00653B89">
        <w:rPr>
          <w:rFonts w:ascii="Arial" w:hAnsi="Arial" w:cs="Arial"/>
          <w:color w:val="0D0D0D" w:themeColor="text1" w:themeTint="F2"/>
          <w:sz w:val="22"/>
          <w:szCs w:val="22"/>
        </w:rPr>
        <w:t xml:space="preserve">Professor Patel's case </w:t>
      </w:r>
      <w:r w:rsidR="004B7E85" w:rsidRPr="00653B89">
        <w:rPr>
          <w:rFonts w:ascii="Arial" w:hAnsi="Arial" w:cs="Arial"/>
          <w:color w:val="0D0D0D" w:themeColor="text1" w:themeTint="F2"/>
          <w:sz w:val="22"/>
          <w:szCs w:val="22"/>
        </w:rPr>
        <w:t xml:space="preserve">might blame the </w:t>
      </w:r>
      <w:r w:rsidR="007C01AF" w:rsidRPr="00653B89">
        <w:rPr>
          <w:rFonts w:ascii="Arial" w:hAnsi="Arial" w:cs="Arial"/>
          <w:color w:val="0D0D0D" w:themeColor="text1" w:themeTint="F2"/>
          <w:sz w:val="22"/>
          <w:szCs w:val="22"/>
        </w:rPr>
        <w:t>doctor</w:t>
      </w:r>
      <w:r w:rsidR="004B7E85" w:rsidRPr="00653B89">
        <w:rPr>
          <w:rFonts w:ascii="Arial" w:hAnsi="Arial" w:cs="Arial"/>
          <w:color w:val="0D0D0D" w:themeColor="text1" w:themeTint="F2"/>
          <w:sz w:val="22"/>
          <w:szCs w:val="22"/>
        </w:rPr>
        <w:t xml:space="preserve"> who performed the Endobronchial Ultrasound guided biopsy (EBUS); </w:t>
      </w:r>
      <w:r w:rsidR="007C01AF" w:rsidRPr="00653B89">
        <w:rPr>
          <w:rFonts w:ascii="Arial" w:hAnsi="Arial" w:cs="Arial"/>
          <w:color w:val="0D0D0D" w:themeColor="text1" w:themeTint="F2"/>
          <w:sz w:val="22"/>
          <w:szCs w:val="22"/>
        </w:rPr>
        <w:t>however</w:t>
      </w:r>
      <w:r w:rsidR="001D5B09" w:rsidRPr="00653B89">
        <w:rPr>
          <w:rFonts w:ascii="Arial" w:hAnsi="Arial" w:cs="Arial"/>
          <w:color w:val="0D0D0D" w:themeColor="text1" w:themeTint="F2"/>
          <w:sz w:val="22"/>
          <w:szCs w:val="22"/>
        </w:rPr>
        <w:t xml:space="preserve">, </w:t>
      </w:r>
      <w:r w:rsidR="004B7E85" w:rsidRPr="00653B89">
        <w:rPr>
          <w:rFonts w:ascii="Arial" w:hAnsi="Arial" w:cs="Arial"/>
          <w:color w:val="0D0D0D" w:themeColor="text1" w:themeTint="F2"/>
          <w:sz w:val="22"/>
          <w:szCs w:val="22"/>
        </w:rPr>
        <w:t>a systems view exposes the fractured information pathways that made that procedure's recommendation fatally flawed (</w:t>
      </w:r>
      <w:proofErr w:type="spellStart"/>
      <w:r w:rsidR="004B7E85" w:rsidRPr="00653B89">
        <w:rPr>
          <w:rFonts w:ascii="Arial" w:hAnsi="Arial" w:cs="Arial"/>
          <w:color w:val="0D0D0D" w:themeColor="text1" w:themeTint="F2"/>
          <w:sz w:val="22"/>
          <w:szCs w:val="22"/>
        </w:rPr>
        <w:t>Charsley</w:t>
      </w:r>
      <w:proofErr w:type="spellEnd"/>
      <w:r w:rsidR="004B7E85" w:rsidRPr="00653B89">
        <w:rPr>
          <w:rFonts w:ascii="Arial" w:hAnsi="Arial" w:cs="Arial"/>
          <w:color w:val="0D0D0D" w:themeColor="text1" w:themeTint="F2"/>
          <w:sz w:val="22"/>
          <w:szCs w:val="22"/>
        </w:rPr>
        <w:t xml:space="preserve"> and </w:t>
      </w:r>
      <w:proofErr w:type="spellStart"/>
      <w:r w:rsidR="004B7E85" w:rsidRPr="00653B89">
        <w:rPr>
          <w:rFonts w:ascii="Arial" w:hAnsi="Arial" w:cs="Arial"/>
          <w:color w:val="0D0D0D" w:themeColor="text1" w:themeTint="F2"/>
          <w:sz w:val="22"/>
          <w:szCs w:val="22"/>
        </w:rPr>
        <w:t>Vesty</w:t>
      </w:r>
      <w:proofErr w:type="spellEnd"/>
      <w:r w:rsidR="004B7E85" w:rsidRPr="00653B89">
        <w:rPr>
          <w:rFonts w:ascii="Arial" w:hAnsi="Arial" w:cs="Arial"/>
          <w:color w:val="0D0D0D" w:themeColor="text1" w:themeTint="F2"/>
          <w:sz w:val="22"/>
          <w:szCs w:val="22"/>
        </w:rPr>
        <w:t xml:space="preserve">, 2024; </w:t>
      </w:r>
      <w:proofErr w:type="spellStart"/>
      <w:r w:rsidR="004B7E85" w:rsidRPr="00653B89">
        <w:rPr>
          <w:rFonts w:ascii="Arial" w:hAnsi="Arial" w:cs="Arial"/>
          <w:color w:val="0D0D0D" w:themeColor="text1" w:themeTint="F2"/>
          <w:sz w:val="22"/>
          <w:szCs w:val="22"/>
        </w:rPr>
        <w:t>Vesty</w:t>
      </w:r>
      <w:proofErr w:type="spellEnd"/>
      <w:r w:rsidR="004B7E85" w:rsidRPr="00653B89">
        <w:rPr>
          <w:rFonts w:ascii="Arial" w:hAnsi="Arial" w:cs="Arial"/>
          <w:color w:val="0D0D0D" w:themeColor="text1" w:themeTint="F2"/>
          <w:sz w:val="22"/>
          <w:szCs w:val="22"/>
        </w:rPr>
        <w:t>, 2024</w:t>
      </w:r>
      <w:r w:rsidR="007255FF" w:rsidRPr="00653B89">
        <w:rPr>
          <w:rFonts w:ascii="Arial" w:hAnsi="Arial" w:cs="Arial"/>
          <w:color w:val="0D0D0D" w:themeColor="text1" w:themeTint="F2"/>
          <w:sz w:val="22"/>
          <w:szCs w:val="22"/>
        </w:rPr>
        <w:t>)</w:t>
      </w:r>
      <w:r w:rsidR="004B7E85" w:rsidRPr="00653B89">
        <w:rPr>
          <w:rFonts w:ascii="Arial" w:hAnsi="Arial" w:cs="Arial"/>
          <w:color w:val="0D0D0D" w:themeColor="text1" w:themeTint="F2"/>
          <w:sz w:val="22"/>
          <w:szCs w:val="22"/>
        </w:rPr>
        <w:t xml:space="preserve">. </w:t>
      </w:r>
      <w:r w:rsidR="000D7372" w:rsidRPr="00653B89">
        <w:rPr>
          <w:rFonts w:ascii="Arial" w:hAnsi="Arial" w:cs="Arial"/>
          <w:color w:val="0D0D0D" w:themeColor="text1" w:themeTint="F2"/>
          <w:sz w:val="22"/>
          <w:szCs w:val="22"/>
        </w:rPr>
        <w:t>The coroner determined that the local physicians at Wythenshawe Hospital did not supply the National HLH multidisciplinary team (MD</w:t>
      </w:r>
      <w:r w:rsidR="005B5E17" w:rsidRPr="00653B89">
        <w:rPr>
          <w:rFonts w:ascii="Arial" w:hAnsi="Arial" w:cs="Arial"/>
          <w:color w:val="0D0D0D" w:themeColor="text1" w:themeTint="F2"/>
          <w:sz w:val="22"/>
          <w:szCs w:val="22"/>
        </w:rPr>
        <w:t>T</w:t>
      </w:r>
      <w:r w:rsidR="000D7372" w:rsidRPr="00653B89">
        <w:rPr>
          <w:rFonts w:ascii="Arial" w:hAnsi="Arial" w:cs="Arial"/>
          <w:color w:val="0D0D0D" w:themeColor="text1" w:themeTint="F2"/>
          <w:sz w:val="22"/>
          <w:szCs w:val="22"/>
        </w:rPr>
        <w:t xml:space="preserve">) with pertinent and accessible information that could have impacted the decision-making regarding Professor Patel’s treatment (Coffey, 2024). Consequently, the National MDT, functioning with insufficient knowledge, advised that Professor Patel undergo an EBUS surgery, a consequence of which ultimately resulted in his </w:t>
      </w:r>
      <w:r w:rsidR="00A26EED" w:rsidRPr="00653B89">
        <w:rPr>
          <w:rFonts w:ascii="Arial" w:hAnsi="Arial" w:cs="Arial"/>
          <w:color w:val="0D0D0D" w:themeColor="text1" w:themeTint="F2"/>
          <w:sz w:val="22"/>
          <w:szCs w:val="22"/>
        </w:rPr>
        <w:t>death</w:t>
      </w:r>
      <w:r w:rsidR="000D7372" w:rsidRPr="00653B89">
        <w:rPr>
          <w:rFonts w:ascii="Arial" w:hAnsi="Arial" w:cs="Arial"/>
          <w:color w:val="0D0D0D" w:themeColor="text1" w:themeTint="F2"/>
          <w:sz w:val="22"/>
          <w:szCs w:val="22"/>
        </w:rPr>
        <w:t xml:space="preserve"> (Coffey, 2024)</w:t>
      </w:r>
      <w:r w:rsidR="00E80053" w:rsidRPr="00653B89">
        <w:rPr>
          <w:rFonts w:ascii="Arial" w:hAnsi="Arial" w:cs="Arial"/>
          <w:color w:val="0D0D0D" w:themeColor="text1" w:themeTint="F2"/>
          <w:sz w:val="22"/>
          <w:szCs w:val="22"/>
        </w:rPr>
        <w:t>.</w:t>
      </w:r>
    </w:p>
    <w:p w14:paraId="35486657" w14:textId="1B360567" w:rsidR="005A7F7E" w:rsidRPr="00653B89" w:rsidRDefault="001C2E6A" w:rsidP="00474ADF">
      <w:pPr>
        <w:pStyle w:val="NormalWeb"/>
        <w:spacing w:before="0" w:beforeAutospacing="0" w:after="240" w:afterAutospacing="0" w:line="360" w:lineRule="auto"/>
        <w:rPr>
          <w:rFonts w:ascii="Arial" w:hAnsi="Arial" w:cs="Arial"/>
          <w:b/>
          <w:bCs/>
          <w:color w:val="0D0D0D" w:themeColor="text1" w:themeTint="F2"/>
          <w:sz w:val="22"/>
          <w:szCs w:val="22"/>
        </w:rPr>
      </w:pPr>
      <w:r w:rsidRPr="00653B89">
        <w:rPr>
          <w:rFonts w:ascii="Arial" w:hAnsi="Arial" w:cs="Arial"/>
          <w:noProof/>
          <w:color w:val="000000" w:themeColor="text1"/>
          <w:sz w:val="22"/>
          <w:szCs w:val="22"/>
          <w14:ligatures w14:val="standardContextual"/>
        </w:rPr>
        <w:lastRenderedPageBreak/>
        <mc:AlternateContent>
          <mc:Choice Requires="wps">
            <w:drawing>
              <wp:anchor distT="0" distB="0" distL="114300" distR="114300" simplePos="0" relativeHeight="251660288" behindDoc="0" locked="0" layoutInCell="1" allowOverlap="1" wp14:anchorId="027A09B4" wp14:editId="10F324D5">
                <wp:simplePos x="0" y="0"/>
                <wp:positionH relativeFrom="column">
                  <wp:posOffset>1426143</wp:posOffset>
                </wp:positionH>
                <wp:positionV relativeFrom="paragraph">
                  <wp:posOffset>4929872</wp:posOffset>
                </wp:positionV>
                <wp:extent cx="3615489" cy="252663"/>
                <wp:effectExtent l="0" t="0" r="17145" b="14605"/>
                <wp:wrapNone/>
                <wp:docPr id="222196805" name="Text Box 1"/>
                <wp:cNvGraphicFramePr/>
                <a:graphic xmlns:a="http://schemas.openxmlformats.org/drawingml/2006/main">
                  <a:graphicData uri="http://schemas.microsoft.com/office/word/2010/wordprocessingShape">
                    <wps:wsp>
                      <wps:cNvSpPr txBox="1"/>
                      <wps:spPr>
                        <a:xfrm>
                          <a:off x="0" y="0"/>
                          <a:ext cx="3615489" cy="252663"/>
                        </a:xfrm>
                        <a:prstGeom prst="rect">
                          <a:avLst/>
                        </a:prstGeom>
                        <a:solidFill>
                          <a:schemeClr val="lt1"/>
                        </a:solidFill>
                        <a:ln w="6350">
                          <a:solidFill>
                            <a:prstClr val="black"/>
                          </a:solidFill>
                        </a:ln>
                      </wps:spPr>
                      <wps:txbx>
                        <w:txbxContent>
                          <w:p w14:paraId="2A6CD855" w14:textId="7005F497" w:rsidR="001C2E6A" w:rsidRPr="00C6726B" w:rsidRDefault="001C2E6A">
                            <w:pPr>
                              <w:rPr>
                                <w:sz w:val="16"/>
                                <w:szCs w:val="16"/>
                              </w:rPr>
                            </w:pPr>
                            <w:r w:rsidRPr="00C6726B">
                              <w:rPr>
                                <w:sz w:val="16"/>
                                <w:szCs w:val="16"/>
                              </w:rPr>
                              <w:t xml:space="preserve">Rich </w:t>
                            </w:r>
                            <w:r w:rsidR="004D0EF0" w:rsidRPr="00C6726B">
                              <w:rPr>
                                <w:sz w:val="16"/>
                                <w:szCs w:val="16"/>
                              </w:rPr>
                              <w:t xml:space="preserve">picture </w:t>
                            </w:r>
                            <w:r w:rsidR="00C6726B" w:rsidRPr="00C6726B">
                              <w:rPr>
                                <w:sz w:val="16"/>
                                <w:szCs w:val="16"/>
                              </w:rPr>
                              <w:t>source</w:t>
                            </w:r>
                            <w:r w:rsidRPr="00C6726B">
                              <w:rPr>
                                <w:sz w:val="16"/>
                                <w:szCs w:val="16"/>
                              </w:rPr>
                              <w:t xml:space="preserve">: </w:t>
                            </w:r>
                            <w:r w:rsidRPr="00C6726B">
                              <w:rPr>
                                <w:rFonts w:cs="Arial"/>
                                <w:color w:val="0D0D0D" w:themeColor="text1" w:themeTint="F2"/>
                                <w:sz w:val="16"/>
                                <w:szCs w:val="16"/>
                              </w:rPr>
                              <w:t>(</w:t>
                            </w:r>
                            <w:proofErr w:type="spellStart"/>
                            <w:r w:rsidRPr="00C6726B">
                              <w:rPr>
                                <w:rFonts w:cs="Arial"/>
                                <w:color w:val="0D0D0D" w:themeColor="text1" w:themeTint="F2"/>
                                <w:sz w:val="16"/>
                                <w:szCs w:val="16"/>
                              </w:rPr>
                              <w:t>Vesty</w:t>
                            </w:r>
                            <w:proofErr w:type="spellEnd"/>
                            <w:r w:rsidRPr="00C6726B">
                              <w:rPr>
                                <w:rFonts w:cs="Arial"/>
                                <w:color w:val="0D0D0D" w:themeColor="text1" w:themeTint="F2"/>
                                <w:sz w:val="16"/>
                                <w:szCs w:val="16"/>
                              </w:rPr>
                              <w:t xml:space="preserve">, 2024; </w:t>
                            </w:r>
                            <w:proofErr w:type="spellStart"/>
                            <w:r w:rsidRPr="00C6726B">
                              <w:rPr>
                                <w:rFonts w:cs="Arial"/>
                                <w:color w:val="0D0D0D" w:themeColor="text1" w:themeTint="F2"/>
                                <w:sz w:val="16"/>
                                <w:szCs w:val="16"/>
                              </w:rPr>
                              <w:t>Charsley</w:t>
                            </w:r>
                            <w:proofErr w:type="spellEnd"/>
                            <w:r w:rsidRPr="00C6726B">
                              <w:rPr>
                                <w:rFonts w:cs="Arial"/>
                                <w:color w:val="0D0D0D" w:themeColor="text1" w:themeTint="F2"/>
                                <w:sz w:val="16"/>
                                <w:szCs w:val="16"/>
                              </w:rPr>
                              <w:t xml:space="preserve"> and </w:t>
                            </w:r>
                            <w:proofErr w:type="spellStart"/>
                            <w:r w:rsidRPr="00C6726B">
                              <w:rPr>
                                <w:rFonts w:cs="Arial"/>
                                <w:color w:val="0D0D0D" w:themeColor="text1" w:themeTint="F2"/>
                                <w:sz w:val="16"/>
                                <w:szCs w:val="16"/>
                              </w:rPr>
                              <w:t>Vesty</w:t>
                            </w:r>
                            <w:proofErr w:type="spellEnd"/>
                            <w:r w:rsidRPr="00C6726B">
                              <w:rPr>
                                <w:rFonts w:cs="Arial"/>
                                <w:color w:val="0D0D0D" w:themeColor="text1" w:themeTint="F2"/>
                                <w:sz w:val="16"/>
                                <w:szCs w:val="16"/>
                              </w:rPr>
                              <w:t>, 2024;</w:t>
                            </w:r>
                            <w:r w:rsidRPr="00C6726B">
                              <w:rPr>
                                <w:rStyle w:val="apple-converted-space"/>
                                <w:rFonts w:eastAsiaTheme="majorEastAsia" w:cs="Arial"/>
                                <w:color w:val="0D0D0D" w:themeColor="text1" w:themeTint="F2"/>
                                <w:sz w:val="16"/>
                                <w:szCs w:val="16"/>
                              </w:rPr>
                              <w:t xml:space="preserve"> </w:t>
                            </w:r>
                            <w:r w:rsidRPr="00C6726B">
                              <w:rPr>
                                <w:rFonts w:cs="Arial"/>
                                <w:color w:val="0D0D0D" w:themeColor="text1" w:themeTint="F2"/>
                                <w:sz w:val="16"/>
                                <w:szCs w:val="16"/>
                              </w:rPr>
                              <w:t>Coffey, 2024).</w:t>
                            </w:r>
                            <w:r w:rsidRPr="00C6726B">
                              <w:rPr>
                                <w:rStyle w:val="apple-converted-space"/>
                                <w:rFonts w:cs="Arial"/>
                                <w:color w:val="0D0D0D" w:themeColor="text1" w:themeTint="F2"/>
                                <w:sz w:val="16"/>
                                <w:szCs w:val="16"/>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7A09B4" id="_x0000_t202" coordsize="21600,21600" o:spt="202" path="m,l,21600r21600,l21600,xe">
                <v:stroke joinstyle="miter"/>
                <v:path gradientshapeok="t" o:connecttype="rect"/>
              </v:shapetype>
              <v:shape id="Text Box 1" o:spid="_x0000_s1026" type="#_x0000_t202" style="position:absolute;margin-left:112.3pt;margin-top:388.2pt;width:284.7pt;height:1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" fillcolor="white [3201]" strokeweight=".5pt">
                <v:textbox>
                  <w:txbxContent>
                    <w:p w14:paraId="2A6CD855" w14:textId="7005F497" w:rsidR="001C2E6A" w:rsidRPr="00C6726B" w:rsidRDefault="001C2E6A">
                      <w:pPr>
                        <w:rPr>
                          <w:sz w:val="16"/>
                          <w:szCs w:val="16"/>
                        </w:rPr>
                      </w:pPr>
                      <w:r w:rsidRPr="00C6726B">
                        <w:rPr>
                          <w:sz w:val="16"/>
                          <w:szCs w:val="16"/>
                        </w:rPr>
                        <w:t xml:space="preserve">Rich </w:t>
                      </w:r>
                      <w:r w:rsidR="004D0EF0" w:rsidRPr="00C6726B">
                        <w:rPr>
                          <w:sz w:val="16"/>
                          <w:szCs w:val="16"/>
                        </w:rPr>
                        <w:t xml:space="preserve">picture </w:t>
                      </w:r>
                      <w:r w:rsidR="00C6726B" w:rsidRPr="00C6726B">
                        <w:rPr>
                          <w:sz w:val="16"/>
                          <w:szCs w:val="16"/>
                        </w:rPr>
                        <w:t>source</w:t>
                      </w:r>
                      <w:r w:rsidRPr="00C6726B">
                        <w:rPr>
                          <w:sz w:val="16"/>
                          <w:szCs w:val="16"/>
                        </w:rPr>
                        <w:t xml:space="preserve">: </w:t>
                      </w:r>
                      <w:r w:rsidRPr="00C6726B">
                        <w:rPr>
                          <w:rFonts w:cs="Arial"/>
                          <w:color w:val="0D0D0D" w:themeColor="text1" w:themeTint="F2"/>
                          <w:sz w:val="16"/>
                          <w:szCs w:val="16"/>
                        </w:rPr>
                        <w:t>(</w:t>
                      </w:r>
                      <w:proofErr w:type="spellStart"/>
                      <w:r w:rsidRPr="00C6726B">
                        <w:rPr>
                          <w:rFonts w:cs="Arial"/>
                          <w:color w:val="0D0D0D" w:themeColor="text1" w:themeTint="F2"/>
                          <w:sz w:val="16"/>
                          <w:szCs w:val="16"/>
                        </w:rPr>
                        <w:t>Vesty</w:t>
                      </w:r>
                      <w:proofErr w:type="spellEnd"/>
                      <w:r w:rsidRPr="00C6726B">
                        <w:rPr>
                          <w:rFonts w:cs="Arial"/>
                          <w:color w:val="0D0D0D" w:themeColor="text1" w:themeTint="F2"/>
                          <w:sz w:val="16"/>
                          <w:szCs w:val="16"/>
                        </w:rPr>
                        <w:t xml:space="preserve">, 2024; </w:t>
                      </w:r>
                      <w:proofErr w:type="spellStart"/>
                      <w:r w:rsidRPr="00C6726B">
                        <w:rPr>
                          <w:rFonts w:cs="Arial"/>
                          <w:color w:val="0D0D0D" w:themeColor="text1" w:themeTint="F2"/>
                          <w:sz w:val="16"/>
                          <w:szCs w:val="16"/>
                        </w:rPr>
                        <w:t>Charsley</w:t>
                      </w:r>
                      <w:proofErr w:type="spellEnd"/>
                      <w:r w:rsidRPr="00C6726B">
                        <w:rPr>
                          <w:rFonts w:cs="Arial"/>
                          <w:color w:val="0D0D0D" w:themeColor="text1" w:themeTint="F2"/>
                          <w:sz w:val="16"/>
                          <w:szCs w:val="16"/>
                        </w:rPr>
                        <w:t xml:space="preserve"> and </w:t>
                      </w:r>
                      <w:proofErr w:type="spellStart"/>
                      <w:r w:rsidRPr="00C6726B">
                        <w:rPr>
                          <w:rFonts w:cs="Arial"/>
                          <w:color w:val="0D0D0D" w:themeColor="text1" w:themeTint="F2"/>
                          <w:sz w:val="16"/>
                          <w:szCs w:val="16"/>
                        </w:rPr>
                        <w:t>Vesty</w:t>
                      </w:r>
                      <w:proofErr w:type="spellEnd"/>
                      <w:r w:rsidRPr="00C6726B">
                        <w:rPr>
                          <w:rFonts w:cs="Arial"/>
                          <w:color w:val="0D0D0D" w:themeColor="text1" w:themeTint="F2"/>
                          <w:sz w:val="16"/>
                          <w:szCs w:val="16"/>
                        </w:rPr>
                        <w:t>, 2024;</w:t>
                      </w:r>
                      <w:r w:rsidRPr="00C6726B">
                        <w:rPr>
                          <w:rStyle w:val="apple-converted-space"/>
                          <w:rFonts w:eastAsiaTheme="majorEastAsia" w:cs="Arial"/>
                          <w:color w:val="0D0D0D" w:themeColor="text1" w:themeTint="F2"/>
                          <w:sz w:val="16"/>
                          <w:szCs w:val="16"/>
                        </w:rPr>
                        <w:t xml:space="preserve"> </w:t>
                      </w:r>
                      <w:r w:rsidRPr="00C6726B">
                        <w:rPr>
                          <w:rFonts w:cs="Arial"/>
                          <w:color w:val="0D0D0D" w:themeColor="text1" w:themeTint="F2"/>
                          <w:sz w:val="16"/>
                          <w:szCs w:val="16"/>
                        </w:rPr>
                        <w:t>Coffey, 2024).</w:t>
                      </w:r>
                      <w:r w:rsidRPr="00C6726B">
                        <w:rPr>
                          <w:rStyle w:val="apple-converted-space"/>
                          <w:rFonts w:cs="Arial"/>
                          <w:color w:val="0D0D0D" w:themeColor="text1" w:themeTint="F2"/>
                          <w:sz w:val="16"/>
                          <w:szCs w:val="16"/>
                        </w:rPr>
                        <w:t> </w:t>
                      </w:r>
                    </w:p>
                  </w:txbxContent>
                </v:textbox>
              </v:shape>
            </w:pict>
          </mc:Fallback>
        </mc:AlternateContent>
      </w:r>
      <w:r w:rsidR="00E13861" w:rsidRPr="00653B89">
        <w:rPr>
          <w:rFonts w:ascii="Arial" w:hAnsi="Arial" w:cs="Arial"/>
          <w:noProof/>
          <w:color w:val="0D0D0D" w:themeColor="text1" w:themeTint="F2"/>
          <w:sz w:val="22"/>
          <w:szCs w:val="22"/>
          <w14:ligatures w14:val="standardContextual"/>
        </w:rPr>
        <w:drawing>
          <wp:inline distT="0" distB="0" distL="0" distR="0" wp14:anchorId="621D564D" wp14:editId="40AD8005">
            <wp:extent cx="6498590" cy="5415129"/>
            <wp:effectExtent l="12700" t="0" r="16510" b="0"/>
            <wp:docPr id="1797579339" name="Diagram 7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tbl>
      <w:tblPr>
        <w:tblStyle w:val="TableGrid"/>
        <w:tblW w:w="10204" w:type="dxa"/>
        <w:jc w:val="center"/>
        <w:tblLook w:val="04A0" w:firstRow="1" w:lastRow="0" w:firstColumn="1" w:lastColumn="0" w:noHBand="0" w:noVBand="1"/>
      </w:tblPr>
      <w:tblGrid>
        <w:gridCol w:w="2489"/>
        <w:gridCol w:w="4355"/>
        <w:gridCol w:w="3360"/>
      </w:tblGrid>
      <w:tr w:rsidR="00507F8C" w:rsidRPr="00653B89" w14:paraId="7583C336" w14:textId="77777777" w:rsidTr="005A7F7E">
        <w:trPr>
          <w:trHeight w:val="416"/>
          <w:jc w:val="center"/>
        </w:trPr>
        <w:tc>
          <w:tcPr>
            <w:tcW w:w="2489" w:type="dxa"/>
          </w:tcPr>
          <w:p w14:paraId="515FCD1E" w14:textId="77777777" w:rsidR="00E80053" w:rsidRPr="00653B89" w:rsidRDefault="00E80053" w:rsidP="00474ADF">
            <w:pPr>
              <w:pStyle w:val="NormalWeb"/>
              <w:spacing w:before="0" w:beforeAutospacing="0" w:after="225"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Source</w:t>
            </w:r>
          </w:p>
        </w:tc>
        <w:tc>
          <w:tcPr>
            <w:tcW w:w="4355" w:type="dxa"/>
          </w:tcPr>
          <w:p w14:paraId="634CE238" w14:textId="77777777" w:rsidR="00E80053" w:rsidRPr="00653B89" w:rsidRDefault="00E80053" w:rsidP="00474ADF">
            <w:pPr>
              <w:pStyle w:val="NormalWeb"/>
              <w:spacing w:before="0" w:beforeAutospacing="0" w:after="225"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Statistics</w:t>
            </w:r>
          </w:p>
        </w:tc>
        <w:tc>
          <w:tcPr>
            <w:tcW w:w="3360" w:type="dxa"/>
          </w:tcPr>
          <w:p w14:paraId="178F74E2" w14:textId="77777777" w:rsidR="00E80053" w:rsidRPr="00653B89" w:rsidRDefault="00E80053" w:rsidP="00474ADF">
            <w:pPr>
              <w:pStyle w:val="NormalWeb"/>
              <w:spacing w:before="0" w:beforeAutospacing="0" w:after="225" w:afterAutospacing="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Relevance to Case</w:t>
            </w:r>
          </w:p>
        </w:tc>
      </w:tr>
      <w:tr w:rsidR="00507F8C" w:rsidRPr="00653B89" w14:paraId="58EF5011" w14:textId="77777777" w:rsidTr="005A7F7E">
        <w:trPr>
          <w:trHeight w:val="1045"/>
          <w:jc w:val="center"/>
        </w:trPr>
        <w:tc>
          <w:tcPr>
            <w:tcW w:w="2489" w:type="dxa"/>
          </w:tcPr>
          <w:p w14:paraId="5AE4E8E6"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p>
          <w:p w14:paraId="1AC7AA2E"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(Royal College of Emergency Medicine, 2025)</w:t>
            </w:r>
          </w:p>
        </w:tc>
        <w:tc>
          <w:tcPr>
            <w:tcW w:w="4355" w:type="dxa"/>
          </w:tcPr>
          <w:p w14:paraId="78D86C64"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Between 2023-2024 in 136 A&amp;E in UK over 44% of patients failed to get a vital medicine dose while in the A&amp;E, and over 67% were delayed for more than the required 30 minutes.</w:t>
            </w:r>
          </w:p>
        </w:tc>
        <w:tc>
          <w:tcPr>
            <w:tcW w:w="3360" w:type="dxa"/>
          </w:tcPr>
          <w:p w14:paraId="21C335AF"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This emphasises that intricate systems are susceptible to preventable harm.  </w:t>
            </w:r>
          </w:p>
        </w:tc>
      </w:tr>
      <w:tr w:rsidR="00507F8C" w:rsidRPr="00653B89" w14:paraId="46151453" w14:textId="77777777" w:rsidTr="005A7F7E">
        <w:trPr>
          <w:trHeight w:val="868"/>
          <w:jc w:val="center"/>
        </w:trPr>
        <w:tc>
          <w:tcPr>
            <w:tcW w:w="2489" w:type="dxa"/>
          </w:tcPr>
          <w:p w14:paraId="6FDF7FAE"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p>
          <w:p w14:paraId="6C321871" w14:textId="1BBFE8C0"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shd w:val="clear" w:color="auto" w:fill="FFFFFF"/>
              </w:rPr>
              <w:t xml:space="preserve">(Hussain </w:t>
            </w:r>
            <w:r w:rsidRPr="00653B89">
              <w:rPr>
                <w:rFonts w:ascii="Arial" w:hAnsi="Arial" w:cs="Arial"/>
                <w:i/>
                <w:iCs/>
                <w:color w:val="0D0D0D" w:themeColor="text1" w:themeTint="F2"/>
                <w:sz w:val="22"/>
                <w:szCs w:val="22"/>
              </w:rPr>
              <w:t>et al.</w:t>
            </w:r>
            <w:r w:rsidR="00F93875" w:rsidRPr="00653B89">
              <w:rPr>
                <w:rFonts w:ascii="Arial" w:hAnsi="Arial" w:cs="Arial"/>
                <w:i/>
                <w:iCs/>
                <w:color w:val="0D0D0D" w:themeColor="text1" w:themeTint="F2"/>
                <w:sz w:val="22"/>
                <w:szCs w:val="22"/>
              </w:rPr>
              <w:t>,</w:t>
            </w:r>
            <w:r w:rsidRPr="00653B89">
              <w:rPr>
                <w:rStyle w:val="apple-converted-space"/>
                <w:rFonts w:ascii="Arial" w:eastAsiaTheme="majorEastAsia" w:hAnsi="Arial" w:cs="Arial"/>
                <w:color w:val="0D0D0D" w:themeColor="text1" w:themeTint="F2"/>
                <w:sz w:val="22"/>
                <w:szCs w:val="22"/>
                <w:shd w:val="clear" w:color="auto" w:fill="FFFFFF"/>
              </w:rPr>
              <w:t> </w:t>
            </w:r>
            <w:r w:rsidRPr="00653B89">
              <w:rPr>
                <w:rFonts w:ascii="Arial" w:hAnsi="Arial" w:cs="Arial"/>
                <w:color w:val="0D0D0D" w:themeColor="text1" w:themeTint="F2"/>
                <w:sz w:val="22"/>
                <w:szCs w:val="22"/>
                <w:shd w:val="clear" w:color="auto" w:fill="FFFFFF"/>
              </w:rPr>
              <w:t>2019)</w:t>
            </w:r>
          </w:p>
        </w:tc>
        <w:tc>
          <w:tcPr>
            <w:tcW w:w="4355" w:type="dxa"/>
          </w:tcPr>
          <w:p w14:paraId="58E085FC"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In 2,288 A&amp;E diagnostic errors, 86% were due to delayed diagnosis, 52% resulted in mild harm, and 10% led to death.</w:t>
            </w:r>
          </w:p>
        </w:tc>
        <w:tc>
          <w:tcPr>
            <w:tcW w:w="3360" w:type="dxa"/>
          </w:tcPr>
          <w:p w14:paraId="3880F3C8" w14:textId="2DCDE868"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This is pertinent to the initial hesitation </w:t>
            </w:r>
            <w:r w:rsidR="00F93875" w:rsidRPr="00653B89">
              <w:rPr>
                <w:rFonts w:ascii="Arial" w:hAnsi="Arial" w:cs="Arial"/>
                <w:color w:val="0D0D0D" w:themeColor="text1" w:themeTint="F2"/>
                <w:sz w:val="22"/>
                <w:szCs w:val="22"/>
              </w:rPr>
              <w:t>and</w:t>
            </w:r>
            <w:r w:rsidRPr="00653B89">
              <w:rPr>
                <w:rFonts w:ascii="Arial" w:hAnsi="Arial" w:cs="Arial"/>
                <w:color w:val="0D0D0D" w:themeColor="text1" w:themeTint="F2"/>
                <w:sz w:val="22"/>
                <w:szCs w:val="22"/>
              </w:rPr>
              <w:t xml:space="preserve"> postponement in recognising Prof. Patel's HLH diagnosis.</w:t>
            </w:r>
          </w:p>
        </w:tc>
      </w:tr>
      <w:tr w:rsidR="00507F8C" w:rsidRPr="00653B89" w14:paraId="4D5FCB09" w14:textId="77777777" w:rsidTr="005A7F7E">
        <w:trPr>
          <w:trHeight w:val="824"/>
          <w:jc w:val="center"/>
        </w:trPr>
        <w:tc>
          <w:tcPr>
            <w:tcW w:w="2489" w:type="dxa"/>
          </w:tcPr>
          <w:p w14:paraId="31B997BC"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p>
          <w:p w14:paraId="37FECA22" w14:textId="4F59B213"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(WHO, 2023)</w:t>
            </w:r>
          </w:p>
        </w:tc>
        <w:tc>
          <w:tcPr>
            <w:tcW w:w="4355" w:type="dxa"/>
          </w:tcPr>
          <w:p w14:paraId="449D5517"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Annually, about three million individuals worldwide succumb to preventable healthcare-related harm and surgical neglect.</w:t>
            </w:r>
          </w:p>
        </w:tc>
        <w:tc>
          <w:tcPr>
            <w:tcW w:w="3360" w:type="dxa"/>
          </w:tcPr>
          <w:p w14:paraId="62D62BEB"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Places Professor Patel's death in the context of many preventable deaths.</w:t>
            </w:r>
          </w:p>
        </w:tc>
      </w:tr>
      <w:tr w:rsidR="00507F8C" w:rsidRPr="00653B89" w14:paraId="6C589956" w14:textId="77777777" w:rsidTr="005A7F7E">
        <w:trPr>
          <w:trHeight w:val="1099"/>
          <w:jc w:val="center"/>
        </w:trPr>
        <w:tc>
          <w:tcPr>
            <w:tcW w:w="2489" w:type="dxa"/>
          </w:tcPr>
          <w:p w14:paraId="6EFCEAFD"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p>
          <w:p w14:paraId="77CFDA20" w14:textId="7FF9BF34"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r w:rsidRPr="00653B89">
              <w:rPr>
                <w:rFonts w:ascii="Arial" w:hAnsi="Arial" w:cs="Arial"/>
                <w:color w:val="0D0D0D" w:themeColor="text1" w:themeTint="F2"/>
                <w:sz w:val="22"/>
                <w:szCs w:val="22"/>
                <w:shd w:val="clear" w:color="auto" w:fill="FFFFFF"/>
              </w:rPr>
              <w:t xml:space="preserve">(Ainsworth </w:t>
            </w:r>
            <w:r w:rsidRPr="00653B89">
              <w:rPr>
                <w:rFonts w:ascii="Arial" w:hAnsi="Arial" w:cs="Arial"/>
                <w:i/>
                <w:iCs/>
                <w:color w:val="0D0D0D" w:themeColor="text1" w:themeTint="F2"/>
                <w:sz w:val="22"/>
                <w:szCs w:val="22"/>
              </w:rPr>
              <w:t>et al.</w:t>
            </w:r>
            <w:r w:rsidR="003638BB" w:rsidRPr="00653B89">
              <w:rPr>
                <w:rFonts w:ascii="Arial" w:hAnsi="Arial" w:cs="Arial"/>
                <w:i/>
                <w:iCs/>
                <w:color w:val="0D0D0D" w:themeColor="text1" w:themeTint="F2"/>
                <w:sz w:val="22"/>
                <w:szCs w:val="22"/>
              </w:rPr>
              <w:t>,</w:t>
            </w:r>
            <w:r w:rsidR="003638BB" w:rsidRPr="00653B89">
              <w:rPr>
                <w:rFonts w:ascii="Arial" w:hAnsi="Arial" w:cs="Arial"/>
                <w:i/>
                <w:iCs/>
                <w:sz w:val="22"/>
                <w:szCs w:val="22"/>
              </w:rPr>
              <w:t xml:space="preserve"> </w:t>
            </w:r>
            <w:r w:rsidRPr="00653B89">
              <w:rPr>
                <w:rFonts w:ascii="Arial" w:hAnsi="Arial" w:cs="Arial"/>
                <w:color w:val="0D0D0D" w:themeColor="text1" w:themeTint="F2"/>
                <w:sz w:val="22"/>
                <w:szCs w:val="22"/>
                <w:shd w:val="clear" w:color="auto" w:fill="FFFFFF"/>
              </w:rPr>
              <w:t>2023)</w:t>
            </w:r>
          </w:p>
        </w:tc>
        <w:tc>
          <w:tcPr>
            <w:tcW w:w="4355" w:type="dxa"/>
          </w:tcPr>
          <w:p w14:paraId="7BF00551" w14:textId="4AD05C9B"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The annual claims for "Fail to warn - Informed consent" in England rose from 2011–2012 to 2021–2022 rose 93%, costing NHS Resolution €91.7 million.</w:t>
            </w:r>
          </w:p>
        </w:tc>
        <w:tc>
          <w:tcPr>
            <w:tcW w:w="3360" w:type="dxa"/>
          </w:tcPr>
          <w:p w14:paraId="4208F2D4" w14:textId="77777777" w:rsidR="00E80053" w:rsidRPr="00653B89" w:rsidRDefault="00E8005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This statistic relates to Professor Patel's case, as the failure to obtain informed consent reflects a national trend of rising litigation and leadership failures within the NHS.</w:t>
            </w:r>
          </w:p>
        </w:tc>
      </w:tr>
    </w:tbl>
    <w:p w14:paraId="59C7A220" w14:textId="77777777" w:rsidR="003152DE" w:rsidRPr="00653B89" w:rsidRDefault="003152DE" w:rsidP="00474ADF">
      <w:pPr>
        <w:pStyle w:val="NormalWeb"/>
        <w:spacing w:before="0" w:beforeAutospacing="0" w:after="240" w:afterAutospacing="0" w:line="360" w:lineRule="auto"/>
        <w:rPr>
          <w:rFonts w:ascii="Arial" w:hAnsi="Arial" w:cs="Arial"/>
          <w:b/>
          <w:bCs/>
          <w:color w:val="0D0D0D" w:themeColor="text1" w:themeTint="F2"/>
          <w:sz w:val="22"/>
          <w:szCs w:val="22"/>
        </w:rPr>
      </w:pPr>
    </w:p>
    <w:p w14:paraId="77FCD089" w14:textId="6982A69C" w:rsidR="003152DE" w:rsidRPr="00653B89" w:rsidRDefault="00C3071F" w:rsidP="00474ADF">
      <w:pPr>
        <w:spacing w:line="360" w:lineRule="auto"/>
        <w:rPr>
          <w:rFonts w:cs="Arial"/>
          <w:color w:val="0D0D0D" w:themeColor="text1" w:themeTint="F2"/>
          <w:sz w:val="22"/>
          <w:szCs w:val="22"/>
        </w:rPr>
      </w:pPr>
      <w:r w:rsidRPr="00653B89">
        <w:rPr>
          <w:rFonts w:cs="Arial"/>
          <w:color w:val="0D0D0D" w:themeColor="text1" w:themeTint="F2"/>
          <w:sz w:val="22"/>
          <w:szCs w:val="22"/>
        </w:rPr>
        <w:t xml:space="preserve">Carroll, </w:t>
      </w:r>
      <w:proofErr w:type="gramStart"/>
      <w:r w:rsidRPr="00653B89">
        <w:rPr>
          <w:rFonts w:cs="Arial"/>
          <w:color w:val="0D0D0D" w:themeColor="text1" w:themeTint="F2"/>
          <w:sz w:val="22"/>
          <w:szCs w:val="22"/>
        </w:rPr>
        <w:t>McKenzie</w:t>
      </w:r>
      <w:proofErr w:type="gramEnd"/>
      <w:r w:rsidRPr="00653B89">
        <w:rPr>
          <w:rFonts w:cs="Arial"/>
          <w:color w:val="0D0D0D" w:themeColor="text1" w:themeTint="F2"/>
          <w:sz w:val="22"/>
          <w:szCs w:val="22"/>
        </w:rPr>
        <w:t xml:space="preserve"> and Collins (2024) assert that when medical boards exhibit ambiguous governance and a disconnection between executive management and clinical personnel, as observed prior to Professor Patel's treatment, the likelihood of systemic failure increases. Although Carroll, </w:t>
      </w:r>
      <w:proofErr w:type="gramStart"/>
      <w:r w:rsidRPr="00653B89">
        <w:rPr>
          <w:rFonts w:cs="Arial"/>
          <w:color w:val="0D0D0D" w:themeColor="text1" w:themeTint="F2"/>
          <w:sz w:val="22"/>
          <w:szCs w:val="22"/>
        </w:rPr>
        <w:t>McKenzie</w:t>
      </w:r>
      <w:proofErr w:type="gramEnd"/>
      <w:r w:rsidRPr="00653B89">
        <w:rPr>
          <w:rFonts w:cs="Arial"/>
          <w:color w:val="0D0D0D" w:themeColor="text1" w:themeTint="F2"/>
          <w:sz w:val="22"/>
          <w:szCs w:val="22"/>
        </w:rPr>
        <w:t xml:space="preserve"> and Collins (2024) identify authentic cooperation, patient-centred decision-making, transparent governance frameworks and efficient knowledge mobilisation as four interrelated factors fundamental to leadership efficacy, the lack of these elements in Professor Patel's case study resulted in a leadership void.</w:t>
      </w:r>
    </w:p>
    <w:p w14:paraId="4C71B560" w14:textId="77777777" w:rsidR="00153AFF" w:rsidRPr="00653B89" w:rsidRDefault="00153AFF" w:rsidP="00474ADF">
      <w:pPr>
        <w:spacing w:line="360" w:lineRule="auto"/>
        <w:rPr>
          <w:rFonts w:cs="Arial"/>
          <w:color w:val="0D0D0D" w:themeColor="text1" w:themeTint="F2"/>
          <w:sz w:val="22"/>
          <w:szCs w:val="22"/>
        </w:rPr>
      </w:pPr>
    </w:p>
    <w:p w14:paraId="1C9CFE93" w14:textId="77777777" w:rsidR="00EB2AF9" w:rsidRPr="00653B89" w:rsidRDefault="00153AFF" w:rsidP="00474ADF">
      <w:pPr>
        <w:spacing w:line="360" w:lineRule="auto"/>
        <w:rPr>
          <w:rFonts w:cs="Arial"/>
          <w:color w:val="0D0D0D" w:themeColor="text1" w:themeTint="F2"/>
          <w:sz w:val="22"/>
          <w:szCs w:val="22"/>
        </w:rPr>
      </w:pPr>
      <w:r w:rsidRPr="00653B89">
        <w:rPr>
          <w:rFonts w:cs="Arial"/>
          <w:color w:val="0D0D0D" w:themeColor="text1" w:themeTint="F2"/>
          <w:sz w:val="22"/>
          <w:szCs w:val="22"/>
        </w:rPr>
        <w:t>The death of Professor Patel critiques the existing investigative framework within the NHS</w:t>
      </w:r>
      <w:r w:rsidR="004B03C9" w:rsidRPr="00653B89">
        <w:rPr>
          <w:rFonts w:cs="Arial"/>
          <w:color w:val="0D0D0D" w:themeColor="text1" w:themeTint="F2"/>
          <w:sz w:val="22"/>
          <w:szCs w:val="22"/>
        </w:rPr>
        <w:t xml:space="preserve"> </w:t>
      </w:r>
      <w:r w:rsidR="004B03C9" w:rsidRPr="00653B89">
        <w:rPr>
          <w:rFonts w:cs="Arial"/>
          <w:color w:val="0D0D0D" w:themeColor="text1" w:themeTint="F2"/>
          <w:sz w:val="22"/>
          <w:szCs w:val="22"/>
          <w:shd w:val="clear" w:color="auto" w:fill="FFFFFF"/>
        </w:rPr>
        <w:t xml:space="preserve">(Ainsworth </w:t>
      </w:r>
      <w:r w:rsidR="004B03C9" w:rsidRPr="00653B89">
        <w:rPr>
          <w:rFonts w:cs="Arial"/>
          <w:i/>
          <w:iCs/>
          <w:color w:val="0D0D0D" w:themeColor="text1" w:themeTint="F2"/>
          <w:sz w:val="22"/>
          <w:szCs w:val="22"/>
        </w:rPr>
        <w:t>et al.,</w:t>
      </w:r>
      <w:r w:rsidR="004B03C9" w:rsidRPr="00653B89">
        <w:rPr>
          <w:rFonts w:cs="Arial"/>
          <w:i/>
          <w:iCs/>
          <w:sz w:val="22"/>
          <w:szCs w:val="22"/>
        </w:rPr>
        <w:t xml:space="preserve"> </w:t>
      </w:r>
      <w:r w:rsidR="004B03C9" w:rsidRPr="00653B89">
        <w:rPr>
          <w:rFonts w:cs="Arial"/>
          <w:color w:val="0D0D0D" w:themeColor="text1" w:themeTint="F2"/>
          <w:sz w:val="22"/>
          <w:szCs w:val="22"/>
          <w:shd w:val="clear" w:color="auto" w:fill="FFFFFF"/>
        </w:rPr>
        <w:t>2023)</w:t>
      </w:r>
      <w:r w:rsidRPr="00653B89">
        <w:rPr>
          <w:rFonts w:cs="Arial"/>
          <w:color w:val="0D0D0D" w:themeColor="text1" w:themeTint="F2"/>
          <w:sz w:val="22"/>
          <w:szCs w:val="22"/>
        </w:rPr>
        <w:t>. The coroner's inquiry pinpointed certain deficiencies, including the "inexplicable" failure to disseminate DIC results; however, scholarly literature indicates that such findings frequently lack comprehensive systems analysis</w:t>
      </w:r>
      <w:r w:rsidR="00C1623B" w:rsidRPr="00653B89">
        <w:rPr>
          <w:rFonts w:cs="Arial"/>
          <w:color w:val="0D0D0D" w:themeColor="text1" w:themeTint="F2"/>
          <w:sz w:val="22"/>
          <w:szCs w:val="22"/>
        </w:rPr>
        <w:t xml:space="preserve"> </w:t>
      </w:r>
      <w:r w:rsidR="00C1623B" w:rsidRPr="00653B89">
        <w:rPr>
          <w:rFonts w:cs="Arial"/>
          <w:color w:val="0D0D0D" w:themeColor="text1" w:themeTint="F2"/>
          <w:sz w:val="22"/>
          <w:szCs w:val="22"/>
        </w:rPr>
        <w:t>(Coffey, 2024</w:t>
      </w:r>
      <w:r w:rsidR="00EB2AF9" w:rsidRPr="00653B89">
        <w:rPr>
          <w:rFonts w:cs="Arial"/>
          <w:color w:val="0D0D0D" w:themeColor="text1" w:themeTint="F2"/>
          <w:sz w:val="22"/>
          <w:szCs w:val="22"/>
        </w:rPr>
        <w:t xml:space="preserve">; </w:t>
      </w:r>
      <w:r w:rsidR="00EB2AF9" w:rsidRPr="00653B89">
        <w:rPr>
          <w:rFonts w:cs="Arial"/>
          <w:color w:val="0D0D0D" w:themeColor="text1" w:themeTint="F2"/>
          <w:sz w:val="22"/>
          <w:szCs w:val="22"/>
        </w:rPr>
        <w:t xml:space="preserve">Zhelev </w:t>
      </w:r>
      <w:r w:rsidR="00EB2AF9" w:rsidRPr="00653B89">
        <w:rPr>
          <w:rFonts w:cs="Arial"/>
          <w:i/>
          <w:iCs/>
          <w:color w:val="0D0D0D" w:themeColor="text1" w:themeTint="F2"/>
          <w:sz w:val="22"/>
          <w:szCs w:val="22"/>
        </w:rPr>
        <w:t>et al.</w:t>
      </w:r>
      <w:r w:rsidR="00EB2AF9" w:rsidRPr="00653B89">
        <w:rPr>
          <w:rFonts w:cs="Arial"/>
          <w:i/>
          <w:iCs/>
          <w:color w:val="0D0D0D" w:themeColor="text1" w:themeTint="F2"/>
          <w:sz w:val="22"/>
          <w:szCs w:val="22"/>
        </w:rPr>
        <w:t>,</w:t>
      </w:r>
      <w:r w:rsidR="00EB2AF9" w:rsidRPr="00653B89">
        <w:rPr>
          <w:rFonts w:cs="Arial"/>
          <w:color w:val="0D0D0D" w:themeColor="text1" w:themeTint="F2"/>
          <w:sz w:val="22"/>
          <w:szCs w:val="22"/>
        </w:rPr>
        <w:t xml:space="preserve"> 2025</w:t>
      </w:r>
      <w:r w:rsidR="00C1623B" w:rsidRPr="00653B89">
        <w:rPr>
          <w:rFonts w:cs="Arial"/>
          <w:color w:val="0D0D0D" w:themeColor="text1" w:themeTint="F2"/>
          <w:sz w:val="22"/>
          <w:szCs w:val="22"/>
        </w:rPr>
        <w:t>)</w:t>
      </w:r>
      <w:r w:rsidRPr="00653B89">
        <w:rPr>
          <w:rFonts w:cs="Arial"/>
          <w:color w:val="0D0D0D" w:themeColor="text1" w:themeTint="F2"/>
          <w:sz w:val="22"/>
          <w:szCs w:val="22"/>
        </w:rPr>
        <w:t xml:space="preserve">. Zhelev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revealed that the implementation of Safety Management Systems (SMS) components in healthcare has been irregular and less methodical, indicating that a complete transition from linear blame models to integrated systems thinking remains unaccomplished. </w:t>
      </w:r>
    </w:p>
    <w:p w14:paraId="2C789B71" w14:textId="392463CA" w:rsidR="00153AFF" w:rsidRPr="00653B89" w:rsidRDefault="00153AFF" w:rsidP="00474ADF">
      <w:pPr>
        <w:spacing w:line="360" w:lineRule="auto"/>
        <w:rPr>
          <w:rFonts w:cs="Arial"/>
          <w:color w:val="0D0D0D" w:themeColor="text1" w:themeTint="F2"/>
          <w:sz w:val="22"/>
          <w:szCs w:val="22"/>
        </w:rPr>
      </w:pPr>
      <w:r w:rsidRPr="00653B89">
        <w:rPr>
          <w:rFonts w:cs="Arial"/>
          <w:color w:val="0D0D0D" w:themeColor="text1" w:themeTint="F2"/>
          <w:sz w:val="22"/>
          <w:szCs w:val="22"/>
        </w:rPr>
        <w:t>The mistake was not simply an individual neglecting to send an email or file, rather it was because the system allowed EBUS procedure to advance without a requisite completeness check of clinical data</w:t>
      </w:r>
      <w:r w:rsidR="00AA1FE1" w:rsidRPr="00653B89">
        <w:rPr>
          <w:rFonts w:cs="Arial"/>
          <w:color w:val="0D0D0D" w:themeColor="text1" w:themeTint="F2"/>
          <w:sz w:val="22"/>
          <w:szCs w:val="22"/>
        </w:rPr>
        <w:t xml:space="preserve"> (</w:t>
      </w:r>
      <w:r w:rsidR="00AA1FE1" w:rsidRPr="00653B89">
        <w:rPr>
          <w:rFonts w:cs="Arial"/>
          <w:color w:val="0D0D0D" w:themeColor="text1" w:themeTint="F2"/>
          <w:sz w:val="22"/>
          <w:szCs w:val="22"/>
        </w:rPr>
        <w:t>Bowditch</w:t>
      </w:r>
      <w:r w:rsidR="00AA1FE1" w:rsidRPr="00653B89">
        <w:rPr>
          <w:rFonts w:cs="Arial"/>
          <w:i/>
          <w:iCs/>
          <w:color w:val="0D0D0D" w:themeColor="text1" w:themeTint="F2"/>
          <w:sz w:val="22"/>
          <w:szCs w:val="22"/>
        </w:rPr>
        <w:t xml:space="preserve"> et al.</w:t>
      </w:r>
      <w:r w:rsidR="00AA1FE1" w:rsidRPr="00653B89">
        <w:rPr>
          <w:rFonts w:cs="Arial"/>
          <w:i/>
          <w:iCs/>
          <w:color w:val="0D0D0D" w:themeColor="text1" w:themeTint="F2"/>
          <w:sz w:val="22"/>
          <w:szCs w:val="22"/>
        </w:rPr>
        <w:t>, 2</w:t>
      </w:r>
      <w:r w:rsidR="00AA1FE1" w:rsidRPr="00653B89">
        <w:rPr>
          <w:rFonts w:cs="Arial"/>
          <w:color w:val="0D0D0D" w:themeColor="text1" w:themeTint="F2"/>
          <w:sz w:val="22"/>
          <w:szCs w:val="22"/>
        </w:rPr>
        <w:t>025)</w:t>
      </w:r>
      <w:r w:rsidRPr="00653B89">
        <w:rPr>
          <w:rFonts w:cs="Arial"/>
          <w:color w:val="0D0D0D" w:themeColor="text1" w:themeTint="F2"/>
          <w:sz w:val="22"/>
          <w:szCs w:val="22"/>
        </w:rPr>
        <w:t>.</w:t>
      </w:r>
      <w:r w:rsidR="00AA1FE1" w:rsidRPr="00653B89">
        <w:rPr>
          <w:rFonts w:cs="Arial"/>
          <w:color w:val="0D0D0D" w:themeColor="text1" w:themeTint="F2"/>
          <w:sz w:val="22"/>
          <w:szCs w:val="22"/>
        </w:rPr>
        <w:t xml:space="preserve"> </w:t>
      </w:r>
    </w:p>
    <w:p w14:paraId="29F012CC" w14:textId="77777777" w:rsidR="00153AFF" w:rsidRPr="00653B89" w:rsidRDefault="00153AFF" w:rsidP="00474ADF">
      <w:pPr>
        <w:spacing w:line="360" w:lineRule="auto"/>
        <w:rPr>
          <w:rFonts w:cs="Arial"/>
          <w:color w:val="0D0D0D" w:themeColor="text1" w:themeTint="F2"/>
          <w:sz w:val="22"/>
          <w:szCs w:val="22"/>
        </w:rPr>
      </w:pPr>
    </w:p>
    <w:p w14:paraId="7A0DE04A" w14:textId="787D9BCA" w:rsidR="00153AFF" w:rsidRPr="00653B89" w:rsidRDefault="00153AFF" w:rsidP="00474ADF">
      <w:pPr>
        <w:spacing w:line="360" w:lineRule="auto"/>
        <w:rPr>
          <w:rFonts w:cs="Arial"/>
          <w:color w:val="0D0D0D" w:themeColor="text1" w:themeTint="F2"/>
          <w:sz w:val="22"/>
          <w:szCs w:val="22"/>
        </w:rPr>
      </w:pPr>
      <w:r w:rsidRPr="00653B89">
        <w:rPr>
          <w:rFonts w:cs="Arial"/>
          <w:color w:val="0D0D0D" w:themeColor="text1" w:themeTint="F2"/>
          <w:sz w:val="22"/>
          <w:szCs w:val="22"/>
        </w:rPr>
        <w:t>Bowditch</w:t>
      </w:r>
      <w:r w:rsidRPr="00653B89">
        <w:rPr>
          <w:rFonts w:cs="Arial"/>
          <w:i/>
          <w:iCs/>
          <w:color w:val="0D0D0D" w:themeColor="text1" w:themeTint="F2"/>
          <w:sz w:val="22"/>
          <w:szCs w:val="22"/>
        </w:rPr>
        <w:t xml:space="preserve"> et al. </w:t>
      </w:r>
      <w:r w:rsidRPr="00653B89">
        <w:rPr>
          <w:rFonts w:cs="Arial"/>
          <w:color w:val="0D0D0D" w:themeColor="text1" w:themeTint="F2"/>
          <w:sz w:val="22"/>
          <w:szCs w:val="22"/>
        </w:rPr>
        <w:t xml:space="preserve">(2025) assert that incident investigations frequently overlook upstream systemic determinants, with nearly fifty percent of contributing factors ascribed to individual actions, such as communication or decision-making, while over ten percent of investigations fail to acknowledge broader systemic factors, including organisational policies, equipment </w:t>
      </w:r>
      <w:r w:rsidRPr="00653B89">
        <w:rPr>
          <w:rFonts w:cs="Arial"/>
          <w:color w:val="0D0D0D" w:themeColor="text1" w:themeTint="F2"/>
          <w:sz w:val="22"/>
          <w:szCs w:val="22"/>
        </w:rPr>
        <w:lastRenderedPageBreak/>
        <w:t>design, and safety practices. The fundamental defect in Professor Patel's case was structural: the MDT was intended to provide expert counsel but was effectively incapacitated by the local team's blood result oversight</w:t>
      </w:r>
      <w:r w:rsidR="004A3521" w:rsidRPr="00653B89">
        <w:rPr>
          <w:rFonts w:cs="Arial"/>
          <w:color w:val="0D0D0D" w:themeColor="text1" w:themeTint="F2"/>
          <w:sz w:val="22"/>
          <w:szCs w:val="22"/>
        </w:rPr>
        <w:t xml:space="preserve"> </w:t>
      </w:r>
      <w:r w:rsidR="004A3521" w:rsidRPr="00653B89">
        <w:rPr>
          <w:rFonts w:cs="Arial"/>
          <w:color w:val="0D0D0D" w:themeColor="text1" w:themeTint="F2"/>
          <w:sz w:val="22"/>
          <w:szCs w:val="22"/>
        </w:rPr>
        <w:t>(</w:t>
      </w:r>
      <w:proofErr w:type="spellStart"/>
      <w:r w:rsidR="004A3521" w:rsidRPr="00653B89">
        <w:rPr>
          <w:rFonts w:cs="Arial"/>
          <w:color w:val="0D0D0D" w:themeColor="text1" w:themeTint="F2"/>
          <w:sz w:val="22"/>
          <w:szCs w:val="22"/>
        </w:rPr>
        <w:t>Charsley</w:t>
      </w:r>
      <w:proofErr w:type="spellEnd"/>
      <w:r w:rsidR="004A3521" w:rsidRPr="00653B89">
        <w:rPr>
          <w:rFonts w:cs="Arial"/>
          <w:color w:val="0D0D0D" w:themeColor="text1" w:themeTint="F2"/>
          <w:sz w:val="22"/>
          <w:szCs w:val="22"/>
        </w:rPr>
        <w:t xml:space="preserve"> and </w:t>
      </w:r>
      <w:proofErr w:type="spellStart"/>
      <w:r w:rsidR="004A3521" w:rsidRPr="00653B89">
        <w:rPr>
          <w:rFonts w:cs="Arial"/>
          <w:color w:val="0D0D0D" w:themeColor="text1" w:themeTint="F2"/>
          <w:sz w:val="22"/>
          <w:szCs w:val="22"/>
        </w:rPr>
        <w:t>Vesty</w:t>
      </w:r>
      <w:proofErr w:type="spellEnd"/>
      <w:r w:rsidR="004A3521" w:rsidRPr="00653B89">
        <w:rPr>
          <w:rFonts w:cs="Arial"/>
          <w:color w:val="0D0D0D" w:themeColor="text1" w:themeTint="F2"/>
          <w:sz w:val="22"/>
          <w:szCs w:val="22"/>
        </w:rPr>
        <w:t xml:space="preserve">, 2024; </w:t>
      </w:r>
      <w:proofErr w:type="spellStart"/>
      <w:r w:rsidR="004A3521" w:rsidRPr="00653B89">
        <w:rPr>
          <w:rFonts w:cs="Arial"/>
          <w:color w:val="0D0D0D" w:themeColor="text1" w:themeTint="F2"/>
          <w:sz w:val="22"/>
          <w:szCs w:val="22"/>
        </w:rPr>
        <w:t>Vesty</w:t>
      </w:r>
      <w:proofErr w:type="spellEnd"/>
      <w:r w:rsidR="004A3521" w:rsidRPr="00653B89">
        <w:rPr>
          <w:rFonts w:cs="Arial"/>
          <w:color w:val="0D0D0D" w:themeColor="text1" w:themeTint="F2"/>
          <w:sz w:val="22"/>
          <w:szCs w:val="22"/>
        </w:rPr>
        <w:t>, 2024; Coffey, 2024</w:t>
      </w:r>
      <w:r w:rsidR="00690A3D" w:rsidRPr="00653B89">
        <w:rPr>
          <w:rFonts w:cs="Arial"/>
          <w:color w:val="0D0D0D" w:themeColor="text1" w:themeTint="F2"/>
          <w:sz w:val="22"/>
          <w:szCs w:val="22"/>
        </w:rPr>
        <w:t>)</w:t>
      </w:r>
      <w:r w:rsidRPr="00653B89">
        <w:rPr>
          <w:rFonts w:cs="Arial"/>
          <w:color w:val="0D0D0D" w:themeColor="text1" w:themeTint="F2"/>
          <w:sz w:val="22"/>
          <w:szCs w:val="22"/>
        </w:rPr>
        <w:t>. Sixty-four percent of NHS patients have experienced lost test results or received inaccurate information in the past year (The King’s Fund, 2025). Furthermore, Watson</w:t>
      </w:r>
      <w:r w:rsidRPr="00653B89">
        <w:rPr>
          <w:rFonts w:cs="Arial"/>
          <w:i/>
          <w:iCs/>
          <w:color w:val="0D0D0D" w:themeColor="text1" w:themeTint="F2"/>
          <w:sz w:val="22"/>
          <w:szCs w:val="22"/>
        </w:rPr>
        <w:t xml:space="preserve"> et al. </w:t>
      </w:r>
      <w:r w:rsidRPr="00653B89">
        <w:rPr>
          <w:rFonts w:cs="Arial"/>
          <w:color w:val="0D0D0D" w:themeColor="text1" w:themeTint="F2"/>
          <w:sz w:val="22"/>
          <w:szCs w:val="22"/>
        </w:rPr>
        <w:t>(2024) found in their research that among 1,176 individuals with abnormal test results, 30% exhibited no evidence of result communication.</w:t>
      </w:r>
    </w:p>
    <w:p w14:paraId="62F81B29" w14:textId="77777777" w:rsidR="00405D32" w:rsidRPr="00653B89" w:rsidRDefault="00405D32" w:rsidP="00474ADF">
      <w:pPr>
        <w:spacing w:line="360" w:lineRule="auto"/>
        <w:rPr>
          <w:rFonts w:cs="Arial"/>
          <w:color w:val="0D0D0D" w:themeColor="text1" w:themeTint="F2"/>
          <w:sz w:val="22"/>
          <w:szCs w:val="22"/>
        </w:rPr>
      </w:pPr>
    </w:p>
    <w:p w14:paraId="6A53D0A8" w14:textId="46484F9C" w:rsidR="00153AFF" w:rsidRPr="00653B89" w:rsidRDefault="00153AFF" w:rsidP="00474ADF">
      <w:pPr>
        <w:spacing w:line="360" w:lineRule="auto"/>
        <w:rPr>
          <w:rFonts w:cs="Arial"/>
          <w:color w:val="0D0D0D" w:themeColor="text1" w:themeTint="F2"/>
          <w:sz w:val="22"/>
          <w:szCs w:val="22"/>
        </w:rPr>
      </w:pPr>
      <w:r w:rsidRPr="00653B89">
        <w:rPr>
          <w:rFonts w:cs="Arial"/>
          <w:color w:val="0D0D0D" w:themeColor="text1" w:themeTint="F2"/>
          <w:sz w:val="22"/>
          <w:szCs w:val="22"/>
        </w:rPr>
        <w:t>Concerns of patients and their families are often overlooked, leading to sentiments of disregard and dissatisfaction (Martin, Chew and Dixon-Woods, 2021).The dismissal of an expert patient's insight underscores a profound cultural bias within the system, rejecting "patient knowledge" notwithstanding Professor Patel's reputation as a preeminent national specialist, although it was precisely his expertise diagnosed him and that should have made his insight invaluable</w:t>
      </w:r>
      <w:r w:rsidR="00ED65AB" w:rsidRPr="00653B89">
        <w:rPr>
          <w:rFonts w:cs="Arial"/>
          <w:color w:val="0D0D0D" w:themeColor="text1" w:themeTint="F2"/>
          <w:sz w:val="22"/>
          <w:szCs w:val="22"/>
        </w:rPr>
        <w:t xml:space="preserve"> </w:t>
      </w:r>
      <w:r w:rsidR="00ED65AB" w:rsidRPr="00653B89">
        <w:rPr>
          <w:rFonts w:cs="Arial"/>
          <w:color w:val="0D0D0D" w:themeColor="text1" w:themeTint="F2"/>
          <w:sz w:val="22"/>
          <w:szCs w:val="22"/>
        </w:rPr>
        <w:t>(Martin, Chew and Dixon-Woods, 2021)</w:t>
      </w:r>
      <w:r w:rsidRPr="00653B89">
        <w:rPr>
          <w:rFonts w:cs="Arial"/>
          <w:color w:val="0D0D0D" w:themeColor="text1" w:themeTint="F2"/>
          <w:sz w:val="22"/>
          <w:szCs w:val="22"/>
        </w:rPr>
        <w:t>.</w:t>
      </w:r>
    </w:p>
    <w:p w14:paraId="20C3FFB1" w14:textId="5F22F052" w:rsidR="00784217" w:rsidRPr="00653B89" w:rsidRDefault="00784217" w:rsidP="00474ADF">
      <w:pPr>
        <w:pStyle w:val="Heading3"/>
        <w:spacing w:before="450" w:after="225"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Centralisation vs Decentralisation</w:t>
      </w:r>
    </w:p>
    <w:p w14:paraId="77872A7B" w14:textId="684D6396" w:rsidR="00E416B5" w:rsidRPr="00653B89" w:rsidRDefault="00F62F33"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The governance of healthcare systems fluctuates between centralisation, when authority and standards are maintained at a higher level (national/regional), and decentralisation, where decision-making authority is delegated to local providers (</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In Sweden, governance is predominantly decentralised, with 21 regions and 290 municipalities possessing autonomous taxation authority and primary responsibility for financing, organising, and providing healthcare and senior care</w:t>
      </w:r>
      <w:r w:rsidR="00D123B1" w:rsidRPr="00653B89">
        <w:rPr>
          <w:rFonts w:ascii="Arial" w:hAnsi="Arial" w:cs="Arial"/>
          <w:color w:val="0D0D0D" w:themeColor="text1" w:themeTint="F2"/>
          <w:sz w:val="22"/>
          <w:szCs w:val="22"/>
        </w:rPr>
        <w:t xml:space="preserve"> </w:t>
      </w:r>
      <w:proofErr w:type="spellStart"/>
      <w:r w:rsidR="00D123B1" w:rsidRPr="00653B89">
        <w:rPr>
          <w:rFonts w:ascii="Arial" w:hAnsi="Arial" w:cs="Arial"/>
          <w:color w:val="0D0D0D" w:themeColor="text1" w:themeTint="F2"/>
          <w:sz w:val="22"/>
          <w:szCs w:val="22"/>
        </w:rPr>
        <w:t>Ludvigsson</w:t>
      </w:r>
      <w:proofErr w:type="spellEnd"/>
      <w:r w:rsidR="00D123B1" w:rsidRPr="00653B89">
        <w:rPr>
          <w:rFonts w:ascii="Arial" w:hAnsi="Arial" w:cs="Arial"/>
          <w:color w:val="0D0D0D" w:themeColor="text1" w:themeTint="F2"/>
          <w:sz w:val="22"/>
          <w:szCs w:val="22"/>
        </w:rPr>
        <w:t xml:space="preserve"> </w:t>
      </w:r>
      <w:r w:rsidR="00D123B1" w:rsidRPr="00653B89">
        <w:rPr>
          <w:rFonts w:ascii="Arial" w:hAnsi="Arial" w:cs="Arial"/>
          <w:i/>
          <w:iCs/>
          <w:color w:val="0D0D0D" w:themeColor="text1" w:themeTint="F2"/>
          <w:sz w:val="22"/>
          <w:szCs w:val="22"/>
        </w:rPr>
        <w:t>et al.,</w:t>
      </w:r>
      <w:r w:rsidR="00D123B1" w:rsidRPr="00653B89">
        <w:rPr>
          <w:rFonts w:ascii="Arial" w:hAnsi="Arial" w:cs="Arial"/>
          <w:color w:val="0D0D0D" w:themeColor="text1" w:themeTint="F2"/>
          <w:sz w:val="22"/>
          <w:szCs w:val="22"/>
        </w:rPr>
        <w:t xml:space="preserve"> 2025)</w:t>
      </w:r>
      <w:r w:rsidRPr="00653B89">
        <w:rPr>
          <w:rFonts w:ascii="Arial" w:hAnsi="Arial" w:cs="Arial"/>
          <w:color w:val="0D0D0D" w:themeColor="text1" w:themeTint="F2"/>
          <w:sz w:val="22"/>
          <w:szCs w:val="22"/>
        </w:rPr>
        <w:t>. However, the United Kingdom exemplifies a more centralised arrangement (</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Furthermore, notwithstanding this structural variance, the analysis indicates that both nations encounter strikingly analogous challenges: workforce deficits in primary and specialised care, alongside enduring care fragmentation resulting from divided governance and isolated digital infrastructure (</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The study additionally observes that although Sweden attains superior life expectancy and reduced avoidable mortality, the United Kingdom excels in patient-reported engagement in care decisions (</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Nevertheless, both systems exhibit high public satisfaction due to courteous treatment, underscoring their mutual dedication to universal, tax-funded healthcare (</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00A258FD" w:rsidRPr="00653B89">
        <w:rPr>
          <w:rFonts w:ascii="Arial" w:hAnsi="Arial" w:cs="Arial"/>
          <w:i/>
          <w:iCs/>
          <w:color w:val="0D0D0D" w:themeColor="text1" w:themeTint="F2"/>
          <w:sz w:val="22"/>
          <w:szCs w:val="22"/>
        </w:rPr>
        <w:t>.</w:t>
      </w:r>
      <w:r w:rsidRPr="00653B89">
        <w:rPr>
          <w:rFonts w:ascii="Arial" w:hAnsi="Arial" w:cs="Arial"/>
          <w:i/>
          <w:iCs/>
          <w:color w:val="0D0D0D" w:themeColor="text1" w:themeTint="F2"/>
          <w:sz w:val="22"/>
          <w:szCs w:val="22"/>
        </w:rPr>
        <w:t xml:space="preserve">, </w:t>
      </w:r>
      <w:r w:rsidRPr="00653B89">
        <w:rPr>
          <w:rFonts w:ascii="Arial" w:hAnsi="Arial" w:cs="Arial"/>
          <w:color w:val="0D0D0D" w:themeColor="text1" w:themeTint="F2"/>
          <w:sz w:val="22"/>
          <w:szCs w:val="22"/>
        </w:rPr>
        <w:t xml:space="preserve">2025).  </w:t>
      </w:r>
      <w:r w:rsidRPr="00653B89">
        <w:rPr>
          <w:rFonts w:ascii="Arial" w:hAnsi="Arial" w:cs="Arial"/>
          <w:color w:val="0D0D0D" w:themeColor="text1" w:themeTint="F2"/>
          <w:sz w:val="22"/>
          <w:szCs w:val="22"/>
          <w:shd w:val="clear" w:color="auto" w:fill="FFFFFF"/>
        </w:rPr>
        <w:t xml:space="preserve">Ultimately, while decentralisation may make services more responsive to local needs, it also raises the danger of service quality variances, whereas centralisation ensures standardisation but can be slow and rigid </w:t>
      </w:r>
      <w:r w:rsidRPr="00653B89">
        <w:rPr>
          <w:rFonts w:ascii="Arial" w:hAnsi="Arial" w:cs="Arial"/>
          <w:color w:val="0D0D0D" w:themeColor="text1" w:themeTint="F2"/>
          <w:sz w:val="22"/>
          <w:szCs w:val="22"/>
        </w:rPr>
        <w:t>(</w:t>
      </w:r>
      <w:proofErr w:type="spellStart"/>
      <w:r w:rsidRPr="00653B89">
        <w:rPr>
          <w:rFonts w:ascii="Arial" w:hAnsi="Arial" w:cs="Arial"/>
          <w:color w:val="0D0D0D" w:themeColor="text1" w:themeTint="F2"/>
          <w:sz w:val="22"/>
          <w:szCs w:val="22"/>
        </w:rPr>
        <w:t>Ludvigsson</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00A258FD" w:rsidRPr="00653B89">
        <w:rPr>
          <w:rFonts w:ascii="Arial" w:hAnsi="Arial" w:cs="Arial"/>
          <w:i/>
          <w:iCs/>
          <w:color w:val="0D0D0D" w:themeColor="text1" w:themeTint="F2"/>
          <w:sz w:val="22"/>
          <w:szCs w:val="22"/>
        </w:rPr>
        <w:t>.</w:t>
      </w:r>
      <w:r w:rsidRPr="00653B89">
        <w:rPr>
          <w:rFonts w:ascii="Arial" w:hAnsi="Arial" w:cs="Arial"/>
          <w:i/>
          <w:iCs/>
          <w:color w:val="0D0D0D" w:themeColor="text1" w:themeTint="F2"/>
          <w:sz w:val="22"/>
          <w:szCs w:val="22"/>
        </w:rPr>
        <w:t>,</w:t>
      </w:r>
      <w:r w:rsidRPr="00653B89">
        <w:rPr>
          <w:rFonts w:ascii="Arial" w:hAnsi="Arial" w:cs="Arial"/>
          <w:color w:val="0D0D0D" w:themeColor="text1" w:themeTint="F2"/>
          <w:sz w:val="22"/>
          <w:szCs w:val="22"/>
        </w:rPr>
        <w:t xml:space="preserve"> 2025).</w:t>
      </w:r>
      <w:r w:rsidR="00FB1004" w:rsidRPr="00653B89">
        <w:rPr>
          <w:rFonts w:ascii="Arial" w:hAnsi="Arial" w:cs="Arial"/>
          <w:color w:val="0D0D0D" w:themeColor="text1" w:themeTint="F2"/>
          <w:sz w:val="22"/>
          <w:szCs w:val="22"/>
        </w:rPr>
        <w:t xml:space="preserve"> </w:t>
      </w:r>
    </w:p>
    <w:p w14:paraId="5C6258D5" w14:textId="11A5A251" w:rsidR="00637D48" w:rsidRPr="00653B89" w:rsidRDefault="00637D48"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Style w:val="Strong"/>
          <w:rFonts w:ascii="Arial" w:eastAsiaTheme="majorEastAsia" w:hAnsi="Arial" w:cs="Arial"/>
          <w:color w:val="0D0D0D" w:themeColor="text1" w:themeTint="F2"/>
          <w:sz w:val="22"/>
          <w:szCs w:val="22"/>
        </w:rPr>
        <w:lastRenderedPageBreak/>
        <w:t>Centralisation Failure:</w:t>
      </w:r>
      <w:r w:rsidRPr="00653B89">
        <w:rPr>
          <w:rStyle w:val="apple-converted-space"/>
          <w:rFonts w:ascii="Arial" w:eastAsiaTheme="majorEastAsia" w:hAnsi="Arial" w:cs="Arial"/>
          <w:color w:val="0D0D0D" w:themeColor="text1" w:themeTint="F2"/>
          <w:sz w:val="22"/>
          <w:szCs w:val="22"/>
        </w:rPr>
        <w:t> </w:t>
      </w:r>
      <w:r w:rsidRPr="00653B89">
        <w:rPr>
          <w:rStyle w:val="apple-converted-space"/>
          <w:rFonts w:ascii="Arial" w:hAnsi="Arial" w:cs="Arial"/>
          <w:color w:val="0D0D0D" w:themeColor="text1" w:themeTint="F2"/>
          <w:sz w:val="22"/>
          <w:szCs w:val="22"/>
        </w:rPr>
        <w:t>The National HLH MDT serves as a centralised system intended to consolidate expertise for rare diseases. Nevertheless, this centralised entity proved unsuccessful due to its structural disconnection from the patient</w:t>
      </w:r>
      <w:r w:rsidR="003861DE" w:rsidRPr="00653B89">
        <w:rPr>
          <w:rStyle w:val="apple-converted-space"/>
          <w:rFonts w:ascii="Arial" w:hAnsi="Arial" w:cs="Arial"/>
          <w:color w:val="0D0D0D" w:themeColor="text1" w:themeTint="F2"/>
          <w:sz w:val="22"/>
          <w:szCs w:val="22"/>
        </w:rPr>
        <w:t xml:space="preserve"> </w:t>
      </w:r>
      <w:r w:rsidR="003861DE" w:rsidRPr="00653B89">
        <w:rPr>
          <w:rFonts w:ascii="Arial" w:hAnsi="Arial" w:cs="Arial"/>
          <w:color w:val="0D0D0D" w:themeColor="text1" w:themeTint="F2"/>
          <w:sz w:val="22"/>
          <w:szCs w:val="22"/>
          <w:shd w:val="clear" w:color="auto" w:fill="FFFFFF"/>
        </w:rPr>
        <w:t xml:space="preserve">(Ainsworth </w:t>
      </w:r>
      <w:r w:rsidR="003861DE" w:rsidRPr="00653B89">
        <w:rPr>
          <w:rFonts w:ascii="Arial" w:hAnsi="Arial" w:cs="Arial"/>
          <w:i/>
          <w:iCs/>
          <w:color w:val="0D0D0D" w:themeColor="text1" w:themeTint="F2"/>
          <w:sz w:val="22"/>
          <w:szCs w:val="22"/>
        </w:rPr>
        <w:t>et al.,</w:t>
      </w:r>
      <w:r w:rsidR="003861DE" w:rsidRPr="00653B89">
        <w:rPr>
          <w:rStyle w:val="apple-converted-space"/>
          <w:rFonts w:ascii="Arial" w:eastAsiaTheme="majorEastAsia" w:hAnsi="Arial" w:cs="Arial"/>
          <w:color w:val="0D0D0D" w:themeColor="text1" w:themeTint="F2"/>
          <w:sz w:val="22"/>
          <w:szCs w:val="22"/>
          <w:shd w:val="clear" w:color="auto" w:fill="FFFFFF"/>
        </w:rPr>
        <w:t> </w:t>
      </w:r>
      <w:r w:rsidR="003861DE" w:rsidRPr="00653B89">
        <w:rPr>
          <w:rFonts w:ascii="Arial" w:hAnsi="Arial" w:cs="Arial"/>
          <w:color w:val="0D0D0D" w:themeColor="text1" w:themeTint="F2"/>
          <w:sz w:val="22"/>
          <w:szCs w:val="22"/>
          <w:shd w:val="clear" w:color="auto" w:fill="FFFFFF"/>
        </w:rPr>
        <w:t xml:space="preserve">2023; </w:t>
      </w:r>
      <w:r w:rsidR="003861DE" w:rsidRPr="00653B89">
        <w:rPr>
          <w:rFonts w:ascii="Arial" w:hAnsi="Arial" w:cs="Arial"/>
          <w:color w:val="0D0D0D" w:themeColor="text1" w:themeTint="F2"/>
          <w:sz w:val="22"/>
          <w:szCs w:val="22"/>
        </w:rPr>
        <w:t xml:space="preserve">Zhelev </w:t>
      </w:r>
      <w:r w:rsidR="003861DE" w:rsidRPr="00653B89">
        <w:rPr>
          <w:rFonts w:ascii="Arial" w:hAnsi="Arial" w:cs="Arial"/>
          <w:i/>
          <w:iCs/>
          <w:color w:val="0D0D0D" w:themeColor="text1" w:themeTint="F2"/>
          <w:sz w:val="22"/>
          <w:szCs w:val="22"/>
        </w:rPr>
        <w:t>et al.</w:t>
      </w:r>
      <w:r w:rsidR="003861DE" w:rsidRPr="00653B89">
        <w:rPr>
          <w:rFonts w:ascii="Arial" w:hAnsi="Arial" w:cs="Arial"/>
          <w:color w:val="0D0D0D" w:themeColor="text1" w:themeTint="F2"/>
          <w:sz w:val="22"/>
          <w:szCs w:val="22"/>
        </w:rPr>
        <w:t>, 2025)</w:t>
      </w:r>
      <w:r w:rsidRPr="00653B89">
        <w:rPr>
          <w:rStyle w:val="apple-converted-space"/>
          <w:rFonts w:ascii="Arial" w:hAnsi="Arial" w:cs="Arial"/>
          <w:color w:val="0D0D0D" w:themeColor="text1" w:themeTint="F2"/>
          <w:sz w:val="22"/>
          <w:szCs w:val="22"/>
        </w:rPr>
        <w:t xml:space="preserve">. It issued a suggestion </w:t>
      </w:r>
      <w:r w:rsidR="00886D6C" w:rsidRPr="00653B89">
        <w:rPr>
          <w:rStyle w:val="apple-converted-space"/>
          <w:rFonts w:ascii="Arial" w:hAnsi="Arial" w:cs="Arial"/>
          <w:color w:val="0D0D0D" w:themeColor="text1" w:themeTint="F2"/>
          <w:sz w:val="22"/>
          <w:szCs w:val="22"/>
        </w:rPr>
        <w:t xml:space="preserve">to undergo </w:t>
      </w:r>
      <w:r w:rsidRPr="00653B89">
        <w:rPr>
          <w:rStyle w:val="apple-converted-space"/>
          <w:rFonts w:ascii="Arial" w:hAnsi="Arial" w:cs="Arial"/>
          <w:color w:val="0D0D0D" w:themeColor="text1" w:themeTint="F2"/>
          <w:sz w:val="22"/>
          <w:szCs w:val="22"/>
        </w:rPr>
        <w:t xml:space="preserve">EBUS based on abstract data instead of the tangible clinical reality of the patient's coagulopathy DIC. Although, national </w:t>
      </w:r>
      <w:r w:rsidRPr="00653B89">
        <w:rPr>
          <w:rFonts w:ascii="Arial" w:hAnsi="Arial" w:cs="Arial"/>
          <w:color w:val="0D0D0D" w:themeColor="text1" w:themeTint="F2"/>
          <w:sz w:val="22"/>
          <w:szCs w:val="22"/>
        </w:rPr>
        <w:t xml:space="preserve">guidance </w:t>
      </w:r>
      <w:r w:rsidRPr="00653B89">
        <w:rPr>
          <w:rStyle w:val="apple-converted-space"/>
          <w:rFonts w:ascii="Arial" w:hAnsi="Arial" w:cs="Arial"/>
          <w:color w:val="0D0D0D" w:themeColor="text1" w:themeTint="F2"/>
          <w:sz w:val="22"/>
          <w:szCs w:val="22"/>
        </w:rPr>
        <w:t xml:space="preserve">on informed consent and high-risk operations were established but lacked effective enforcement at the point of care </w:t>
      </w:r>
      <w:r w:rsidRPr="00653B89">
        <w:rPr>
          <w:rFonts w:ascii="Arial" w:hAnsi="Arial" w:cs="Arial"/>
          <w:color w:val="0D0D0D" w:themeColor="text1" w:themeTint="F2"/>
          <w:sz w:val="22"/>
          <w:szCs w:val="22"/>
          <w:shd w:val="clear" w:color="auto" w:fill="FFFFFF"/>
        </w:rPr>
        <w:t xml:space="preserve">(Ainsworth </w:t>
      </w:r>
      <w:r w:rsidRPr="00653B89">
        <w:rPr>
          <w:rFonts w:ascii="Arial" w:hAnsi="Arial" w:cs="Arial"/>
          <w:i/>
          <w:iCs/>
          <w:color w:val="0D0D0D" w:themeColor="text1" w:themeTint="F2"/>
          <w:sz w:val="22"/>
          <w:szCs w:val="22"/>
        </w:rPr>
        <w:t>et al.,</w:t>
      </w:r>
      <w:r w:rsidRPr="00653B89">
        <w:rPr>
          <w:rStyle w:val="apple-converted-space"/>
          <w:rFonts w:ascii="Arial" w:eastAsiaTheme="majorEastAsia" w:hAnsi="Arial" w:cs="Arial"/>
          <w:color w:val="0D0D0D" w:themeColor="text1" w:themeTint="F2"/>
          <w:sz w:val="22"/>
          <w:szCs w:val="22"/>
          <w:shd w:val="clear" w:color="auto" w:fill="FFFFFF"/>
        </w:rPr>
        <w:t> </w:t>
      </w:r>
      <w:r w:rsidRPr="00653B89">
        <w:rPr>
          <w:rFonts w:ascii="Arial" w:hAnsi="Arial" w:cs="Arial"/>
          <w:color w:val="0D0D0D" w:themeColor="text1" w:themeTint="F2"/>
          <w:sz w:val="22"/>
          <w:szCs w:val="22"/>
          <w:shd w:val="clear" w:color="auto" w:fill="FFFFFF"/>
        </w:rPr>
        <w:t xml:space="preserve">2023; </w:t>
      </w:r>
      <w:r w:rsidRPr="00653B89">
        <w:rPr>
          <w:rFonts w:ascii="Arial" w:hAnsi="Arial" w:cs="Arial"/>
          <w:color w:val="0D0D0D" w:themeColor="text1" w:themeTint="F2"/>
          <w:sz w:val="22"/>
          <w:szCs w:val="22"/>
        </w:rPr>
        <w:t xml:space="preserve">Zhelev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2025).</w:t>
      </w:r>
    </w:p>
    <w:p w14:paraId="746C8521" w14:textId="75E685B0" w:rsidR="007F6214" w:rsidRPr="00653B89" w:rsidRDefault="00637D48" w:rsidP="00474ADF">
      <w:pPr>
        <w:spacing w:before="100" w:beforeAutospacing="1" w:after="100" w:afterAutospacing="1" w:line="360" w:lineRule="auto"/>
        <w:rPr>
          <w:rFonts w:cs="Arial"/>
          <w:color w:val="0D0D0D" w:themeColor="text1" w:themeTint="F2"/>
          <w:sz w:val="22"/>
          <w:szCs w:val="22"/>
          <w:shd w:val="clear" w:color="auto" w:fill="FFFFFF"/>
        </w:rPr>
      </w:pPr>
      <w:r w:rsidRPr="00653B89">
        <w:rPr>
          <w:rStyle w:val="apple-converted-space"/>
          <w:rFonts w:cs="Arial"/>
          <w:b/>
          <w:bCs/>
          <w:color w:val="0D0D0D" w:themeColor="text1" w:themeTint="F2"/>
          <w:sz w:val="22"/>
          <w:szCs w:val="22"/>
          <w:shd w:val="clear" w:color="auto" w:fill="FFFFFF"/>
        </w:rPr>
        <w:t>Decentralisation Failure:</w:t>
      </w:r>
      <w:r w:rsidRPr="00653B89">
        <w:rPr>
          <w:rStyle w:val="apple-converted-space"/>
          <w:rFonts w:cs="Arial"/>
          <w:color w:val="0D0D0D" w:themeColor="text1" w:themeTint="F2"/>
          <w:sz w:val="22"/>
          <w:szCs w:val="22"/>
          <w:shd w:val="clear" w:color="auto" w:fill="FFFFFF"/>
        </w:rPr>
        <w:t xml:space="preserve"> At the local level (Wythenshawe), decentralised autonomy permitted clinicians to disregard the expertise and recommendations of Professor Amir Patel regarding his care, </w:t>
      </w:r>
      <w:r w:rsidR="008A7166" w:rsidRPr="00653B89">
        <w:rPr>
          <w:rStyle w:val="apple-converted-space"/>
          <w:rFonts w:cs="Arial"/>
          <w:color w:val="0D0D0D" w:themeColor="text1" w:themeTint="F2"/>
          <w:sz w:val="22"/>
          <w:szCs w:val="22"/>
          <w:shd w:val="clear" w:color="auto" w:fill="FFFFFF"/>
        </w:rPr>
        <w:t xml:space="preserve">as </w:t>
      </w:r>
      <w:r w:rsidRPr="00653B89">
        <w:rPr>
          <w:rStyle w:val="apple-converted-space"/>
          <w:rFonts w:cs="Arial"/>
          <w:color w:val="0D0D0D" w:themeColor="text1" w:themeTint="F2"/>
          <w:sz w:val="22"/>
          <w:szCs w:val="22"/>
          <w:shd w:val="clear" w:color="auto" w:fill="FFFFFF"/>
        </w:rPr>
        <w:t>they only viewed him as a patient</w:t>
      </w:r>
      <w:r w:rsidR="007255FF" w:rsidRPr="00653B89">
        <w:rPr>
          <w:rStyle w:val="apple-converted-space"/>
          <w:rFonts w:cs="Arial"/>
          <w:color w:val="0D0D0D" w:themeColor="text1" w:themeTint="F2"/>
          <w:sz w:val="22"/>
          <w:szCs w:val="22"/>
          <w:shd w:val="clear" w:color="auto" w:fill="FFFFFF"/>
        </w:rPr>
        <w:t xml:space="preserve"> </w:t>
      </w:r>
      <w:r w:rsidR="007255FF" w:rsidRPr="00653B89">
        <w:rPr>
          <w:rFonts w:cs="Arial"/>
          <w:color w:val="0D0D0D" w:themeColor="text1" w:themeTint="F2"/>
          <w:sz w:val="22"/>
          <w:szCs w:val="22"/>
        </w:rPr>
        <w:t>(</w:t>
      </w:r>
      <w:r w:rsidR="007255FF" w:rsidRPr="00653B89">
        <w:rPr>
          <w:rFonts w:cs="Arial"/>
          <w:color w:val="0D0D0D" w:themeColor="text1" w:themeTint="F2"/>
          <w:sz w:val="22"/>
          <w:szCs w:val="22"/>
          <w:shd w:val="clear" w:color="auto" w:fill="FFFFFF"/>
        </w:rPr>
        <w:t xml:space="preserve">Hussain </w:t>
      </w:r>
      <w:r w:rsidR="007255FF" w:rsidRPr="00653B89">
        <w:rPr>
          <w:rFonts w:cs="Arial"/>
          <w:i/>
          <w:iCs/>
          <w:color w:val="0D0D0D" w:themeColor="text1" w:themeTint="F2"/>
          <w:sz w:val="22"/>
          <w:szCs w:val="22"/>
          <w:shd w:val="clear" w:color="auto" w:fill="FFFFFF"/>
        </w:rPr>
        <w:t>et al.,</w:t>
      </w:r>
      <w:r w:rsidR="007255FF" w:rsidRPr="00653B89">
        <w:rPr>
          <w:rFonts w:cs="Arial"/>
          <w:color w:val="0D0D0D" w:themeColor="text1" w:themeTint="F2"/>
          <w:sz w:val="22"/>
          <w:szCs w:val="22"/>
          <w:shd w:val="clear" w:color="auto" w:fill="FFFFFF"/>
        </w:rPr>
        <w:t xml:space="preserve"> 2019</w:t>
      </w:r>
      <w:r w:rsidR="00E30855" w:rsidRPr="00653B89">
        <w:rPr>
          <w:rFonts w:cs="Arial"/>
          <w:color w:val="0D0D0D" w:themeColor="text1" w:themeTint="F2"/>
          <w:sz w:val="22"/>
          <w:szCs w:val="22"/>
          <w:shd w:val="clear" w:color="auto" w:fill="FFFFFF"/>
        </w:rPr>
        <w:t xml:space="preserve">; </w:t>
      </w:r>
      <w:proofErr w:type="spellStart"/>
      <w:r w:rsidR="007255FF" w:rsidRPr="00653B89">
        <w:rPr>
          <w:rFonts w:cs="Arial"/>
          <w:color w:val="0D0D0D" w:themeColor="text1" w:themeTint="F2"/>
          <w:sz w:val="22"/>
          <w:szCs w:val="22"/>
        </w:rPr>
        <w:t>Charsley</w:t>
      </w:r>
      <w:proofErr w:type="spellEnd"/>
      <w:r w:rsidR="007255FF" w:rsidRPr="00653B89">
        <w:rPr>
          <w:rFonts w:cs="Arial"/>
          <w:color w:val="0D0D0D" w:themeColor="text1" w:themeTint="F2"/>
          <w:sz w:val="22"/>
          <w:szCs w:val="22"/>
        </w:rPr>
        <w:t xml:space="preserve"> and </w:t>
      </w:r>
      <w:proofErr w:type="spellStart"/>
      <w:r w:rsidR="007255FF" w:rsidRPr="00653B89">
        <w:rPr>
          <w:rFonts w:cs="Arial"/>
          <w:color w:val="0D0D0D" w:themeColor="text1" w:themeTint="F2"/>
          <w:sz w:val="22"/>
          <w:szCs w:val="22"/>
        </w:rPr>
        <w:t>Vesty</w:t>
      </w:r>
      <w:proofErr w:type="spellEnd"/>
      <w:r w:rsidR="007255FF" w:rsidRPr="00653B89">
        <w:rPr>
          <w:rFonts w:cs="Arial"/>
          <w:color w:val="0D0D0D" w:themeColor="text1" w:themeTint="F2"/>
          <w:sz w:val="22"/>
          <w:szCs w:val="22"/>
        </w:rPr>
        <w:t xml:space="preserve">, 2024; </w:t>
      </w:r>
      <w:proofErr w:type="spellStart"/>
      <w:r w:rsidR="007255FF" w:rsidRPr="00653B89">
        <w:rPr>
          <w:rFonts w:cs="Arial"/>
          <w:color w:val="0D0D0D" w:themeColor="text1" w:themeTint="F2"/>
          <w:sz w:val="22"/>
          <w:szCs w:val="22"/>
        </w:rPr>
        <w:t>Vesty</w:t>
      </w:r>
      <w:proofErr w:type="spellEnd"/>
      <w:r w:rsidR="007255FF" w:rsidRPr="00653B89">
        <w:rPr>
          <w:rFonts w:cs="Arial"/>
          <w:color w:val="0D0D0D" w:themeColor="text1" w:themeTint="F2"/>
          <w:sz w:val="22"/>
          <w:szCs w:val="22"/>
        </w:rPr>
        <w:t>, 2024)</w:t>
      </w:r>
      <w:r w:rsidRPr="00653B89">
        <w:rPr>
          <w:rStyle w:val="apple-converted-space"/>
          <w:rFonts w:cs="Arial"/>
          <w:color w:val="0D0D0D" w:themeColor="text1" w:themeTint="F2"/>
          <w:sz w:val="22"/>
          <w:szCs w:val="22"/>
          <w:shd w:val="clear" w:color="auto" w:fill="FFFFFF"/>
        </w:rPr>
        <w:t xml:space="preserve">. The MDT failed to identify a critical coagulopathy evident in his blood results, and the absence of robust governance allowed this oversight to persist. </w:t>
      </w:r>
      <w:r w:rsidR="007F6214" w:rsidRPr="00653B89">
        <w:rPr>
          <w:rFonts w:cs="Arial"/>
          <w:color w:val="0D0D0D" w:themeColor="text1" w:themeTint="F2"/>
          <w:sz w:val="22"/>
          <w:szCs w:val="22"/>
          <w:shd w:val="clear" w:color="auto" w:fill="FFFFFF"/>
        </w:rPr>
        <w:t xml:space="preserve">The distrust that Wythenshawe hospital staff displayed toward Professor Patel further obstructed effective care (Hussain </w:t>
      </w:r>
      <w:r w:rsidR="007F6214" w:rsidRPr="00653B89">
        <w:rPr>
          <w:rFonts w:cs="Arial"/>
          <w:i/>
          <w:iCs/>
          <w:color w:val="0D0D0D" w:themeColor="text1" w:themeTint="F2"/>
          <w:sz w:val="22"/>
          <w:szCs w:val="22"/>
          <w:shd w:val="clear" w:color="auto" w:fill="FFFFFF"/>
        </w:rPr>
        <w:t>et al.,</w:t>
      </w:r>
      <w:r w:rsidR="007F6214" w:rsidRPr="00653B89">
        <w:rPr>
          <w:rFonts w:cs="Arial"/>
          <w:color w:val="0D0D0D" w:themeColor="text1" w:themeTint="F2"/>
          <w:sz w:val="22"/>
          <w:szCs w:val="22"/>
          <w:shd w:val="clear" w:color="auto" w:fill="FFFFFF"/>
        </w:rPr>
        <w:t xml:space="preserve"> 2019</w:t>
      </w:r>
      <w:r w:rsidR="007F6214" w:rsidRPr="00653B89">
        <w:rPr>
          <w:rFonts w:cs="Arial"/>
          <w:color w:val="0D0D0D" w:themeColor="text1" w:themeTint="F2"/>
          <w:sz w:val="22"/>
          <w:szCs w:val="22"/>
          <w:shd w:val="clear" w:color="auto" w:fill="FFFFFF"/>
        </w:rPr>
        <w:t xml:space="preserve">; </w:t>
      </w:r>
      <w:proofErr w:type="spellStart"/>
      <w:r w:rsidR="007F6214" w:rsidRPr="00653B89">
        <w:rPr>
          <w:rFonts w:cs="Arial"/>
          <w:color w:val="0D0D0D" w:themeColor="text1" w:themeTint="F2"/>
          <w:sz w:val="22"/>
          <w:szCs w:val="22"/>
        </w:rPr>
        <w:t>Vesty</w:t>
      </w:r>
      <w:proofErr w:type="spellEnd"/>
      <w:r w:rsidR="007F6214" w:rsidRPr="00653B89">
        <w:rPr>
          <w:rFonts w:cs="Arial"/>
          <w:color w:val="0D0D0D" w:themeColor="text1" w:themeTint="F2"/>
          <w:sz w:val="22"/>
          <w:szCs w:val="22"/>
        </w:rPr>
        <w:t>, 2024</w:t>
      </w:r>
      <w:r w:rsidR="007F6214" w:rsidRPr="00653B89">
        <w:rPr>
          <w:rFonts w:cs="Arial"/>
          <w:color w:val="0D0D0D" w:themeColor="text1" w:themeTint="F2"/>
          <w:sz w:val="22"/>
          <w:szCs w:val="22"/>
          <w:shd w:val="clear" w:color="auto" w:fill="FFFFFF"/>
        </w:rPr>
        <w:t>).</w:t>
      </w:r>
    </w:p>
    <w:p w14:paraId="792CEFF5" w14:textId="350E539C" w:rsidR="00637D48" w:rsidRPr="00653B89" w:rsidRDefault="00637D48" w:rsidP="00474ADF">
      <w:pPr>
        <w:spacing w:before="100" w:beforeAutospacing="1" w:after="100" w:afterAutospacing="1" w:line="360" w:lineRule="auto"/>
        <w:rPr>
          <w:rFonts w:cs="Arial"/>
          <w:color w:val="0D0D0D" w:themeColor="text1" w:themeTint="F2"/>
          <w:sz w:val="22"/>
          <w:szCs w:val="22"/>
        </w:rPr>
      </w:pPr>
      <w:r w:rsidRPr="00653B89">
        <w:rPr>
          <w:rFonts w:cs="Arial"/>
          <w:color w:val="0D0D0D" w:themeColor="text1" w:themeTint="F2"/>
          <w:sz w:val="22"/>
          <w:szCs w:val="22"/>
        </w:rPr>
        <w:t>The death of Professor Ami</w:t>
      </w:r>
      <w:r w:rsidR="00496C9E" w:rsidRPr="00653B89">
        <w:rPr>
          <w:rFonts w:cs="Arial"/>
          <w:color w:val="0D0D0D" w:themeColor="text1" w:themeTint="F2"/>
          <w:sz w:val="22"/>
          <w:szCs w:val="22"/>
        </w:rPr>
        <w:t>t</w:t>
      </w:r>
      <w:r w:rsidRPr="00653B89">
        <w:rPr>
          <w:rFonts w:cs="Arial"/>
          <w:color w:val="0D0D0D" w:themeColor="text1" w:themeTint="F2"/>
          <w:sz w:val="22"/>
          <w:szCs w:val="22"/>
        </w:rPr>
        <w:t xml:space="preserve"> Patel reveals a critical paradox in modern patient safety governance: both centralisation and decentralisation failed to operate as intended, with both failures originating from the same root cause which is the absence of an integrated interface between policy and practice (</w:t>
      </w:r>
      <w:proofErr w:type="spellStart"/>
      <w:r w:rsidR="00496C9E" w:rsidRPr="00653B89">
        <w:rPr>
          <w:rFonts w:cs="Arial"/>
          <w:color w:val="0D0D0D" w:themeColor="text1" w:themeTint="F2"/>
          <w:sz w:val="22"/>
          <w:szCs w:val="22"/>
        </w:rPr>
        <w:t>Vesty</w:t>
      </w:r>
      <w:proofErr w:type="spellEnd"/>
      <w:r w:rsidR="00496C9E" w:rsidRPr="00653B89">
        <w:rPr>
          <w:rFonts w:cs="Arial"/>
          <w:color w:val="0D0D0D" w:themeColor="text1" w:themeTint="F2"/>
          <w:sz w:val="22"/>
          <w:szCs w:val="22"/>
        </w:rPr>
        <w:t>, 2024</w:t>
      </w:r>
      <w:r w:rsidR="00496C9E" w:rsidRPr="00653B89">
        <w:rPr>
          <w:rFonts w:cs="Arial"/>
          <w:color w:val="0D0D0D" w:themeColor="text1" w:themeTint="F2"/>
          <w:sz w:val="22"/>
          <w:szCs w:val="22"/>
        </w:rPr>
        <w:t xml:space="preserve">; </w:t>
      </w:r>
      <w:r w:rsidRPr="00653B89">
        <w:rPr>
          <w:rFonts w:cs="Arial"/>
          <w:color w:val="0D0D0D" w:themeColor="text1" w:themeTint="F2"/>
          <w:sz w:val="22"/>
          <w:szCs w:val="22"/>
        </w:rPr>
        <w:t xml:space="preserve">Kristensen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A more regulated system would have required a double-check of all tests, with local data such</w:t>
      </w:r>
      <w:r w:rsidR="00C6472A" w:rsidRPr="00653B89">
        <w:rPr>
          <w:rFonts w:cs="Arial"/>
          <w:color w:val="0D0D0D" w:themeColor="text1" w:themeTint="F2"/>
          <w:sz w:val="22"/>
          <w:szCs w:val="22"/>
        </w:rPr>
        <w:t xml:space="preserve"> as</w:t>
      </w:r>
      <w:r w:rsidRPr="00653B89">
        <w:rPr>
          <w:rFonts w:cs="Arial"/>
          <w:color w:val="0D0D0D" w:themeColor="text1" w:themeTint="F2"/>
          <w:sz w:val="22"/>
          <w:szCs w:val="22"/>
        </w:rPr>
        <w:t xml:space="preserve"> DIC status needing to be confirmed before a central recommendation could be carried out</w:t>
      </w:r>
      <w:r w:rsidR="00496C9E" w:rsidRPr="00653B89">
        <w:rPr>
          <w:rFonts w:cs="Arial"/>
          <w:color w:val="0D0D0D" w:themeColor="text1" w:themeTint="F2"/>
          <w:sz w:val="22"/>
          <w:szCs w:val="22"/>
        </w:rPr>
        <w:t xml:space="preserve"> (</w:t>
      </w:r>
      <w:r w:rsidR="00496C9E" w:rsidRPr="00653B89">
        <w:rPr>
          <w:rFonts w:cs="Arial"/>
          <w:color w:val="0D0D0D" w:themeColor="text1" w:themeTint="F2"/>
          <w:sz w:val="22"/>
          <w:szCs w:val="22"/>
        </w:rPr>
        <w:t xml:space="preserve">Kristensen </w:t>
      </w:r>
      <w:r w:rsidR="00496C9E" w:rsidRPr="00653B89">
        <w:rPr>
          <w:rFonts w:cs="Arial"/>
          <w:i/>
          <w:iCs/>
          <w:color w:val="0D0D0D" w:themeColor="text1" w:themeTint="F2"/>
          <w:sz w:val="22"/>
          <w:szCs w:val="22"/>
        </w:rPr>
        <w:t>et al.,</w:t>
      </w:r>
      <w:r w:rsidR="00496C9E" w:rsidRPr="00653B89">
        <w:rPr>
          <w:rFonts w:cs="Arial"/>
          <w:color w:val="0D0D0D" w:themeColor="text1" w:themeTint="F2"/>
          <w:sz w:val="22"/>
          <w:szCs w:val="22"/>
        </w:rPr>
        <w:t xml:space="preserve"> 2025</w:t>
      </w:r>
      <w:r w:rsidR="00496C9E" w:rsidRPr="00653B89">
        <w:rPr>
          <w:rFonts w:cs="Arial"/>
          <w:color w:val="0D0D0D" w:themeColor="text1" w:themeTint="F2"/>
          <w:sz w:val="22"/>
          <w:szCs w:val="22"/>
        </w:rPr>
        <w:t>)</w:t>
      </w:r>
      <w:r w:rsidRPr="00653B89">
        <w:rPr>
          <w:rFonts w:cs="Arial"/>
          <w:color w:val="0D0D0D" w:themeColor="text1" w:themeTint="F2"/>
          <w:sz w:val="22"/>
          <w:szCs w:val="22"/>
        </w:rPr>
        <w:t>.</w:t>
      </w:r>
      <w:r w:rsidR="00496C9E" w:rsidRPr="00653B89">
        <w:rPr>
          <w:rFonts w:cs="Arial"/>
          <w:color w:val="0D0D0D" w:themeColor="text1" w:themeTint="F2"/>
          <w:sz w:val="22"/>
          <w:szCs w:val="22"/>
        </w:rPr>
        <w:t xml:space="preserve"> </w:t>
      </w:r>
      <w:r w:rsidRPr="00653B89">
        <w:rPr>
          <w:rFonts w:cs="Arial"/>
          <w:color w:val="0D0D0D" w:themeColor="text1" w:themeTint="F2"/>
          <w:sz w:val="22"/>
          <w:szCs w:val="22"/>
        </w:rPr>
        <w:t xml:space="preserve"> Although the NHS had a national MDT structure, it lacked the integrated data governance required for assuring safety (UK Parliament Committees, 2026). In contrast, the Swedish system uses national quality registers (centralised data and standards) alongside significant regional autonomy (decentralised delivery), while enforcing rigorous data transparency mandates (</w:t>
      </w:r>
      <w:proofErr w:type="spellStart"/>
      <w:r w:rsidRPr="00653B89">
        <w:rPr>
          <w:rFonts w:cs="Arial"/>
          <w:color w:val="0D0D0D" w:themeColor="text1" w:themeTint="F2"/>
          <w:sz w:val="22"/>
          <w:szCs w:val="22"/>
        </w:rPr>
        <w:t>Ludvigsson</w:t>
      </w:r>
      <w:proofErr w:type="spellEnd"/>
      <w:r w:rsidRPr="00653B89">
        <w:rPr>
          <w:rFonts w:cs="Arial"/>
          <w:color w:val="0D0D0D" w:themeColor="text1" w:themeTint="F2"/>
          <w:sz w:val="22"/>
          <w:szCs w:val="22"/>
        </w:rPr>
        <w:t xml:space="preserve">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w:t>
      </w:r>
    </w:p>
    <w:p w14:paraId="4BFE9166" w14:textId="65D8EB80" w:rsidR="00637D48" w:rsidRPr="00653B89" w:rsidRDefault="00637D48" w:rsidP="00474ADF">
      <w:pPr>
        <w:pStyle w:val="NormalWeb"/>
        <w:spacing w:after="225" w:line="360" w:lineRule="auto"/>
        <w:jc w:val="both"/>
        <w:rPr>
          <w:rFonts w:ascii="Arial" w:hAnsi="Arial" w:cs="Arial"/>
          <w:color w:val="0D0D0D" w:themeColor="text1" w:themeTint="F2"/>
          <w:sz w:val="22"/>
          <w:szCs w:val="22"/>
        </w:rPr>
      </w:pPr>
      <w:r w:rsidRPr="00653B89">
        <w:rPr>
          <w:rFonts w:ascii="Arial" w:hAnsi="Arial" w:cs="Arial"/>
          <w:b/>
          <w:bCs/>
          <w:color w:val="0D0D0D" w:themeColor="text1" w:themeTint="F2"/>
          <w:sz w:val="22"/>
          <w:szCs w:val="22"/>
        </w:rPr>
        <w:t>Leadership Theory Application</w:t>
      </w:r>
    </w:p>
    <w:p w14:paraId="527CDB54" w14:textId="77777777" w:rsidR="00C40ED7" w:rsidRPr="00653B89" w:rsidRDefault="00637D48"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r w:rsidRPr="00653B89">
        <w:rPr>
          <w:rStyle w:val="Strong"/>
          <w:rFonts w:ascii="Arial" w:eastAsiaTheme="majorEastAsia" w:hAnsi="Arial" w:cs="Arial"/>
          <w:color w:val="0D0D0D" w:themeColor="text1" w:themeTint="F2"/>
          <w:sz w:val="22"/>
          <w:szCs w:val="22"/>
        </w:rPr>
        <w:t>Maslow’s Hierarchy of Needs</w:t>
      </w:r>
    </w:p>
    <w:p w14:paraId="3EB2D3FE" w14:textId="0CC090BA" w:rsidR="00637D48" w:rsidRPr="00653B89" w:rsidRDefault="00637D48" w:rsidP="00474ADF">
      <w:pPr>
        <w:pStyle w:val="NormalWeb"/>
        <w:spacing w:before="0" w:beforeAutospacing="0" w:after="225" w:afterAutospacing="0" w:line="360" w:lineRule="auto"/>
        <w:rPr>
          <w:rFonts w:ascii="Arial" w:hAnsi="Arial" w:cs="Arial"/>
          <w:color w:val="0D0D0D" w:themeColor="text1" w:themeTint="F2"/>
          <w:sz w:val="22"/>
          <w:szCs w:val="22"/>
          <w:shd w:val="clear" w:color="auto" w:fill="FFFFFF"/>
        </w:rPr>
      </w:pPr>
      <w:r w:rsidRPr="00653B89">
        <w:rPr>
          <w:rFonts w:ascii="Arial" w:hAnsi="Arial" w:cs="Arial"/>
          <w:color w:val="0D0D0D" w:themeColor="text1" w:themeTint="F2"/>
          <w:sz w:val="22"/>
          <w:szCs w:val="22"/>
        </w:rPr>
        <w:t xml:space="preserve">Although </w:t>
      </w:r>
      <w:r w:rsidRPr="00653B89">
        <w:rPr>
          <w:rFonts w:ascii="Arial" w:hAnsi="Arial" w:cs="Arial"/>
          <w:color w:val="0D0D0D" w:themeColor="text1" w:themeTint="F2"/>
          <w:sz w:val="22"/>
          <w:szCs w:val="22"/>
          <w:shd w:val="clear" w:color="auto" w:fill="FFFFFF"/>
        </w:rPr>
        <w:t xml:space="preserve">Maslow's theory asserts that individuals cannot attain higher-level objectives, such as self-actualisation or intricate problem-solving, if fundamental safety requirements remain unfulfilled (Compton, 2018).  The staff's inability to successfully advocate for Professor Patel at Wythenshawe Hospital indicates a workforce experiencing psychological insecurity that </w:t>
      </w:r>
      <w:r w:rsidRPr="00653B89">
        <w:rPr>
          <w:rFonts w:ascii="Arial" w:hAnsi="Arial" w:cs="Arial"/>
          <w:color w:val="0D0D0D" w:themeColor="text1" w:themeTint="F2"/>
          <w:sz w:val="22"/>
          <w:szCs w:val="22"/>
        </w:rPr>
        <w:t>impedes moral bravery and ethical behaviour.</w:t>
      </w:r>
    </w:p>
    <w:p w14:paraId="6D7B98E7" w14:textId="3B60B7DF" w:rsidR="00637D48" w:rsidRPr="00653B89" w:rsidRDefault="00637D48" w:rsidP="00474ADF">
      <w:pPr>
        <w:pStyle w:val="NormalWeb"/>
        <w:spacing w:before="0" w:beforeAutospacing="0" w:after="225" w:afterAutospacing="0" w:line="360" w:lineRule="auto"/>
        <w:jc w:val="both"/>
        <w:rPr>
          <w:rFonts w:ascii="Arial" w:hAnsi="Arial" w:cs="Arial"/>
          <w:color w:val="0D0D0D" w:themeColor="text1" w:themeTint="F2"/>
          <w:sz w:val="22"/>
          <w:szCs w:val="22"/>
        </w:rPr>
      </w:pPr>
      <w:r w:rsidRPr="00653B89">
        <w:rPr>
          <w:rFonts w:ascii="Arial" w:hAnsi="Arial" w:cs="Arial"/>
          <w:color w:val="0D0D0D" w:themeColor="text1" w:themeTint="F2"/>
          <w:sz w:val="22"/>
          <w:szCs w:val="22"/>
        </w:rPr>
        <w:lastRenderedPageBreak/>
        <w:t>71.5% of NHS personnel feel secure in voicing concerns regarding harmful clinical procedures, however merely 56.8% are confident that their organisation will address those concerns (Bereket and Lin, 2025). Moreover, less th</w:t>
      </w:r>
      <w:r w:rsidR="0033236C" w:rsidRPr="00653B89">
        <w:rPr>
          <w:rFonts w:ascii="Arial" w:hAnsi="Arial" w:cs="Arial"/>
          <w:color w:val="0D0D0D" w:themeColor="text1" w:themeTint="F2"/>
          <w:sz w:val="22"/>
          <w:szCs w:val="22"/>
        </w:rPr>
        <w:t>a</w:t>
      </w:r>
      <w:r w:rsidRPr="00653B89">
        <w:rPr>
          <w:rFonts w:ascii="Arial" w:hAnsi="Arial" w:cs="Arial"/>
          <w:color w:val="0D0D0D" w:themeColor="text1" w:themeTint="F2"/>
          <w:sz w:val="22"/>
          <w:szCs w:val="22"/>
        </w:rPr>
        <w:t>n 49.5% express confidence in their organisation to address any concerns overall (Bereket and Lin, 2025). Nonetheless, this action gap illustrates that psychological safety necessitates proof that voicing concerns results in significant change, a criterion the NHS routinely fails to meet (Bereket and Lin, 2025).</w:t>
      </w:r>
    </w:p>
    <w:p w14:paraId="39A5C9C2" w14:textId="6A1DE182" w:rsidR="00637D48" w:rsidRPr="00653B89" w:rsidRDefault="00637D48" w:rsidP="00474ADF">
      <w:pPr>
        <w:pStyle w:val="NormalWeb"/>
        <w:spacing w:before="0" w:beforeAutospacing="0" w:after="225" w:afterAutospacing="0" w:line="360" w:lineRule="auto"/>
        <w:jc w:val="both"/>
        <w:rPr>
          <w:rFonts w:ascii="Arial" w:hAnsi="Arial" w:cs="Arial"/>
          <w:color w:val="0D0D0D" w:themeColor="text1" w:themeTint="F2"/>
          <w:sz w:val="22"/>
          <w:szCs w:val="22"/>
        </w:rPr>
      </w:pPr>
      <w:r w:rsidRPr="00653B89">
        <w:rPr>
          <w:rFonts w:ascii="Arial" w:hAnsi="Arial" w:cs="Arial"/>
          <w:color w:val="0D0D0D" w:themeColor="text1" w:themeTint="F2"/>
          <w:sz w:val="22"/>
          <w:szCs w:val="22"/>
        </w:rPr>
        <w:t>Employees who fear retaliation or suffer from burnout may thus neglect the ethical obligation to attend to a patient, opting instead for bureaucratic compliance (Compton, 2018). However, this retreat signifies not merely individual moral shortcomings but rather a systemic failing at the leadership level (Compton, 2018). Moreover, the most critical consequence is its direct effect on patient outcomes: the failure to escalate Professor Patel's worsening condition reflects a workforce whose fundamental need for psychological safety was consistently neglected by its management</w:t>
      </w:r>
      <w:r w:rsidR="00717AE4" w:rsidRPr="00653B89">
        <w:rPr>
          <w:rFonts w:ascii="Arial" w:hAnsi="Arial" w:cs="Arial"/>
          <w:color w:val="0D0D0D" w:themeColor="text1" w:themeTint="F2"/>
          <w:sz w:val="22"/>
          <w:szCs w:val="22"/>
        </w:rPr>
        <w:t xml:space="preserve"> </w:t>
      </w:r>
      <w:r w:rsidR="00717AE4" w:rsidRPr="00653B89">
        <w:rPr>
          <w:rFonts w:ascii="Arial" w:hAnsi="Arial" w:cs="Arial"/>
          <w:color w:val="0D0D0D" w:themeColor="text1" w:themeTint="F2"/>
          <w:sz w:val="22"/>
          <w:szCs w:val="22"/>
        </w:rPr>
        <w:t>(Compton, 2018</w:t>
      </w:r>
      <w:proofErr w:type="gramStart"/>
      <w:r w:rsidR="00717AE4" w:rsidRPr="00653B89">
        <w:rPr>
          <w:rFonts w:ascii="Arial" w:hAnsi="Arial" w:cs="Arial"/>
          <w:color w:val="0D0D0D" w:themeColor="text1" w:themeTint="F2"/>
          <w:sz w:val="22"/>
          <w:szCs w:val="22"/>
        </w:rPr>
        <w:t>).</w:t>
      </w:r>
      <w:r w:rsidRPr="00653B89">
        <w:rPr>
          <w:rFonts w:ascii="Arial" w:hAnsi="Arial" w:cs="Arial"/>
          <w:color w:val="0D0D0D" w:themeColor="text1" w:themeTint="F2"/>
          <w:sz w:val="22"/>
          <w:szCs w:val="22"/>
        </w:rPr>
        <w:t>.</w:t>
      </w:r>
      <w:proofErr w:type="gramEnd"/>
      <w:r w:rsidRPr="00653B89">
        <w:rPr>
          <w:rFonts w:ascii="Arial" w:hAnsi="Arial" w:cs="Arial"/>
          <w:color w:val="0D0D0D" w:themeColor="text1" w:themeTint="F2"/>
          <w:sz w:val="22"/>
          <w:szCs w:val="22"/>
        </w:rPr>
        <w:t xml:space="preserve"> Therefore, although lower-level needs inhibit the higher-level functioning necessary for safe, patient-centred care, it is precisely this dynamic that explains how systemic leadership failures translate directly into avoidable patient harm (Compton, 2018).</w:t>
      </w:r>
    </w:p>
    <w:p w14:paraId="050704EF" w14:textId="77777777" w:rsidR="00717AE4" w:rsidRPr="00653B89" w:rsidRDefault="00717AE4" w:rsidP="00474ADF">
      <w:pPr>
        <w:pStyle w:val="NormalWeb"/>
        <w:spacing w:before="0" w:beforeAutospacing="0" w:after="225" w:afterAutospacing="0" w:line="360" w:lineRule="auto"/>
        <w:jc w:val="both"/>
        <w:rPr>
          <w:rFonts w:ascii="Arial" w:hAnsi="Arial" w:cs="Arial"/>
          <w:color w:val="0D0D0D" w:themeColor="text1" w:themeTint="F2"/>
          <w:sz w:val="22"/>
          <w:szCs w:val="22"/>
        </w:rPr>
      </w:pPr>
    </w:p>
    <w:p w14:paraId="2839EA46" w14:textId="77777777" w:rsidR="00637D48" w:rsidRPr="00653B89" w:rsidRDefault="00637D48" w:rsidP="00474ADF">
      <w:pPr>
        <w:pStyle w:val="NormalWeb"/>
        <w:spacing w:before="0" w:beforeAutospacing="0" w:after="225" w:afterAutospacing="0" w:line="360" w:lineRule="auto"/>
        <w:rPr>
          <w:rStyle w:val="Strong"/>
          <w:rFonts w:ascii="Arial" w:eastAsiaTheme="majorEastAsia" w:hAnsi="Arial" w:cs="Arial"/>
          <w:color w:val="0D0D0D" w:themeColor="text1" w:themeTint="F2"/>
          <w:sz w:val="22"/>
          <w:szCs w:val="22"/>
        </w:rPr>
      </w:pPr>
      <w:r w:rsidRPr="00653B89">
        <w:rPr>
          <w:rStyle w:val="Strong"/>
          <w:rFonts w:ascii="Arial" w:eastAsiaTheme="majorEastAsia" w:hAnsi="Arial" w:cs="Arial"/>
          <w:color w:val="0D0D0D" w:themeColor="text1" w:themeTint="F2"/>
          <w:sz w:val="22"/>
          <w:szCs w:val="22"/>
        </w:rPr>
        <w:t>McGregor’s Theory X and Y</w:t>
      </w:r>
    </w:p>
    <w:p w14:paraId="550FF0C0" w14:textId="17B85A9C" w:rsidR="00637D48" w:rsidRPr="00653B89" w:rsidRDefault="003D30E5" w:rsidP="00474ADF">
      <w:pPr>
        <w:pStyle w:val="NormalWeb"/>
        <w:spacing w:after="225"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Professor Patel's clinical management illustrates Theory X assumptions, which, as Ben-</w:t>
      </w:r>
      <w:proofErr w:type="spellStart"/>
      <w:r w:rsidRPr="00653B89">
        <w:rPr>
          <w:rFonts w:ascii="Arial" w:hAnsi="Arial" w:cs="Arial"/>
          <w:color w:val="0D0D0D" w:themeColor="text1" w:themeTint="F2"/>
          <w:sz w:val="22"/>
          <w:szCs w:val="22"/>
        </w:rPr>
        <w:t>Hador</w:t>
      </w:r>
      <w:proofErr w:type="spellEnd"/>
      <w:r w:rsidRPr="00653B89">
        <w:rPr>
          <w:rFonts w:ascii="Arial" w:hAnsi="Arial" w:cs="Arial"/>
          <w:color w:val="0D0D0D" w:themeColor="text1" w:themeTint="F2"/>
          <w:sz w:val="22"/>
          <w:szCs w:val="22"/>
        </w:rPr>
        <w:t xml:space="preserve"> (2023) indicates, serve as essential organisational principles legitimising administrative, top-down approaches that regard subordinates, and consequently patients, as needing direction and control, while their contributions are consistently disregarded.</w:t>
      </w:r>
      <w:r w:rsidR="009611EC" w:rsidRPr="00653B89">
        <w:rPr>
          <w:rFonts w:ascii="Arial" w:hAnsi="Arial" w:cs="Arial"/>
          <w:color w:val="0D0D0D" w:themeColor="text1" w:themeTint="F2"/>
          <w:sz w:val="22"/>
          <w:szCs w:val="22"/>
        </w:rPr>
        <w:t xml:space="preserve"> </w:t>
      </w:r>
      <w:r w:rsidR="00637D48" w:rsidRPr="00653B89">
        <w:rPr>
          <w:rFonts w:ascii="Arial" w:hAnsi="Arial" w:cs="Arial"/>
          <w:color w:val="0D0D0D" w:themeColor="text1" w:themeTint="F2"/>
          <w:sz w:val="22"/>
          <w:szCs w:val="22"/>
        </w:rPr>
        <w:t>The medical team's rejection of Professor Patel's self-diagnosis "staff had never heard of HLH" and their unwillingness to give strong antibiotics despite his alerts and recommendations, show this authoritarian mentality</w:t>
      </w:r>
      <w:r w:rsidR="00690A3D" w:rsidRPr="00653B89">
        <w:rPr>
          <w:rFonts w:ascii="Arial" w:hAnsi="Arial" w:cs="Arial"/>
          <w:color w:val="0D0D0D" w:themeColor="text1" w:themeTint="F2"/>
          <w:sz w:val="22"/>
          <w:szCs w:val="22"/>
        </w:rPr>
        <w:t xml:space="preserve"> </w:t>
      </w:r>
      <w:r w:rsidR="00690A3D" w:rsidRPr="00653B89">
        <w:rPr>
          <w:rFonts w:ascii="Arial" w:hAnsi="Arial" w:cs="Arial"/>
          <w:color w:val="0D0D0D" w:themeColor="text1" w:themeTint="F2"/>
          <w:sz w:val="22"/>
          <w:szCs w:val="22"/>
        </w:rPr>
        <w:t>(</w:t>
      </w:r>
      <w:proofErr w:type="spellStart"/>
      <w:r w:rsidR="00690A3D" w:rsidRPr="00653B89">
        <w:rPr>
          <w:rFonts w:ascii="Arial" w:hAnsi="Arial" w:cs="Arial"/>
          <w:color w:val="0D0D0D" w:themeColor="text1" w:themeTint="F2"/>
          <w:sz w:val="22"/>
          <w:szCs w:val="22"/>
        </w:rPr>
        <w:t>Charsley</w:t>
      </w:r>
      <w:proofErr w:type="spellEnd"/>
      <w:r w:rsidR="00690A3D" w:rsidRPr="00653B89">
        <w:rPr>
          <w:rFonts w:ascii="Arial" w:hAnsi="Arial" w:cs="Arial"/>
          <w:color w:val="0D0D0D" w:themeColor="text1" w:themeTint="F2"/>
          <w:sz w:val="22"/>
          <w:szCs w:val="22"/>
        </w:rPr>
        <w:t xml:space="preserve"> and </w:t>
      </w:r>
      <w:proofErr w:type="spellStart"/>
      <w:r w:rsidR="00690A3D" w:rsidRPr="00653B89">
        <w:rPr>
          <w:rFonts w:ascii="Arial" w:hAnsi="Arial" w:cs="Arial"/>
          <w:color w:val="0D0D0D" w:themeColor="text1" w:themeTint="F2"/>
          <w:sz w:val="22"/>
          <w:szCs w:val="22"/>
        </w:rPr>
        <w:t>Vesty</w:t>
      </w:r>
      <w:proofErr w:type="spellEnd"/>
      <w:r w:rsidR="00690A3D" w:rsidRPr="00653B89">
        <w:rPr>
          <w:rFonts w:ascii="Arial" w:hAnsi="Arial" w:cs="Arial"/>
          <w:color w:val="0D0D0D" w:themeColor="text1" w:themeTint="F2"/>
          <w:sz w:val="22"/>
          <w:szCs w:val="22"/>
        </w:rPr>
        <w:t xml:space="preserve">, 2024; </w:t>
      </w:r>
      <w:proofErr w:type="spellStart"/>
      <w:r w:rsidR="00690A3D" w:rsidRPr="00653B89">
        <w:rPr>
          <w:rFonts w:ascii="Arial" w:hAnsi="Arial" w:cs="Arial"/>
          <w:color w:val="0D0D0D" w:themeColor="text1" w:themeTint="F2"/>
          <w:sz w:val="22"/>
          <w:szCs w:val="22"/>
        </w:rPr>
        <w:t>Vesty</w:t>
      </w:r>
      <w:proofErr w:type="spellEnd"/>
      <w:r w:rsidR="00690A3D" w:rsidRPr="00653B89">
        <w:rPr>
          <w:rFonts w:ascii="Arial" w:hAnsi="Arial" w:cs="Arial"/>
          <w:color w:val="0D0D0D" w:themeColor="text1" w:themeTint="F2"/>
          <w:sz w:val="22"/>
          <w:szCs w:val="22"/>
        </w:rPr>
        <w:t>, 2024; Coffey, 2024)</w:t>
      </w:r>
      <w:r w:rsidR="00637D48" w:rsidRPr="00653B89">
        <w:rPr>
          <w:rFonts w:ascii="Arial" w:hAnsi="Arial" w:cs="Arial"/>
          <w:color w:val="0D0D0D" w:themeColor="text1" w:themeTint="F2"/>
          <w:sz w:val="22"/>
          <w:szCs w:val="22"/>
        </w:rPr>
        <w:t>. This trend is not solely theoretical but has tangible implications in healthcare. Murray and Cope (2021) discovered that enduring authority gradients in healthcare settings pose substantial obstacles to communication, since individuals lower in the hierarchy, including patients, are reluctant to contest senior judgements due to apprehensions of mockery or retaliation. Although McGregor's dichotomy represents a simplification, the specific behaviour of rheumatologists, characterised by scepticism without investigation, reflects Theory X authoritarianism (Ben-</w:t>
      </w:r>
      <w:proofErr w:type="spellStart"/>
      <w:r w:rsidR="00637D48" w:rsidRPr="00653B89">
        <w:rPr>
          <w:rFonts w:ascii="Arial" w:hAnsi="Arial" w:cs="Arial"/>
          <w:color w:val="0D0D0D" w:themeColor="text1" w:themeTint="F2"/>
          <w:sz w:val="22"/>
          <w:szCs w:val="22"/>
        </w:rPr>
        <w:t>Hador</w:t>
      </w:r>
      <w:proofErr w:type="spellEnd"/>
      <w:r w:rsidR="00637D48" w:rsidRPr="00653B89">
        <w:rPr>
          <w:rFonts w:ascii="Arial" w:hAnsi="Arial" w:cs="Arial"/>
          <w:color w:val="0D0D0D" w:themeColor="text1" w:themeTint="F2"/>
          <w:sz w:val="22"/>
          <w:szCs w:val="22"/>
        </w:rPr>
        <w:t>, 2023</w:t>
      </w:r>
      <w:r w:rsidR="009358CF" w:rsidRPr="00653B89">
        <w:rPr>
          <w:rFonts w:ascii="Arial" w:hAnsi="Arial" w:cs="Arial"/>
          <w:color w:val="0D0D0D" w:themeColor="text1" w:themeTint="F2"/>
          <w:sz w:val="22"/>
          <w:szCs w:val="22"/>
        </w:rPr>
        <w:t xml:space="preserve">; </w:t>
      </w:r>
      <w:proofErr w:type="spellStart"/>
      <w:r w:rsidR="009358CF" w:rsidRPr="00653B89">
        <w:rPr>
          <w:rFonts w:ascii="Arial" w:hAnsi="Arial" w:cs="Arial"/>
          <w:color w:val="0D0D0D" w:themeColor="text1" w:themeTint="F2"/>
          <w:sz w:val="22"/>
          <w:szCs w:val="22"/>
        </w:rPr>
        <w:t>Charsley</w:t>
      </w:r>
      <w:proofErr w:type="spellEnd"/>
      <w:r w:rsidR="009358CF" w:rsidRPr="00653B89">
        <w:rPr>
          <w:rFonts w:ascii="Arial" w:hAnsi="Arial" w:cs="Arial"/>
          <w:color w:val="0D0D0D" w:themeColor="text1" w:themeTint="F2"/>
          <w:sz w:val="22"/>
          <w:szCs w:val="22"/>
        </w:rPr>
        <w:t xml:space="preserve"> and </w:t>
      </w:r>
      <w:proofErr w:type="spellStart"/>
      <w:r w:rsidR="009358CF" w:rsidRPr="00653B89">
        <w:rPr>
          <w:rFonts w:ascii="Arial" w:hAnsi="Arial" w:cs="Arial"/>
          <w:color w:val="0D0D0D" w:themeColor="text1" w:themeTint="F2"/>
          <w:sz w:val="22"/>
          <w:szCs w:val="22"/>
        </w:rPr>
        <w:t>Vesty</w:t>
      </w:r>
      <w:proofErr w:type="spellEnd"/>
      <w:r w:rsidR="009358CF" w:rsidRPr="00653B89">
        <w:rPr>
          <w:rFonts w:ascii="Arial" w:hAnsi="Arial" w:cs="Arial"/>
          <w:color w:val="0D0D0D" w:themeColor="text1" w:themeTint="F2"/>
          <w:sz w:val="22"/>
          <w:szCs w:val="22"/>
        </w:rPr>
        <w:t xml:space="preserve">, 2024; </w:t>
      </w:r>
      <w:proofErr w:type="spellStart"/>
      <w:r w:rsidR="009358CF" w:rsidRPr="00653B89">
        <w:rPr>
          <w:rFonts w:ascii="Arial" w:hAnsi="Arial" w:cs="Arial"/>
          <w:color w:val="0D0D0D" w:themeColor="text1" w:themeTint="F2"/>
          <w:sz w:val="22"/>
          <w:szCs w:val="22"/>
        </w:rPr>
        <w:t>Vesty</w:t>
      </w:r>
      <w:proofErr w:type="spellEnd"/>
      <w:r w:rsidR="009358CF" w:rsidRPr="00653B89">
        <w:rPr>
          <w:rFonts w:ascii="Arial" w:hAnsi="Arial" w:cs="Arial"/>
          <w:color w:val="0D0D0D" w:themeColor="text1" w:themeTint="F2"/>
          <w:sz w:val="22"/>
          <w:szCs w:val="22"/>
        </w:rPr>
        <w:t>, 2024; Coffey, 2024</w:t>
      </w:r>
      <w:r w:rsidR="00637D48" w:rsidRPr="00653B89">
        <w:rPr>
          <w:rFonts w:ascii="Arial" w:hAnsi="Arial" w:cs="Arial"/>
          <w:color w:val="0D0D0D" w:themeColor="text1" w:themeTint="F2"/>
          <w:sz w:val="22"/>
          <w:szCs w:val="22"/>
        </w:rPr>
        <w:t xml:space="preserve">). They assumed their hierarchical position overshadowed the patient's clear </w:t>
      </w:r>
      <w:r w:rsidR="00637D48" w:rsidRPr="00653B89">
        <w:rPr>
          <w:rFonts w:ascii="Arial" w:hAnsi="Arial" w:cs="Arial"/>
          <w:color w:val="0D0D0D" w:themeColor="text1" w:themeTint="F2"/>
          <w:sz w:val="22"/>
          <w:szCs w:val="22"/>
        </w:rPr>
        <w:lastRenderedPageBreak/>
        <w:t>understanding, a fundamental leadership mistake that distorted their grasp of clinical reality (Ben-</w:t>
      </w:r>
      <w:proofErr w:type="spellStart"/>
      <w:r w:rsidR="00637D48" w:rsidRPr="00653B89">
        <w:rPr>
          <w:rFonts w:ascii="Arial" w:hAnsi="Arial" w:cs="Arial"/>
          <w:color w:val="0D0D0D" w:themeColor="text1" w:themeTint="F2"/>
          <w:sz w:val="22"/>
          <w:szCs w:val="22"/>
        </w:rPr>
        <w:t>Hador</w:t>
      </w:r>
      <w:proofErr w:type="spellEnd"/>
      <w:r w:rsidR="00637D48" w:rsidRPr="00653B89">
        <w:rPr>
          <w:rFonts w:ascii="Arial" w:hAnsi="Arial" w:cs="Arial"/>
          <w:color w:val="0D0D0D" w:themeColor="text1" w:themeTint="F2"/>
          <w:sz w:val="22"/>
          <w:szCs w:val="22"/>
        </w:rPr>
        <w:t>, 2023).</w:t>
      </w:r>
    </w:p>
    <w:p w14:paraId="56F91471" w14:textId="77777777" w:rsidR="00420B4D" w:rsidRPr="00653B89" w:rsidRDefault="00420B4D" w:rsidP="00474ADF">
      <w:pPr>
        <w:pStyle w:val="NormalWeb"/>
        <w:spacing w:before="0" w:beforeAutospacing="0" w:after="225" w:afterAutospacing="0" w:line="360" w:lineRule="auto"/>
        <w:rPr>
          <w:rStyle w:val="Strong"/>
          <w:rFonts w:ascii="Arial" w:eastAsiaTheme="majorEastAsia" w:hAnsi="Arial" w:cs="Arial"/>
          <w:color w:val="0D0D0D" w:themeColor="text1" w:themeTint="F2"/>
          <w:sz w:val="22"/>
          <w:szCs w:val="22"/>
        </w:rPr>
      </w:pPr>
      <w:proofErr w:type="spellStart"/>
      <w:r w:rsidRPr="00653B89">
        <w:rPr>
          <w:rStyle w:val="Strong"/>
          <w:rFonts w:ascii="Arial" w:eastAsiaTheme="majorEastAsia" w:hAnsi="Arial" w:cs="Arial"/>
          <w:color w:val="0D0D0D" w:themeColor="text1" w:themeTint="F2"/>
          <w:sz w:val="22"/>
          <w:szCs w:val="22"/>
        </w:rPr>
        <w:t>Ouchi’s</w:t>
      </w:r>
      <w:proofErr w:type="spellEnd"/>
      <w:r w:rsidRPr="00653B89">
        <w:rPr>
          <w:rStyle w:val="Strong"/>
          <w:rFonts w:ascii="Arial" w:eastAsiaTheme="majorEastAsia" w:hAnsi="Arial" w:cs="Arial"/>
          <w:color w:val="0D0D0D" w:themeColor="text1" w:themeTint="F2"/>
          <w:sz w:val="22"/>
          <w:szCs w:val="22"/>
        </w:rPr>
        <w:t xml:space="preserve"> Theory Z</w:t>
      </w:r>
    </w:p>
    <w:p w14:paraId="2C920C97" w14:textId="0951106B" w:rsidR="00420B4D" w:rsidRPr="00653B89" w:rsidRDefault="00420B4D"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Theory Z promotes a culture of trust, long-term employment, and collaborative decision-making (Montgomery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If Wythenshawe Hospital had adhered to Theory Z principles, its culture would have emphasised collective accountability and comprehensive patient care, starkly opposing the dismissive, hierarchical approach experienced by Professor Patel </w:t>
      </w:r>
      <w:r w:rsidR="00840667" w:rsidRPr="00653B89">
        <w:rPr>
          <w:rFonts w:ascii="Arial" w:hAnsi="Arial" w:cs="Arial"/>
          <w:color w:val="0D0D0D" w:themeColor="text1" w:themeTint="F2"/>
          <w:sz w:val="22"/>
          <w:szCs w:val="22"/>
        </w:rPr>
        <w:t>(</w:t>
      </w:r>
      <w:r w:rsidRPr="00653B89">
        <w:rPr>
          <w:rFonts w:ascii="Arial" w:hAnsi="Arial" w:cs="Arial"/>
          <w:color w:val="0D0D0D" w:themeColor="text1" w:themeTint="F2"/>
          <w:sz w:val="22"/>
          <w:szCs w:val="22"/>
        </w:rPr>
        <w:t xml:space="preserve">Montgomery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p>
    <w:p w14:paraId="31901A67" w14:textId="77777777" w:rsidR="009358CF" w:rsidRPr="00653B89" w:rsidRDefault="00420B4D"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Although psychological safety is frequently regarded as a crucial component of Theory Z, it lacks a definitive or regularly demonstrated relationship with objective patient safety outcomes (Montgomery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The evidence is ambiguous: increased reporting of safety concerns may indicate either high or low psychological safety,</w:t>
      </w:r>
      <w:r w:rsidRPr="00653B89">
        <w:rPr>
          <w:rStyle w:val="apple-converted-space"/>
          <w:rFonts w:ascii="Arial" w:eastAsiaTheme="majorEastAsia" w:hAnsi="Arial" w:cs="Arial"/>
          <w:color w:val="0D0D0D" w:themeColor="text1" w:themeTint="F2"/>
          <w:sz w:val="22"/>
          <w:szCs w:val="22"/>
        </w:rPr>
        <w:t> </w:t>
      </w:r>
      <w:r w:rsidRPr="00653B89">
        <w:rPr>
          <w:rStyle w:val="Strong"/>
          <w:rFonts w:ascii="Arial" w:eastAsiaTheme="majorEastAsia" w:hAnsi="Arial" w:cs="Arial"/>
          <w:b w:val="0"/>
          <w:bCs w:val="0"/>
          <w:color w:val="0D0D0D" w:themeColor="text1" w:themeTint="F2"/>
          <w:sz w:val="22"/>
          <w:szCs w:val="22"/>
        </w:rPr>
        <w:t>depending on the organisational context</w:t>
      </w:r>
      <w:r w:rsidRPr="00653B89">
        <w:rPr>
          <w:rStyle w:val="apple-converted-space"/>
          <w:rFonts w:ascii="Arial" w:eastAsiaTheme="majorEastAsia" w:hAnsi="Arial" w:cs="Arial"/>
          <w:b/>
          <w:bCs/>
          <w:color w:val="0D0D0D" w:themeColor="text1" w:themeTint="F2"/>
          <w:sz w:val="22"/>
          <w:szCs w:val="22"/>
        </w:rPr>
        <w:t> </w:t>
      </w:r>
      <w:r w:rsidRPr="00653B89">
        <w:rPr>
          <w:rFonts w:ascii="Arial" w:hAnsi="Arial" w:cs="Arial"/>
          <w:color w:val="0D0D0D" w:themeColor="text1" w:themeTint="F2"/>
          <w:sz w:val="22"/>
          <w:szCs w:val="22"/>
        </w:rPr>
        <w:t xml:space="preserve">(Montgomery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In a Theory Z environment,</w:t>
      </w:r>
      <w:r w:rsidRPr="00653B89">
        <w:rPr>
          <w:rStyle w:val="apple-converted-space"/>
          <w:rFonts w:ascii="Arial" w:eastAsiaTheme="majorEastAsia" w:hAnsi="Arial" w:cs="Arial"/>
          <w:color w:val="0D0D0D" w:themeColor="text1" w:themeTint="F2"/>
          <w:sz w:val="22"/>
          <w:szCs w:val="22"/>
        </w:rPr>
        <w:t> </w:t>
      </w:r>
      <w:r w:rsidRPr="00653B89">
        <w:rPr>
          <w:rStyle w:val="Strong"/>
          <w:rFonts w:ascii="Arial" w:eastAsiaTheme="majorEastAsia" w:hAnsi="Arial" w:cs="Arial"/>
          <w:b w:val="0"/>
          <w:bCs w:val="0"/>
          <w:color w:val="0D0D0D" w:themeColor="text1" w:themeTint="F2"/>
          <w:sz w:val="22"/>
          <w:szCs w:val="22"/>
        </w:rPr>
        <w:t>for instance</w:t>
      </w:r>
      <w:r w:rsidRPr="00653B89">
        <w:rPr>
          <w:rFonts w:ascii="Arial" w:hAnsi="Arial" w:cs="Arial"/>
          <w:b/>
          <w:bCs/>
          <w:color w:val="0D0D0D" w:themeColor="text1" w:themeTint="F2"/>
          <w:sz w:val="22"/>
          <w:szCs w:val="22"/>
        </w:rPr>
        <w:t>,</w:t>
      </w:r>
      <w:r w:rsidRPr="00653B89">
        <w:rPr>
          <w:rFonts w:ascii="Arial" w:hAnsi="Arial" w:cs="Arial"/>
          <w:color w:val="0D0D0D" w:themeColor="text1" w:themeTint="F2"/>
          <w:sz w:val="22"/>
          <w:szCs w:val="22"/>
        </w:rPr>
        <w:t xml:space="preserve"> identifying a DIC would ideally trigger a collective "stop" response, immediately alerting the MDT to the danger. </w:t>
      </w:r>
    </w:p>
    <w:p w14:paraId="769C944F" w14:textId="4C096A1E" w:rsidR="00F736CA" w:rsidRPr="00653B89" w:rsidRDefault="00F736CA" w:rsidP="00474ADF">
      <w:pPr>
        <w:spacing w:line="360" w:lineRule="auto"/>
        <w:rPr>
          <w:rFonts w:eastAsia="Times New Roman" w:cs="Arial"/>
          <w:color w:val="0D0D0D" w:themeColor="text1" w:themeTint="F2"/>
          <w:kern w:val="0"/>
          <w:sz w:val="22"/>
          <w:szCs w:val="22"/>
          <w:shd w:val="clear" w:color="auto" w:fill="FFFFFF"/>
          <w:lang w:eastAsia="en-GB"/>
          <w14:ligatures w14:val="none"/>
        </w:rPr>
      </w:pPr>
      <w:r w:rsidRPr="00F736CA">
        <w:rPr>
          <w:rFonts w:eastAsia="Times New Roman" w:cs="Arial"/>
          <w:color w:val="0D0D0D" w:themeColor="text1" w:themeTint="F2"/>
          <w:kern w:val="0"/>
          <w:sz w:val="22"/>
          <w:szCs w:val="22"/>
          <w:shd w:val="clear" w:color="auto" w:fill="FFFFFF"/>
          <w:lang w:eastAsia="en-GB"/>
          <w14:ligatures w14:val="none"/>
        </w:rPr>
        <w:t xml:space="preserve">However, such outcomes are heavily context-dependent and not assured by psychological safety alone (Montgomery </w:t>
      </w:r>
      <w:r w:rsidRPr="00F736CA">
        <w:rPr>
          <w:rFonts w:eastAsia="Times New Roman" w:cs="Arial"/>
          <w:i/>
          <w:iCs/>
          <w:color w:val="0D0D0D" w:themeColor="text1" w:themeTint="F2"/>
          <w:kern w:val="0"/>
          <w:sz w:val="22"/>
          <w:szCs w:val="22"/>
          <w:shd w:val="clear" w:color="auto" w:fill="FFFFFF"/>
          <w:lang w:eastAsia="en-GB"/>
          <w14:ligatures w14:val="none"/>
        </w:rPr>
        <w:t>et al.,</w:t>
      </w:r>
      <w:r w:rsidRPr="00F736CA">
        <w:rPr>
          <w:rFonts w:eastAsia="Times New Roman" w:cs="Arial"/>
          <w:color w:val="0D0D0D" w:themeColor="text1" w:themeTint="F2"/>
          <w:kern w:val="0"/>
          <w:sz w:val="22"/>
          <w:szCs w:val="22"/>
          <w:shd w:val="clear" w:color="auto" w:fill="FFFFFF"/>
          <w:lang w:eastAsia="en-GB"/>
          <w14:ligatures w14:val="none"/>
        </w:rPr>
        <w:t xml:space="preserve"> 2025). Furthermore, Theory Z also presupposes stability and adequate resources (Montgomery </w:t>
      </w:r>
      <w:r w:rsidRPr="00F736CA">
        <w:rPr>
          <w:rFonts w:eastAsia="Times New Roman" w:cs="Arial"/>
          <w:i/>
          <w:iCs/>
          <w:color w:val="0D0D0D" w:themeColor="text1" w:themeTint="F2"/>
          <w:kern w:val="0"/>
          <w:sz w:val="22"/>
          <w:szCs w:val="22"/>
          <w:shd w:val="clear" w:color="auto" w:fill="FFFFFF"/>
          <w:lang w:eastAsia="en-GB"/>
          <w14:ligatures w14:val="none"/>
        </w:rPr>
        <w:t>et al.,</w:t>
      </w:r>
      <w:r w:rsidRPr="00F736CA">
        <w:rPr>
          <w:rFonts w:eastAsia="Times New Roman" w:cs="Arial"/>
          <w:color w:val="0D0D0D" w:themeColor="text1" w:themeTint="F2"/>
          <w:kern w:val="0"/>
          <w:sz w:val="22"/>
          <w:szCs w:val="22"/>
          <w:shd w:val="clear" w:color="auto" w:fill="FFFFFF"/>
          <w:lang w:eastAsia="en-GB"/>
          <w14:ligatures w14:val="none"/>
        </w:rPr>
        <w:t xml:space="preserve"> 2025). </w:t>
      </w:r>
    </w:p>
    <w:p w14:paraId="7F7AE129" w14:textId="77777777" w:rsidR="0002722F" w:rsidRPr="00653B89" w:rsidRDefault="0002722F" w:rsidP="00474ADF">
      <w:pPr>
        <w:spacing w:line="360" w:lineRule="auto"/>
        <w:rPr>
          <w:rFonts w:eastAsia="Times New Roman" w:cs="Arial"/>
          <w:color w:val="0D0D0D" w:themeColor="text1" w:themeTint="F2"/>
          <w:kern w:val="0"/>
          <w:sz w:val="22"/>
          <w:szCs w:val="22"/>
          <w:lang w:eastAsia="en-GB"/>
          <w14:ligatures w14:val="none"/>
        </w:rPr>
      </w:pPr>
    </w:p>
    <w:p w14:paraId="539C6A0F" w14:textId="77777777" w:rsidR="0002722F" w:rsidRPr="00653B89" w:rsidRDefault="0002722F"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The NHS is experiencing significant pressure, with over 41% of personnel indicating work-related stress, just 34% perceiving an adequate number of colleagues to fulfil their responsibilities successfully, and fewer than half capable of managing the conflicting demands of their positions (Nash, 2025). Nonetheless, the time and emotional investment necessary for genuine collaborative decision-making is often perceived as an unattainable luxury, which directly contributes to the frequent diagnostic inaccuracies observed (Nash, 2025).</w:t>
      </w:r>
    </w:p>
    <w:p w14:paraId="2A4DA8B8" w14:textId="59C0C6ED" w:rsidR="00B970E8" w:rsidRPr="00653B89" w:rsidRDefault="00B970E8" w:rsidP="00474ADF">
      <w:pPr>
        <w:pStyle w:val="NormalWeb"/>
        <w:spacing w:before="0" w:beforeAutospacing="0" w:after="225" w:afterAutospacing="0" w:line="360" w:lineRule="auto"/>
        <w:rPr>
          <w:rStyle w:val="Strong"/>
          <w:rFonts w:ascii="Arial" w:eastAsiaTheme="majorEastAsia" w:hAnsi="Arial" w:cs="Arial"/>
          <w:color w:val="0D0D0D" w:themeColor="text1" w:themeTint="F2"/>
          <w:sz w:val="22"/>
          <w:szCs w:val="22"/>
        </w:rPr>
      </w:pPr>
      <w:r w:rsidRPr="00653B89">
        <w:rPr>
          <w:rStyle w:val="Strong"/>
          <w:rFonts w:ascii="Arial" w:eastAsiaTheme="majorEastAsia" w:hAnsi="Arial" w:cs="Arial"/>
          <w:color w:val="0D0D0D" w:themeColor="text1" w:themeTint="F2"/>
          <w:sz w:val="22"/>
          <w:szCs w:val="22"/>
        </w:rPr>
        <w:t>Transformational Leadership Theory</w:t>
      </w:r>
    </w:p>
    <w:p w14:paraId="004E64F4" w14:textId="7250634E" w:rsidR="00B970E8" w:rsidRPr="00653B89" w:rsidRDefault="00B970E8" w:rsidP="00474ADF">
      <w:pPr>
        <w:spacing w:line="360" w:lineRule="auto"/>
        <w:rPr>
          <w:rFonts w:cs="Arial"/>
          <w:color w:val="0D0D0D" w:themeColor="text1" w:themeTint="F2"/>
          <w:sz w:val="22"/>
          <w:szCs w:val="22"/>
          <w:shd w:val="clear" w:color="auto" w:fill="FFFFFF"/>
        </w:rPr>
      </w:pPr>
      <w:r w:rsidRPr="00653B89">
        <w:rPr>
          <w:rFonts w:cs="Arial"/>
          <w:color w:val="0D0D0D" w:themeColor="text1" w:themeTint="F2"/>
          <w:sz w:val="22"/>
          <w:szCs w:val="22"/>
        </w:rPr>
        <w:t>Transformational leadership motivates teams to prioritise the organi</w:t>
      </w:r>
      <w:r w:rsidR="001C5AB5" w:rsidRPr="00653B89">
        <w:rPr>
          <w:rFonts w:cs="Arial"/>
          <w:color w:val="0D0D0D" w:themeColor="text1" w:themeTint="F2"/>
          <w:sz w:val="22"/>
          <w:szCs w:val="22"/>
        </w:rPr>
        <w:t>s</w:t>
      </w:r>
      <w:r w:rsidRPr="00653B89">
        <w:rPr>
          <w:rFonts w:cs="Arial"/>
          <w:color w:val="0D0D0D" w:themeColor="text1" w:themeTint="F2"/>
          <w:sz w:val="22"/>
          <w:szCs w:val="22"/>
        </w:rPr>
        <w:t xml:space="preserve">ation's or patient's interests over individual self-interest (Phillips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This leadership style has demonstrated a beneficial impact on teamwork, communication transparency, and organisational learning, all fundamental aspects of patient safety culture (Phillips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The relationships characterised by dismissiveness, absence of consent, and bureaucratic processing are antithetical to transformational leadership (Phillips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w:t>
      </w:r>
      <w:r w:rsidRPr="00653B89">
        <w:rPr>
          <w:rFonts w:cs="Arial"/>
          <w:color w:val="0D0D0D" w:themeColor="text1" w:themeTint="F2"/>
          <w:sz w:val="22"/>
          <w:szCs w:val="22"/>
        </w:rPr>
        <w:lastRenderedPageBreak/>
        <w:t xml:space="preserve">No sign of intellectual stimulation, engagement with the uncommon diagnosis or individualised regard attentiveness to the patient's personal concerns was shown in Professor Patels case. </w:t>
      </w:r>
      <w:r w:rsidRPr="00653B89">
        <w:rPr>
          <w:rFonts w:cs="Arial"/>
          <w:color w:val="0D0D0D" w:themeColor="text1" w:themeTint="F2"/>
          <w:sz w:val="22"/>
          <w:szCs w:val="22"/>
          <w:shd w:val="clear" w:color="auto" w:fill="FFFFFF"/>
        </w:rPr>
        <w:t>In many hospital environments, quantitative data consistently links transformative leadership to enhanced safety culture and outcomes (</w:t>
      </w:r>
      <w:proofErr w:type="spellStart"/>
      <w:r w:rsidRPr="00653B89">
        <w:rPr>
          <w:rFonts w:cs="Arial"/>
          <w:color w:val="0D0D0D" w:themeColor="text1" w:themeTint="F2"/>
          <w:sz w:val="22"/>
          <w:szCs w:val="22"/>
          <w:shd w:val="clear" w:color="auto" w:fill="FFFFFF"/>
        </w:rPr>
        <w:t>Althobaiti</w:t>
      </w:r>
      <w:proofErr w:type="spellEnd"/>
      <w:r w:rsidRPr="00653B89">
        <w:rPr>
          <w:rFonts w:cs="Arial"/>
          <w:color w:val="0D0D0D" w:themeColor="text1" w:themeTint="F2"/>
          <w:sz w:val="22"/>
          <w:szCs w:val="22"/>
          <w:shd w:val="clear" w:color="auto" w:fill="FFFFFF"/>
        </w:rPr>
        <w:t>, 2026). The Patel case exemplifies the fatal consequences of transactional or bureaucratic leadership, which is linked to compliance-oriented safety practices but lacks the ability to foster profound cultural transformation (</w:t>
      </w:r>
      <w:proofErr w:type="spellStart"/>
      <w:r w:rsidRPr="00653B89">
        <w:rPr>
          <w:rFonts w:cs="Arial"/>
          <w:color w:val="0D0D0D" w:themeColor="text1" w:themeTint="F2"/>
          <w:sz w:val="22"/>
          <w:szCs w:val="22"/>
          <w:shd w:val="clear" w:color="auto" w:fill="FFFFFF"/>
        </w:rPr>
        <w:t>Althobaiti</w:t>
      </w:r>
      <w:proofErr w:type="spellEnd"/>
      <w:r w:rsidRPr="00653B89">
        <w:rPr>
          <w:rFonts w:cs="Arial"/>
          <w:color w:val="0D0D0D" w:themeColor="text1" w:themeTint="F2"/>
          <w:sz w:val="22"/>
          <w:szCs w:val="22"/>
          <w:shd w:val="clear" w:color="auto" w:fill="FFFFFF"/>
        </w:rPr>
        <w:t>, 2026). Staff adhered to the procedural "transaction" of consulting a multidisciplinary team but neglected the "transformational" responsibility of attending to the individual before them (</w:t>
      </w:r>
      <w:proofErr w:type="spellStart"/>
      <w:r w:rsidRPr="00653B89">
        <w:rPr>
          <w:rFonts w:cs="Arial"/>
          <w:color w:val="0D0D0D" w:themeColor="text1" w:themeTint="F2"/>
          <w:sz w:val="22"/>
          <w:szCs w:val="22"/>
          <w:shd w:val="clear" w:color="auto" w:fill="FFFFFF"/>
        </w:rPr>
        <w:t>Althobaiti</w:t>
      </w:r>
      <w:proofErr w:type="spellEnd"/>
      <w:r w:rsidRPr="00653B89">
        <w:rPr>
          <w:rFonts w:cs="Arial"/>
          <w:color w:val="0D0D0D" w:themeColor="text1" w:themeTint="F2"/>
          <w:sz w:val="22"/>
          <w:szCs w:val="22"/>
          <w:shd w:val="clear" w:color="auto" w:fill="FFFFFF"/>
        </w:rPr>
        <w:t xml:space="preserve">, 2026). </w:t>
      </w:r>
    </w:p>
    <w:p w14:paraId="221F32F8" w14:textId="77777777" w:rsidR="0065243C" w:rsidRPr="00653B89" w:rsidRDefault="0065243C" w:rsidP="00474ADF">
      <w:pPr>
        <w:spacing w:line="360" w:lineRule="auto"/>
        <w:rPr>
          <w:rFonts w:cs="Arial"/>
          <w:color w:val="0D0D0D" w:themeColor="text1" w:themeTint="F2"/>
          <w:sz w:val="22"/>
          <w:szCs w:val="22"/>
        </w:rPr>
      </w:pPr>
    </w:p>
    <w:p w14:paraId="4EB9205B" w14:textId="71706F2D" w:rsidR="0065243C" w:rsidRPr="00653B89" w:rsidRDefault="00970235" w:rsidP="00474ADF">
      <w:pPr>
        <w:pStyle w:val="NormalWeb"/>
        <w:spacing w:before="0" w:beforeAutospacing="0" w:after="225" w:afterAutospacing="0" w:line="360" w:lineRule="auto"/>
        <w:rPr>
          <w:rFonts w:ascii="Arial" w:eastAsiaTheme="majorEastAsia" w:hAnsi="Arial" w:cs="Arial"/>
          <w:b/>
          <w:bCs/>
          <w:color w:val="0D0D0D" w:themeColor="text1" w:themeTint="F2"/>
          <w:sz w:val="22"/>
          <w:szCs w:val="22"/>
        </w:rPr>
      </w:pPr>
      <w:r w:rsidRPr="00653B89">
        <w:rPr>
          <w:rStyle w:val="Strong"/>
          <w:rFonts w:ascii="Arial" w:eastAsiaTheme="majorEastAsia" w:hAnsi="Arial" w:cs="Arial"/>
          <w:color w:val="0D0D0D" w:themeColor="text1" w:themeTint="F2"/>
          <w:sz w:val="22"/>
          <w:szCs w:val="22"/>
        </w:rPr>
        <w:t xml:space="preserve">The </w:t>
      </w:r>
      <w:r w:rsidR="0065243C" w:rsidRPr="00653B89">
        <w:rPr>
          <w:rStyle w:val="Strong"/>
          <w:rFonts w:ascii="Arial" w:eastAsiaTheme="majorEastAsia" w:hAnsi="Arial" w:cs="Arial"/>
          <w:color w:val="0D0D0D" w:themeColor="text1" w:themeTint="F2"/>
          <w:sz w:val="22"/>
          <w:szCs w:val="22"/>
        </w:rPr>
        <w:t>Top-Down Approach</w:t>
      </w:r>
    </w:p>
    <w:p w14:paraId="2573DA57" w14:textId="28AD0FF2" w:rsidR="00C6726B" w:rsidRPr="00653B89" w:rsidRDefault="0065243C"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According to Wood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(2022), the Patel case illustrates the top-down approach that has traditionally hindered patient safety inside the NHS. The report highlights leadership deficiencies in which hierarchical authority suppresses frontline knowledge, paralleling Professor Patel's experience where bureaucratic procedures supplanted responsive care. The enduring nature of "punishment myths," as noted by Wood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(2022), fosters environments in which both staff and patients are disregarded. Isolated systems impeded collaboration between haematology and respiratory specialists</w:t>
      </w:r>
      <w:r w:rsidR="00C47D90" w:rsidRPr="00653B89">
        <w:rPr>
          <w:rFonts w:ascii="Arial" w:hAnsi="Arial" w:cs="Arial"/>
          <w:color w:val="0D0D0D" w:themeColor="text1" w:themeTint="F2"/>
          <w:sz w:val="22"/>
          <w:szCs w:val="22"/>
        </w:rPr>
        <w:t xml:space="preserve"> (</w:t>
      </w:r>
      <w:proofErr w:type="spellStart"/>
      <w:r w:rsidR="00C47D90" w:rsidRPr="00653B89">
        <w:rPr>
          <w:rFonts w:ascii="Arial" w:hAnsi="Arial" w:cs="Arial"/>
          <w:color w:val="0D0D0D" w:themeColor="text1" w:themeTint="F2"/>
          <w:sz w:val="22"/>
          <w:szCs w:val="22"/>
        </w:rPr>
        <w:t>Charsley</w:t>
      </w:r>
      <w:proofErr w:type="spellEnd"/>
      <w:r w:rsidR="00C47D90" w:rsidRPr="00653B89">
        <w:rPr>
          <w:rFonts w:ascii="Arial" w:hAnsi="Arial" w:cs="Arial"/>
          <w:color w:val="0D0D0D" w:themeColor="text1" w:themeTint="F2"/>
          <w:sz w:val="22"/>
          <w:szCs w:val="22"/>
        </w:rPr>
        <w:t xml:space="preserve"> and </w:t>
      </w:r>
      <w:proofErr w:type="spellStart"/>
      <w:r w:rsidR="00C47D90" w:rsidRPr="00653B89">
        <w:rPr>
          <w:rFonts w:ascii="Arial" w:hAnsi="Arial" w:cs="Arial"/>
          <w:color w:val="0D0D0D" w:themeColor="text1" w:themeTint="F2"/>
          <w:sz w:val="22"/>
          <w:szCs w:val="22"/>
        </w:rPr>
        <w:t>Vesty</w:t>
      </w:r>
      <w:proofErr w:type="spellEnd"/>
      <w:r w:rsidR="00C47D90" w:rsidRPr="00653B89">
        <w:rPr>
          <w:rFonts w:ascii="Arial" w:hAnsi="Arial" w:cs="Arial"/>
          <w:color w:val="0D0D0D" w:themeColor="text1" w:themeTint="F2"/>
          <w:sz w:val="22"/>
          <w:szCs w:val="22"/>
        </w:rPr>
        <w:t xml:space="preserve">, 2024; </w:t>
      </w:r>
      <w:proofErr w:type="spellStart"/>
      <w:r w:rsidR="00C47D90" w:rsidRPr="00653B89">
        <w:rPr>
          <w:rFonts w:ascii="Arial" w:hAnsi="Arial" w:cs="Arial"/>
          <w:color w:val="0D0D0D" w:themeColor="text1" w:themeTint="F2"/>
          <w:sz w:val="22"/>
          <w:szCs w:val="22"/>
        </w:rPr>
        <w:t>Vesty</w:t>
      </w:r>
      <w:proofErr w:type="spellEnd"/>
      <w:r w:rsidR="00C47D90" w:rsidRPr="00653B89">
        <w:rPr>
          <w:rFonts w:ascii="Arial" w:hAnsi="Arial" w:cs="Arial"/>
          <w:color w:val="0D0D0D" w:themeColor="text1" w:themeTint="F2"/>
          <w:sz w:val="22"/>
          <w:szCs w:val="22"/>
        </w:rPr>
        <w:t>, 2024; Coffey, 2024)</w:t>
      </w:r>
      <w:r w:rsidRPr="00653B89">
        <w:rPr>
          <w:rFonts w:ascii="Arial" w:hAnsi="Arial" w:cs="Arial"/>
          <w:color w:val="0D0D0D" w:themeColor="text1" w:themeTint="F2"/>
          <w:sz w:val="22"/>
          <w:szCs w:val="22"/>
        </w:rPr>
        <w:t xml:space="preserve">. No leader elucidated communication channels or eliminated impediments (Wood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2022). Although the hierarchical system facilitated a downward flow of authority, essential information</w:t>
      </w:r>
      <w:r w:rsidR="00E54EE8"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 xml:space="preserve">including the patient's own insights, was unable to ascend, resulting in a preventable death. As Mahajan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determined, without a continuous feedback loop or tangible evidence that reports result in change, staff contributions appear ineffective</w:t>
      </w:r>
      <w:r w:rsidR="00092201" w:rsidRPr="00653B89">
        <w:rPr>
          <w:rFonts w:ascii="Arial" w:hAnsi="Arial" w:cs="Arial"/>
          <w:color w:val="0D0D0D" w:themeColor="text1" w:themeTint="F2"/>
          <w:sz w:val="22"/>
          <w:szCs w:val="22"/>
        </w:rPr>
        <w:t>,</w:t>
      </w:r>
      <w:r w:rsidRPr="00653B89">
        <w:rPr>
          <w:rFonts w:ascii="Arial" w:hAnsi="Arial" w:cs="Arial"/>
          <w:color w:val="0D0D0D" w:themeColor="text1" w:themeTint="F2"/>
          <w:sz w:val="22"/>
          <w:szCs w:val="22"/>
        </w:rPr>
        <w:t xml:space="preserve"> vanishing into a "bureaucratic void”.</w:t>
      </w:r>
    </w:p>
    <w:p w14:paraId="55DB73D0" w14:textId="77777777" w:rsidR="00960E8A" w:rsidRPr="00653B89" w:rsidRDefault="00960E8A" w:rsidP="00474ADF">
      <w:pPr>
        <w:pStyle w:val="NormalWeb"/>
        <w:spacing w:before="0" w:beforeAutospacing="0" w:after="225" w:afterAutospacing="0" w:line="360" w:lineRule="auto"/>
        <w:rPr>
          <w:rStyle w:val="Strong"/>
          <w:rFonts w:ascii="Arial" w:eastAsiaTheme="majorEastAsia" w:hAnsi="Arial" w:cs="Arial"/>
          <w:color w:val="0D0D0D" w:themeColor="text1" w:themeTint="F2"/>
          <w:sz w:val="22"/>
          <w:szCs w:val="22"/>
        </w:rPr>
      </w:pPr>
      <w:r w:rsidRPr="00653B89">
        <w:rPr>
          <w:rStyle w:val="Strong"/>
          <w:rFonts w:ascii="Arial" w:eastAsiaTheme="majorEastAsia" w:hAnsi="Arial" w:cs="Arial"/>
          <w:color w:val="0D0D0D" w:themeColor="text1" w:themeTint="F2"/>
          <w:sz w:val="22"/>
          <w:szCs w:val="22"/>
        </w:rPr>
        <w:t>Laissez-Faire Leadership</w:t>
      </w:r>
    </w:p>
    <w:p w14:paraId="2EBB145F" w14:textId="77777777" w:rsidR="00DD016A" w:rsidRPr="00653B89" w:rsidRDefault="00960E8A"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The most critical theoretical stance may be the laissez-faire leadership, distinguished by a lack of leadership (</w:t>
      </w:r>
      <w:proofErr w:type="spellStart"/>
      <w:r w:rsidRPr="00653B89">
        <w:rPr>
          <w:rFonts w:ascii="Arial" w:hAnsi="Arial" w:cs="Arial"/>
          <w:color w:val="0D0D0D" w:themeColor="text1" w:themeTint="F2"/>
          <w:sz w:val="22"/>
          <w:szCs w:val="22"/>
        </w:rPr>
        <w:t>Desgourdes</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2024). At pivotal moments when the DIC results were received, and the patient declared, "I am going to die," no leader intervened to stop the procedure (</w:t>
      </w:r>
      <w:proofErr w:type="spellStart"/>
      <w:r w:rsidRPr="00653B89">
        <w:rPr>
          <w:rFonts w:ascii="Arial" w:hAnsi="Arial" w:cs="Arial"/>
          <w:color w:val="0D0D0D" w:themeColor="text1" w:themeTint="F2"/>
          <w:sz w:val="22"/>
          <w:szCs w:val="22"/>
        </w:rPr>
        <w:t>Charsley</w:t>
      </w:r>
      <w:proofErr w:type="spellEnd"/>
      <w:r w:rsidRPr="00653B89">
        <w:rPr>
          <w:rFonts w:ascii="Arial" w:hAnsi="Arial" w:cs="Arial"/>
          <w:color w:val="0D0D0D" w:themeColor="text1" w:themeTint="F2"/>
          <w:sz w:val="22"/>
          <w:szCs w:val="22"/>
        </w:rPr>
        <w:t xml:space="preserve"> and </w:t>
      </w:r>
      <w:proofErr w:type="spellStart"/>
      <w:r w:rsidRPr="00653B89">
        <w:rPr>
          <w:rFonts w:ascii="Arial" w:hAnsi="Arial" w:cs="Arial"/>
          <w:color w:val="0D0D0D" w:themeColor="text1" w:themeTint="F2"/>
          <w:sz w:val="22"/>
          <w:szCs w:val="22"/>
        </w:rPr>
        <w:t>Vesty</w:t>
      </w:r>
      <w:proofErr w:type="spellEnd"/>
      <w:r w:rsidRPr="00653B89">
        <w:rPr>
          <w:rFonts w:ascii="Arial" w:hAnsi="Arial" w:cs="Arial"/>
          <w:color w:val="0D0D0D" w:themeColor="text1" w:themeTint="F2"/>
          <w:sz w:val="22"/>
          <w:szCs w:val="22"/>
        </w:rPr>
        <w:t>, 2024). The permission process devolved into a "botched" formality (</w:t>
      </w:r>
      <w:proofErr w:type="spellStart"/>
      <w:r w:rsidRPr="00653B89">
        <w:rPr>
          <w:rFonts w:ascii="Arial" w:hAnsi="Arial" w:cs="Arial"/>
          <w:color w:val="0D0D0D" w:themeColor="text1" w:themeTint="F2"/>
          <w:sz w:val="22"/>
          <w:szCs w:val="22"/>
        </w:rPr>
        <w:t>Desgourdes</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2024). Empirical research indicates that passive leadership, defined by avoidance and inaction during moments when subordinates want guidance, is significantly linked to negative </w:t>
      </w:r>
      <w:r w:rsidR="009A4CAA" w:rsidRPr="00653B89">
        <w:rPr>
          <w:rFonts w:ascii="Arial" w:hAnsi="Arial" w:cs="Arial"/>
          <w:color w:val="0D0D0D" w:themeColor="text1" w:themeTint="F2"/>
          <w:sz w:val="22"/>
          <w:szCs w:val="22"/>
        </w:rPr>
        <w:t>outcome</w:t>
      </w:r>
      <w:r w:rsidRPr="00653B89">
        <w:rPr>
          <w:rFonts w:ascii="Arial" w:hAnsi="Arial" w:cs="Arial"/>
          <w:color w:val="0D0D0D" w:themeColor="text1" w:themeTint="F2"/>
          <w:sz w:val="22"/>
          <w:szCs w:val="22"/>
        </w:rPr>
        <w:t xml:space="preserve"> (</w:t>
      </w:r>
      <w:proofErr w:type="spellStart"/>
      <w:r w:rsidRPr="00653B89">
        <w:rPr>
          <w:rFonts w:ascii="Arial" w:hAnsi="Arial" w:cs="Arial"/>
          <w:color w:val="0D0D0D" w:themeColor="text1" w:themeTint="F2"/>
          <w:sz w:val="22"/>
          <w:szCs w:val="22"/>
        </w:rPr>
        <w:t>Desgourdes</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2024). The system operated on autopilot, progressing towards a disastrous outcome due to the absence of a leader willing to disconnect the autopilot (</w:t>
      </w:r>
      <w:proofErr w:type="spellStart"/>
      <w:r w:rsidRPr="00653B89">
        <w:rPr>
          <w:rFonts w:ascii="Arial" w:hAnsi="Arial" w:cs="Arial"/>
          <w:color w:val="0D0D0D" w:themeColor="text1" w:themeTint="F2"/>
          <w:sz w:val="22"/>
          <w:szCs w:val="22"/>
        </w:rPr>
        <w:t>Desgourdes</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2024).</w:t>
      </w:r>
    </w:p>
    <w:p w14:paraId="69D1563F" w14:textId="738E21FE" w:rsidR="00596984" w:rsidRPr="00653B89" w:rsidRDefault="00CA3F01" w:rsidP="00474ADF">
      <w:pPr>
        <w:pStyle w:val="NormalWeb"/>
        <w:spacing w:before="0" w:beforeAutospacing="0" w:after="225" w:afterAutospacing="0" w:line="360" w:lineRule="auto"/>
        <w:rPr>
          <w:rFonts w:ascii="Arial" w:hAnsi="Arial" w:cs="Arial"/>
          <w:color w:val="0D0D0D" w:themeColor="text1" w:themeTint="F2"/>
          <w:sz w:val="22"/>
          <w:szCs w:val="22"/>
        </w:rPr>
      </w:pPr>
      <w:r w:rsidRPr="00653B89">
        <w:rPr>
          <w:rFonts w:ascii="Arial" w:hAnsi="Arial" w:cs="Arial"/>
          <w:b/>
          <w:bCs/>
          <w:color w:val="0D0D0D" w:themeColor="text1" w:themeTint="F2"/>
          <w:sz w:val="22"/>
          <w:szCs w:val="22"/>
        </w:rPr>
        <w:lastRenderedPageBreak/>
        <w:t xml:space="preserve"> </w:t>
      </w:r>
      <w:r w:rsidR="00C046AC" w:rsidRPr="00653B89">
        <w:rPr>
          <w:rFonts w:ascii="Arial" w:hAnsi="Arial" w:cs="Arial"/>
          <w:b/>
          <w:bCs/>
          <w:color w:val="0D0D0D" w:themeColor="text1" w:themeTint="F2"/>
          <w:sz w:val="22"/>
          <w:szCs w:val="22"/>
        </w:rPr>
        <w:t>Importance of Leadership</w:t>
      </w:r>
      <w:r w:rsidR="00C046AC" w:rsidRPr="00653B89">
        <w:rPr>
          <w:rFonts w:ascii="Arial" w:hAnsi="Arial" w:cs="Arial"/>
          <w:b/>
          <w:bCs/>
          <w:color w:val="0D0D0D" w:themeColor="text1" w:themeTint="F2"/>
          <w:sz w:val="22"/>
          <w:szCs w:val="22"/>
        </w:rPr>
        <w:t xml:space="preserve">: </w:t>
      </w:r>
      <w:r w:rsidR="00A97D4B" w:rsidRPr="00653B89">
        <w:rPr>
          <w:rFonts w:ascii="Arial" w:hAnsi="Arial" w:cs="Arial"/>
          <w:b/>
          <w:bCs/>
          <w:color w:val="0D0D0D" w:themeColor="text1" w:themeTint="F2"/>
          <w:sz w:val="22"/>
          <w:szCs w:val="22"/>
        </w:rPr>
        <w:t>I</w:t>
      </w:r>
      <w:r w:rsidR="00A97D4B" w:rsidRPr="00653B89">
        <w:rPr>
          <w:rStyle w:val="Strong"/>
          <w:rFonts w:ascii="Arial" w:eastAsiaTheme="majorEastAsia" w:hAnsi="Arial" w:cs="Arial"/>
          <w:color w:val="0F1115"/>
          <w:sz w:val="22"/>
          <w:szCs w:val="22"/>
        </w:rPr>
        <w:t>mprovements and Lessons Learned</w:t>
      </w:r>
      <w:r w:rsidR="00EF16E4" w:rsidRPr="00653B89">
        <w:rPr>
          <w:rFonts w:ascii="Arial" w:hAnsi="Arial" w:cs="Arial"/>
          <w:b/>
          <w:bCs/>
          <w:color w:val="0D0D0D" w:themeColor="text1" w:themeTint="F2"/>
          <w:sz w:val="22"/>
          <w:szCs w:val="22"/>
        </w:rPr>
        <w:t xml:space="preserve"> </w:t>
      </w:r>
    </w:p>
    <w:p w14:paraId="0F84FD50" w14:textId="77777777" w:rsidR="00596984" w:rsidRPr="00653B89" w:rsidRDefault="00596984" w:rsidP="00474ADF">
      <w:pPr>
        <w:pStyle w:val="NormalWeb"/>
        <w:spacing w:before="0" w:beforeAutospacing="0" w:after="225" w:afterAutospacing="0" w:line="360" w:lineRule="auto"/>
        <w:jc w:val="both"/>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The necessity for leadership reform is not solely academic but a critical issue of survival. Effective leadership is the principal catalyst of safety culture, the intangible environment that influences a nurse's decision to report a missing test result or remain silent (Murray and Cope, 2021; Montgomery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However, if a singular leader at Wythenshawe had cultivated a culture prioritising comprehensive clinical assessment over procedural expediency, the knowledge deficit concerning the DIC could have been mitigated. </w:t>
      </w:r>
    </w:p>
    <w:p w14:paraId="7BF6914B" w14:textId="77777777" w:rsidR="00596984" w:rsidRPr="00653B89" w:rsidRDefault="00596984" w:rsidP="00474ADF">
      <w:pPr>
        <w:pStyle w:val="NormalWeb"/>
        <w:spacing w:before="0" w:beforeAutospacing="0" w:after="225" w:afterAutospacing="0" w:line="360" w:lineRule="auto"/>
        <w:jc w:val="both"/>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In England and Wales, 20% of fatalities are considered preventable through prompt healthcare and public health measures, whereas 14% can be prevented exclusively by public health interventions (The Health Foundation, 2023). Therefore, strong leadership is essential to enable systemic improvements in patient safety, preventative measures, and care quality, thus reducing avoidable death and the associated danger of legal action (Phillips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p>
    <w:p w14:paraId="3D30E308" w14:textId="59F0321C" w:rsidR="00596984" w:rsidRPr="00653B89" w:rsidRDefault="007023E6" w:rsidP="00474ADF">
      <w:pPr>
        <w:spacing w:line="360" w:lineRule="auto"/>
        <w:rPr>
          <w:rStyle w:val="analysis-label"/>
          <w:rFonts w:eastAsia="Times New Roman" w:cs="Arial"/>
          <w:color w:val="0D0D0D" w:themeColor="text1" w:themeTint="F2"/>
          <w:sz w:val="22"/>
          <w:szCs w:val="22"/>
        </w:rPr>
      </w:pPr>
      <w:r w:rsidRPr="00653B89">
        <w:rPr>
          <w:rFonts w:cs="Arial"/>
          <w:color w:val="0D0D0D" w:themeColor="text1" w:themeTint="F2"/>
          <w:sz w:val="22"/>
          <w:szCs w:val="22"/>
        </w:rPr>
        <w:t>T</w:t>
      </w:r>
      <w:r w:rsidR="00596984" w:rsidRPr="00653B89">
        <w:rPr>
          <w:rFonts w:cs="Arial"/>
          <w:color w:val="0D0D0D" w:themeColor="text1" w:themeTint="F2"/>
          <w:sz w:val="22"/>
          <w:szCs w:val="22"/>
        </w:rPr>
        <w:t xml:space="preserve">he NHS allocates over £3.6 billion each year to resolve clinical negligence claims, a sum that has more than tripled in the last twenty years (National Audit Office, 2025). Nearly 70% of this expenditure is attributable to fewer than 2% of high-value cases (those with awards of £1 million or more), while claimant legal costs have escalated to £538 million, substantially surpassing the £159 million incurred by NHS legal expenses (National Audit Office, 2025). The data suggests a reactive system rather than a preventative one, reinforcing the claim that without critical leadership transformation, the loop of avoidable injuries and unsustainable financial liabilities will persist (Montgomery </w:t>
      </w:r>
      <w:r w:rsidR="00596984" w:rsidRPr="00653B89">
        <w:rPr>
          <w:rFonts w:cs="Arial"/>
          <w:i/>
          <w:iCs/>
          <w:color w:val="0D0D0D" w:themeColor="text1" w:themeTint="F2"/>
          <w:sz w:val="22"/>
          <w:szCs w:val="22"/>
        </w:rPr>
        <w:t>et al.,</w:t>
      </w:r>
      <w:r w:rsidR="00596984" w:rsidRPr="00653B89">
        <w:rPr>
          <w:rFonts w:cs="Arial"/>
          <w:color w:val="0D0D0D" w:themeColor="text1" w:themeTint="F2"/>
          <w:sz w:val="22"/>
          <w:szCs w:val="22"/>
        </w:rPr>
        <w:t xml:space="preserve"> 2025). This will result in a significant diversion of resources from frontline care that could be used to staffing wards or training leaders (Montgomery </w:t>
      </w:r>
      <w:r w:rsidR="00596984" w:rsidRPr="00653B89">
        <w:rPr>
          <w:rFonts w:cs="Arial"/>
          <w:i/>
          <w:iCs/>
          <w:color w:val="0D0D0D" w:themeColor="text1" w:themeTint="F2"/>
          <w:sz w:val="22"/>
          <w:szCs w:val="22"/>
        </w:rPr>
        <w:t>et al.,</w:t>
      </w:r>
      <w:r w:rsidR="00596984" w:rsidRPr="00653B89">
        <w:rPr>
          <w:rFonts w:cs="Arial"/>
          <w:color w:val="0D0D0D" w:themeColor="text1" w:themeTint="F2"/>
          <w:sz w:val="22"/>
          <w:szCs w:val="22"/>
        </w:rPr>
        <w:t xml:space="preserve"> 2025). Without a significant shift in leadership, the evidence points to a reactive system rather than a preventative one, lending credence to the argument that avoidable injuries will continue indefinitely (Montgomery </w:t>
      </w:r>
      <w:r w:rsidR="00596984" w:rsidRPr="00653B89">
        <w:rPr>
          <w:rFonts w:cs="Arial"/>
          <w:i/>
          <w:iCs/>
          <w:color w:val="0D0D0D" w:themeColor="text1" w:themeTint="F2"/>
          <w:sz w:val="22"/>
          <w:szCs w:val="22"/>
        </w:rPr>
        <w:t>et al.,</w:t>
      </w:r>
      <w:r w:rsidR="00596984" w:rsidRPr="00653B89">
        <w:rPr>
          <w:rFonts w:cs="Arial"/>
          <w:color w:val="0D0D0D" w:themeColor="text1" w:themeTint="F2"/>
          <w:sz w:val="22"/>
          <w:szCs w:val="22"/>
        </w:rPr>
        <w:t xml:space="preserve"> 2025). Research indicates that frontline care resources, which could be utilised to staff wards or train leaders, will be significantly diverted by this reactive approach, contributing to unsustainable financial burdens for the NHS (Murray and Cope, 2021; National Audit Office, 2025; Montgomery </w:t>
      </w:r>
      <w:r w:rsidR="00596984" w:rsidRPr="00653B89">
        <w:rPr>
          <w:rFonts w:cs="Arial"/>
          <w:i/>
          <w:iCs/>
          <w:color w:val="0D0D0D" w:themeColor="text1" w:themeTint="F2"/>
          <w:sz w:val="22"/>
          <w:szCs w:val="22"/>
        </w:rPr>
        <w:t>et al.,</w:t>
      </w:r>
      <w:r w:rsidR="00596984" w:rsidRPr="00653B89">
        <w:rPr>
          <w:rFonts w:cs="Arial"/>
          <w:color w:val="0D0D0D" w:themeColor="text1" w:themeTint="F2"/>
          <w:sz w:val="22"/>
          <w:szCs w:val="22"/>
        </w:rPr>
        <w:t xml:space="preserve"> 2025).</w:t>
      </w:r>
    </w:p>
    <w:p w14:paraId="620574B4" w14:textId="77777777" w:rsidR="00BE40CC" w:rsidRPr="00653B89" w:rsidRDefault="00BE40CC" w:rsidP="00474ADF">
      <w:pPr>
        <w:spacing w:line="360" w:lineRule="auto"/>
        <w:rPr>
          <w:rStyle w:val="analysis-label"/>
          <w:rFonts w:eastAsia="Times New Roman" w:cs="Arial"/>
          <w:color w:val="0D0D0D" w:themeColor="text1" w:themeTint="F2"/>
          <w:sz w:val="22"/>
          <w:szCs w:val="22"/>
        </w:rPr>
      </w:pPr>
    </w:p>
    <w:p w14:paraId="03E594FF" w14:textId="66BC0BFE" w:rsidR="00596984" w:rsidRPr="00653B89" w:rsidRDefault="00596984" w:rsidP="00474ADF">
      <w:pPr>
        <w:spacing w:line="360" w:lineRule="auto"/>
        <w:rPr>
          <w:rFonts w:cs="Arial"/>
          <w:b/>
          <w:bCs/>
          <w:color w:val="0D0D0D" w:themeColor="text1" w:themeTint="F2"/>
          <w:sz w:val="22"/>
          <w:szCs w:val="22"/>
        </w:rPr>
      </w:pPr>
      <w:r w:rsidRPr="00653B89">
        <w:rPr>
          <w:rFonts w:cs="Arial"/>
          <w:b/>
          <w:bCs/>
          <w:color w:val="0D0D0D" w:themeColor="text1" w:themeTint="F2"/>
          <w:sz w:val="22"/>
          <w:szCs w:val="22"/>
        </w:rPr>
        <w:t xml:space="preserve">Critical Analysis </w:t>
      </w:r>
    </w:p>
    <w:p w14:paraId="3CB9981F" w14:textId="77777777" w:rsidR="00FE174D" w:rsidRPr="00653B89" w:rsidRDefault="00FE174D" w:rsidP="00474ADF">
      <w:pPr>
        <w:spacing w:line="360" w:lineRule="auto"/>
        <w:rPr>
          <w:rFonts w:cs="Arial"/>
          <w:b/>
          <w:bCs/>
          <w:color w:val="0D0D0D" w:themeColor="text1" w:themeTint="F2"/>
          <w:sz w:val="22"/>
          <w:szCs w:val="22"/>
        </w:rPr>
      </w:pPr>
    </w:p>
    <w:p w14:paraId="4C5462E2" w14:textId="374B2636" w:rsidR="00637D48" w:rsidRPr="00653B89" w:rsidRDefault="00596984" w:rsidP="00474ADF">
      <w:pPr>
        <w:spacing w:line="360" w:lineRule="auto"/>
        <w:rPr>
          <w:rFonts w:cs="Arial"/>
          <w:color w:val="0D0D0D" w:themeColor="text1" w:themeTint="F2"/>
          <w:sz w:val="22"/>
          <w:szCs w:val="22"/>
        </w:rPr>
      </w:pPr>
      <w:r w:rsidRPr="00653B89">
        <w:rPr>
          <w:rFonts w:cs="Arial"/>
          <w:color w:val="0D0D0D" w:themeColor="text1" w:themeTint="F2"/>
          <w:sz w:val="22"/>
          <w:szCs w:val="22"/>
        </w:rPr>
        <w:t xml:space="preserve">According to </w:t>
      </w:r>
      <w:r w:rsidR="00384277" w:rsidRPr="00653B89">
        <w:rPr>
          <w:rFonts w:cs="Arial"/>
          <w:color w:val="0D0D0D" w:themeColor="text1" w:themeTint="F2"/>
          <w:sz w:val="22"/>
          <w:szCs w:val="22"/>
        </w:rPr>
        <w:t xml:space="preserve">the </w:t>
      </w:r>
      <w:r w:rsidRPr="00653B89">
        <w:rPr>
          <w:rFonts w:cs="Arial"/>
          <w:color w:val="0D0D0D" w:themeColor="text1" w:themeTint="F2"/>
          <w:sz w:val="22"/>
          <w:szCs w:val="22"/>
        </w:rPr>
        <w:t>Committee o</w:t>
      </w:r>
      <w:r w:rsidR="001003C4" w:rsidRPr="00653B89">
        <w:rPr>
          <w:rFonts w:cs="Arial"/>
          <w:color w:val="0D0D0D" w:themeColor="text1" w:themeTint="F2"/>
          <w:sz w:val="22"/>
          <w:szCs w:val="22"/>
        </w:rPr>
        <w:t>f</w:t>
      </w:r>
      <w:r w:rsidRPr="00653B89">
        <w:rPr>
          <w:rFonts w:cs="Arial"/>
          <w:color w:val="0D0D0D" w:themeColor="text1" w:themeTint="F2"/>
          <w:sz w:val="22"/>
          <w:szCs w:val="22"/>
        </w:rPr>
        <w:t xml:space="preserve"> Public Accounts (202</w:t>
      </w:r>
      <w:r w:rsidR="00D968B4" w:rsidRPr="00653B89">
        <w:rPr>
          <w:rFonts w:cs="Arial"/>
          <w:color w:val="0D0D0D" w:themeColor="text1" w:themeTint="F2"/>
          <w:sz w:val="22"/>
          <w:szCs w:val="22"/>
        </w:rPr>
        <w:t>6</w:t>
      </w:r>
      <w:r w:rsidRPr="00653B89">
        <w:rPr>
          <w:rFonts w:cs="Arial"/>
          <w:color w:val="0D0D0D" w:themeColor="text1" w:themeTint="F2"/>
          <w:sz w:val="22"/>
          <w:szCs w:val="22"/>
        </w:rPr>
        <w:t xml:space="preserve">) concluded that the Department of Health and Social Care lacks accurate, costed measures to prevent harm, while systemic inertia continues in the collection of fatality data without the implementation of appropriate solutions. The Patel instance illustrates this stagnation: the DIC data was accessible, yet the </w:t>
      </w:r>
      <w:r w:rsidRPr="00653B89">
        <w:rPr>
          <w:rFonts w:cs="Arial"/>
          <w:color w:val="0D0D0D" w:themeColor="text1" w:themeTint="F2"/>
          <w:sz w:val="22"/>
          <w:szCs w:val="22"/>
        </w:rPr>
        <w:lastRenderedPageBreak/>
        <w:t xml:space="preserve">necessary action suspending the procedure was not undertaken (Montgomery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Moreover, rising clinical malpractice costs redirect essential resources away from direct patient treatment, sustaining a reactive cycle in which understaffing and insufficient training lead to additional preventable damage (Murray and Cope, 2021; Phillips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2025). These data signify a disastrous failure of national leadership. </w:t>
      </w:r>
    </w:p>
    <w:p w14:paraId="2F282F36" w14:textId="77777777" w:rsidR="00A4458F" w:rsidRPr="00653B89" w:rsidRDefault="00A4458F" w:rsidP="00474ADF">
      <w:pPr>
        <w:spacing w:line="360" w:lineRule="auto"/>
        <w:rPr>
          <w:rFonts w:cs="Arial"/>
          <w:color w:val="0D0D0D" w:themeColor="text1" w:themeTint="F2"/>
          <w:sz w:val="22"/>
          <w:szCs w:val="22"/>
        </w:rPr>
      </w:pPr>
    </w:p>
    <w:p w14:paraId="25BC154C" w14:textId="79A7180B" w:rsidR="00983B3E" w:rsidRPr="00653B89" w:rsidRDefault="00983B3E" w:rsidP="00474ADF">
      <w:pPr>
        <w:spacing w:line="360" w:lineRule="auto"/>
        <w:rPr>
          <w:rFonts w:cs="Arial"/>
          <w:b/>
          <w:bCs/>
          <w:color w:val="0D0D0D" w:themeColor="text1" w:themeTint="F2"/>
          <w:sz w:val="22"/>
          <w:szCs w:val="22"/>
        </w:rPr>
      </w:pPr>
      <w:r w:rsidRPr="00653B89">
        <w:rPr>
          <w:rFonts w:cs="Arial"/>
          <w:b/>
          <w:bCs/>
          <w:color w:val="0D0D0D" w:themeColor="text1" w:themeTint="F2"/>
          <w:sz w:val="22"/>
          <w:szCs w:val="22"/>
        </w:rPr>
        <w:t>Key Lessons for Health Organisations</w:t>
      </w:r>
    </w:p>
    <w:p w14:paraId="50EA4F54" w14:textId="77777777" w:rsidR="0062363B" w:rsidRPr="00653B89" w:rsidRDefault="0062363B" w:rsidP="00474ADF">
      <w:pPr>
        <w:spacing w:line="360" w:lineRule="auto"/>
        <w:rPr>
          <w:rFonts w:cs="Arial"/>
          <w:b/>
          <w:bCs/>
          <w:color w:val="0D0D0D" w:themeColor="text1" w:themeTint="F2"/>
          <w:sz w:val="22"/>
          <w:szCs w:val="22"/>
        </w:rPr>
      </w:pPr>
    </w:p>
    <w:p w14:paraId="29010D3E" w14:textId="35515E20" w:rsidR="00983B3E" w:rsidRPr="00653B89" w:rsidRDefault="00983B3E" w:rsidP="00474ADF">
      <w:pPr>
        <w:spacing w:line="360" w:lineRule="auto"/>
        <w:rPr>
          <w:rFonts w:cs="Arial"/>
          <w:color w:val="0D0D0D" w:themeColor="text1" w:themeTint="F2"/>
          <w:sz w:val="22"/>
          <w:szCs w:val="22"/>
        </w:rPr>
      </w:pPr>
      <w:r w:rsidRPr="00653B89">
        <w:rPr>
          <w:rFonts w:cs="Arial"/>
          <w:color w:val="0D0D0D" w:themeColor="text1" w:themeTint="F2"/>
          <w:sz w:val="22"/>
          <w:szCs w:val="22"/>
        </w:rPr>
        <w:t>Health organisations should interpret the Patel case as a demonstration that secure care cannot rely on extraordinary individuals compensating for deficient systems, as UK research indicates that significant harm arises when pathways are disjointed, follow-up is irregular, and staff are compelled to adapt to ha</w:t>
      </w:r>
      <w:r w:rsidR="00BC6F6E" w:rsidRPr="00653B89">
        <w:rPr>
          <w:rFonts w:cs="Arial"/>
          <w:color w:val="0D0D0D" w:themeColor="text1" w:themeTint="F2"/>
          <w:sz w:val="22"/>
          <w:szCs w:val="22"/>
        </w:rPr>
        <w:t>z</w:t>
      </w:r>
      <w:r w:rsidRPr="00653B89">
        <w:rPr>
          <w:rFonts w:cs="Arial"/>
          <w:color w:val="0D0D0D" w:themeColor="text1" w:themeTint="F2"/>
          <w:sz w:val="22"/>
          <w:szCs w:val="22"/>
        </w:rPr>
        <w:t xml:space="preserve">ardous routines instead of depending on reliable processes (Payne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2023). Although Payne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(2023) identified that safety incidents in UK primary care were linked to insufficient information gathering, delayed referrals, inadequate safety-netting, and convoluted processes involving multiple personnel, the findings closely mirror the risks associated with incomplete information transfer and delayed escalation in Patel's care. </w:t>
      </w:r>
      <w:r w:rsidRPr="00653B89">
        <w:rPr>
          <w:rStyle w:val="Strong"/>
          <w:rFonts w:cs="Arial"/>
          <w:b w:val="0"/>
          <w:bCs w:val="0"/>
          <w:color w:val="0D0D0D" w:themeColor="text1" w:themeTint="F2"/>
          <w:sz w:val="22"/>
          <w:szCs w:val="22"/>
        </w:rPr>
        <w:t>Furthermore</w:t>
      </w:r>
      <w:r w:rsidRPr="00653B89">
        <w:rPr>
          <w:rFonts w:cs="Arial"/>
          <w:b/>
          <w:bCs/>
          <w:color w:val="0D0D0D" w:themeColor="text1" w:themeTint="F2"/>
          <w:sz w:val="22"/>
          <w:szCs w:val="22"/>
        </w:rPr>
        <w:t>,</w:t>
      </w:r>
      <w:r w:rsidRPr="00653B89">
        <w:rPr>
          <w:rFonts w:cs="Arial"/>
          <w:color w:val="0D0D0D" w:themeColor="text1" w:themeTint="F2"/>
          <w:sz w:val="22"/>
          <w:szCs w:val="22"/>
        </w:rPr>
        <w:t xml:space="preserve"> the principal organisational lesson is that systems should be structured to ensure vital information is consistently visible, verified, and addressed routinely, rather than relying on individual vigilance at the last minute (Payne </w:t>
      </w:r>
      <w:r w:rsidRPr="00653B89">
        <w:rPr>
          <w:rFonts w:cs="Arial"/>
          <w:i/>
          <w:iCs/>
          <w:color w:val="0D0D0D" w:themeColor="text1" w:themeTint="F2"/>
          <w:sz w:val="22"/>
          <w:szCs w:val="22"/>
        </w:rPr>
        <w:t>et al.,</w:t>
      </w:r>
      <w:r w:rsidRPr="00653B89">
        <w:rPr>
          <w:rFonts w:cs="Arial"/>
          <w:color w:val="0D0D0D" w:themeColor="text1" w:themeTint="F2"/>
          <w:sz w:val="22"/>
          <w:szCs w:val="22"/>
        </w:rPr>
        <w:t xml:space="preserve"> 2023). </w:t>
      </w:r>
      <w:r w:rsidRPr="00653B89">
        <w:rPr>
          <w:rStyle w:val="Strong"/>
          <w:rFonts w:cs="Arial"/>
          <w:b w:val="0"/>
          <w:bCs w:val="0"/>
          <w:color w:val="0D0D0D" w:themeColor="text1" w:themeTint="F2"/>
          <w:sz w:val="22"/>
          <w:szCs w:val="22"/>
        </w:rPr>
        <w:t>However</w:t>
      </w:r>
      <w:r w:rsidRPr="00653B89">
        <w:rPr>
          <w:rFonts w:cs="Arial"/>
          <w:color w:val="0D0D0D" w:themeColor="text1" w:themeTint="F2"/>
          <w:sz w:val="22"/>
          <w:szCs w:val="22"/>
        </w:rPr>
        <w:t>, without systemic reinforcement, such organisational lessons</w:t>
      </w:r>
      <w:r w:rsidRPr="00653B89">
        <w:rPr>
          <w:rStyle w:val="apple-converted-space"/>
          <w:rFonts w:cs="Arial"/>
          <w:color w:val="0D0D0D" w:themeColor="text1" w:themeTint="F2"/>
          <w:sz w:val="22"/>
          <w:szCs w:val="22"/>
        </w:rPr>
        <w:t> </w:t>
      </w:r>
      <w:r w:rsidRPr="00653B89">
        <w:rPr>
          <w:rStyle w:val="Strong"/>
          <w:rFonts w:cs="Arial"/>
          <w:b w:val="0"/>
          <w:bCs w:val="0"/>
          <w:color w:val="0D0D0D" w:themeColor="text1" w:themeTint="F2"/>
          <w:sz w:val="22"/>
          <w:szCs w:val="22"/>
        </w:rPr>
        <w:t>remain</w:t>
      </w:r>
      <w:r w:rsidRPr="00653B89">
        <w:rPr>
          <w:rStyle w:val="apple-converted-space"/>
          <w:rFonts w:cs="Arial"/>
          <w:b/>
          <w:bCs/>
          <w:color w:val="0D0D0D" w:themeColor="text1" w:themeTint="F2"/>
          <w:sz w:val="22"/>
          <w:szCs w:val="22"/>
        </w:rPr>
        <w:t> </w:t>
      </w:r>
      <w:r w:rsidRPr="00653B89">
        <w:rPr>
          <w:rFonts w:cs="Arial"/>
          <w:color w:val="0D0D0D" w:themeColor="text1" w:themeTint="F2"/>
          <w:sz w:val="22"/>
          <w:szCs w:val="22"/>
        </w:rPr>
        <w:t>vulnerable to repeated omission in routine practice</w:t>
      </w:r>
      <w:r w:rsidR="00CF6829" w:rsidRPr="00653B89">
        <w:rPr>
          <w:rFonts w:cs="Arial"/>
          <w:color w:val="0D0D0D" w:themeColor="text1" w:themeTint="F2"/>
          <w:sz w:val="22"/>
          <w:szCs w:val="22"/>
        </w:rPr>
        <w:t xml:space="preserve"> </w:t>
      </w:r>
      <w:r w:rsidR="00CF6829" w:rsidRPr="00653B89">
        <w:rPr>
          <w:rFonts w:cs="Arial"/>
          <w:color w:val="0D0D0D" w:themeColor="text1" w:themeTint="F2"/>
          <w:sz w:val="22"/>
          <w:szCs w:val="22"/>
        </w:rPr>
        <w:t xml:space="preserve">(Payne </w:t>
      </w:r>
      <w:r w:rsidR="00CF6829" w:rsidRPr="00653B89">
        <w:rPr>
          <w:rFonts w:cs="Arial"/>
          <w:i/>
          <w:iCs/>
          <w:color w:val="0D0D0D" w:themeColor="text1" w:themeTint="F2"/>
          <w:sz w:val="22"/>
          <w:szCs w:val="22"/>
        </w:rPr>
        <w:t>et al.,</w:t>
      </w:r>
      <w:r w:rsidR="00CF6829" w:rsidRPr="00653B89">
        <w:rPr>
          <w:rFonts w:cs="Arial"/>
          <w:color w:val="0D0D0D" w:themeColor="text1" w:themeTint="F2"/>
          <w:sz w:val="22"/>
          <w:szCs w:val="22"/>
        </w:rPr>
        <w:t xml:space="preserve"> 2023)</w:t>
      </w:r>
      <w:r w:rsidRPr="00653B89">
        <w:rPr>
          <w:rFonts w:cs="Arial"/>
          <w:color w:val="0D0D0D" w:themeColor="text1" w:themeTint="F2"/>
          <w:sz w:val="22"/>
          <w:szCs w:val="22"/>
        </w:rPr>
        <w:t xml:space="preserve">. </w:t>
      </w:r>
    </w:p>
    <w:p w14:paraId="62F3C212" w14:textId="77777777" w:rsidR="001E0A3F" w:rsidRPr="00653B89" w:rsidRDefault="001E0A3F" w:rsidP="00474ADF">
      <w:pPr>
        <w:spacing w:line="360" w:lineRule="auto"/>
        <w:rPr>
          <w:rFonts w:cs="Arial"/>
          <w:color w:val="0D0D0D" w:themeColor="text1" w:themeTint="F2"/>
          <w:sz w:val="22"/>
          <w:szCs w:val="22"/>
        </w:rPr>
      </w:pPr>
    </w:p>
    <w:p w14:paraId="7E524955" w14:textId="72633CCE" w:rsidR="00E416B5" w:rsidRPr="00653B89" w:rsidRDefault="001E0A3F" w:rsidP="00474ADF">
      <w:pPr>
        <w:spacing w:line="360" w:lineRule="auto"/>
        <w:rPr>
          <w:rFonts w:cs="Arial"/>
          <w:color w:val="0D0D0D" w:themeColor="text1" w:themeTint="F2"/>
          <w:sz w:val="22"/>
          <w:szCs w:val="22"/>
          <w:shd w:val="clear" w:color="auto" w:fill="FFFFFF"/>
        </w:rPr>
      </w:pPr>
      <w:r w:rsidRPr="00653B89">
        <w:rPr>
          <w:rFonts w:cs="Arial"/>
          <w:color w:val="0D0D0D" w:themeColor="text1" w:themeTint="F2"/>
          <w:sz w:val="22"/>
          <w:szCs w:val="22"/>
          <w:shd w:val="clear" w:color="auto" w:fill="FFFFFF"/>
        </w:rPr>
        <w:t xml:space="preserve">A second lesson is that explicit governance structures are crucial, since UK experience indicates that patient safety initiatives become unreliable when duties are confusing, forcing staff to independently traverse unclear systems (O'Hara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 Ramsey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 In the Learn Together evaluation involving English hospital trusts and a national investigatory body, investigators within the trusts frequently needed to conduct 'pre-investigations' to ascertain appropriate contacts and procedural steps, although a more robust infrastructure and clearer protocols facilitated participation in the independent body context (Ramsey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 However, this contrast itself reveals a deeper problem: the very need for pre-investigations demonstrates that governance failures are already embedded within routine hospital settings, not merely in exceptional circumstances. Furthermore, this signifies that accountability gaps are not merely theoretical governance issues but tangible safety risks, as ambiguity over ownership of communication, escalation, and review impedes both learning and patient protection (Ramsey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 In Patel's situation, it is implied that governance must have established designated accountability for delivering comprehensive results, verifying clinical completeness prior to invasive operations, and addressing </w:t>
      </w:r>
      <w:r w:rsidRPr="00653B89">
        <w:rPr>
          <w:rFonts w:cs="Arial"/>
          <w:color w:val="0D0D0D" w:themeColor="text1" w:themeTint="F2"/>
          <w:sz w:val="22"/>
          <w:szCs w:val="22"/>
          <w:shd w:val="clear" w:color="auto" w:fill="FFFFFF"/>
        </w:rPr>
        <w:lastRenderedPageBreak/>
        <w:t xml:space="preserve">dangerous developments as circumstances altered (O'Hara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 Ramsey </w:t>
      </w:r>
      <w:r w:rsidRPr="00653B89">
        <w:rPr>
          <w:rFonts w:cs="Arial"/>
          <w:i/>
          <w:iCs/>
          <w:color w:val="0D0D0D" w:themeColor="text1" w:themeTint="F2"/>
          <w:sz w:val="22"/>
          <w:szCs w:val="22"/>
          <w:shd w:val="clear" w:color="auto" w:fill="FFFFFF"/>
        </w:rPr>
        <w:t>et al.,</w:t>
      </w:r>
      <w:r w:rsidRPr="00653B89">
        <w:rPr>
          <w:rFonts w:cs="Arial"/>
          <w:color w:val="0D0D0D" w:themeColor="text1" w:themeTint="F2"/>
          <w:sz w:val="22"/>
          <w:szCs w:val="22"/>
          <w:shd w:val="clear" w:color="auto" w:fill="FFFFFF"/>
        </w:rPr>
        <w:t xml:space="preserve"> 2025).</w:t>
      </w:r>
      <w:r w:rsidR="0032040E" w:rsidRPr="00653B89">
        <w:rPr>
          <w:rFonts w:cs="Arial"/>
          <w:color w:val="0D0D0D" w:themeColor="text1" w:themeTint="F2"/>
          <w:sz w:val="22"/>
          <w:szCs w:val="22"/>
          <w:shd w:val="clear" w:color="auto" w:fill="FFFFFF"/>
        </w:rPr>
        <w:t xml:space="preserve"> </w:t>
      </w:r>
    </w:p>
    <w:p w14:paraId="21CEA837" w14:textId="77777777" w:rsidR="00330C34" w:rsidRPr="00653B89" w:rsidRDefault="00330C34" w:rsidP="00474ADF">
      <w:pPr>
        <w:spacing w:line="360" w:lineRule="auto"/>
        <w:rPr>
          <w:rFonts w:cs="Arial"/>
          <w:color w:val="0D0D0D" w:themeColor="text1" w:themeTint="F2"/>
          <w:sz w:val="22"/>
          <w:szCs w:val="22"/>
        </w:rPr>
      </w:pPr>
    </w:p>
    <w:p w14:paraId="35E152DC" w14:textId="4C793AF4" w:rsidR="00490DAD" w:rsidRPr="00653B89" w:rsidRDefault="00490DAD" w:rsidP="00474ADF">
      <w:pPr>
        <w:pStyle w:val="NormalWeb"/>
        <w:spacing w:before="0" w:beforeAutospacing="0" w:after="240"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The third lesson is that psychological safety is not a mere cultural enhancement but an essential safety mechanism, as research from UK hospitals indicates that teams exhibit superior performance when personnel can express concerns without apprehension and when learning frameworks are tailored to frontline realities (Lamming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2021). In the HUSH project involving three UK NHS trusts, patient safety huddles correlated with favourable improvements in teamwork and safety culture, with the most consistently integrated aspect being the establishment of a fear-free environment rather than strict adherence to all initial criteria (Lamming </w:t>
      </w:r>
      <w:r w:rsidRPr="00653B89">
        <w:rPr>
          <w:rFonts w:ascii="Arial" w:hAnsi="Arial" w:cs="Arial"/>
          <w:i/>
          <w:iCs/>
          <w:color w:val="0D0D0D" w:themeColor="text1" w:themeTint="F2"/>
          <w:sz w:val="22"/>
          <w:szCs w:val="22"/>
        </w:rPr>
        <w:t xml:space="preserve">et al., </w:t>
      </w:r>
      <w:r w:rsidRPr="00653B89">
        <w:rPr>
          <w:rFonts w:ascii="Arial" w:hAnsi="Arial" w:cs="Arial"/>
          <w:color w:val="0D0D0D" w:themeColor="text1" w:themeTint="F2"/>
          <w:sz w:val="22"/>
          <w:szCs w:val="22"/>
        </w:rPr>
        <w:t xml:space="preserve">2021). This is significant for Patel's case, as a psychologically safe environment would have increased the likelihood of staff challenging incomplete information, questioning the procedure's appropriateness, and recognising the patient's expertise as clinically pertinent rather than disruptive (Lamming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2021; Ramsey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UK study indicates that defensive and opaque organisational responses to damage investigations exacerbate mistrust and may drive families toward lawsuit, suggesting that cultures that suppress concern are costly both morally and operationally (Ramsey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p>
    <w:p w14:paraId="03E8BE33" w14:textId="5599D29E" w:rsidR="006B374C" w:rsidRPr="00653B89" w:rsidRDefault="006B374C" w:rsidP="00474ADF">
      <w:pPr>
        <w:pStyle w:val="NormalWeb"/>
        <w:spacing w:after="240" w:line="360" w:lineRule="auto"/>
        <w:rPr>
          <w:rFonts w:ascii="Arial" w:hAnsi="Arial" w:cs="Arial"/>
          <w:b/>
          <w:bCs/>
          <w:color w:val="0D0D0D" w:themeColor="text1" w:themeTint="F2"/>
          <w:sz w:val="22"/>
          <w:szCs w:val="22"/>
        </w:rPr>
      </w:pPr>
      <w:r w:rsidRPr="00653B89">
        <w:rPr>
          <w:rFonts w:ascii="Arial" w:hAnsi="Arial" w:cs="Arial"/>
          <w:b/>
          <w:bCs/>
          <w:color w:val="0D0D0D" w:themeColor="text1" w:themeTint="F2"/>
          <w:sz w:val="22"/>
          <w:szCs w:val="22"/>
        </w:rPr>
        <w:t>Recommendations</w:t>
      </w:r>
    </w:p>
    <w:p w14:paraId="2820B206" w14:textId="13DB5127" w:rsidR="00E416B5" w:rsidRPr="00653B89" w:rsidRDefault="006B374C" w:rsidP="00474ADF">
      <w:pPr>
        <w:pStyle w:val="NormalWeb"/>
        <w:spacing w:before="0" w:beforeAutospacing="0" w:after="240"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Initially, the incidence of Wythenshawe type failures is likely to decrease if organisations transition from </w:t>
      </w:r>
      <w:r w:rsidR="00C038DD" w:rsidRPr="00653B89">
        <w:rPr>
          <w:rFonts w:ascii="Arial" w:hAnsi="Arial" w:cs="Arial"/>
          <w:color w:val="0D0D0D" w:themeColor="text1" w:themeTint="F2"/>
          <w:sz w:val="22"/>
          <w:szCs w:val="22"/>
        </w:rPr>
        <w:t>compliance-oriented</w:t>
      </w:r>
      <w:r w:rsidRPr="00653B89">
        <w:rPr>
          <w:rFonts w:ascii="Arial" w:hAnsi="Arial" w:cs="Arial"/>
          <w:color w:val="0D0D0D" w:themeColor="text1" w:themeTint="F2"/>
          <w:sz w:val="22"/>
          <w:szCs w:val="22"/>
        </w:rPr>
        <w:t xml:space="preserve"> leadership to collaborative safety leadership, wherein senior personnel actively encourage challenges, visibly address concerns, and regard voicing issues as a demonstration of professionalism rather than disloyalty (Lamming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2021). This should be implemented through regular multidisciplinary safety huddles, as UK evidence indicates that concise, non-threatening discussions enhance situational awareness and reinforce safety culture when they are practical and managed by frontline teams rather than excessively structured from higher management (Lamming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2021). </w:t>
      </w:r>
    </w:p>
    <w:p w14:paraId="6403C8D4" w14:textId="77777777" w:rsidR="00C6726B" w:rsidRPr="00653B89" w:rsidRDefault="00814F8D" w:rsidP="00474ADF">
      <w:pPr>
        <w:pStyle w:val="NormalWeb"/>
        <w:spacing w:before="0" w:beforeAutospacing="0" w:after="240" w:afterAutospacing="0" w:line="360" w:lineRule="auto"/>
        <w:rPr>
          <w:rFonts w:ascii="Arial" w:hAnsi="Arial" w:cs="Arial"/>
          <w:color w:val="0D0D0D" w:themeColor="text1" w:themeTint="F2"/>
          <w:sz w:val="22"/>
          <w:szCs w:val="22"/>
          <w:shd w:val="clear" w:color="auto" w:fill="FFFFFF"/>
        </w:rPr>
      </w:pPr>
      <w:r w:rsidRPr="00653B89">
        <w:rPr>
          <w:rFonts w:ascii="Arial" w:hAnsi="Arial" w:cs="Arial"/>
          <w:color w:val="0D0D0D" w:themeColor="text1" w:themeTint="F2"/>
          <w:sz w:val="22"/>
          <w:szCs w:val="22"/>
          <w:shd w:val="clear" w:color="auto" w:fill="FFFFFF"/>
        </w:rPr>
        <w:t xml:space="preserve">Secondly, organisations need to institutionalise governance by implementing obligatory information-completeness verifications prior to the execution of high-risk procedures and multidisciplinary team recommendations, as UK research indicates that the likelihood of harm increases when pathways are convoluted, responsibilities are ambiguous, and essential follow-up tasks are relegated to informal workarounds (Payne </w:t>
      </w:r>
      <w:r w:rsidRPr="00653B89">
        <w:rPr>
          <w:rFonts w:ascii="Arial" w:hAnsi="Arial" w:cs="Arial"/>
          <w:i/>
          <w:iCs/>
          <w:color w:val="0D0D0D" w:themeColor="text1" w:themeTint="F2"/>
          <w:sz w:val="22"/>
          <w:szCs w:val="22"/>
          <w:shd w:val="clear" w:color="auto" w:fill="FFFFFF"/>
        </w:rPr>
        <w:t>et al.,</w:t>
      </w:r>
      <w:r w:rsidRPr="00653B89">
        <w:rPr>
          <w:rFonts w:ascii="Arial" w:hAnsi="Arial" w:cs="Arial"/>
          <w:color w:val="0D0D0D" w:themeColor="text1" w:themeTint="F2"/>
          <w:sz w:val="22"/>
          <w:szCs w:val="22"/>
          <w:shd w:val="clear" w:color="auto" w:fill="FFFFFF"/>
        </w:rPr>
        <w:t xml:space="preserve"> 2023; Ramsey </w:t>
      </w:r>
      <w:r w:rsidRPr="00653B89">
        <w:rPr>
          <w:rFonts w:ascii="Arial" w:hAnsi="Arial" w:cs="Arial"/>
          <w:i/>
          <w:iCs/>
          <w:color w:val="0D0D0D" w:themeColor="text1" w:themeTint="F2"/>
          <w:sz w:val="22"/>
          <w:szCs w:val="22"/>
          <w:shd w:val="clear" w:color="auto" w:fill="FFFFFF"/>
        </w:rPr>
        <w:t>et al.,</w:t>
      </w:r>
      <w:r w:rsidRPr="00653B89">
        <w:rPr>
          <w:rFonts w:ascii="Arial" w:hAnsi="Arial" w:cs="Arial"/>
          <w:color w:val="0D0D0D" w:themeColor="text1" w:themeTint="F2"/>
          <w:sz w:val="22"/>
          <w:szCs w:val="22"/>
          <w:shd w:val="clear" w:color="auto" w:fill="FFFFFF"/>
        </w:rPr>
        <w:t xml:space="preserve"> 2025). A designated clinician must verify that essential results, escalation decisions, and patient concerns have been assessed and recorded prior to the commencement of </w:t>
      </w:r>
      <w:r w:rsidRPr="00653B89">
        <w:rPr>
          <w:rFonts w:ascii="Arial" w:hAnsi="Arial" w:cs="Arial"/>
          <w:color w:val="0D0D0D" w:themeColor="text1" w:themeTint="F2"/>
          <w:sz w:val="22"/>
          <w:szCs w:val="22"/>
          <w:shd w:val="clear" w:color="auto" w:fill="FFFFFF"/>
        </w:rPr>
        <w:lastRenderedPageBreak/>
        <w:t xml:space="preserve">treatment, as explicit accountability diminishes the potential for unnoticed omissions and delayed action within intricate systems (Payne </w:t>
      </w:r>
      <w:r w:rsidRPr="00653B89">
        <w:rPr>
          <w:rFonts w:ascii="Arial" w:hAnsi="Arial" w:cs="Arial"/>
          <w:i/>
          <w:iCs/>
          <w:color w:val="0D0D0D" w:themeColor="text1" w:themeTint="F2"/>
          <w:sz w:val="22"/>
          <w:szCs w:val="22"/>
          <w:shd w:val="clear" w:color="auto" w:fill="FFFFFF"/>
        </w:rPr>
        <w:t>et al.,</w:t>
      </w:r>
      <w:r w:rsidRPr="00653B89">
        <w:rPr>
          <w:rFonts w:ascii="Arial" w:hAnsi="Arial" w:cs="Arial"/>
          <w:color w:val="0D0D0D" w:themeColor="text1" w:themeTint="F2"/>
          <w:sz w:val="22"/>
          <w:szCs w:val="22"/>
          <w:shd w:val="clear" w:color="auto" w:fill="FFFFFF"/>
        </w:rPr>
        <w:t xml:space="preserve"> 2023; Ramsey </w:t>
      </w:r>
      <w:r w:rsidRPr="00653B89">
        <w:rPr>
          <w:rFonts w:ascii="Arial" w:hAnsi="Arial" w:cs="Arial"/>
          <w:i/>
          <w:iCs/>
          <w:color w:val="0D0D0D" w:themeColor="text1" w:themeTint="F2"/>
          <w:sz w:val="22"/>
          <w:szCs w:val="22"/>
          <w:shd w:val="clear" w:color="auto" w:fill="FFFFFF"/>
        </w:rPr>
        <w:t xml:space="preserve">et al., </w:t>
      </w:r>
      <w:r w:rsidRPr="00653B89">
        <w:rPr>
          <w:rFonts w:ascii="Arial" w:hAnsi="Arial" w:cs="Arial"/>
          <w:color w:val="0D0D0D" w:themeColor="text1" w:themeTint="F2"/>
          <w:sz w:val="22"/>
          <w:szCs w:val="22"/>
          <w:shd w:val="clear" w:color="auto" w:fill="FFFFFF"/>
        </w:rPr>
        <w:t>2025).</w:t>
      </w:r>
      <w:r w:rsidR="00C6726B" w:rsidRPr="00653B89">
        <w:rPr>
          <w:rFonts w:ascii="Arial" w:hAnsi="Arial" w:cs="Arial"/>
          <w:color w:val="0D0D0D" w:themeColor="text1" w:themeTint="F2"/>
          <w:sz w:val="22"/>
          <w:szCs w:val="22"/>
          <w:shd w:val="clear" w:color="auto" w:fill="FFFFFF"/>
        </w:rPr>
        <w:t xml:space="preserve"> </w:t>
      </w:r>
    </w:p>
    <w:p w14:paraId="64C8A98D" w14:textId="5CDB4C1C" w:rsidR="002B021F" w:rsidRPr="00653B89" w:rsidRDefault="002B021F" w:rsidP="00474ADF">
      <w:pPr>
        <w:pStyle w:val="NormalWeb"/>
        <w:spacing w:before="0" w:beforeAutospacing="0" w:after="240" w:afterAutospacing="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 xml:space="preserve">Thirdly, organisations should implement a restorative investigation model that engages patients and families from early on, offers clear explanations, and considers apology, transparency, and equity as essential components of safety governance rather than mere public relations strategies (O'Hara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Ramsey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Evidence from the UK suggests that participation is more viable and acceptable when investigators receive training, support, and designated time, and when the organi</w:t>
      </w:r>
      <w:r w:rsidR="00D80C31" w:rsidRPr="00653B89">
        <w:rPr>
          <w:rFonts w:ascii="Arial" w:hAnsi="Arial" w:cs="Arial"/>
          <w:color w:val="0D0D0D" w:themeColor="text1" w:themeTint="F2"/>
          <w:sz w:val="22"/>
          <w:szCs w:val="22"/>
        </w:rPr>
        <w:t>s</w:t>
      </w:r>
      <w:r w:rsidRPr="00653B89">
        <w:rPr>
          <w:rFonts w:ascii="Arial" w:hAnsi="Arial" w:cs="Arial"/>
          <w:color w:val="0D0D0D" w:themeColor="text1" w:themeTint="F2"/>
          <w:sz w:val="22"/>
          <w:szCs w:val="22"/>
        </w:rPr>
        <w:t xml:space="preserve">ation acknowledges that compassionate engagement constitutes skilled labour rather than an ancillary aspect of routine responsibilities (O'Hara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Ramsey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This approach is particularly pertinent to Patel’s situation, as prompt listening, significant acknowledgement, and open evaluation can enhance learning post-harm and diminish the distrust that frequently fuels complaints and litigation (Ramsey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w:t>
      </w:r>
    </w:p>
    <w:p w14:paraId="1E5DD4B6" w14:textId="135C0357" w:rsidR="0071550C" w:rsidRPr="00653B89" w:rsidRDefault="009C022B" w:rsidP="00474ADF">
      <w:pPr>
        <w:spacing w:line="360" w:lineRule="auto"/>
        <w:rPr>
          <w:rFonts w:cs="Arial"/>
          <w:b/>
          <w:bCs/>
          <w:sz w:val="22"/>
          <w:szCs w:val="22"/>
          <w:lang w:eastAsia="en-GB"/>
        </w:rPr>
      </w:pPr>
      <w:r w:rsidRPr="00653B89">
        <w:rPr>
          <w:rFonts w:cs="Arial"/>
          <w:b/>
          <w:bCs/>
          <w:sz w:val="22"/>
          <w:szCs w:val="22"/>
          <w:lang w:eastAsia="en-GB"/>
        </w:rPr>
        <w:t xml:space="preserve">Conclusions </w:t>
      </w:r>
    </w:p>
    <w:p w14:paraId="65C2BE30" w14:textId="661328EC" w:rsidR="00EA0DE3" w:rsidRPr="00653B89" w:rsidRDefault="0071550C" w:rsidP="00474ADF">
      <w:pPr>
        <w:pStyle w:val="NormalWeb"/>
        <w:spacing w:after="240" w:line="360" w:lineRule="auto"/>
        <w:rPr>
          <w:rFonts w:ascii="Arial" w:hAnsi="Arial" w:cs="Arial"/>
          <w:color w:val="0D0D0D" w:themeColor="text1" w:themeTint="F2"/>
          <w:sz w:val="22"/>
          <w:szCs w:val="22"/>
        </w:rPr>
      </w:pPr>
      <w:r w:rsidRPr="00653B89">
        <w:rPr>
          <w:rFonts w:ascii="Arial" w:hAnsi="Arial" w:cs="Arial"/>
          <w:color w:val="0D0D0D" w:themeColor="text1" w:themeTint="F2"/>
          <w:sz w:val="22"/>
          <w:szCs w:val="22"/>
        </w:rPr>
        <w:t>The situation involving Professor Amit Patel illustrates the emergence of preventable harm resulting from multiple failures in leadership, governance, and communication (</w:t>
      </w:r>
      <w:proofErr w:type="spellStart"/>
      <w:r w:rsidRPr="00653B89">
        <w:rPr>
          <w:rFonts w:ascii="Arial" w:hAnsi="Arial" w:cs="Arial"/>
          <w:color w:val="0D0D0D" w:themeColor="text1" w:themeTint="F2"/>
          <w:sz w:val="22"/>
          <w:szCs w:val="22"/>
        </w:rPr>
        <w:t>Charsley</w:t>
      </w:r>
      <w:proofErr w:type="spellEnd"/>
      <w:r w:rsidRPr="00653B89">
        <w:rPr>
          <w:rFonts w:ascii="Arial" w:hAnsi="Arial" w:cs="Arial"/>
          <w:color w:val="0D0D0D" w:themeColor="text1" w:themeTint="F2"/>
          <w:sz w:val="22"/>
          <w:szCs w:val="22"/>
        </w:rPr>
        <w:t xml:space="preserve"> and </w:t>
      </w:r>
      <w:proofErr w:type="spellStart"/>
      <w:r w:rsidRPr="00653B89">
        <w:rPr>
          <w:rFonts w:ascii="Arial" w:hAnsi="Arial" w:cs="Arial"/>
          <w:color w:val="0D0D0D" w:themeColor="text1" w:themeTint="F2"/>
          <w:sz w:val="22"/>
          <w:szCs w:val="22"/>
        </w:rPr>
        <w:t>Vesty</w:t>
      </w:r>
      <w:proofErr w:type="spellEnd"/>
      <w:r w:rsidRPr="00653B89">
        <w:rPr>
          <w:rFonts w:ascii="Arial" w:hAnsi="Arial" w:cs="Arial"/>
          <w:color w:val="0D0D0D" w:themeColor="text1" w:themeTint="F2"/>
          <w:sz w:val="22"/>
          <w:szCs w:val="22"/>
        </w:rPr>
        <w:t xml:space="preserve">, 2024; </w:t>
      </w:r>
      <w:proofErr w:type="spellStart"/>
      <w:r w:rsidRPr="00653B89">
        <w:rPr>
          <w:rFonts w:ascii="Arial" w:hAnsi="Arial" w:cs="Arial"/>
          <w:color w:val="0D0D0D" w:themeColor="text1" w:themeTint="F2"/>
          <w:sz w:val="22"/>
          <w:szCs w:val="22"/>
        </w:rPr>
        <w:t>Vesty</w:t>
      </w:r>
      <w:proofErr w:type="spellEnd"/>
      <w:r w:rsidRPr="00653B89">
        <w:rPr>
          <w:rFonts w:ascii="Arial" w:hAnsi="Arial" w:cs="Arial"/>
          <w:color w:val="0D0D0D" w:themeColor="text1" w:themeTint="F2"/>
          <w:sz w:val="22"/>
          <w:szCs w:val="22"/>
        </w:rPr>
        <w:t>, 2024).</w:t>
      </w:r>
      <w:r w:rsidR="009C022B"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 xml:space="preserve">His death was not merely attributable to a singular erroneous clinical judgement, but rather the consequence of a system that failed to consistently convey information, inadequately recognised the significance of expert patient insights, and did not take decisive action when warning signs became evident (Coffey, 2024; Zhelev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r w:rsidR="004A2D54" w:rsidRPr="00653B89">
        <w:rPr>
          <w:rFonts w:ascii="Arial" w:hAnsi="Arial" w:cs="Arial"/>
          <w:color w:val="0D0D0D" w:themeColor="text1" w:themeTint="F2"/>
          <w:sz w:val="22"/>
          <w:szCs w:val="22"/>
        </w:rPr>
        <w:t xml:space="preserve">; </w:t>
      </w:r>
      <w:r w:rsidR="004A2D54" w:rsidRPr="00653B89">
        <w:rPr>
          <w:rFonts w:ascii="Arial" w:hAnsi="Arial" w:cs="Arial"/>
          <w:color w:val="0D0D0D" w:themeColor="text1" w:themeTint="F2"/>
          <w:sz w:val="22"/>
          <w:szCs w:val="22"/>
        </w:rPr>
        <w:t xml:space="preserve">Bowditch </w:t>
      </w:r>
      <w:r w:rsidR="004A2D54" w:rsidRPr="00653B89">
        <w:rPr>
          <w:rFonts w:ascii="Arial" w:hAnsi="Arial" w:cs="Arial"/>
          <w:i/>
          <w:iCs/>
          <w:color w:val="0D0D0D" w:themeColor="text1" w:themeTint="F2"/>
          <w:sz w:val="22"/>
          <w:szCs w:val="22"/>
        </w:rPr>
        <w:t>et al.,</w:t>
      </w:r>
      <w:r w:rsidR="004A2D54" w:rsidRPr="00653B89">
        <w:rPr>
          <w:rFonts w:ascii="Arial" w:hAnsi="Arial" w:cs="Arial"/>
          <w:color w:val="0D0D0D" w:themeColor="text1" w:themeTint="F2"/>
          <w:sz w:val="22"/>
          <w:szCs w:val="22"/>
        </w:rPr>
        <w:t xml:space="preserve"> 2025</w:t>
      </w:r>
      <w:r w:rsidRPr="00653B89">
        <w:rPr>
          <w:rFonts w:ascii="Arial" w:hAnsi="Arial" w:cs="Arial"/>
          <w:color w:val="0D0D0D" w:themeColor="text1" w:themeTint="F2"/>
          <w:sz w:val="22"/>
          <w:szCs w:val="22"/>
        </w:rPr>
        <w:t>).</w:t>
      </w:r>
      <w:r w:rsidR="009C022B"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 xml:space="preserve">A systems thinking perspective offers a more robust explanation than an individual blame model, as it illustrates how local autonomy, central expertise, organisational culture, and leadership practices collectively contribute to unsafe care (Zhelev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 </w:t>
      </w:r>
      <w:r w:rsidR="00940F34" w:rsidRPr="00653B89">
        <w:rPr>
          <w:rFonts w:ascii="Arial" w:hAnsi="Arial" w:cs="Arial"/>
          <w:color w:val="0D0D0D" w:themeColor="text1" w:themeTint="F2"/>
          <w:sz w:val="22"/>
          <w:szCs w:val="22"/>
        </w:rPr>
        <w:t xml:space="preserve">Bowditch </w:t>
      </w:r>
      <w:r w:rsidR="00940F34" w:rsidRPr="00653B89">
        <w:rPr>
          <w:rFonts w:ascii="Arial" w:hAnsi="Arial" w:cs="Arial"/>
          <w:i/>
          <w:iCs/>
          <w:color w:val="0D0D0D" w:themeColor="text1" w:themeTint="F2"/>
          <w:sz w:val="22"/>
          <w:szCs w:val="22"/>
        </w:rPr>
        <w:t>et al.,</w:t>
      </w:r>
      <w:r w:rsidR="00940F34" w:rsidRPr="00653B89">
        <w:rPr>
          <w:rFonts w:ascii="Arial" w:hAnsi="Arial" w:cs="Arial"/>
          <w:color w:val="0D0D0D" w:themeColor="text1" w:themeTint="F2"/>
          <w:sz w:val="22"/>
          <w:szCs w:val="22"/>
        </w:rPr>
        <w:t xml:space="preserve"> 2025; </w:t>
      </w:r>
      <w:r w:rsidRPr="00653B89">
        <w:rPr>
          <w:rFonts w:ascii="Arial" w:hAnsi="Arial" w:cs="Arial"/>
          <w:color w:val="0D0D0D" w:themeColor="text1" w:themeTint="F2"/>
          <w:sz w:val="22"/>
          <w:szCs w:val="22"/>
        </w:rPr>
        <w:t xml:space="preserve">Kristensen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2025).</w:t>
      </w:r>
      <w:r w:rsidR="009C022B"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The primary lesson is that patient safety relies not solely on protocols and frameworks, but also on leadership that guarantees the effective implementation of such frameworks in practice (</w:t>
      </w:r>
      <w:r w:rsidR="000461EC" w:rsidRPr="00653B89">
        <w:rPr>
          <w:rFonts w:ascii="Arial" w:hAnsi="Arial" w:cs="Arial"/>
          <w:color w:val="0D0D0D" w:themeColor="text1" w:themeTint="F2"/>
          <w:sz w:val="22"/>
          <w:szCs w:val="22"/>
        </w:rPr>
        <w:t>NHS England, 2019</w:t>
      </w:r>
      <w:r w:rsidR="000461EC"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Murray and Cope, 2021).</w:t>
      </w:r>
      <w:r w:rsidR="009C022B"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 xml:space="preserve">In environments characterised by excessive hierarchy, passivity, or a focus on compliance, experts may be disregarded, concerns may remain unaddressed, and procedures may persist despite insufficient knowledge (Wood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2022;</w:t>
      </w:r>
      <w:r w:rsidR="00CA1DA8" w:rsidRPr="00653B89">
        <w:rPr>
          <w:rFonts w:ascii="Arial" w:hAnsi="Arial" w:cs="Arial"/>
          <w:color w:val="0D0D0D" w:themeColor="text1" w:themeTint="F2"/>
          <w:sz w:val="22"/>
          <w:szCs w:val="22"/>
        </w:rPr>
        <w:t xml:space="preserve"> </w:t>
      </w:r>
      <w:r w:rsidR="00CA1DA8" w:rsidRPr="00653B89">
        <w:rPr>
          <w:rFonts w:ascii="Arial" w:hAnsi="Arial" w:cs="Arial"/>
          <w:color w:val="0D0D0D" w:themeColor="text1" w:themeTint="F2"/>
          <w:sz w:val="22"/>
          <w:szCs w:val="22"/>
        </w:rPr>
        <w:t>Ben-</w:t>
      </w:r>
      <w:proofErr w:type="spellStart"/>
      <w:r w:rsidR="00CA1DA8" w:rsidRPr="00653B89">
        <w:rPr>
          <w:rFonts w:ascii="Arial" w:hAnsi="Arial" w:cs="Arial"/>
          <w:color w:val="0D0D0D" w:themeColor="text1" w:themeTint="F2"/>
          <w:sz w:val="22"/>
          <w:szCs w:val="22"/>
        </w:rPr>
        <w:t>Hador</w:t>
      </w:r>
      <w:proofErr w:type="spellEnd"/>
      <w:r w:rsidR="00CA1DA8" w:rsidRPr="00653B89">
        <w:rPr>
          <w:rFonts w:ascii="Arial" w:hAnsi="Arial" w:cs="Arial"/>
          <w:color w:val="0D0D0D" w:themeColor="text1" w:themeTint="F2"/>
          <w:sz w:val="22"/>
          <w:szCs w:val="22"/>
        </w:rPr>
        <w:t>, 2023</w:t>
      </w:r>
      <w:r w:rsidR="00CA1DA8" w:rsidRPr="00653B89">
        <w:rPr>
          <w:rFonts w:ascii="Arial" w:hAnsi="Arial" w:cs="Arial"/>
          <w:color w:val="0D0D0D" w:themeColor="text1" w:themeTint="F2"/>
          <w:sz w:val="22"/>
          <w:szCs w:val="22"/>
        </w:rPr>
        <w:t>;</w:t>
      </w:r>
      <w:r w:rsidRPr="00653B89">
        <w:rPr>
          <w:rFonts w:ascii="Arial" w:hAnsi="Arial" w:cs="Arial"/>
          <w:color w:val="0D0D0D" w:themeColor="text1" w:themeTint="F2"/>
          <w:sz w:val="22"/>
          <w:szCs w:val="22"/>
        </w:rPr>
        <w:t xml:space="preserve"> </w:t>
      </w:r>
      <w:proofErr w:type="spellStart"/>
      <w:r w:rsidRPr="00653B89">
        <w:rPr>
          <w:rFonts w:ascii="Arial" w:hAnsi="Arial" w:cs="Arial"/>
          <w:color w:val="0D0D0D" w:themeColor="text1" w:themeTint="F2"/>
          <w:sz w:val="22"/>
          <w:szCs w:val="22"/>
        </w:rPr>
        <w:t>Desgourdes</w:t>
      </w:r>
      <w:proofErr w:type="spellEnd"/>
      <w:r w:rsidRPr="00653B89">
        <w:rPr>
          <w:rFonts w:ascii="Arial" w:hAnsi="Arial" w:cs="Arial"/>
          <w:color w:val="0D0D0D" w:themeColor="text1" w:themeTint="F2"/>
          <w:sz w:val="22"/>
          <w:szCs w:val="22"/>
        </w:rPr>
        <w:t xml:space="preserve"> </w:t>
      </w:r>
      <w:r w:rsidRPr="00653B89">
        <w:rPr>
          <w:rFonts w:ascii="Arial" w:hAnsi="Arial" w:cs="Arial"/>
          <w:i/>
          <w:iCs/>
          <w:color w:val="0D0D0D" w:themeColor="text1" w:themeTint="F2"/>
          <w:sz w:val="22"/>
          <w:szCs w:val="22"/>
        </w:rPr>
        <w:t xml:space="preserve">et al., </w:t>
      </w:r>
      <w:r w:rsidRPr="00653B89">
        <w:rPr>
          <w:rFonts w:ascii="Arial" w:hAnsi="Arial" w:cs="Arial"/>
          <w:color w:val="0D0D0D" w:themeColor="text1" w:themeTint="F2"/>
          <w:sz w:val="22"/>
          <w:szCs w:val="22"/>
        </w:rPr>
        <w:t>2024)</w:t>
      </w:r>
      <w:r w:rsidR="009C022B"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 xml:space="preserve">Organisations characterised by collaborative, psychologically secure, and responsible leadership are more adept at early risk recognition, effective knowledge integration, and harm prevention (Lamming </w:t>
      </w:r>
      <w:r w:rsidRPr="00653B89">
        <w:rPr>
          <w:rFonts w:ascii="Arial" w:hAnsi="Arial" w:cs="Arial"/>
          <w:i/>
          <w:iCs/>
          <w:color w:val="0D0D0D" w:themeColor="text1" w:themeTint="F2"/>
          <w:sz w:val="22"/>
          <w:szCs w:val="22"/>
        </w:rPr>
        <w:t>et al.,</w:t>
      </w:r>
      <w:r w:rsidRPr="00653B89">
        <w:rPr>
          <w:rFonts w:ascii="Arial" w:hAnsi="Arial" w:cs="Arial"/>
          <w:color w:val="0D0D0D" w:themeColor="text1" w:themeTint="F2"/>
          <w:sz w:val="22"/>
          <w:szCs w:val="22"/>
        </w:rPr>
        <w:t xml:space="preserve"> 2021; Montgomery </w:t>
      </w:r>
      <w:r w:rsidRPr="00653B89">
        <w:rPr>
          <w:rFonts w:ascii="Arial" w:hAnsi="Arial" w:cs="Arial"/>
          <w:i/>
          <w:iCs/>
          <w:color w:val="0D0D0D" w:themeColor="text1" w:themeTint="F2"/>
          <w:sz w:val="22"/>
          <w:szCs w:val="22"/>
        </w:rPr>
        <w:t xml:space="preserve">et al., </w:t>
      </w:r>
      <w:r w:rsidRPr="00653B89">
        <w:rPr>
          <w:rFonts w:ascii="Arial" w:hAnsi="Arial" w:cs="Arial"/>
          <w:color w:val="0D0D0D" w:themeColor="text1" w:themeTint="F2"/>
          <w:sz w:val="22"/>
          <w:szCs w:val="22"/>
        </w:rPr>
        <w:t xml:space="preserve">2025; </w:t>
      </w:r>
      <w:proofErr w:type="spellStart"/>
      <w:r w:rsidRPr="00653B89">
        <w:rPr>
          <w:rFonts w:ascii="Arial" w:hAnsi="Arial" w:cs="Arial"/>
          <w:color w:val="0D0D0D" w:themeColor="text1" w:themeTint="F2"/>
          <w:sz w:val="22"/>
          <w:szCs w:val="22"/>
        </w:rPr>
        <w:t>Althobaiti</w:t>
      </w:r>
      <w:proofErr w:type="spellEnd"/>
      <w:r w:rsidRPr="00653B89">
        <w:rPr>
          <w:rFonts w:ascii="Arial" w:hAnsi="Arial" w:cs="Arial"/>
          <w:color w:val="0D0D0D" w:themeColor="text1" w:themeTint="F2"/>
          <w:sz w:val="22"/>
          <w:szCs w:val="22"/>
        </w:rPr>
        <w:t>, 2026).</w:t>
      </w:r>
      <w:r w:rsidR="009C022B" w:rsidRPr="00653B89">
        <w:rPr>
          <w:rFonts w:ascii="Arial" w:hAnsi="Arial" w:cs="Arial"/>
          <w:color w:val="0D0D0D" w:themeColor="text1" w:themeTint="F2"/>
          <w:sz w:val="22"/>
          <w:szCs w:val="22"/>
        </w:rPr>
        <w:t xml:space="preserve"> </w:t>
      </w:r>
      <w:r w:rsidR="001D0771" w:rsidRPr="00653B89">
        <w:rPr>
          <w:rFonts w:ascii="Arial" w:hAnsi="Arial" w:cs="Arial"/>
          <w:color w:val="0D0D0D" w:themeColor="text1" w:themeTint="F2"/>
          <w:sz w:val="22"/>
          <w:szCs w:val="22"/>
        </w:rPr>
        <w:t xml:space="preserve">This case also indicates that transformation must occur at all levels of the health system, from bedside escalation and consent practice to MDT governance, board monitoring, and national accountability mechanisms. Leadership cannot be reduced to </w:t>
      </w:r>
      <w:r w:rsidR="001D0771" w:rsidRPr="00653B89">
        <w:rPr>
          <w:rFonts w:ascii="Arial" w:hAnsi="Arial" w:cs="Arial"/>
          <w:color w:val="0D0D0D" w:themeColor="text1" w:themeTint="F2"/>
          <w:sz w:val="22"/>
          <w:szCs w:val="22"/>
        </w:rPr>
        <w:lastRenderedPageBreak/>
        <w:t xml:space="preserve">strategy declarations; it must be obvious in how employees dispute risky decisions, how information is verified prior to invasive operations, and how organisations respond when warning signs appear. Without the operational translation of policy into everyday practice, formal safety frameworks risk becoming mere procedural rituals rather than true safeguards (NHS England, 2019; Murray and Cope, 2021; Wood </w:t>
      </w:r>
      <w:r w:rsidR="001D0771" w:rsidRPr="00653B89">
        <w:rPr>
          <w:rFonts w:ascii="Arial" w:hAnsi="Arial" w:cs="Arial"/>
          <w:i/>
          <w:iCs/>
          <w:color w:val="0D0D0D" w:themeColor="text1" w:themeTint="F2"/>
          <w:sz w:val="22"/>
          <w:szCs w:val="22"/>
        </w:rPr>
        <w:t xml:space="preserve">et al., </w:t>
      </w:r>
      <w:r w:rsidR="001D0771" w:rsidRPr="00653B89">
        <w:rPr>
          <w:rFonts w:ascii="Arial" w:hAnsi="Arial" w:cs="Arial"/>
          <w:color w:val="0D0D0D" w:themeColor="text1" w:themeTint="F2"/>
          <w:sz w:val="22"/>
          <w:szCs w:val="22"/>
        </w:rPr>
        <w:t>2022).</w:t>
      </w:r>
      <w:r w:rsidR="00C00E74"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Professor Amit Patel's situation should be regarded as both a human tragedy and a cautionary tale regarding systemic failures: without enduring reforms in leadership, avoidable fatalities will persist, highlighting the disparity between patient safety policy and its implementation (</w:t>
      </w:r>
      <w:r w:rsidR="0088529C" w:rsidRPr="00653B89">
        <w:rPr>
          <w:rFonts w:ascii="Arial" w:hAnsi="Arial" w:cs="Arial"/>
          <w:color w:val="0D0D0D" w:themeColor="text1" w:themeTint="F2"/>
          <w:sz w:val="22"/>
          <w:szCs w:val="22"/>
        </w:rPr>
        <w:t>NHS England, 2019</w:t>
      </w:r>
      <w:r w:rsidR="000461EC" w:rsidRPr="00653B89">
        <w:rPr>
          <w:rFonts w:ascii="Arial" w:hAnsi="Arial" w:cs="Arial"/>
          <w:color w:val="0D0D0D" w:themeColor="text1" w:themeTint="F2"/>
          <w:sz w:val="22"/>
          <w:szCs w:val="22"/>
        </w:rPr>
        <w:t xml:space="preserve">; </w:t>
      </w:r>
      <w:r w:rsidR="000461EC" w:rsidRPr="00653B89">
        <w:rPr>
          <w:rFonts w:ascii="Arial" w:hAnsi="Arial" w:cs="Arial"/>
          <w:color w:val="0D0D0D" w:themeColor="text1" w:themeTint="F2"/>
          <w:sz w:val="22"/>
          <w:szCs w:val="22"/>
        </w:rPr>
        <w:t>National Audit Office, 2025</w:t>
      </w:r>
      <w:r w:rsidR="000461EC" w:rsidRPr="00653B89">
        <w:rPr>
          <w:rFonts w:ascii="Arial" w:hAnsi="Arial" w:cs="Arial"/>
          <w:color w:val="0D0D0D" w:themeColor="text1" w:themeTint="F2"/>
          <w:sz w:val="22"/>
          <w:szCs w:val="22"/>
        </w:rPr>
        <w:t xml:space="preserve">; </w:t>
      </w:r>
      <w:r w:rsidRPr="00653B89">
        <w:rPr>
          <w:rFonts w:ascii="Arial" w:hAnsi="Arial" w:cs="Arial"/>
          <w:color w:val="0D0D0D" w:themeColor="text1" w:themeTint="F2"/>
          <w:sz w:val="22"/>
          <w:szCs w:val="22"/>
        </w:rPr>
        <w:t>Office for National Statistics, 2026).</w:t>
      </w:r>
      <w:r w:rsidR="004A7ED3" w:rsidRPr="00653B89">
        <w:rPr>
          <w:rFonts w:ascii="Arial" w:hAnsi="Arial" w:cs="Arial"/>
          <w:color w:val="0D0D0D" w:themeColor="text1" w:themeTint="F2"/>
          <w:sz w:val="22"/>
          <w:szCs w:val="22"/>
        </w:rPr>
        <w:t xml:space="preserve"> </w:t>
      </w:r>
    </w:p>
    <w:p w14:paraId="7489EE79" w14:textId="77777777" w:rsidR="00C00E74" w:rsidRPr="00C6726B" w:rsidRDefault="00C00E74" w:rsidP="002F0B7F">
      <w:pPr>
        <w:pStyle w:val="NormalWeb"/>
        <w:spacing w:after="240" w:line="360" w:lineRule="auto"/>
        <w:rPr>
          <w:rFonts w:ascii="Arial" w:hAnsi="Arial" w:cs="Arial"/>
          <w:color w:val="0D0D0D" w:themeColor="text1" w:themeTint="F2"/>
          <w:sz w:val="23"/>
          <w:szCs w:val="23"/>
        </w:rPr>
      </w:pPr>
    </w:p>
    <w:p w14:paraId="7A05FEEF" w14:textId="77777777" w:rsidR="00C00E74" w:rsidRPr="00C6726B" w:rsidRDefault="00C00E74" w:rsidP="002F0B7F">
      <w:pPr>
        <w:pStyle w:val="NormalWeb"/>
        <w:spacing w:after="240" w:line="360" w:lineRule="auto"/>
        <w:rPr>
          <w:rFonts w:ascii="Arial" w:hAnsi="Arial" w:cs="Arial"/>
          <w:color w:val="0D0D0D" w:themeColor="text1" w:themeTint="F2"/>
          <w:sz w:val="23"/>
          <w:szCs w:val="23"/>
        </w:rPr>
      </w:pPr>
    </w:p>
    <w:p w14:paraId="40D6D5A8" w14:textId="77777777" w:rsidR="00C00E74" w:rsidRPr="00C6726B" w:rsidRDefault="00C00E74" w:rsidP="002F0B7F">
      <w:pPr>
        <w:pStyle w:val="NormalWeb"/>
        <w:spacing w:after="240" w:line="360" w:lineRule="auto"/>
        <w:rPr>
          <w:rFonts w:ascii="Arial" w:hAnsi="Arial" w:cs="Arial"/>
          <w:color w:val="0D0D0D" w:themeColor="text1" w:themeTint="F2"/>
          <w:sz w:val="23"/>
          <w:szCs w:val="23"/>
        </w:rPr>
      </w:pPr>
    </w:p>
    <w:p w14:paraId="52803058" w14:textId="77777777" w:rsidR="00C6726B" w:rsidRDefault="00C6726B" w:rsidP="002F0B7F">
      <w:pPr>
        <w:pStyle w:val="NormalWeb"/>
        <w:spacing w:after="240" w:line="360" w:lineRule="auto"/>
        <w:rPr>
          <w:rFonts w:ascii="Arial" w:hAnsi="Arial" w:cs="Arial"/>
          <w:color w:val="0D0D0D" w:themeColor="text1" w:themeTint="F2"/>
          <w:sz w:val="23"/>
          <w:szCs w:val="23"/>
        </w:rPr>
      </w:pPr>
    </w:p>
    <w:p w14:paraId="413F8FCD"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4838D513"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5782A4B4"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6B010081"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7E3058A7"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09D8224D"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33DB5E91"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6299762C"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16840479" w14:textId="77777777" w:rsidR="007B7F74" w:rsidRDefault="007B7F74" w:rsidP="002F0B7F">
      <w:pPr>
        <w:pStyle w:val="NormalWeb"/>
        <w:spacing w:after="240" w:line="360" w:lineRule="auto"/>
        <w:rPr>
          <w:rFonts w:ascii="Arial" w:hAnsi="Arial" w:cs="Arial"/>
          <w:color w:val="0D0D0D" w:themeColor="text1" w:themeTint="F2"/>
          <w:sz w:val="23"/>
          <w:szCs w:val="23"/>
        </w:rPr>
      </w:pPr>
    </w:p>
    <w:p w14:paraId="7835AD62" w14:textId="77777777" w:rsidR="00895FC9" w:rsidRDefault="00895FC9" w:rsidP="002F0B7F">
      <w:pPr>
        <w:pStyle w:val="NormalWeb"/>
        <w:spacing w:after="240" w:line="360" w:lineRule="auto"/>
        <w:rPr>
          <w:rFonts w:ascii="Arial" w:hAnsi="Arial" w:cs="Arial"/>
          <w:color w:val="0D0D0D" w:themeColor="text1" w:themeTint="F2"/>
          <w:sz w:val="23"/>
          <w:szCs w:val="23"/>
        </w:rPr>
      </w:pPr>
    </w:p>
    <w:p w14:paraId="227D21C4" w14:textId="77777777" w:rsidR="00895FC9" w:rsidRPr="00C6726B" w:rsidRDefault="00895FC9" w:rsidP="002F0B7F">
      <w:pPr>
        <w:pStyle w:val="NormalWeb"/>
        <w:spacing w:after="240" w:line="360" w:lineRule="auto"/>
        <w:rPr>
          <w:rFonts w:ascii="Arial" w:hAnsi="Arial" w:cs="Arial"/>
          <w:color w:val="0D0D0D" w:themeColor="text1" w:themeTint="F2"/>
          <w:sz w:val="23"/>
          <w:szCs w:val="23"/>
        </w:rPr>
      </w:pPr>
    </w:p>
    <w:p w14:paraId="2B08C043" w14:textId="7539EDE4" w:rsidR="00D632D1" w:rsidRPr="00C6726B" w:rsidRDefault="00ED2C84" w:rsidP="002D457D">
      <w:pPr>
        <w:pStyle w:val="NormalWeb"/>
        <w:spacing w:before="0" w:beforeAutospacing="0" w:after="240" w:afterAutospacing="0"/>
        <w:rPr>
          <w:rFonts w:ascii="Arial" w:hAnsi="Arial" w:cs="Arial"/>
          <w:b/>
          <w:bCs/>
          <w:color w:val="0D0D0D" w:themeColor="text1" w:themeTint="F2"/>
          <w:sz w:val="23"/>
          <w:szCs w:val="23"/>
        </w:rPr>
      </w:pPr>
      <w:r w:rsidRPr="00C6726B">
        <w:rPr>
          <w:rFonts w:ascii="Arial" w:hAnsi="Arial" w:cs="Arial"/>
          <w:b/>
          <w:bCs/>
          <w:color w:val="0D0D0D" w:themeColor="text1" w:themeTint="F2"/>
          <w:sz w:val="23"/>
          <w:szCs w:val="23"/>
        </w:rPr>
        <w:lastRenderedPageBreak/>
        <w:t>Reference list</w:t>
      </w:r>
    </w:p>
    <w:p w14:paraId="09C49C64" w14:textId="235E3F5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Ainsworth, N., Hussain, M. I., </w:t>
      </w:r>
      <w:proofErr w:type="spellStart"/>
      <w:r w:rsidRPr="00C6726B">
        <w:rPr>
          <w:rFonts w:ascii="Arial" w:hAnsi="Arial" w:cs="Arial"/>
          <w:color w:val="0D0D0D" w:themeColor="text1" w:themeTint="F2"/>
          <w:sz w:val="23"/>
          <w:szCs w:val="23"/>
          <w:shd w:val="clear" w:color="auto" w:fill="FFFFFF"/>
        </w:rPr>
        <w:t>Houten</w:t>
      </w:r>
      <w:proofErr w:type="spellEnd"/>
      <w:r w:rsidRPr="00C6726B">
        <w:rPr>
          <w:rFonts w:ascii="Arial" w:hAnsi="Arial" w:cs="Arial"/>
          <w:color w:val="0D0D0D" w:themeColor="text1" w:themeTint="F2"/>
          <w:sz w:val="23"/>
          <w:szCs w:val="23"/>
          <w:shd w:val="clear" w:color="auto" w:fill="FFFFFF"/>
        </w:rPr>
        <w:t xml:space="preserve">, R., Martin, A. P., </w:t>
      </w:r>
      <w:proofErr w:type="spellStart"/>
      <w:r w:rsidRPr="00C6726B">
        <w:rPr>
          <w:rFonts w:ascii="Arial" w:hAnsi="Arial" w:cs="Arial"/>
          <w:color w:val="0D0D0D" w:themeColor="text1" w:themeTint="F2"/>
          <w:sz w:val="23"/>
          <w:szCs w:val="23"/>
          <w:shd w:val="clear" w:color="auto" w:fill="FFFFFF"/>
        </w:rPr>
        <w:t>Toh</w:t>
      </w:r>
      <w:proofErr w:type="spellEnd"/>
      <w:r w:rsidRPr="00C6726B">
        <w:rPr>
          <w:rFonts w:ascii="Arial" w:hAnsi="Arial" w:cs="Arial"/>
          <w:color w:val="0D0D0D" w:themeColor="text1" w:themeTint="F2"/>
          <w:sz w:val="23"/>
          <w:szCs w:val="23"/>
          <w:shd w:val="clear" w:color="auto" w:fill="FFFFFF"/>
        </w:rPr>
        <w:t>, S., Rao, C., &amp; St John, E. R. (2023).</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“Informed consent failures: National Health Service Resolution data,”</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British journal of surgery</w:t>
      </w:r>
      <w:r w:rsidRPr="00C6726B">
        <w:rPr>
          <w:rFonts w:ascii="Arial" w:hAnsi="Arial" w:cs="Arial"/>
          <w:color w:val="0D0D0D" w:themeColor="text1" w:themeTint="F2"/>
          <w:sz w:val="23"/>
          <w:szCs w:val="23"/>
          <w:shd w:val="clear" w:color="auto" w:fill="FFFFFF"/>
        </w:rPr>
        <w:t>, 110(8), pp. 993–995. Available at: https://doi.org/10.1093/bjs/znad131</w:t>
      </w:r>
      <w:r w:rsidR="00803B4C" w:rsidRPr="00C6726B">
        <w:rPr>
          <w:rFonts w:ascii="Arial" w:hAnsi="Arial" w:cs="Arial"/>
          <w:color w:val="0D0D0D" w:themeColor="text1" w:themeTint="F2"/>
          <w:sz w:val="23"/>
          <w:szCs w:val="23"/>
          <w:shd w:val="clear" w:color="auto" w:fill="FFFFFF"/>
        </w:rPr>
        <w:t xml:space="preserve"> </w:t>
      </w:r>
      <w:r w:rsidR="00803B4C" w:rsidRPr="00C6726B">
        <w:rPr>
          <w:rFonts w:ascii="Arial" w:hAnsi="Arial" w:cs="Arial"/>
          <w:color w:val="0D0D0D" w:themeColor="text1" w:themeTint="F2"/>
          <w:sz w:val="23"/>
          <w:szCs w:val="23"/>
        </w:rPr>
        <w:t xml:space="preserve">(Accessed: </w:t>
      </w:r>
      <w:r w:rsidR="00803B4C" w:rsidRPr="00C6726B">
        <w:rPr>
          <w:rFonts w:ascii="Arial" w:hAnsi="Arial" w:cs="Arial"/>
          <w:color w:val="0D0D0D" w:themeColor="text1" w:themeTint="F2"/>
          <w:sz w:val="23"/>
          <w:szCs w:val="23"/>
        </w:rPr>
        <w:t>20</w:t>
      </w:r>
      <w:r w:rsidR="00803B4C" w:rsidRPr="00C6726B">
        <w:rPr>
          <w:rFonts w:ascii="Arial" w:hAnsi="Arial" w:cs="Arial"/>
          <w:color w:val="0D0D0D" w:themeColor="text1" w:themeTint="F2"/>
          <w:sz w:val="23"/>
          <w:szCs w:val="23"/>
        </w:rPr>
        <w:t xml:space="preserve"> March 2026).</w:t>
      </w:r>
    </w:p>
    <w:p w14:paraId="4626665D"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proofErr w:type="spellStart"/>
      <w:r w:rsidRPr="00C6726B">
        <w:rPr>
          <w:rFonts w:ascii="Arial" w:hAnsi="Arial" w:cs="Arial"/>
          <w:color w:val="0D0D0D" w:themeColor="text1" w:themeTint="F2"/>
          <w:sz w:val="23"/>
          <w:szCs w:val="23"/>
          <w:shd w:val="clear" w:color="auto" w:fill="FFFFFF"/>
        </w:rPr>
        <w:t>Althobaiti</w:t>
      </w:r>
      <w:proofErr w:type="spellEnd"/>
      <w:r w:rsidRPr="00C6726B">
        <w:rPr>
          <w:rFonts w:ascii="Arial" w:hAnsi="Arial" w:cs="Arial"/>
          <w:color w:val="0D0D0D" w:themeColor="text1" w:themeTint="F2"/>
          <w:sz w:val="23"/>
          <w:szCs w:val="23"/>
          <w:shd w:val="clear" w:color="auto" w:fill="FFFFFF"/>
        </w:rPr>
        <w:t>, F.M. (2026) “The effects of leadership on patient safety culture in health care: a systematic review,”</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BMC nursing</w:t>
      </w:r>
      <w:r w:rsidRPr="00C6726B">
        <w:rPr>
          <w:rFonts w:ascii="Arial" w:hAnsi="Arial" w:cs="Arial"/>
          <w:color w:val="0D0D0D" w:themeColor="text1" w:themeTint="F2"/>
          <w:sz w:val="23"/>
          <w:szCs w:val="23"/>
          <w:shd w:val="clear" w:color="auto" w:fill="FFFFFF"/>
        </w:rPr>
        <w:t>, 25(1). Available at: https://doi.org/10.1186/s12912-025-04263-7.</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(Accessed: 10 March 2026).</w:t>
      </w:r>
    </w:p>
    <w:p w14:paraId="4A31CB69" w14:textId="4027CF0A"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Ben-</w:t>
      </w:r>
      <w:proofErr w:type="spellStart"/>
      <w:r w:rsidRPr="00C6726B">
        <w:rPr>
          <w:rFonts w:ascii="Arial" w:hAnsi="Arial" w:cs="Arial"/>
          <w:color w:val="0D0D0D" w:themeColor="text1" w:themeTint="F2"/>
          <w:sz w:val="23"/>
          <w:szCs w:val="23"/>
          <w:shd w:val="clear" w:color="auto" w:fill="FFFFFF"/>
        </w:rPr>
        <w:t>Hador</w:t>
      </w:r>
      <w:proofErr w:type="spellEnd"/>
      <w:r w:rsidRPr="00C6726B">
        <w:rPr>
          <w:rFonts w:ascii="Arial" w:hAnsi="Arial" w:cs="Arial"/>
          <w:color w:val="0D0D0D" w:themeColor="text1" w:themeTint="F2"/>
          <w:sz w:val="23"/>
          <w:szCs w:val="23"/>
          <w:shd w:val="clear" w:color="auto" w:fill="FFFFFF"/>
        </w:rPr>
        <w:t xml:space="preserve">, B. (2023) “What does the performance appraisal approach tell us about the organizational culture’s basic </w:t>
      </w:r>
      <w:proofErr w:type="gramStart"/>
      <w:r w:rsidR="000A30D0" w:rsidRPr="00C6726B">
        <w:rPr>
          <w:rFonts w:ascii="Arial" w:hAnsi="Arial" w:cs="Arial"/>
          <w:color w:val="0D0D0D" w:themeColor="text1" w:themeTint="F2"/>
          <w:sz w:val="23"/>
          <w:szCs w:val="23"/>
          <w:shd w:val="clear" w:color="auto" w:fill="FFFFFF"/>
        </w:rPr>
        <w:t>assumptions?.</w:t>
      </w:r>
      <w:proofErr w:type="gramEnd"/>
      <w:r w:rsidRPr="00C6726B">
        <w:rPr>
          <w:rFonts w:ascii="Arial" w:hAnsi="Arial" w:cs="Arial"/>
          <w:color w:val="0D0D0D" w:themeColor="text1" w:themeTint="F2"/>
          <w:sz w:val="23"/>
          <w:szCs w:val="23"/>
          <w:shd w:val="clear" w:color="auto" w:fill="FFFFFF"/>
        </w:rPr>
        <w:t>”</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Employee relations</w:t>
      </w:r>
      <w:r w:rsidRPr="00C6726B">
        <w:rPr>
          <w:rFonts w:ascii="Arial" w:hAnsi="Arial" w:cs="Arial"/>
          <w:color w:val="0D0D0D" w:themeColor="text1" w:themeTint="F2"/>
          <w:sz w:val="23"/>
          <w:szCs w:val="23"/>
          <w:shd w:val="clear" w:color="auto" w:fill="FFFFFF"/>
        </w:rPr>
        <w:t>, 45(6), pp. 1561–1579. Available at: https://doi.org/10.1108/ER-04-2023-0221.</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 xml:space="preserve">(Accessed: </w:t>
      </w:r>
      <w:r w:rsidR="000A30D0" w:rsidRPr="00C6726B">
        <w:rPr>
          <w:rFonts w:ascii="Arial" w:hAnsi="Arial" w:cs="Arial"/>
          <w:color w:val="0D0D0D" w:themeColor="text1" w:themeTint="F2"/>
          <w:sz w:val="23"/>
          <w:szCs w:val="23"/>
        </w:rPr>
        <w:t>23</w:t>
      </w:r>
      <w:r w:rsidR="000A30D0" w:rsidRPr="00C6726B">
        <w:rPr>
          <w:rFonts w:ascii="Arial" w:hAnsi="Arial" w:cs="Arial"/>
          <w:color w:val="0D0D0D" w:themeColor="text1" w:themeTint="F2"/>
          <w:sz w:val="23"/>
          <w:szCs w:val="23"/>
        </w:rPr>
        <w:t xml:space="preserve"> March 2026).</w:t>
      </w:r>
    </w:p>
    <w:p w14:paraId="73555BE0"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 xml:space="preserve">Bereket, </w:t>
      </w:r>
      <w:r w:rsidRPr="00C6726B">
        <w:rPr>
          <w:rFonts w:ascii="Arial" w:hAnsi="Arial" w:cs="Arial"/>
          <w:color w:val="0D0D0D" w:themeColor="text1" w:themeTint="F2"/>
          <w:sz w:val="23"/>
          <w:szCs w:val="23"/>
        </w:rPr>
        <w:t>S., and Lin, C. (</w:t>
      </w:r>
      <w:r w:rsidRPr="00C6726B">
        <w:rPr>
          <w:rFonts w:ascii="Arial" w:hAnsi="Arial" w:cs="Arial"/>
          <w:color w:val="0D0D0D" w:themeColor="text1" w:themeTint="F2"/>
          <w:sz w:val="23"/>
          <w:szCs w:val="23"/>
        </w:rPr>
        <w:t>2025)</w:t>
      </w:r>
      <w:r w:rsidRPr="00C6726B">
        <w:rPr>
          <w:rFonts w:ascii="Arial" w:hAnsi="Arial" w:cs="Arial"/>
          <w:color w:val="0D0D0D" w:themeColor="text1" w:themeTint="F2"/>
          <w:sz w:val="23"/>
          <w:szCs w:val="23"/>
        </w:rPr>
        <w:t xml:space="preserve"> </w:t>
      </w:r>
      <w:r w:rsidRPr="00C6726B">
        <w:rPr>
          <w:rFonts w:ascii="Arial" w:hAnsi="Arial" w:cs="Arial"/>
          <w:i/>
          <w:iCs/>
          <w:color w:val="0D0D0D" w:themeColor="text1" w:themeTint="F2"/>
          <w:sz w:val="23"/>
          <w:szCs w:val="23"/>
        </w:rPr>
        <w:t>Speaking Up in healthcare: has progress plateaued – and what must be done? - National Guardian’s Office</w:t>
      </w:r>
      <w:r w:rsidRPr="00C6726B">
        <w:rPr>
          <w:rFonts w:ascii="Arial" w:hAnsi="Arial" w:cs="Arial"/>
          <w:color w:val="0D0D0D" w:themeColor="text1" w:themeTint="F2"/>
          <w:sz w:val="23"/>
          <w:szCs w:val="23"/>
        </w:rPr>
        <w:t xml:space="preserve">. Available at: https://nationalguardian.org.uk/2025/03/20/speaking-up-in-healthcare-has-progress-plateaued-and-what-must-be-done/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 xml:space="preserve">:15 </w:t>
      </w:r>
      <w:r w:rsidRPr="00C6726B">
        <w:rPr>
          <w:rFonts w:ascii="Arial" w:hAnsi="Arial" w:cs="Arial"/>
          <w:color w:val="0D0D0D" w:themeColor="text1" w:themeTint="F2"/>
          <w:sz w:val="23"/>
          <w:szCs w:val="23"/>
        </w:rPr>
        <w:t>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2CB28D52" w14:textId="77777777" w:rsidR="00D632D1" w:rsidRPr="00C6726B" w:rsidRDefault="00D632D1" w:rsidP="00797DCE">
      <w:pPr>
        <w:pStyle w:val="NormalWeb"/>
        <w:spacing w:before="0" w:beforeAutospacing="0" w:after="240" w:afterAutospacing="0"/>
        <w:rPr>
          <w:rFonts w:ascii="Arial" w:hAnsi="Arial" w:cs="Arial"/>
          <w:b/>
          <w:bCs/>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Bowditch, L., Molloy, C., King, B., Abedi, M., Jackson, S., </w:t>
      </w:r>
      <w:proofErr w:type="spellStart"/>
      <w:r w:rsidRPr="00C6726B">
        <w:rPr>
          <w:rFonts w:ascii="Arial" w:hAnsi="Arial" w:cs="Arial"/>
          <w:color w:val="0D0D0D" w:themeColor="text1" w:themeTint="F2"/>
          <w:sz w:val="23"/>
          <w:szCs w:val="23"/>
          <w:shd w:val="clear" w:color="auto" w:fill="FFFFFF"/>
        </w:rPr>
        <w:t>Bierbaum</w:t>
      </w:r>
      <w:proofErr w:type="spellEnd"/>
      <w:r w:rsidRPr="00C6726B">
        <w:rPr>
          <w:rFonts w:ascii="Arial" w:hAnsi="Arial" w:cs="Arial"/>
          <w:color w:val="0D0D0D" w:themeColor="text1" w:themeTint="F2"/>
          <w:sz w:val="23"/>
          <w:szCs w:val="23"/>
          <w:shd w:val="clear" w:color="auto" w:fill="FFFFFF"/>
        </w:rPr>
        <w:t xml:space="preserve">, M., Yu, Y., Raggett, L., Salmon, P., Braithwaite, J., Westbrook, J. I., Clay-Williams, R., Lingam, R., Middleton, S., </w:t>
      </w:r>
      <w:proofErr w:type="spellStart"/>
      <w:r w:rsidRPr="00C6726B">
        <w:rPr>
          <w:rFonts w:ascii="Arial" w:hAnsi="Arial" w:cs="Arial"/>
          <w:color w:val="0D0D0D" w:themeColor="text1" w:themeTint="F2"/>
          <w:sz w:val="23"/>
          <w:szCs w:val="23"/>
          <w:shd w:val="clear" w:color="auto" w:fill="FFFFFF"/>
        </w:rPr>
        <w:t>Magrabi</w:t>
      </w:r>
      <w:proofErr w:type="spellEnd"/>
      <w:r w:rsidRPr="00C6726B">
        <w:rPr>
          <w:rFonts w:ascii="Arial" w:hAnsi="Arial" w:cs="Arial"/>
          <w:color w:val="0D0D0D" w:themeColor="text1" w:themeTint="F2"/>
          <w:sz w:val="23"/>
          <w:szCs w:val="23"/>
          <w:shd w:val="clear" w:color="auto" w:fill="FFFFFF"/>
        </w:rPr>
        <w:t xml:space="preserve">, F., Mumford, V.,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Hibbert, P. (2025). “Do patient safety incident investigations align with systems thinking? An analysis of contributing factors and recommendations,”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BMJ quality &amp; safety</w:t>
      </w:r>
      <w:r w:rsidRPr="00C6726B">
        <w:rPr>
          <w:rFonts w:ascii="Arial" w:hAnsi="Arial" w:cs="Arial"/>
          <w:color w:val="0D0D0D" w:themeColor="text1" w:themeTint="F2"/>
          <w:sz w:val="23"/>
          <w:szCs w:val="23"/>
          <w:shd w:val="clear" w:color="auto" w:fill="FFFFFF"/>
        </w:rPr>
        <w:t>, p. bmjqs-2025-019063. Available at: https://doi.org/10.1136/bmjqs-2025-019063</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rPr>
        <w:t>(Accessed: 10 March 2026).</w:t>
      </w:r>
    </w:p>
    <w:p w14:paraId="58E460AC" w14:textId="276BFF63"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Carroll, Á., McKenzie, J. and Collins, C. (2024) “Medical consultants’ experience of collective leadership in complexity: a qualitative interview study,”</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Journal of health organization and management</w:t>
      </w:r>
      <w:r w:rsidRPr="00C6726B">
        <w:rPr>
          <w:rFonts w:ascii="Arial" w:hAnsi="Arial" w:cs="Arial"/>
          <w:color w:val="0D0D0D" w:themeColor="text1" w:themeTint="F2"/>
          <w:sz w:val="23"/>
          <w:szCs w:val="23"/>
          <w:shd w:val="clear" w:color="auto" w:fill="FFFFFF"/>
        </w:rPr>
        <w:t>, 38(9), pp. 297–312. Available at: https://doi.org/10.1108/JHOM-04-2023-0104.</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(Accessed: 1</w:t>
      </w:r>
      <w:r w:rsidR="000A30D0" w:rsidRPr="00C6726B">
        <w:rPr>
          <w:rFonts w:ascii="Arial" w:hAnsi="Arial" w:cs="Arial"/>
          <w:color w:val="0D0D0D" w:themeColor="text1" w:themeTint="F2"/>
          <w:sz w:val="23"/>
          <w:szCs w:val="23"/>
        </w:rPr>
        <w:t>2</w:t>
      </w:r>
      <w:r w:rsidR="000A30D0" w:rsidRPr="00C6726B">
        <w:rPr>
          <w:rFonts w:ascii="Arial" w:hAnsi="Arial" w:cs="Arial"/>
          <w:color w:val="0D0D0D" w:themeColor="text1" w:themeTint="F2"/>
          <w:sz w:val="23"/>
          <w:szCs w:val="23"/>
        </w:rPr>
        <w:t xml:space="preserve"> March 2026).</w:t>
      </w:r>
    </w:p>
    <w:p w14:paraId="4C5D972D" w14:textId="4DEC574E"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proofErr w:type="spellStart"/>
      <w:r w:rsidRPr="00C6726B">
        <w:rPr>
          <w:rFonts w:ascii="Arial" w:hAnsi="Arial" w:cs="Arial"/>
          <w:color w:val="0D0D0D" w:themeColor="text1" w:themeTint="F2"/>
          <w:sz w:val="23"/>
          <w:szCs w:val="23"/>
        </w:rPr>
        <w:t>Charsley</w:t>
      </w:r>
      <w:proofErr w:type="spellEnd"/>
      <w:r w:rsidRPr="00C6726B">
        <w:rPr>
          <w:rFonts w:ascii="Arial" w:hAnsi="Arial" w:cs="Arial"/>
          <w:color w:val="0D0D0D" w:themeColor="text1" w:themeTint="F2"/>
          <w:sz w:val="23"/>
          <w:szCs w:val="23"/>
        </w:rPr>
        <w:t xml:space="preserve">, M. and </w:t>
      </w:r>
      <w:proofErr w:type="spellStart"/>
      <w:r w:rsidRPr="00C6726B">
        <w:rPr>
          <w:rFonts w:ascii="Arial" w:hAnsi="Arial" w:cs="Arial"/>
          <w:color w:val="0D0D0D" w:themeColor="text1" w:themeTint="F2"/>
          <w:sz w:val="23"/>
          <w:szCs w:val="23"/>
        </w:rPr>
        <w:t>Vesty</w:t>
      </w:r>
      <w:proofErr w:type="spellEnd"/>
      <w:r w:rsidRPr="00C6726B">
        <w:rPr>
          <w:rFonts w:ascii="Arial" w:hAnsi="Arial" w:cs="Arial"/>
          <w:color w:val="0D0D0D" w:themeColor="text1" w:themeTint="F2"/>
          <w:sz w:val="23"/>
          <w:szCs w:val="23"/>
        </w:rPr>
        <w:t>, H. (2024).</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Top UK doctor died after botched procedure ‘that should never have been done’</w:t>
      </w:r>
      <w:r w:rsidRPr="00C6726B">
        <w:rPr>
          <w:rFonts w:ascii="Arial" w:hAnsi="Arial" w:cs="Arial"/>
          <w:color w:val="0D0D0D" w:themeColor="text1" w:themeTint="F2"/>
          <w:sz w:val="23"/>
          <w:szCs w:val="23"/>
        </w:rPr>
        <w:t>. [online] Daily Mirror. Available at: https://www.mirror.co.uk/news/uk-news/top-uk-doctor-died-after-32930591</w:t>
      </w:r>
      <w:r w:rsidR="00642CB8"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 xml:space="preserve">(Accessed: </w:t>
      </w:r>
      <w:r w:rsidR="000A30D0" w:rsidRPr="00C6726B">
        <w:rPr>
          <w:rFonts w:ascii="Arial" w:hAnsi="Arial" w:cs="Arial"/>
          <w:color w:val="0D0D0D" w:themeColor="text1" w:themeTint="F2"/>
          <w:sz w:val="23"/>
          <w:szCs w:val="23"/>
        </w:rPr>
        <w:t>8</w:t>
      </w:r>
      <w:r w:rsidRPr="00C6726B">
        <w:rPr>
          <w:rFonts w:ascii="Arial" w:hAnsi="Arial" w:cs="Arial"/>
          <w:color w:val="0D0D0D" w:themeColor="text1" w:themeTint="F2"/>
          <w:sz w:val="23"/>
          <w:szCs w:val="23"/>
        </w:rPr>
        <w:t xml:space="preserve"> March 2026).</w:t>
      </w:r>
    </w:p>
    <w:p w14:paraId="3D7D7A61"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Coffey, D. (2024).</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Identified failures in communication led to avoidable death of Professor of Haematology - 1 Crown Office Row, London, Barrister Chambers</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 xml:space="preserve">Available at: https://www.1cor.com/london/2024/06/03/identified-failures-in-communication-led-to-avoidable-death-of-professor-of-haematology/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26 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11CCBDB2" w14:textId="47C88ECF"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Committee of Public Accounts (202</w:t>
      </w:r>
      <w:r w:rsidR="00D968B4" w:rsidRPr="00C6726B">
        <w:rPr>
          <w:rFonts w:ascii="Arial" w:hAnsi="Arial" w:cs="Arial"/>
          <w:color w:val="0D0D0D" w:themeColor="text1" w:themeTint="F2"/>
          <w:sz w:val="23"/>
          <w:szCs w:val="23"/>
        </w:rPr>
        <w:t>6</w:t>
      </w:r>
      <w:r w:rsidRPr="00C6726B">
        <w:rPr>
          <w:rFonts w:ascii="Arial" w:hAnsi="Arial" w:cs="Arial"/>
          <w:color w:val="0D0D0D" w:themeColor="text1" w:themeTint="F2"/>
          <w:sz w:val="23"/>
          <w:szCs w:val="23"/>
        </w:rPr>
        <w:t>).</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Costs of clinical negligence</w:t>
      </w:r>
      <w:r w:rsidRPr="00C6726B">
        <w:rPr>
          <w:rFonts w:ascii="Arial" w:hAnsi="Arial" w:cs="Arial"/>
          <w:color w:val="0D0D0D" w:themeColor="text1" w:themeTint="F2"/>
          <w:sz w:val="23"/>
          <w:szCs w:val="23"/>
        </w:rPr>
        <w:t xml:space="preserve">. Available at: https://publications.parliament.uk/pa/cm5901/cmselect/cmpubacc/1234/report.html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1 Apr</w:t>
      </w:r>
      <w:r w:rsidRPr="00C6726B">
        <w:rPr>
          <w:rFonts w:ascii="Arial" w:hAnsi="Arial" w:cs="Arial"/>
          <w:color w:val="0D0D0D" w:themeColor="text1" w:themeTint="F2"/>
          <w:sz w:val="23"/>
          <w:szCs w:val="23"/>
        </w:rPr>
        <w:t>il</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76962310" w14:textId="0EDC9587" w:rsidR="00D632D1" w:rsidRPr="00C6726B" w:rsidRDefault="00D632D1" w:rsidP="00797DCE">
      <w:pPr>
        <w:pStyle w:val="NormalWeb"/>
        <w:spacing w:before="0" w:beforeAutospacing="0" w:after="240" w:afterAutospacing="0"/>
        <w:rPr>
          <w:rFonts w:ascii="Arial" w:hAnsi="Arial" w:cs="Arial"/>
          <w:b/>
          <w:bCs/>
          <w:color w:val="0D0D0D" w:themeColor="text1" w:themeTint="F2"/>
          <w:sz w:val="23"/>
          <w:szCs w:val="23"/>
        </w:rPr>
      </w:pPr>
      <w:r w:rsidRPr="00C6726B">
        <w:rPr>
          <w:rFonts w:ascii="Arial" w:hAnsi="Arial" w:cs="Arial"/>
          <w:color w:val="0D0D0D" w:themeColor="text1" w:themeTint="F2"/>
          <w:sz w:val="23"/>
          <w:szCs w:val="23"/>
          <w:shd w:val="clear" w:color="auto" w:fill="FFFFFF"/>
        </w:rPr>
        <w:t>Compton, W.C. (20</w:t>
      </w:r>
      <w:r w:rsidRPr="00C6726B">
        <w:rPr>
          <w:rFonts w:ascii="Arial" w:hAnsi="Arial" w:cs="Arial"/>
          <w:color w:val="0D0D0D" w:themeColor="text1" w:themeTint="F2"/>
          <w:sz w:val="23"/>
          <w:szCs w:val="23"/>
          <w:shd w:val="clear" w:color="auto" w:fill="FFFFFF"/>
        </w:rPr>
        <w:t>18</w:t>
      </w:r>
      <w:r w:rsidRPr="00C6726B">
        <w:rPr>
          <w:rFonts w:ascii="Arial" w:hAnsi="Arial" w:cs="Arial"/>
          <w:color w:val="0D0D0D" w:themeColor="text1" w:themeTint="F2"/>
          <w:sz w:val="23"/>
          <w:szCs w:val="23"/>
          <w:shd w:val="clear" w:color="auto" w:fill="FFFFFF"/>
        </w:rPr>
        <w:t xml:space="preserve">) “Self-Actualization Myths: What Did Maslow Really </w:t>
      </w:r>
      <w:r w:rsidRPr="00C6726B">
        <w:rPr>
          <w:rFonts w:ascii="Arial" w:hAnsi="Arial" w:cs="Arial"/>
          <w:color w:val="0D0D0D" w:themeColor="text1" w:themeTint="F2"/>
          <w:sz w:val="23"/>
          <w:szCs w:val="23"/>
          <w:shd w:val="clear" w:color="auto" w:fill="FFFFFF"/>
        </w:rPr>
        <w:t>Say?</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The Journal of humanistic psychology</w:t>
      </w:r>
      <w:r w:rsidRPr="00C6726B">
        <w:rPr>
          <w:rFonts w:ascii="Arial" w:hAnsi="Arial" w:cs="Arial"/>
          <w:color w:val="0D0D0D" w:themeColor="text1" w:themeTint="F2"/>
          <w:sz w:val="23"/>
          <w:szCs w:val="23"/>
          <w:shd w:val="clear" w:color="auto" w:fill="FFFFFF"/>
        </w:rPr>
        <w:t>, 64(5), pp. 743–760. Available at: https://doi.org/10.1177/0022167818761929.</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(Accessed: 3</w:t>
      </w:r>
      <w:r w:rsidR="000A30D0" w:rsidRPr="00C6726B">
        <w:rPr>
          <w:rFonts w:ascii="Arial" w:hAnsi="Arial" w:cs="Arial"/>
          <w:color w:val="0D0D0D" w:themeColor="text1" w:themeTint="F2"/>
          <w:sz w:val="23"/>
          <w:szCs w:val="23"/>
        </w:rPr>
        <w:t>0</w:t>
      </w:r>
      <w:r w:rsidRPr="00C6726B">
        <w:rPr>
          <w:rFonts w:ascii="Arial" w:hAnsi="Arial" w:cs="Arial"/>
          <w:color w:val="0D0D0D" w:themeColor="text1" w:themeTint="F2"/>
          <w:sz w:val="23"/>
          <w:szCs w:val="23"/>
        </w:rPr>
        <w:t xml:space="preserve"> March 2026).</w:t>
      </w:r>
    </w:p>
    <w:p w14:paraId="78CC0F00" w14:textId="567254CF"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proofErr w:type="spellStart"/>
      <w:r w:rsidRPr="00C6726B">
        <w:rPr>
          <w:rFonts w:ascii="Arial" w:hAnsi="Arial" w:cs="Arial"/>
          <w:color w:val="0D0D0D" w:themeColor="text1" w:themeTint="F2"/>
          <w:sz w:val="23"/>
          <w:szCs w:val="23"/>
          <w:shd w:val="clear" w:color="auto" w:fill="FFFFFF"/>
        </w:rPr>
        <w:t>Desgourdes</w:t>
      </w:r>
      <w:proofErr w:type="spellEnd"/>
      <w:r w:rsidRPr="00C6726B">
        <w:rPr>
          <w:rFonts w:ascii="Arial" w:hAnsi="Arial" w:cs="Arial"/>
          <w:color w:val="0D0D0D" w:themeColor="text1" w:themeTint="F2"/>
          <w:sz w:val="23"/>
          <w:szCs w:val="23"/>
          <w:shd w:val="clear" w:color="auto" w:fill="FFFFFF"/>
        </w:rPr>
        <w:t xml:space="preserve">, C., </w:t>
      </w:r>
      <w:proofErr w:type="spellStart"/>
      <w:r w:rsidRPr="00C6726B">
        <w:rPr>
          <w:rFonts w:ascii="Arial" w:hAnsi="Arial" w:cs="Arial"/>
          <w:color w:val="0D0D0D" w:themeColor="text1" w:themeTint="F2"/>
          <w:sz w:val="23"/>
          <w:szCs w:val="23"/>
          <w:shd w:val="clear" w:color="auto" w:fill="FFFFFF"/>
        </w:rPr>
        <w:t>Hasnaoui</w:t>
      </w:r>
      <w:proofErr w:type="spellEnd"/>
      <w:r w:rsidRPr="00C6726B">
        <w:rPr>
          <w:rFonts w:ascii="Arial" w:hAnsi="Arial" w:cs="Arial"/>
          <w:color w:val="0D0D0D" w:themeColor="text1" w:themeTint="F2"/>
          <w:sz w:val="23"/>
          <w:szCs w:val="23"/>
          <w:shd w:val="clear" w:color="auto" w:fill="FFFFFF"/>
        </w:rPr>
        <w:t xml:space="preserve">, J., Umar, M.,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w:t>
      </w:r>
      <w:proofErr w:type="spellStart"/>
      <w:r w:rsidRPr="00C6726B">
        <w:rPr>
          <w:rFonts w:ascii="Arial" w:hAnsi="Arial" w:cs="Arial"/>
          <w:color w:val="0D0D0D" w:themeColor="text1" w:themeTint="F2"/>
          <w:sz w:val="23"/>
          <w:szCs w:val="23"/>
          <w:shd w:val="clear" w:color="auto" w:fill="FFFFFF"/>
        </w:rPr>
        <w:t>Feliu</w:t>
      </w:r>
      <w:proofErr w:type="spellEnd"/>
      <w:r w:rsidRPr="00C6726B">
        <w:rPr>
          <w:rFonts w:ascii="Arial" w:hAnsi="Arial" w:cs="Arial"/>
          <w:color w:val="0D0D0D" w:themeColor="text1" w:themeTint="F2"/>
          <w:sz w:val="23"/>
          <w:szCs w:val="23"/>
          <w:shd w:val="clear" w:color="auto" w:fill="FFFFFF"/>
        </w:rPr>
        <w:t>, J. G. (2024).</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 xml:space="preserve">“Decoding laissez-faire leadership: an in-depth study on its influence over employee autonomy and well-being at </w:t>
      </w:r>
      <w:r w:rsidRPr="00C6726B">
        <w:rPr>
          <w:rFonts w:ascii="Arial" w:hAnsi="Arial" w:cs="Arial"/>
          <w:color w:val="0D0D0D" w:themeColor="text1" w:themeTint="F2"/>
          <w:sz w:val="23"/>
          <w:szCs w:val="23"/>
          <w:shd w:val="clear" w:color="auto" w:fill="FFFFFF"/>
        </w:rPr>
        <w:lastRenderedPageBreak/>
        <w:t>work,”</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International entrepreneurship and management journal</w:t>
      </w:r>
      <w:r w:rsidRPr="00C6726B">
        <w:rPr>
          <w:rFonts w:ascii="Arial" w:hAnsi="Arial" w:cs="Arial"/>
          <w:color w:val="0D0D0D" w:themeColor="text1" w:themeTint="F2"/>
          <w:sz w:val="23"/>
          <w:szCs w:val="23"/>
          <w:shd w:val="clear" w:color="auto" w:fill="FFFFFF"/>
        </w:rPr>
        <w:t>, 20(2), pp. 1047–1065. Available at: https://doi.org/10.1007/s11365-023-00927-5.</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(Accessed: 1</w:t>
      </w:r>
      <w:r w:rsidR="000A30D0" w:rsidRPr="00C6726B">
        <w:rPr>
          <w:rFonts w:ascii="Arial" w:hAnsi="Arial" w:cs="Arial"/>
          <w:color w:val="0D0D0D" w:themeColor="text1" w:themeTint="F2"/>
          <w:sz w:val="23"/>
          <w:szCs w:val="23"/>
        </w:rPr>
        <w:t>4</w:t>
      </w:r>
      <w:r w:rsidR="000A30D0" w:rsidRPr="00C6726B">
        <w:rPr>
          <w:rFonts w:ascii="Arial" w:hAnsi="Arial" w:cs="Arial"/>
          <w:color w:val="0D0D0D" w:themeColor="text1" w:themeTint="F2"/>
          <w:sz w:val="23"/>
          <w:szCs w:val="23"/>
        </w:rPr>
        <w:t xml:space="preserve"> March 2026).</w:t>
      </w:r>
    </w:p>
    <w:p w14:paraId="47686C4F" w14:textId="4075E3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Hussain, F., Cooper, A., Carson-Stevens, A., Donaldson, L., Hibbert, P., Hughes, T., &amp; Edwards, A. (2019).</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 xml:space="preserve"> “Diagnostic error in the emergency department: learning from national patient safety incident report analysis,”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BMC emergency medicine</w:t>
      </w:r>
      <w:r w:rsidRPr="00C6726B">
        <w:rPr>
          <w:rFonts w:ascii="Arial" w:hAnsi="Arial" w:cs="Arial"/>
          <w:color w:val="0D0D0D" w:themeColor="text1" w:themeTint="F2"/>
          <w:sz w:val="23"/>
          <w:szCs w:val="23"/>
          <w:shd w:val="clear" w:color="auto" w:fill="FFFFFF"/>
        </w:rPr>
        <w:t>, 19(1). Available at: https://doi.org/10.1186/s12873-019-0289-3.</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 xml:space="preserve">(Accessed: </w:t>
      </w:r>
      <w:r w:rsidR="000A30D0" w:rsidRPr="00C6726B">
        <w:rPr>
          <w:rFonts w:ascii="Arial" w:hAnsi="Arial" w:cs="Arial"/>
          <w:color w:val="0D0D0D" w:themeColor="text1" w:themeTint="F2"/>
          <w:sz w:val="23"/>
          <w:szCs w:val="23"/>
        </w:rPr>
        <w:t>22</w:t>
      </w:r>
      <w:r w:rsidR="000A30D0" w:rsidRPr="00C6726B">
        <w:rPr>
          <w:rFonts w:ascii="Arial" w:hAnsi="Arial" w:cs="Arial"/>
          <w:color w:val="0D0D0D" w:themeColor="text1" w:themeTint="F2"/>
          <w:sz w:val="23"/>
          <w:szCs w:val="23"/>
        </w:rPr>
        <w:t xml:space="preserve"> March 2026).</w:t>
      </w:r>
    </w:p>
    <w:p w14:paraId="0C0FEF8A" w14:textId="3FA5B146"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Kristensen, K., Wang, S., Velasco, D. A., </w:t>
      </w:r>
      <w:proofErr w:type="spellStart"/>
      <w:r w:rsidRPr="00C6726B">
        <w:rPr>
          <w:rFonts w:ascii="Arial" w:hAnsi="Arial" w:cs="Arial"/>
          <w:color w:val="0D0D0D" w:themeColor="text1" w:themeTint="F2"/>
          <w:sz w:val="23"/>
          <w:szCs w:val="23"/>
          <w:shd w:val="clear" w:color="auto" w:fill="FFFFFF"/>
        </w:rPr>
        <w:t>Põlluste</w:t>
      </w:r>
      <w:proofErr w:type="spellEnd"/>
      <w:r w:rsidRPr="00C6726B">
        <w:rPr>
          <w:rFonts w:ascii="Arial" w:hAnsi="Arial" w:cs="Arial"/>
          <w:color w:val="0D0D0D" w:themeColor="text1" w:themeTint="F2"/>
          <w:sz w:val="23"/>
          <w:szCs w:val="23"/>
          <w:shd w:val="clear" w:color="auto" w:fill="FFFFFF"/>
        </w:rPr>
        <w:t xml:space="preserve">, K., </w:t>
      </w:r>
      <w:proofErr w:type="spellStart"/>
      <w:r w:rsidRPr="00C6726B">
        <w:rPr>
          <w:rFonts w:ascii="Arial" w:hAnsi="Arial" w:cs="Arial"/>
          <w:color w:val="0D0D0D" w:themeColor="text1" w:themeTint="F2"/>
          <w:sz w:val="23"/>
          <w:szCs w:val="23"/>
          <w:shd w:val="clear" w:color="auto" w:fill="FFFFFF"/>
        </w:rPr>
        <w:t>Žaludek</w:t>
      </w:r>
      <w:proofErr w:type="spellEnd"/>
      <w:r w:rsidRPr="00C6726B">
        <w:rPr>
          <w:rFonts w:ascii="Arial" w:hAnsi="Arial" w:cs="Arial"/>
          <w:color w:val="0D0D0D" w:themeColor="text1" w:themeTint="F2"/>
          <w:sz w:val="23"/>
          <w:szCs w:val="23"/>
          <w:shd w:val="clear" w:color="auto" w:fill="FFFFFF"/>
        </w:rPr>
        <w:t xml:space="preserve">, A., Sousa, P., </w:t>
      </w:r>
      <w:proofErr w:type="spellStart"/>
      <w:r w:rsidRPr="00C6726B">
        <w:rPr>
          <w:rFonts w:ascii="Arial" w:hAnsi="Arial" w:cs="Arial"/>
          <w:color w:val="0D0D0D" w:themeColor="text1" w:themeTint="F2"/>
          <w:sz w:val="23"/>
          <w:szCs w:val="23"/>
          <w:shd w:val="clear" w:color="auto" w:fill="FFFFFF"/>
        </w:rPr>
        <w:t>Orrego</w:t>
      </w:r>
      <w:proofErr w:type="spellEnd"/>
      <w:r w:rsidRPr="00C6726B">
        <w:rPr>
          <w:rFonts w:ascii="Arial" w:hAnsi="Arial" w:cs="Arial"/>
          <w:color w:val="0D0D0D" w:themeColor="text1" w:themeTint="F2"/>
          <w:sz w:val="23"/>
          <w:szCs w:val="23"/>
          <w:shd w:val="clear" w:color="auto" w:fill="FFFFFF"/>
        </w:rPr>
        <w:t xml:space="preserve">, C.,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w:t>
      </w:r>
      <w:proofErr w:type="spellStart"/>
      <w:r w:rsidRPr="00C6726B">
        <w:rPr>
          <w:rFonts w:ascii="Arial" w:hAnsi="Arial" w:cs="Arial"/>
          <w:color w:val="0D0D0D" w:themeColor="text1" w:themeTint="F2"/>
          <w:sz w:val="23"/>
          <w:szCs w:val="23"/>
          <w:shd w:val="clear" w:color="auto" w:fill="FFFFFF"/>
        </w:rPr>
        <w:t>Groene</w:t>
      </w:r>
      <w:proofErr w:type="spellEnd"/>
      <w:r w:rsidRPr="00C6726B">
        <w:rPr>
          <w:rFonts w:ascii="Arial" w:hAnsi="Arial" w:cs="Arial"/>
          <w:color w:val="0D0D0D" w:themeColor="text1" w:themeTint="F2"/>
          <w:sz w:val="23"/>
          <w:szCs w:val="23"/>
          <w:shd w:val="clear" w:color="auto" w:fill="FFFFFF"/>
        </w:rPr>
        <w:t>, O. (2025).</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“Sustaining perioperative patient safety improvement: the relevance of patient safety policies and contextual factors in European healthcare systems,”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International journal for quality in health care</w:t>
      </w:r>
      <w:r w:rsidRPr="00C6726B">
        <w:rPr>
          <w:rFonts w:ascii="Arial" w:hAnsi="Arial" w:cs="Arial"/>
          <w:color w:val="0D0D0D" w:themeColor="text1" w:themeTint="F2"/>
          <w:sz w:val="23"/>
          <w:szCs w:val="23"/>
          <w:shd w:val="clear" w:color="auto" w:fill="FFFFFF"/>
        </w:rPr>
        <w:t>, 37(4). Available at: https://doi.org/10.1093/intqhc/mzaf105.</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(Accessed: 3</w:t>
      </w:r>
      <w:r w:rsidR="000A30D0" w:rsidRPr="00C6726B">
        <w:rPr>
          <w:rFonts w:ascii="Arial" w:hAnsi="Arial" w:cs="Arial"/>
          <w:color w:val="0D0D0D" w:themeColor="text1" w:themeTint="F2"/>
          <w:sz w:val="23"/>
          <w:szCs w:val="23"/>
        </w:rPr>
        <w:t>0</w:t>
      </w:r>
      <w:r w:rsidRPr="00C6726B">
        <w:rPr>
          <w:rFonts w:ascii="Arial" w:hAnsi="Arial" w:cs="Arial"/>
          <w:color w:val="0D0D0D" w:themeColor="text1" w:themeTint="F2"/>
          <w:sz w:val="23"/>
          <w:szCs w:val="23"/>
        </w:rPr>
        <w:t xml:space="preserve"> March 2026).</w:t>
      </w:r>
    </w:p>
    <w:p w14:paraId="5A6536A1" w14:textId="5EEC72D4"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Lamming, L., Montague, J., </w:t>
      </w:r>
      <w:proofErr w:type="spellStart"/>
      <w:r w:rsidRPr="00C6726B">
        <w:rPr>
          <w:rFonts w:ascii="Arial" w:hAnsi="Arial" w:cs="Arial"/>
          <w:color w:val="0D0D0D" w:themeColor="text1" w:themeTint="F2"/>
          <w:sz w:val="23"/>
          <w:szCs w:val="23"/>
          <w:shd w:val="clear" w:color="auto" w:fill="FFFFFF"/>
        </w:rPr>
        <w:t>Crosswaite</w:t>
      </w:r>
      <w:proofErr w:type="spellEnd"/>
      <w:r w:rsidRPr="00C6726B">
        <w:rPr>
          <w:rFonts w:ascii="Arial" w:hAnsi="Arial" w:cs="Arial"/>
          <w:color w:val="0D0D0D" w:themeColor="text1" w:themeTint="F2"/>
          <w:sz w:val="23"/>
          <w:szCs w:val="23"/>
          <w:shd w:val="clear" w:color="auto" w:fill="FFFFFF"/>
        </w:rPr>
        <w:t xml:space="preserve">, K., Faisal, M., </w:t>
      </w:r>
      <w:proofErr w:type="spellStart"/>
      <w:r w:rsidRPr="00C6726B">
        <w:rPr>
          <w:rFonts w:ascii="Arial" w:hAnsi="Arial" w:cs="Arial"/>
          <w:color w:val="0D0D0D" w:themeColor="text1" w:themeTint="F2"/>
          <w:sz w:val="23"/>
          <w:szCs w:val="23"/>
          <w:shd w:val="clear" w:color="auto" w:fill="FFFFFF"/>
        </w:rPr>
        <w:t>McDonach</w:t>
      </w:r>
      <w:proofErr w:type="spellEnd"/>
      <w:r w:rsidRPr="00C6726B">
        <w:rPr>
          <w:rFonts w:ascii="Arial" w:hAnsi="Arial" w:cs="Arial"/>
          <w:color w:val="0D0D0D" w:themeColor="text1" w:themeTint="F2"/>
          <w:sz w:val="23"/>
          <w:szCs w:val="23"/>
          <w:shd w:val="clear" w:color="auto" w:fill="FFFFFF"/>
        </w:rPr>
        <w:t xml:space="preserve">, E., Mohammed, M. A., Cracknell, A., </w:t>
      </w:r>
      <w:proofErr w:type="spellStart"/>
      <w:r w:rsidRPr="00C6726B">
        <w:rPr>
          <w:rFonts w:ascii="Arial" w:hAnsi="Arial" w:cs="Arial"/>
          <w:color w:val="0D0D0D" w:themeColor="text1" w:themeTint="F2"/>
          <w:sz w:val="23"/>
          <w:szCs w:val="23"/>
          <w:shd w:val="clear" w:color="auto" w:fill="FFFFFF"/>
        </w:rPr>
        <w:t>Lovatt</w:t>
      </w:r>
      <w:proofErr w:type="spellEnd"/>
      <w:r w:rsidRPr="00C6726B">
        <w:rPr>
          <w:rFonts w:ascii="Arial" w:hAnsi="Arial" w:cs="Arial"/>
          <w:color w:val="0D0D0D" w:themeColor="text1" w:themeTint="F2"/>
          <w:sz w:val="23"/>
          <w:szCs w:val="23"/>
          <w:shd w:val="clear" w:color="auto" w:fill="FFFFFF"/>
        </w:rPr>
        <w:t xml:space="preserve">, A.,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Slater, B. (2021).</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 xml:space="preserve"> “Fidelity and the impact of patient safety huddles on teamwork and safety culture: an evaluation of the Huddle Up for Safer Healthcare (HUSH) project,”</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BMC health services research</w:t>
      </w:r>
      <w:r w:rsidRPr="00C6726B">
        <w:rPr>
          <w:rFonts w:ascii="Arial" w:hAnsi="Arial" w:cs="Arial"/>
          <w:color w:val="0D0D0D" w:themeColor="text1" w:themeTint="F2"/>
          <w:sz w:val="23"/>
          <w:szCs w:val="23"/>
          <w:shd w:val="clear" w:color="auto" w:fill="FFFFFF"/>
        </w:rPr>
        <w:t>, 21(1). Available at: https://doi.org/10.1186/s12913-021-07080-1.</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(Accessed: 1</w:t>
      </w:r>
      <w:r w:rsidR="000A30D0" w:rsidRPr="00C6726B">
        <w:rPr>
          <w:rFonts w:ascii="Arial" w:hAnsi="Arial" w:cs="Arial"/>
          <w:color w:val="0D0D0D" w:themeColor="text1" w:themeTint="F2"/>
          <w:sz w:val="23"/>
          <w:szCs w:val="23"/>
        </w:rPr>
        <w:t>8</w:t>
      </w:r>
      <w:r w:rsidR="000A30D0" w:rsidRPr="00C6726B">
        <w:rPr>
          <w:rFonts w:ascii="Arial" w:hAnsi="Arial" w:cs="Arial"/>
          <w:color w:val="0D0D0D" w:themeColor="text1" w:themeTint="F2"/>
          <w:sz w:val="23"/>
          <w:szCs w:val="23"/>
        </w:rPr>
        <w:t xml:space="preserve"> March 2026).</w:t>
      </w:r>
    </w:p>
    <w:p w14:paraId="77EDB2D9" w14:textId="5985B223"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proofErr w:type="spellStart"/>
      <w:r w:rsidRPr="00C6726B">
        <w:rPr>
          <w:rFonts w:ascii="Arial" w:hAnsi="Arial" w:cs="Arial"/>
          <w:color w:val="0D0D0D" w:themeColor="text1" w:themeTint="F2"/>
          <w:sz w:val="23"/>
          <w:szCs w:val="23"/>
          <w:shd w:val="clear" w:color="auto" w:fill="FFFFFF"/>
        </w:rPr>
        <w:t>Ludvigsson</w:t>
      </w:r>
      <w:proofErr w:type="spellEnd"/>
      <w:r w:rsidRPr="00C6726B">
        <w:rPr>
          <w:rFonts w:ascii="Arial" w:hAnsi="Arial" w:cs="Arial"/>
          <w:color w:val="0D0D0D" w:themeColor="text1" w:themeTint="F2"/>
          <w:sz w:val="23"/>
          <w:szCs w:val="23"/>
          <w:shd w:val="clear" w:color="auto" w:fill="FFFFFF"/>
        </w:rPr>
        <w:t xml:space="preserve">, J. F., Bergman, D., Lundgren, C. I., </w:t>
      </w:r>
      <w:proofErr w:type="spellStart"/>
      <w:r w:rsidRPr="00C6726B">
        <w:rPr>
          <w:rFonts w:ascii="Arial" w:hAnsi="Arial" w:cs="Arial"/>
          <w:color w:val="0D0D0D" w:themeColor="text1" w:themeTint="F2"/>
          <w:sz w:val="23"/>
          <w:szCs w:val="23"/>
          <w:shd w:val="clear" w:color="auto" w:fill="FFFFFF"/>
        </w:rPr>
        <w:t>Sundquist</w:t>
      </w:r>
      <w:proofErr w:type="spellEnd"/>
      <w:r w:rsidRPr="00C6726B">
        <w:rPr>
          <w:rFonts w:ascii="Arial" w:hAnsi="Arial" w:cs="Arial"/>
          <w:color w:val="0D0D0D" w:themeColor="text1" w:themeTint="F2"/>
          <w:sz w:val="23"/>
          <w:szCs w:val="23"/>
          <w:shd w:val="clear" w:color="auto" w:fill="FFFFFF"/>
        </w:rPr>
        <w:t xml:space="preserve">, K., </w:t>
      </w:r>
      <w:proofErr w:type="spellStart"/>
      <w:r w:rsidRPr="00C6726B">
        <w:rPr>
          <w:rFonts w:ascii="Arial" w:hAnsi="Arial" w:cs="Arial"/>
          <w:color w:val="0D0D0D" w:themeColor="text1" w:themeTint="F2"/>
          <w:sz w:val="23"/>
          <w:szCs w:val="23"/>
          <w:shd w:val="clear" w:color="auto" w:fill="FFFFFF"/>
        </w:rPr>
        <w:t>Geijerstam</w:t>
      </w:r>
      <w:proofErr w:type="spellEnd"/>
      <w:r w:rsidRPr="00C6726B">
        <w:rPr>
          <w:rFonts w:ascii="Arial" w:hAnsi="Arial" w:cs="Arial"/>
          <w:color w:val="0D0D0D" w:themeColor="text1" w:themeTint="F2"/>
          <w:sz w:val="23"/>
          <w:szCs w:val="23"/>
          <w:shd w:val="clear" w:color="auto" w:fill="FFFFFF"/>
        </w:rPr>
        <w:t xml:space="preserve">, J.-L. </w:t>
      </w:r>
      <w:proofErr w:type="spellStart"/>
      <w:r w:rsidRPr="00C6726B">
        <w:rPr>
          <w:rFonts w:ascii="Arial" w:hAnsi="Arial" w:cs="Arial"/>
          <w:color w:val="0D0D0D" w:themeColor="text1" w:themeTint="F2"/>
          <w:sz w:val="23"/>
          <w:szCs w:val="23"/>
          <w:shd w:val="clear" w:color="auto" w:fill="FFFFFF"/>
        </w:rPr>
        <w:t>af</w:t>
      </w:r>
      <w:proofErr w:type="spellEnd"/>
      <w:r w:rsidRPr="00C6726B">
        <w:rPr>
          <w:rFonts w:ascii="Arial" w:hAnsi="Arial" w:cs="Arial"/>
          <w:color w:val="0D0D0D" w:themeColor="text1" w:themeTint="F2"/>
          <w:sz w:val="23"/>
          <w:szCs w:val="23"/>
          <w:shd w:val="clear" w:color="auto" w:fill="FFFFFF"/>
        </w:rPr>
        <w:t xml:space="preserve">, </w:t>
      </w:r>
      <w:proofErr w:type="spellStart"/>
      <w:r w:rsidRPr="00C6726B">
        <w:rPr>
          <w:rFonts w:ascii="Arial" w:hAnsi="Arial" w:cs="Arial"/>
          <w:color w:val="0D0D0D" w:themeColor="text1" w:themeTint="F2"/>
          <w:sz w:val="23"/>
          <w:szCs w:val="23"/>
          <w:shd w:val="clear" w:color="auto" w:fill="FFFFFF"/>
        </w:rPr>
        <w:t>Glenngård</w:t>
      </w:r>
      <w:proofErr w:type="spellEnd"/>
      <w:r w:rsidRPr="00C6726B">
        <w:rPr>
          <w:rFonts w:ascii="Arial" w:hAnsi="Arial" w:cs="Arial"/>
          <w:color w:val="0D0D0D" w:themeColor="text1" w:themeTint="F2"/>
          <w:sz w:val="23"/>
          <w:szCs w:val="23"/>
          <w:shd w:val="clear" w:color="auto" w:fill="FFFFFF"/>
        </w:rPr>
        <w:t xml:space="preserve">, A. H., Lindh, M., </w:t>
      </w:r>
      <w:proofErr w:type="spellStart"/>
      <w:r w:rsidRPr="00C6726B">
        <w:rPr>
          <w:rFonts w:ascii="Arial" w:hAnsi="Arial" w:cs="Arial"/>
          <w:color w:val="0D0D0D" w:themeColor="text1" w:themeTint="F2"/>
          <w:sz w:val="23"/>
          <w:szCs w:val="23"/>
          <w:shd w:val="clear" w:color="auto" w:fill="FFFFFF"/>
        </w:rPr>
        <w:t>Sundström</w:t>
      </w:r>
      <w:proofErr w:type="spellEnd"/>
      <w:r w:rsidRPr="00C6726B">
        <w:rPr>
          <w:rFonts w:ascii="Arial" w:hAnsi="Arial" w:cs="Arial"/>
          <w:color w:val="0D0D0D" w:themeColor="text1" w:themeTint="F2"/>
          <w:sz w:val="23"/>
          <w:szCs w:val="23"/>
          <w:shd w:val="clear" w:color="auto" w:fill="FFFFFF"/>
        </w:rPr>
        <w:t xml:space="preserve">, J., </w:t>
      </w:r>
      <w:proofErr w:type="spellStart"/>
      <w:r w:rsidRPr="00C6726B">
        <w:rPr>
          <w:rFonts w:ascii="Arial" w:hAnsi="Arial" w:cs="Arial"/>
          <w:color w:val="0D0D0D" w:themeColor="text1" w:themeTint="F2"/>
          <w:sz w:val="23"/>
          <w:szCs w:val="23"/>
          <w:shd w:val="clear" w:color="auto" w:fill="FFFFFF"/>
        </w:rPr>
        <w:t>Kaarme</w:t>
      </w:r>
      <w:proofErr w:type="spellEnd"/>
      <w:r w:rsidRPr="00C6726B">
        <w:rPr>
          <w:rFonts w:ascii="Arial" w:hAnsi="Arial" w:cs="Arial"/>
          <w:color w:val="0D0D0D" w:themeColor="text1" w:themeTint="F2"/>
          <w:sz w:val="23"/>
          <w:szCs w:val="23"/>
          <w:shd w:val="clear" w:color="auto" w:fill="FFFFFF"/>
        </w:rPr>
        <w:t xml:space="preserve">, J., </w:t>
      </w:r>
      <w:r w:rsidRPr="00C6726B">
        <w:rPr>
          <w:rFonts w:ascii="Arial" w:hAnsi="Arial" w:cs="Arial"/>
          <w:color w:val="0D0D0D" w:themeColor="text1" w:themeTint="F2"/>
          <w:sz w:val="23"/>
          <w:szCs w:val="23"/>
          <w:shd w:val="clear" w:color="auto" w:fill="FFFFFF"/>
        </w:rPr>
        <w:t xml:space="preserve">and </w:t>
      </w:r>
      <w:r w:rsidRPr="00C6726B">
        <w:rPr>
          <w:rFonts w:ascii="Arial" w:hAnsi="Arial" w:cs="Arial"/>
          <w:color w:val="0D0D0D" w:themeColor="text1" w:themeTint="F2"/>
          <w:sz w:val="23"/>
          <w:szCs w:val="23"/>
          <w:shd w:val="clear" w:color="auto" w:fill="FFFFFF"/>
        </w:rPr>
        <w:t>Yao, J. (2025).</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“The healthcare system in Sweden,”</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European journal of epidemiology</w:t>
      </w:r>
      <w:r w:rsidRPr="00C6726B">
        <w:rPr>
          <w:rFonts w:ascii="Arial" w:hAnsi="Arial" w:cs="Arial"/>
          <w:color w:val="0D0D0D" w:themeColor="text1" w:themeTint="F2"/>
          <w:sz w:val="23"/>
          <w:szCs w:val="23"/>
          <w:shd w:val="clear" w:color="auto" w:fill="FFFFFF"/>
        </w:rPr>
        <w:t>, 40(5), pp. 563–579. Available at: https://doi.org/10.1007/s10654-025-01226-9.</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 xml:space="preserve">(Accessed: </w:t>
      </w:r>
      <w:r w:rsidR="000A30D0" w:rsidRPr="00C6726B">
        <w:rPr>
          <w:rFonts w:ascii="Arial" w:hAnsi="Arial" w:cs="Arial"/>
          <w:color w:val="0D0D0D" w:themeColor="text1" w:themeTint="F2"/>
          <w:sz w:val="23"/>
          <w:szCs w:val="23"/>
        </w:rPr>
        <w:t>3</w:t>
      </w:r>
      <w:r w:rsidR="000A30D0" w:rsidRPr="00C6726B">
        <w:rPr>
          <w:rFonts w:ascii="Arial" w:hAnsi="Arial" w:cs="Arial"/>
          <w:color w:val="0D0D0D" w:themeColor="text1" w:themeTint="F2"/>
          <w:sz w:val="23"/>
          <w:szCs w:val="23"/>
        </w:rPr>
        <w:t xml:space="preserve"> March 2026).</w:t>
      </w:r>
    </w:p>
    <w:p w14:paraId="30E1981F" w14:textId="3F5A54EF"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Mahajan, U., </w:t>
      </w:r>
      <w:proofErr w:type="spellStart"/>
      <w:r w:rsidRPr="00C6726B">
        <w:rPr>
          <w:rFonts w:ascii="Arial" w:hAnsi="Arial" w:cs="Arial"/>
          <w:color w:val="0D0D0D" w:themeColor="text1" w:themeTint="F2"/>
          <w:sz w:val="23"/>
          <w:szCs w:val="23"/>
          <w:shd w:val="clear" w:color="auto" w:fill="FFFFFF"/>
        </w:rPr>
        <w:t>Parpia</w:t>
      </w:r>
      <w:proofErr w:type="spellEnd"/>
      <w:r w:rsidRPr="00C6726B">
        <w:rPr>
          <w:rFonts w:ascii="Arial" w:hAnsi="Arial" w:cs="Arial"/>
          <w:color w:val="0D0D0D" w:themeColor="text1" w:themeTint="F2"/>
          <w:sz w:val="23"/>
          <w:szCs w:val="23"/>
          <w:shd w:val="clear" w:color="auto" w:fill="FFFFFF"/>
        </w:rPr>
        <w:t xml:space="preserve">, S. S. A., Akhtar, M., Gupta, R.,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Gupta, V. (2025).</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 xml:space="preserve">“Understanding Engagement </w:t>
      </w:r>
      <w:r w:rsidRPr="00C6726B">
        <w:rPr>
          <w:rFonts w:ascii="Arial" w:hAnsi="Arial" w:cs="Arial"/>
          <w:color w:val="0D0D0D" w:themeColor="text1" w:themeTint="F2"/>
          <w:sz w:val="23"/>
          <w:szCs w:val="23"/>
          <w:shd w:val="clear" w:color="auto" w:fill="FFFFFF"/>
        </w:rPr>
        <w:t>with</w:t>
      </w:r>
      <w:r w:rsidRPr="00C6726B">
        <w:rPr>
          <w:rFonts w:ascii="Arial" w:hAnsi="Arial" w:cs="Arial"/>
          <w:color w:val="0D0D0D" w:themeColor="text1" w:themeTint="F2"/>
          <w:sz w:val="23"/>
          <w:szCs w:val="23"/>
          <w:shd w:val="clear" w:color="auto" w:fill="FFFFFF"/>
        </w:rPr>
        <w:t xml:space="preserve"> Incident Reporting Systems Among NHS Healthcare Professionals: A Cross-Sectional Study,”</w:t>
      </w:r>
      <w:r w:rsidRPr="00C6726B">
        <w:rPr>
          <w:rStyle w:val="apple-converted-space"/>
          <w:rFonts w:ascii="Arial" w:eastAsiaTheme="majorEastAsia" w:hAnsi="Arial" w:cs="Arial"/>
          <w:color w:val="0D0D0D" w:themeColor="text1" w:themeTint="F2"/>
          <w:sz w:val="23"/>
          <w:szCs w:val="23"/>
          <w:shd w:val="clear" w:color="auto" w:fill="FFFFFF"/>
        </w:rPr>
        <w:t> </w:t>
      </w:r>
      <w:proofErr w:type="spellStart"/>
      <w:r w:rsidRPr="00C6726B">
        <w:rPr>
          <w:rFonts w:ascii="Arial" w:hAnsi="Arial" w:cs="Arial"/>
          <w:i/>
          <w:iCs/>
          <w:color w:val="0D0D0D" w:themeColor="text1" w:themeTint="F2"/>
          <w:sz w:val="23"/>
          <w:szCs w:val="23"/>
        </w:rPr>
        <w:t>Curēus</w:t>
      </w:r>
      <w:proofErr w:type="spellEnd"/>
      <w:r w:rsidRPr="00C6726B">
        <w:rPr>
          <w:rFonts w:ascii="Arial" w:hAnsi="Arial" w:cs="Arial"/>
          <w:i/>
          <w:iCs/>
          <w:color w:val="0D0D0D" w:themeColor="text1" w:themeTint="F2"/>
          <w:sz w:val="23"/>
          <w:szCs w:val="23"/>
        </w:rPr>
        <w:t xml:space="preserve"> (Palo Alto, CA)</w:t>
      </w:r>
      <w:r w:rsidRPr="00C6726B">
        <w:rPr>
          <w:rFonts w:ascii="Arial" w:hAnsi="Arial" w:cs="Arial"/>
          <w:color w:val="0D0D0D" w:themeColor="text1" w:themeTint="F2"/>
          <w:sz w:val="23"/>
          <w:szCs w:val="23"/>
          <w:shd w:val="clear" w:color="auto" w:fill="FFFFFF"/>
        </w:rPr>
        <w:t>, 17(11), p. e97060. Available at: https://doi.org/10.7759/cureus.97060.</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(Accessed: 1</w:t>
      </w:r>
      <w:r w:rsidR="000A30D0" w:rsidRPr="00C6726B">
        <w:rPr>
          <w:rFonts w:ascii="Arial" w:hAnsi="Arial" w:cs="Arial"/>
          <w:color w:val="0D0D0D" w:themeColor="text1" w:themeTint="F2"/>
          <w:sz w:val="23"/>
          <w:szCs w:val="23"/>
        </w:rPr>
        <w:t>6</w:t>
      </w:r>
      <w:r w:rsidR="000A30D0" w:rsidRPr="00C6726B">
        <w:rPr>
          <w:rFonts w:ascii="Arial" w:hAnsi="Arial" w:cs="Arial"/>
          <w:color w:val="0D0D0D" w:themeColor="text1" w:themeTint="F2"/>
          <w:sz w:val="23"/>
          <w:szCs w:val="23"/>
        </w:rPr>
        <w:t xml:space="preserve"> March 2026).</w:t>
      </w:r>
    </w:p>
    <w:p w14:paraId="5995BD18" w14:textId="7197C176"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Martin, G. P., Chew, S.,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Dixon-Woods, M. (2021).</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 xml:space="preserve">“Why do systems for responding to concerns and complaints so often fail patients, </w:t>
      </w:r>
      <w:proofErr w:type="gramStart"/>
      <w:r w:rsidRPr="00C6726B">
        <w:rPr>
          <w:rFonts w:ascii="Arial" w:hAnsi="Arial" w:cs="Arial"/>
          <w:color w:val="0D0D0D" w:themeColor="text1" w:themeTint="F2"/>
          <w:sz w:val="23"/>
          <w:szCs w:val="23"/>
          <w:shd w:val="clear" w:color="auto" w:fill="FFFFFF"/>
        </w:rPr>
        <w:t>families</w:t>
      </w:r>
      <w:proofErr w:type="gramEnd"/>
      <w:r w:rsidRPr="00C6726B">
        <w:rPr>
          <w:rFonts w:ascii="Arial" w:hAnsi="Arial" w:cs="Arial"/>
          <w:color w:val="0D0D0D" w:themeColor="text1" w:themeTint="F2"/>
          <w:sz w:val="23"/>
          <w:szCs w:val="23"/>
          <w:shd w:val="clear" w:color="auto" w:fill="FFFFFF"/>
        </w:rPr>
        <w:t xml:space="preserve"> and healthcare staff? A qualitative study,”</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Social science &amp; medicine (1982)</w:t>
      </w:r>
      <w:r w:rsidRPr="00C6726B">
        <w:rPr>
          <w:rFonts w:ascii="Arial" w:hAnsi="Arial" w:cs="Arial"/>
          <w:color w:val="0D0D0D" w:themeColor="text1" w:themeTint="F2"/>
          <w:sz w:val="23"/>
          <w:szCs w:val="23"/>
          <w:shd w:val="clear" w:color="auto" w:fill="FFFFFF"/>
        </w:rPr>
        <w:t>, 287. Available at: https://doi.org/10.1016/j.socscimed.2021.114375.</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(Accessed: 1</w:t>
      </w:r>
      <w:r w:rsidR="000A30D0" w:rsidRPr="00C6726B">
        <w:rPr>
          <w:rFonts w:ascii="Arial" w:hAnsi="Arial" w:cs="Arial"/>
          <w:color w:val="0D0D0D" w:themeColor="text1" w:themeTint="F2"/>
          <w:sz w:val="23"/>
          <w:szCs w:val="23"/>
        </w:rPr>
        <w:t>5</w:t>
      </w:r>
      <w:r w:rsidR="000A30D0" w:rsidRPr="00C6726B">
        <w:rPr>
          <w:rFonts w:ascii="Arial" w:hAnsi="Arial" w:cs="Arial"/>
          <w:color w:val="0D0D0D" w:themeColor="text1" w:themeTint="F2"/>
          <w:sz w:val="23"/>
          <w:szCs w:val="23"/>
        </w:rPr>
        <w:t xml:space="preserve"> March 2026).</w:t>
      </w:r>
    </w:p>
    <w:p w14:paraId="608427C5" w14:textId="1258D959"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Montgomery, A., </w:t>
      </w:r>
      <w:proofErr w:type="spellStart"/>
      <w:r w:rsidRPr="00C6726B">
        <w:rPr>
          <w:rFonts w:ascii="Arial" w:hAnsi="Arial" w:cs="Arial"/>
          <w:color w:val="0D0D0D" w:themeColor="text1" w:themeTint="F2"/>
          <w:sz w:val="23"/>
          <w:szCs w:val="23"/>
          <w:shd w:val="clear" w:color="auto" w:fill="FFFFFF"/>
        </w:rPr>
        <w:t>Chalili</w:t>
      </w:r>
      <w:proofErr w:type="spellEnd"/>
      <w:r w:rsidRPr="00C6726B">
        <w:rPr>
          <w:rFonts w:ascii="Arial" w:hAnsi="Arial" w:cs="Arial"/>
          <w:color w:val="0D0D0D" w:themeColor="text1" w:themeTint="F2"/>
          <w:sz w:val="23"/>
          <w:szCs w:val="23"/>
          <w:shd w:val="clear" w:color="auto" w:fill="FFFFFF"/>
        </w:rPr>
        <w:t xml:space="preserve">, V., </w:t>
      </w:r>
      <w:proofErr w:type="spellStart"/>
      <w:r w:rsidRPr="00C6726B">
        <w:rPr>
          <w:rFonts w:ascii="Arial" w:hAnsi="Arial" w:cs="Arial"/>
          <w:color w:val="0D0D0D" w:themeColor="text1" w:themeTint="F2"/>
          <w:sz w:val="23"/>
          <w:szCs w:val="23"/>
          <w:shd w:val="clear" w:color="auto" w:fill="FFFFFF"/>
        </w:rPr>
        <w:t>Lainidi</w:t>
      </w:r>
      <w:proofErr w:type="spellEnd"/>
      <w:r w:rsidRPr="00C6726B">
        <w:rPr>
          <w:rFonts w:ascii="Arial" w:hAnsi="Arial" w:cs="Arial"/>
          <w:color w:val="0D0D0D" w:themeColor="text1" w:themeTint="F2"/>
          <w:sz w:val="23"/>
          <w:szCs w:val="23"/>
          <w:shd w:val="clear" w:color="auto" w:fill="FFFFFF"/>
        </w:rPr>
        <w:t xml:space="preserve">, O., </w:t>
      </w:r>
      <w:proofErr w:type="spellStart"/>
      <w:r w:rsidRPr="00C6726B">
        <w:rPr>
          <w:rFonts w:ascii="Arial" w:hAnsi="Arial" w:cs="Arial"/>
          <w:color w:val="0D0D0D" w:themeColor="text1" w:themeTint="F2"/>
          <w:sz w:val="23"/>
          <w:szCs w:val="23"/>
          <w:shd w:val="clear" w:color="auto" w:fill="FFFFFF"/>
        </w:rPr>
        <w:t>Mouratidis</w:t>
      </w:r>
      <w:proofErr w:type="spellEnd"/>
      <w:r w:rsidRPr="00C6726B">
        <w:rPr>
          <w:rFonts w:ascii="Arial" w:hAnsi="Arial" w:cs="Arial"/>
          <w:color w:val="0D0D0D" w:themeColor="text1" w:themeTint="F2"/>
          <w:sz w:val="23"/>
          <w:szCs w:val="23"/>
          <w:shd w:val="clear" w:color="auto" w:fill="FFFFFF"/>
        </w:rPr>
        <w:t xml:space="preserve">, C., </w:t>
      </w:r>
      <w:proofErr w:type="spellStart"/>
      <w:r w:rsidRPr="00C6726B">
        <w:rPr>
          <w:rFonts w:ascii="Arial" w:hAnsi="Arial" w:cs="Arial"/>
          <w:color w:val="0D0D0D" w:themeColor="text1" w:themeTint="F2"/>
          <w:sz w:val="23"/>
          <w:szCs w:val="23"/>
          <w:shd w:val="clear" w:color="auto" w:fill="FFFFFF"/>
        </w:rPr>
        <w:t>Maliousis</w:t>
      </w:r>
      <w:proofErr w:type="spellEnd"/>
      <w:r w:rsidRPr="00C6726B">
        <w:rPr>
          <w:rFonts w:ascii="Arial" w:hAnsi="Arial" w:cs="Arial"/>
          <w:color w:val="0D0D0D" w:themeColor="text1" w:themeTint="F2"/>
          <w:sz w:val="23"/>
          <w:szCs w:val="23"/>
          <w:shd w:val="clear" w:color="auto" w:fill="FFFFFF"/>
        </w:rPr>
        <w:t xml:space="preserve">, I., </w:t>
      </w:r>
      <w:proofErr w:type="spellStart"/>
      <w:r w:rsidRPr="00C6726B">
        <w:rPr>
          <w:rFonts w:ascii="Arial" w:hAnsi="Arial" w:cs="Arial"/>
          <w:color w:val="0D0D0D" w:themeColor="text1" w:themeTint="F2"/>
          <w:sz w:val="23"/>
          <w:szCs w:val="23"/>
          <w:shd w:val="clear" w:color="auto" w:fill="FFFFFF"/>
        </w:rPr>
        <w:t>Paitaridou</w:t>
      </w:r>
      <w:proofErr w:type="spellEnd"/>
      <w:r w:rsidRPr="00C6726B">
        <w:rPr>
          <w:rFonts w:ascii="Arial" w:hAnsi="Arial" w:cs="Arial"/>
          <w:color w:val="0D0D0D" w:themeColor="text1" w:themeTint="F2"/>
          <w:sz w:val="23"/>
          <w:szCs w:val="23"/>
          <w:shd w:val="clear" w:color="auto" w:fill="FFFFFF"/>
        </w:rPr>
        <w:t xml:space="preserve">, K.,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Leary, A. (2025)</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“Psychological safety and patient safety: A systematic and narrative review,”</w:t>
      </w:r>
      <w:r w:rsidRPr="00C6726B">
        <w:rPr>
          <w:rStyle w:val="apple-converted-space"/>
          <w:rFonts w:ascii="Arial" w:eastAsiaTheme="majorEastAsia" w:hAnsi="Arial" w:cs="Arial"/>
          <w:color w:val="0D0D0D" w:themeColor="text1" w:themeTint="F2"/>
          <w:sz w:val="23"/>
          <w:szCs w:val="23"/>
          <w:shd w:val="clear" w:color="auto" w:fill="FFFFFF"/>
        </w:rPr>
        <w:t> </w:t>
      </w:r>
      <w:proofErr w:type="spellStart"/>
      <w:r w:rsidRPr="00C6726B">
        <w:rPr>
          <w:rFonts w:ascii="Arial" w:hAnsi="Arial" w:cs="Arial"/>
          <w:i/>
          <w:iCs/>
          <w:color w:val="0D0D0D" w:themeColor="text1" w:themeTint="F2"/>
          <w:sz w:val="23"/>
          <w:szCs w:val="23"/>
        </w:rPr>
        <w:t>PloS</w:t>
      </w:r>
      <w:proofErr w:type="spellEnd"/>
      <w:r w:rsidRPr="00C6726B">
        <w:rPr>
          <w:rFonts w:ascii="Arial" w:hAnsi="Arial" w:cs="Arial"/>
          <w:i/>
          <w:iCs/>
          <w:color w:val="0D0D0D" w:themeColor="text1" w:themeTint="F2"/>
          <w:sz w:val="23"/>
          <w:szCs w:val="23"/>
        </w:rPr>
        <w:t xml:space="preserve"> one</w:t>
      </w:r>
      <w:r w:rsidRPr="00C6726B">
        <w:rPr>
          <w:rFonts w:ascii="Arial" w:hAnsi="Arial" w:cs="Arial"/>
          <w:color w:val="0D0D0D" w:themeColor="text1" w:themeTint="F2"/>
          <w:sz w:val="23"/>
          <w:szCs w:val="23"/>
          <w:shd w:val="clear" w:color="auto" w:fill="FFFFFF"/>
        </w:rPr>
        <w:t>, 20(4), p. e0322215. Available at: https://doi.org/10.1371/journal.pone.0322215.</w:t>
      </w:r>
      <w:r w:rsidR="000A30D0" w:rsidRPr="00C6726B">
        <w:rPr>
          <w:rFonts w:ascii="Arial" w:hAnsi="Arial" w:cs="Arial"/>
          <w:color w:val="0D0D0D" w:themeColor="text1" w:themeTint="F2"/>
          <w:sz w:val="23"/>
          <w:szCs w:val="23"/>
        </w:rPr>
        <w:t xml:space="preserve"> </w:t>
      </w:r>
      <w:r w:rsidR="000A30D0" w:rsidRPr="00C6726B">
        <w:rPr>
          <w:rFonts w:ascii="Arial" w:hAnsi="Arial" w:cs="Arial"/>
          <w:color w:val="0D0D0D" w:themeColor="text1" w:themeTint="F2"/>
          <w:sz w:val="23"/>
          <w:szCs w:val="23"/>
        </w:rPr>
        <w:t xml:space="preserve">(Accessed: </w:t>
      </w:r>
      <w:r w:rsidR="000A30D0" w:rsidRPr="00C6726B">
        <w:rPr>
          <w:rFonts w:ascii="Arial" w:hAnsi="Arial" w:cs="Arial"/>
          <w:color w:val="0D0D0D" w:themeColor="text1" w:themeTint="F2"/>
          <w:sz w:val="23"/>
          <w:szCs w:val="23"/>
        </w:rPr>
        <w:t>21</w:t>
      </w:r>
      <w:r w:rsidR="000A30D0" w:rsidRPr="00C6726B">
        <w:rPr>
          <w:rFonts w:ascii="Arial" w:hAnsi="Arial" w:cs="Arial"/>
          <w:color w:val="0D0D0D" w:themeColor="text1" w:themeTint="F2"/>
          <w:sz w:val="23"/>
          <w:szCs w:val="23"/>
        </w:rPr>
        <w:t xml:space="preserve"> March 2026).</w:t>
      </w:r>
    </w:p>
    <w:p w14:paraId="376D2F55"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Murray, M. and Cope, V. (2021) “Leadership: Patient safety depends on it,”</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Collegian (Royal College of Nursing, Australia)</w:t>
      </w:r>
      <w:r w:rsidRPr="00C6726B">
        <w:rPr>
          <w:rFonts w:ascii="Arial" w:hAnsi="Arial" w:cs="Arial"/>
          <w:color w:val="0D0D0D" w:themeColor="text1" w:themeTint="F2"/>
          <w:sz w:val="23"/>
          <w:szCs w:val="23"/>
          <w:shd w:val="clear" w:color="auto" w:fill="FFFFFF"/>
        </w:rPr>
        <w:t>, 28(6), pp. 604–609. Available at: https://doi.org/10.1016/j.colegn.2021.07.004.</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(Accessed: 10 March 2026).</w:t>
      </w:r>
    </w:p>
    <w:p w14:paraId="72BD8E71" w14:textId="1ADED170"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Nash, S. (2025).</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From burnout to belief: reflections on reforming the NHS from within</w:t>
      </w:r>
      <w:r w:rsidRPr="00C6726B">
        <w:rPr>
          <w:rFonts w:ascii="Arial" w:hAnsi="Arial" w:cs="Arial"/>
          <w:color w:val="0D0D0D" w:themeColor="text1" w:themeTint="F2"/>
          <w:sz w:val="23"/>
          <w:szCs w:val="23"/>
        </w:rPr>
        <w:t xml:space="preserve">. Available at: https://www.kingsfund.org.uk/insight-and-analysis/long-reads/burnout-belief-reforming-the-nhs?dm_i=21A8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29</w:t>
      </w:r>
      <w:r w:rsidRPr="00C6726B">
        <w:rPr>
          <w:rFonts w:ascii="Arial" w:hAnsi="Arial" w:cs="Arial"/>
          <w:color w:val="0D0D0D" w:themeColor="text1" w:themeTint="F2"/>
          <w:sz w:val="23"/>
          <w:szCs w:val="23"/>
        </w:rPr>
        <w:t xml:space="preserve"> 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6D0E7896"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National Audit Office (2025).</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Cost of settling clinical negligence claims has more than tripled in last two decades - NAO press release</w:t>
      </w:r>
      <w:r w:rsidRPr="00C6726B">
        <w:rPr>
          <w:rFonts w:ascii="Arial" w:hAnsi="Arial" w:cs="Arial"/>
          <w:color w:val="0D0D0D" w:themeColor="text1" w:themeTint="F2"/>
          <w:sz w:val="23"/>
          <w:szCs w:val="23"/>
        </w:rPr>
        <w:t xml:space="preserve">. Available at: https://www.nao.org.uk/press-releases/cost-of-settling-clinical-negligence-claims-has-more-than-tripled-in-last-two-decades/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11</w:t>
      </w:r>
      <w:r w:rsidRPr="00C6726B">
        <w:rPr>
          <w:rFonts w:ascii="Arial" w:hAnsi="Arial" w:cs="Arial"/>
          <w:color w:val="0D0D0D" w:themeColor="text1" w:themeTint="F2"/>
          <w:sz w:val="23"/>
          <w:szCs w:val="23"/>
        </w:rPr>
        <w:t xml:space="preserve"> 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5F351624"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lastRenderedPageBreak/>
        <w:t>NHS England (2019).</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 xml:space="preserve">The NHS Patient Safety Strategy Safer culture, Safer systems, Safer Patients NHS </w:t>
      </w:r>
      <w:proofErr w:type="gramStart"/>
      <w:r w:rsidRPr="00C6726B">
        <w:rPr>
          <w:rFonts w:ascii="Arial" w:hAnsi="Arial" w:cs="Arial"/>
          <w:i/>
          <w:iCs/>
          <w:color w:val="0D0D0D" w:themeColor="text1" w:themeTint="F2"/>
          <w:sz w:val="23"/>
          <w:szCs w:val="23"/>
        </w:rPr>
        <w:t>England</w:t>
      </w:r>
      <w:proofErr w:type="gramEnd"/>
      <w:r w:rsidRPr="00C6726B">
        <w:rPr>
          <w:rFonts w:ascii="Arial" w:hAnsi="Arial" w:cs="Arial"/>
          <w:i/>
          <w:iCs/>
          <w:color w:val="0D0D0D" w:themeColor="text1" w:themeTint="F2"/>
          <w:sz w:val="23"/>
          <w:szCs w:val="23"/>
        </w:rPr>
        <w:t xml:space="preserve"> and NHS Improvement</w:t>
      </w:r>
      <w:r w:rsidRPr="00C6726B">
        <w:rPr>
          <w:rFonts w:ascii="Arial" w:hAnsi="Arial" w:cs="Arial"/>
          <w:color w:val="0D0D0D" w:themeColor="text1" w:themeTint="F2"/>
          <w:sz w:val="23"/>
          <w:szCs w:val="23"/>
        </w:rPr>
        <w:t>. Available at: https://www.england.nhs.uk/wp-content/uploads/2020/08/190708_Patient_Safety_Strategy_for_website_v4.pdf</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10</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March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129F4277" w14:textId="29070166"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O’Hara, J. K., Ramsey, L., Partridge, R., Redford, C., McHugh, S., </w:t>
      </w:r>
      <w:proofErr w:type="spellStart"/>
      <w:r w:rsidRPr="00C6726B">
        <w:rPr>
          <w:rFonts w:ascii="Arial" w:hAnsi="Arial" w:cs="Arial"/>
          <w:color w:val="0D0D0D" w:themeColor="text1" w:themeTint="F2"/>
          <w:sz w:val="23"/>
          <w:szCs w:val="23"/>
          <w:shd w:val="clear" w:color="auto" w:fill="FFFFFF"/>
        </w:rPr>
        <w:t>Louch</w:t>
      </w:r>
      <w:proofErr w:type="spellEnd"/>
      <w:r w:rsidRPr="00C6726B">
        <w:rPr>
          <w:rFonts w:ascii="Arial" w:hAnsi="Arial" w:cs="Arial"/>
          <w:color w:val="0D0D0D" w:themeColor="text1" w:themeTint="F2"/>
          <w:sz w:val="23"/>
          <w:szCs w:val="23"/>
          <w:shd w:val="clear" w:color="auto" w:fill="FFFFFF"/>
        </w:rPr>
        <w:t xml:space="preserve">, G., Phillips, P., Sheard, L., Simms-Ellis, R., Waring, J.,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Langley, J. (2025).</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“The Learn Together programme (part A): co-designing an approach to support patient and family involvement and engagement in patient safety incident investigations,”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Frontiers in health services</w:t>
      </w:r>
      <w:r w:rsidRPr="00C6726B">
        <w:rPr>
          <w:rFonts w:ascii="Arial" w:hAnsi="Arial" w:cs="Arial"/>
          <w:color w:val="0D0D0D" w:themeColor="text1" w:themeTint="F2"/>
          <w:sz w:val="23"/>
          <w:szCs w:val="23"/>
          <w:shd w:val="clear" w:color="auto" w:fill="FFFFFF"/>
        </w:rPr>
        <w:t>, 5, p. 1529035. Available at: https://doi.org/10.3389/frhs.2025.1529035.</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(Accessed: 1</w:t>
      </w:r>
      <w:r w:rsidR="00E74B05" w:rsidRPr="00C6726B">
        <w:rPr>
          <w:rFonts w:ascii="Arial" w:hAnsi="Arial" w:cs="Arial"/>
          <w:color w:val="0D0D0D" w:themeColor="text1" w:themeTint="F2"/>
          <w:sz w:val="23"/>
          <w:szCs w:val="23"/>
        </w:rPr>
        <w:t>6</w:t>
      </w:r>
      <w:r w:rsidR="00E74B05" w:rsidRPr="00C6726B">
        <w:rPr>
          <w:rFonts w:ascii="Arial" w:hAnsi="Arial" w:cs="Arial"/>
          <w:color w:val="0D0D0D" w:themeColor="text1" w:themeTint="F2"/>
          <w:sz w:val="23"/>
          <w:szCs w:val="23"/>
        </w:rPr>
        <w:t xml:space="preserve"> March 2026).</w:t>
      </w:r>
    </w:p>
    <w:p w14:paraId="02C58B7A"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Office for National Statistics (2026).</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Avoidable mortality in England and Wales: 2024</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Available at:</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https://www.ons.gov.uk/peoplepopulationandcommunity/healthandsocialcare/causesofdeath/bulletins/avoidablemortalityinenglandandwales/2024 (Accessed: 2</w:t>
      </w:r>
      <w:r w:rsidRPr="00C6726B">
        <w:rPr>
          <w:rFonts w:ascii="Arial" w:hAnsi="Arial" w:cs="Arial"/>
          <w:color w:val="0D0D0D" w:themeColor="text1" w:themeTint="F2"/>
          <w:sz w:val="23"/>
          <w:szCs w:val="23"/>
        </w:rPr>
        <w:t xml:space="preserve">0 </w:t>
      </w:r>
      <w:r w:rsidRPr="00C6726B">
        <w:rPr>
          <w:rFonts w:ascii="Arial" w:hAnsi="Arial" w:cs="Arial"/>
          <w:color w:val="0D0D0D" w:themeColor="text1" w:themeTint="F2"/>
          <w:sz w:val="23"/>
          <w:szCs w:val="23"/>
        </w:rPr>
        <w:t>March 2026).</w:t>
      </w:r>
    </w:p>
    <w:p w14:paraId="6F847C4B" w14:textId="5396C44E"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 xml:space="preserve">Payne, R., Clarke, A., Swann, N., </w:t>
      </w:r>
      <w:proofErr w:type="spellStart"/>
      <w:r w:rsidRPr="00C6726B">
        <w:rPr>
          <w:rFonts w:ascii="Arial" w:hAnsi="Arial" w:cs="Arial"/>
          <w:color w:val="0D0D0D" w:themeColor="text1" w:themeTint="F2"/>
          <w:sz w:val="23"/>
          <w:szCs w:val="23"/>
        </w:rPr>
        <w:t>Dael</w:t>
      </w:r>
      <w:proofErr w:type="spellEnd"/>
      <w:r w:rsidRPr="00C6726B">
        <w:rPr>
          <w:rFonts w:ascii="Arial" w:hAnsi="Arial" w:cs="Arial"/>
          <w:color w:val="0D0D0D" w:themeColor="text1" w:themeTint="F2"/>
          <w:sz w:val="23"/>
          <w:szCs w:val="23"/>
        </w:rPr>
        <w:t xml:space="preserve">, J. van, </w:t>
      </w:r>
      <w:proofErr w:type="spellStart"/>
      <w:r w:rsidRPr="00C6726B">
        <w:rPr>
          <w:rFonts w:ascii="Arial" w:hAnsi="Arial" w:cs="Arial"/>
          <w:color w:val="0D0D0D" w:themeColor="text1" w:themeTint="F2"/>
          <w:sz w:val="23"/>
          <w:szCs w:val="23"/>
        </w:rPr>
        <w:t>Brenman</w:t>
      </w:r>
      <w:proofErr w:type="spellEnd"/>
      <w:r w:rsidRPr="00C6726B">
        <w:rPr>
          <w:rFonts w:ascii="Arial" w:hAnsi="Arial" w:cs="Arial"/>
          <w:color w:val="0D0D0D" w:themeColor="text1" w:themeTint="F2"/>
          <w:sz w:val="23"/>
          <w:szCs w:val="23"/>
        </w:rPr>
        <w:t xml:space="preserve">, N., Rosen, R., </w:t>
      </w:r>
      <w:proofErr w:type="spellStart"/>
      <w:r w:rsidRPr="00C6726B">
        <w:rPr>
          <w:rFonts w:ascii="Arial" w:hAnsi="Arial" w:cs="Arial"/>
          <w:color w:val="0D0D0D" w:themeColor="text1" w:themeTint="F2"/>
          <w:sz w:val="23"/>
          <w:szCs w:val="23"/>
        </w:rPr>
        <w:t>Mackridge</w:t>
      </w:r>
      <w:proofErr w:type="spellEnd"/>
      <w:r w:rsidRPr="00C6726B">
        <w:rPr>
          <w:rFonts w:ascii="Arial" w:hAnsi="Arial" w:cs="Arial"/>
          <w:color w:val="0D0D0D" w:themeColor="text1" w:themeTint="F2"/>
          <w:sz w:val="23"/>
          <w:szCs w:val="23"/>
        </w:rPr>
        <w:t xml:space="preserve">, A., Moore, L., Kalin, A., </w:t>
      </w:r>
      <w:proofErr w:type="spellStart"/>
      <w:r w:rsidRPr="00C6726B">
        <w:rPr>
          <w:rFonts w:ascii="Arial" w:hAnsi="Arial" w:cs="Arial"/>
          <w:color w:val="0D0D0D" w:themeColor="text1" w:themeTint="F2"/>
          <w:sz w:val="23"/>
          <w:szCs w:val="23"/>
        </w:rPr>
        <w:t>Ladds</w:t>
      </w:r>
      <w:proofErr w:type="spellEnd"/>
      <w:r w:rsidRPr="00C6726B">
        <w:rPr>
          <w:rFonts w:ascii="Arial" w:hAnsi="Arial" w:cs="Arial"/>
          <w:color w:val="0D0D0D" w:themeColor="text1" w:themeTint="F2"/>
          <w:sz w:val="23"/>
          <w:szCs w:val="23"/>
        </w:rPr>
        <w:t xml:space="preserve">, E., Hemmings, N., </w:t>
      </w:r>
      <w:proofErr w:type="spellStart"/>
      <w:r w:rsidRPr="00C6726B">
        <w:rPr>
          <w:rFonts w:ascii="Arial" w:hAnsi="Arial" w:cs="Arial"/>
          <w:color w:val="0D0D0D" w:themeColor="text1" w:themeTint="F2"/>
          <w:sz w:val="23"/>
          <w:szCs w:val="23"/>
        </w:rPr>
        <w:t>Rybczynska</w:t>
      </w:r>
      <w:proofErr w:type="spellEnd"/>
      <w:r w:rsidRPr="00C6726B">
        <w:rPr>
          <w:rFonts w:ascii="Arial" w:hAnsi="Arial" w:cs="Arial"/>
          <w:color w:val="0D0D0D" w:themeColor="text1" w:themeTint="F2"/>
          <w:sz w:val="23"/>
          <w:szCs w:val="23"/>
        </w:rPr>
        <w:t xml:space="preserve">-Bunt, S., Faulkner, S., Hanson, I., Spitters, S., </w:t>
      </w:r>
      <w:proofErr w:type="spellStart"/>
      <w:r w:rsidRPr="00C6726B">
        <w:rPr>
          <w:rFonts w:ascii="Arial" w:hAnsi="Arial" w:cs="Arial"/>
          <w:color w:val="0D0D0D" w:themeColor="text1" w:themeTint="F2"/>
          <w:sz w:val="23"/>
          <w:szCs w:val="23"/>
        </w:rPr>
        <w:t>Wieringa</w:t>
      </w:r>
      <w:proofErr w:type="spellEnd"/>
      <w:r w:rsidRPr="00C6726B">
        <w:rPr>
          <w:rFonts w:ascii="Arial" w:hAnsi="Arial" w:cs="Arial"/>
          <w:color w:val="0D0D0D" w:themeColor="text1" w:themeTint="F2"/>
          <w:sz w:val="23"/>
          <w:szCs w:val="23"/>
        </w:rPr>
        <w:t xml:space="preserve">, S., Dakin, F.H., Shaw, S.E., </w:t>
      </w:r>
      <w:proofErr w:type="spellStart"/>
      <w:r w:rsidRPr="00C6726B">
        <w:rPr>
          <w:rFonts w:ascii="Arial" w:hAnsi="Arial" w:cs="Arial"/>
          <w:color w:val="0D0D0D" w:themeColor="text1" w:themeTint="F2"/>
          <w:sz w:val="23"/>
          <w:szCs w:val="23"/>
        </w:rPr>
        <w:t>Wherton</w:t>
      </w:r>
      <w:proofErr w:type="spellEnd"/>
      <w:r w:rsidRPr="00C6726B">
        <w:rPr>
          <w:rFonts w:ascii="Arial" w:hAnsi="Arial" w:cs="Arial"/>
          <w:color w:val="0D0D0D" w:themeColor="text1" w:themeTint="F2"/>
          <w:sz w:val="23"/>
          <w:szCs w:val="23"/>
        </w:rPr>
        <w:t xml:space="preserve">, J. and Byng, R. (2023). </w:t>
      </w:r>
      <w:r w:rsidRPr="00C6726B">
        <w:rPr>
          <w:rFonts w:ascii="Arial" w:hAnsi="Arial" w:cs="Arial"/>
          <w:color w:val="0D0D0D" w:themeColor="text1" w:themeTint="F2"/>
          <w:sz w:val="23"/>
          <w:szCs w:val="23"/>
          <w:shd w:val="clear" w:color="auto" w:fill="FFFFFF"/>
        </w:rPr>
        <w:t>“Patient safety in remote primary care encounters: multimethod qualitative study combining Safety I and Safety II analysis,”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BMJ quality &amp; safety</w:t>
      </w:r>
      <w:r w:rsidRPr="00C6726B">
        <w:rPr>
          <w:rFonts w:ascii="Arial" w:hAnsi="Arial" w:cs="Arial"/>
          <w:color w:val="0D0D0D" w:themeColor="text1" w:themeTint="F2"/>
          <w:sz w:val="23"/>
          <w:szCs w:val="23"/>
          <w:shd w:val="clear" w:color="auto" w:fill="FFFFFF"/>
        </w:rPr>
        <w:t>, 33(9), pp. 573–586. Available at: https://doi.org/10.1136/bmjqs-2023-016674.</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(Accessed: 1</w:t>
      </w:r>
      <w:r w:rsidR="00E74B05" w:rsidRPr="00C6726B">
        <w:rPr>
          <w:rFonts w:ascii="Arial" w:hAnsi="Arial" w:cs="Arial"/>
          <w:color w:val="0D0D0D" w:themeColor="text1" w:themeTint="F2"/>
          <w:sz w:val="23"/>
          <w:szCs w:val="23"/>
        </w:rPr>
        <w:t>8</w:t>
      </w:r>
      <w:r w:rsidR="00E74B05" w:rsidRPr="00C6726B">
        <w:rPr>
          <w:rFonts w:ascii="Arial" w:hAnsi="Arial" w:cs="Arial"/>
          <w:color w:val="0D0D0D" w:themeColor="text1" w:themeTint="F2"/>
          <w:sz w:val="23"/>
          <w:szCs w:val="23"/>
        </w:rPr>
        <w:t xml:space="preserve"> March 2026).</w:t>
      </w:r>
    </w:p>
    <w:p w14:paraId="48A13332" w14:textId="099F3EB1"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Phillips, G., Sharma, D., O’Reilly, G., Romero, L.,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Cameron, P. (2025).</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color w:val="0D0D0D" w:themeColor="text1" w:themeTint="F2"/>
          <w:sz w:val="23"/>
          <w:szCs w:val="23"/>
          <w:shd w:val="clear" w:color="auto" w:fill="FFFFFF"/>
        </w:rPr>
        <w:t xml:space="preserve"> “Developing emergency care systems in low-income and middle-income countries: a scoping review to examine the role of leadership and governance,”</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BMJ open</w:t>
      </w:r>
      <w:r w:rsidRPr="00C6726B">
        <w:rPr>
          <w:rFonts w:ascii="Arial" w:hAnsi="Arial" w:cs="Arial"/>
          <w:color w:val="0D0D0D" w:themeColor="text1" w:themeTint="F2"/>
          <w:sz w:val="23"/>
          <w:szCs w:val="23"/>
          <w:shd w:val="clear" w:color="auto" w:fill="FFFFFF"/>
        </w:rPr>
        <w:t>, 15(12), p. e102624. Available at: https://doi.org/10.1136/bmjopen-2025-102624.</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(Accessed: 1</w:t>
      </w:r>
      <w:r w:rsidR="00E74B05" w:rsidRPr="00C6726B">
        <w:rPr>
          <w:rFonts w:ascii="Arial" w:hAnsi="Arial" w:cs="Arial"/>
          <w:color w:val="0D0D0D" w:themeColor="text1" w:themeTint="F2"/>
          <w:sz w:val="23"/>
          <w:szCs w:val="23"/>
        </w:rPr>
        <w:t>7</w:t>
      </w:r>
      <w:r w:rsidR="00E74B05" w:rsidRPr="00C6726B">
        <w:rPr>
          <w:rFonts w:ascii="Arial" w:hAnsi="Arial" w:cs="Arial"/>
          <w:color w:val="0D0D0D" w:themeColor="text1" w:themeTint="F2"/>
          <w:sz w:val="23"/>
          <w:szCs w:val="23"/>
        </w:rPr>
        <w:t xml:space="preserve"> March 2026).</w:t>
      </w:r>
    </w:p>
    <w:p w14:paraId="6B35EFC9" w14:textId="77D56A0C"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Ramsey, L., Waring, J., Sheard, L., Halligan, D., McHugh, S., Simms-Ellis, R., Langley, J., Murray, J., Rogerson, O.,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O’Hara, J. K. (2025).</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The Learn Together programme (part B): evaluating co-designed guidance to support patient and family involvement in patient safety incident investigations,”</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Frontiers in health services</w:t>
      </w:r>
      <w:r w:rsidRPr="00C6726B">
        <w:rPr>
          <w:rFonts w:ascii="Arial" w:hAnsi="Arial" w:cs="Arial"/>
          <w:color w:val="0D0D0D" w:themeColor="text1" w:themeTint="F2"/>
          <w:sz w:val="23"/>
          <w:szCs w:val="23"/>
          <w:shd w:val="clear" w:color="auto" w:fill="FFFFFF"/>
        </w:rPr>
        <w:t>, 5, p. 1520816. Available at: https://doi.org/10.3389/frhs.2025.1520816.</w:t>
      </w:r>
      <w:r w:rsidRPr="00C6726B">
        <w:rPr>
          <w:rStyle w:val="apple-converted-space"/>
          <w:rFonts w:ascii="Arial" w:eastAsiaTheme="majorEastAsia" w:hAnsi="Arial" w:cs="Arial"/>
          <w:color w:val="0D0D0D" w:themeColor="text1" w:themeTint="F2"/>
          <w:sz w:val="23"/>
          <w:szCs w:val="23"/>
          <w:shd w:val="clear" w:color="auto" w:fill="FFFFFF"/>
        </w:rPr>
        <w:t> </w:t>
      </w:r>
      <w:r w:rsidR="00E74B05" w:rsidRPr="00C6726B">
        <w:rPr>
          <w:rFonts w:ascii="Arial" w:hAnsi="Arial" w:cs="Arial"/>
          <w:color w:val="0D0D0D" w:themeColor="text1" w:themeTint="F2"/>
          <w:sz w:val="23"/>
          <w:szCs w:val="23"/>
        </w:rPr>
        <w:t xml:space="preserve">(Accessed: </w:t>
      </w:r>
      <w:r w:rsidR="00E74B05" w:rsidRPr="00C6726B">
        <w:rPr>
          <w:rFonts w:ascii="Arial" w:hAnsi="Arial" w:cs="Arial"/>
          <w:color w:val="0D0D0D" w:themeColor="text1" w:themeTint="F2"/>
          <w:sz w:val="23"/>
          <w:szCs w:val="23"/>
        </w:rPr>
        <w:t>6</w:t>
      </w:r>
      <w:r w:rsidR="00E74B05" w:rsidRPr="00C6726B">
        <w:rPr>
          <w:rFonts w:ascii="Arial" w:hAnsi="Arial" w:cs="Arial"/>
          <w:color w:val="0D0D0D" w:themeColor="text1" w:themeTint="F2"/>
          <w:sz w:val="23"/>
          <w:szCs w:val="23"/>
        </w:rPr>
        <w:t xml:space="preserve"> March 2026).</w:t>
      </w:r>
    </w:p>
    <w:p w14:paraId="0F3CDE12" w14:textId="19746624"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Royal College of Emergency Medicine (2025).</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Time Critical Medication QIP Interim Report Year 1</w:t>
      </w:r>
      <w:r w:rsidRPr="00C6726B">
        <w:rPr>
          <w:rFonts w:ascii="Arial" w:hAnsi="Arial" w:cs="Arial"/>
          <w:color w:val="0D0D0D" w:themeColor="text1" w:themeTint="F2"/>
          <w:sz w:val="23"/>
          <w:szCs w:val="23"/>
        </w:rPr>
        <w:t xml:space="preserve">. Available at: https://rcem.ac.uk/wp-content/uploads/2025/07/TCM-QIP-Year-1-Interim-report.pdf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1</w:t>
      </w:r>
      <w:r w:rsidRPr="00C6726B">
        <w:rPr>
          <w:rFonts w:ascii="Arial" w:hAnsi="Arial" w:cs="Arial"/>
          <w:color w:val="0D0D0D" w:themeColor="text1" w:themeTint="F2"/>
          <w:sz w:val="23"/>
          <w:szCs w:val="23"/>
        </w:rPr>
        <w:t>6 Mar</w:t>
      </w:r>
      <w:r w:rsidRPr="00C6726B">
        <w:rPr>
          <w:rFonts w:ascii="Arial" w:hAnsi="Arial" w:cs="Arial"/>
          <w:color w:val="0D0D0D" w:themeColor="text1" w:themeTint="F2"/>
          <w:sz w:val="23"/>
          <w:szCs w:val="23"/>
        </w:rPr>
        <w:t xml:space="preserve">ch </w:t>
      </w:r>
      <w:r w:rsidRPr="00C6726B">
        <w:rPr>
          <w:rFonts w:ascii="Arial" w:hAnsi="Arial" w:cs="Arial"/>
          <w:color w:val="0D0D0D" w:themeColor="text1" w:themeTint="F2"/>
          <w:sz w:val="23"/>
          <w:szCs w:val="23"/>
        </w:rPr>
        <w:t>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76CB7D4E" w14:textId="60F7D2EE" w:rsidR="00E25D95" w:rsidRPr="00C6726B" w:rsidRDefault="00E25D95"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The Health Foundation (2023).</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ONS data shows lives are unnecessarily cut short</w:t>
      </w:r>
      <w:r w:rsidRPr="00C6726B">
        <w:rPr>
          <w:rFonts w:ascii="Arial" w:hAnsi="Arial" w:cs="Arial"/>
          <w:color w:val="0D0D0D" w:themeColor="text1" w:themeTint="F2"/>
          <w:sz w:val="23"/>
          <w:szCs w:val="23"/>
        </w:rPr>
        <w:t xml:space="preserve">. Available at: https://www.health.org.uk/press-office/press-releases/ons-data-shows-lives-are-unnecessarily-cut-short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0025510D" w:rsidRPr="00C6726B">
        <w:rPr>
          <w:rFonts w:ascii="Arial" w:hAnsi="Arial" w:cs="Arial"/>
          <w:color w:val="0D0D0D" w:themeColor="text1" w:themeTint="F2"/>
          <w:sz w:val="23"/>
          <w:szCs w:val="23"/>
        </w:rPr>
        <w:t>13 March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p>
    <w:p w14:paraId="2D20092B" w14:textId="5F505A06"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The King’s Fund (2025).</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Research Shows ‘Dysfunctional’ NHS Admin | The King’s Fund</w:t>
      </w:r>
      <w:r w:rsidRPr="00C6726B">
        <w:rPr>
          <w:rFonts w:ascii="Arial" w:hAnsi="Arial" w:cs="Arial"/>
          <w:color w:val="0D0D0D" w:themeColor="text1" w:themeTint="F2"/>
          <w:sz w:val="23"/>
          <w:szCs w:val="23"/>
        </w:rPr>
        <w:t>. [online] Available at: https://www.kingsfund.org.uk/insight-and-analysis/press-releases/patients-put-off-seeking-care-dysfunctional-nhs-admin.</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(Accessed: 1</w:t>
      </w:r>
      <w:r w:rsidR="00E74B05" w:rsidRPr="00C6726B">
        <w:rPr>
          <w:rFonts w:ascii="Arial" w:hAnsi="Arial" w:cs="Arial"/>
          <w:color w:val="0D0D0D" w:themeColor="text1" w:themeTint="F2"/>
          <w:sz w:val="23"/>
          <w:szCs w:val="23"/>
        </w:rPr>
        <w:t>1</w:t>
      </w:r>
      <w:r w:rsidR="00E74B05" w:rsidRPr="00C6726B">
        <w:rPr>
          <w:rFonts w:ascii="Arial" w:hAnsi="Arial" w:cs="Arial"/>
          <w:color w:val="0D0D0D" w:themeColor="text1" w:themeTint="F2"/>
          <w:sz w:val="23"/>
          <w:szCs w:val="23"/>
        </w:rPr>
        <w:t xml:space="preserve"> March 2026).</w:t>
      </w:r>
    </w:p>
    <w:p w14:paraId="410C8C0A"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Tozer, J. (2024).</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‘Brilliant’ professor and father-of-two died aged just 43 after doctors botched treatment for a rare condition on which he was a national expert, his GP widow tells inquest</w:t>
      </w:r>
      <w:r w:rsidRPr="00C6726B">
        <w:rPr>
          <w:rFonts w:ascii="Arial" w:hAnsi="Arial" w:cs="Arial"/>
          <w:color w:val="0D0D0D" w:themeColor="text1" w:themeTint="F2"/>
          <w:sz w:val="23"/>
          <w:szCs w:val="23"/>
        </w:rPr>
        <w:t>. Available at: https://www.dailymail.co.uk/news/article-13272953/Brilliant-professor-father-two-died-aged-just-43-doctors-botched-treatment-rare-condition-</w:t>
      </w:r>
      <w:r w:rsidRPr="00C6726B">
        <w:rPr>
          <w:rFonts w:ascii="Arial" w:hAnsi="Arial" w:cs="Arial"/>
          <w:color w:val="0D0D0D" w:themeColor="text1" w:themeTint="F2"/>
          <w:sz w:val="23"/>
          <w:szCs w:val="23"/>
        </w:rPr>
        <w:lastRenderedPageBreak/>
        <w:t xml:space="preserve">national-expert-GP-widow-tells-inquest.html?ico=livefeed#comments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28 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1965382C" w14:textId="1D25FECE"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UK Parliament Committees (2026).</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Clinical negligence: Govt and NHS fail to act despite repeated warnings over patient safety - Committees - UK Parliament</w:t>
      </w:r>
      <w:r w:rsidRPr="00C6726B">
        <w:rPr>
          <w:rFonts w:ascii="Arial" w:hAnsi="Arial" w:cs="Arial"/>
          <w:color w:val="0D0D0D" w:themeColor="text1" w:themeTint="F2"/>
          <w:sz w:val="23"/>
          <w:szCs w:val="23"/>
        </w:rPr>
        <w:t xml:space="preserve">. Available at: https://committees.parliament.uk/committee/127/public-accounts-committee/news/211608/clinical-negligence-govt-and-nhs-fail-to-act-despite-repeated-warnings-over-patient-safety/ </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Accessed</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3</w:t>
      </w:r>
      <w:r w:rsidR="00E74B05" w:rsidRPr="00C6726B">
        <w:rPr>
          <w:rFonts w:ascii="Arial" w:hAnsi="Arial" w:cs="Arial"/>
          <w:color w:val="0D0D0D" w:themeColor="text1" w:themeTint="F2"/>
          <w:sz w:val="23"/>
          <w:szCs w:val="23"/>
        </w:rPr>
        <w:t>0</w:t>
      </w:r>
      <w:r w:rsidRPr="00C6726B">
        <w:rPr>
          <w:rFonts w:ascii="Arial" w:hAnsi="Arial" w:cs="Arial"/>
          <w:color w:val="0D0D0D" w:themeColor="text1" w:themeTint="F2"/>
          <w:sz w:val="23"/>
          <w:szCs w:val="23"/>
        </w:rPr>
        <w:t xml:space="preserve"> Mar</w:t>
      </w:r>
      <w:r w:rsidRPr="00C6726B">
        <w:rPr>
          <w:rFonts w:ascii="Arial" w:hAnsi="Arial" w:cs="Arial"/>
          <w:color w:val="0D0D0D" w:themeColor="text1" w:themeTint="F2"/>
          <w:sz w:val="23"/>
          <w:szCs w:val="23"/>
        </w:rPr>
        <w:t>ch</w:t>
      </w:r>
      <w:r w:rsidRPr="00C6726B">
        <w:rPr>
          <w:rFonts w:ascii="Arial" w:hAnsi="Arial" w:cs="Arial"/>
          <w:color w:val="0D0D0D" w:themeColor="text1" w:themeTint="F2"/>
          <w:sz w:val="23"/>
          <w:szCs w:val="23"/>
        </w:rPr>
        <w:t xml:space="preserve"> 2026</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w:t>
      </w:r>
    </w:p>
    <w:p w14:paraId="42F3C1F1" w14:textId="471363E6"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proofErr w:type="spellStart"/>
      <w:r w:rsidRPr="00C6726B">
        <w:rPr>
          <w:rFonts w:ascii="Arial" w:hAnsi="Arial" w:cs="Arial"/>
          <w:color w:val="0D0D0D" w:themeColor="text1" w:themeTint="F2"/>
          <w:sz w:val="23"/>
          <w:szCs w:val="23"/>
        </w:rPr>
        <w:t>Vesty</w:t>
      </w:r>
      <w:proofErr w:type="spellEnd"/>
      <w:r w:rsidRPr="00C6726B">
        <w:rPr>
          <w:rFonts w:ascii="Arial" w:hAnsi="Arial" w:cs="Arial"/>
          <w:color w:val="0D0D0D" w:themeColor="text1" w:themeTint="F2"/>
          <w:sz w:val="23"/>
          <w:szCs w:val="23"/>
        </w:rPr>
        <w:t>, H. (2024).</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One of UK’s best doctors killed by procedure ‘that should never have been recommended’ and he ‘did not consent to’</w:t>
      </w:r>
      <w:r w:rsidRPr="00C6726B">
        <w:rPr>
          <w:rFonts w:ascii="Arial" w:hAnsi="Arial" w:cs="Arial"/>
          <w:color w:val="0D0D0D" w:themeColor="text1" w:themeTint="F2"/>
          <w:sz w:val="23"/>
          <w:szCs w:val="23"/>
        </w:rPr>
        <w:t>. [online] Manchester Evening News. Available at: https://www.manchestereveningnews.co.uk/news/health/one-uks-best-doctors-killed-29267532 (Accessed: 10 March 2026).</w:t>
      </w:r>
    </w:p>
    <w:p w14:paraId="1C641644" w14:textId="28C4AE4A"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 xml:space="preserve">Watson, J., Duncan, P., Burrell, A., Bennett-Britton, I., Hodgson, S., </w:t>
      </w:r>
      <w:proofErr w:type="spellStart"/>
      <w:r w:rsidRPr="00C6726B">
        <w:rPr>
          <w:rFonts w:ascii="Arial" w:hAnsi="Arial" w:cs="Arial"/>
          <w:color w:val="0D0D0D" w:themeColor="text1" w:themeTint="F2"/>
          <w:sz w:val="23"/>
          <w:szCs w:val="23"/>
        </w:rPr>
        <w:t>Merriel</w:t>
      </w:r>
      <w:proofErr w:type="spellEnd"/>
      <w:r w:rsidRPr="00C6726B">
        <w:rPr>
          <w:rFonts w:ascii="Arial" w:hAnsi="Arial" w:cs="Arial"/>
          <w:color w:val="0D0D0D" w:themeColor="text1" w:themeTint="F2"/>
          <w:sz w:val="23"/>
          <w:szCs w:val="23"/>
        </w:rPr>
        <w:t xml:space="preserve">, S.W.D., Waqar, </w:t>
      </w:r>
      <w:r w:rsidRPr="00C6726B">
        <w:rPr>
          <w:rFonts w:ascii="Arial" w:hAnsi="Arial" w:cs="Arial"/>
          <w:color w:val="0D0D0D" w:themeColor="text1" w:themeTint="F2"/>
          <w:sz w:val="23"/>
          <w:szCs w:val="23"/>
        </w:rPr>
        <w:t xml:space="preserve">S., </w:t>
      </w:r>
      <w:proofErr w:type="spellStart"/>
      <w:r w:rsidRPr="00C6726B">
        <w:rPr>
          <w:rFonts w:ascii="Arial" w:hAnsi="Arial" w:cs="Arial"/>
          <w:color w:val="0D0D0D" w:themeColor="text1" w:themeTint="F2"/>
          <w:sz w:val="23"/>
          <w:szCs w:val="23"/>
        </w:rPr>
        <w:t>Razumovskaya</w:t>
      </w:r>
      <w:proofErr w:type="spellEnd"/>
      <w:r w:rsidRPr="00C6726B">
        <w:rPr>
          <w:rFonts w:ascii="Arial" w:hAnsi="Arial" w:cs="Arial"/>
          <w:color w:val="0D0D0D" w:themeColor="text1" w:themeTint="F2"/>
          <w:sz w:val="23"/>
          <w:szCs w:val="23"/>
        </w:rPr>
        <w:t xml:space="preserve">-Hough, A., Whiting, P.F. and Primary Care Academic </w:t>
      </w:r>
      <w:proofErr w:type="spellStart"/>
      <w:r w:rsidRPr="00C6726B">
        <w:rPr>
          <w:rFonts w:ascii="Arial" w:hAnsi="Arial" w:cs="Arial"/>
          <w:color w:val="0D0D0D" w:themeColor="text1" w:themeTint="F2"/>
          <w:sz w:val="23"/>
          <w:szCs w:val="23"/>
        </w:rPr>
        <w:t>CollaboraTive</w:t>
      </w:r>
      <w:proofErr w:type="spellEnd"/>
      <w:r w:rsidRPr="00C6726B">
        <w:rPr>
          <w:rFonts w:ascii="Arial" w:hAnsi="Arial" w:cs="Arial"/>
          <w:color w:val="0D0D0D" w:themeColor="text1" w:themeTint="F2"/>
          <w:sz w:val="23"/>
          <w:szCs w:val="23"/>
        </w:rPr>
        <w:t xml:space="preserve"> (2024). Patient safety in actioning and communicating blood test results in primary care: a UK wide audit using the Primary care Academic </w:t>
      </w:r>
      <w:r w:rsidRPr="00C6726B">
        <w:rPr>
          <w:rFonts w:ascii="Arial" w:hAnsi="Arial" w:cs="Arial"/>
          <w:color w:val="0D0D0D" w:themeColor="text1" w:themeTint="F2"/>
          <w:sz w:val="23"/>
          <w:szCs w:val="23"/>
        </w:rPr>
        <w:t>Collaborative</w:t>
      </w:r>
      <w:r w:rsidRPr="00C6726B">
        <w:rPr>
          <w:rFonts w:ascii="Arial" w:hAnsi="Arial" w:cs="Arial"/>
          <w:color w:val="0D0D0D" w:themeColor="text1" w:themeTint="F2"/>
          <w:sz w:val="23"/>
          <w:szCs w:val="23"/>
        </w:rPr>
        <w:t xml:space="preserve"> (PACT).</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BMJ Open Quality</w:t>
      </w:r>
      <w:r w:rsidRPr="00C6726B">
        <w:rPr>
          <w:rFonts w:ascii="Arial" w:hAnsi="Arial" w:cs="Arial"/>
          <w:color w:val="0D0D0D" w:themeColor="text1" w:themeTint="F2"/>
          <w:sz w:val="23"/>
          <w:szCs w:val="23"/>
        </w:rPr>
        <w:t xml:space="preserve">, [online] 13(3), </w:t>
      </w:r>
      <w:r w:rsidRPr="00C6726B">
        <w:rPr>
          <w:rFonts w:ascii="Arial" w:hAnsi="Arial" w:cs="Arial"/>
          <w:color w:val="0D0D0D" w:themeColor="text1" w:themeTint="F2"/>
          <w:sz w:val="23"/>
          <w:szCs w:val="23"/>
        </w:rPr>
        <w:t>pp. e</w:t>
      </w:r>
      <w:r w:rsidRPr="00C6726B">
        <w:rPr>
          <w:rFonts w:ascii="Arial" w:hAnsi="Arial" w:cs="Arial"/>
          <w:color w:val="0D0D0D" w:themeColor="text1" w:themeTint="F2"/>
          <w:sz w:val="23"/>
          <w:szCs w:val="23"/>
        </w:rPr>
        <w:t xml:space="preserve">002632–e002632. </w:t>
      </w:r>
      <w:r w:rsidRPr="00C6726B">
        <w:rPr>
          <w:rFonts w:ascii="Arial" w:hAnsi="Arial" w:cs="Arial"/>
          <w:color w:val="0D0D0D" w:themeColor="text1" w:themeTint="F2"/>
          <w:sz w:val="23"/>
          <w:szCs w:val="23"/>
        </w:rPr>
        <w:t>Available at</w:t>
      </w:r>
      <w:r w:rsidRPr="00C6726B">
        <w:rPr>
          <w:rFonts w:ascii="Arial" w:hAnsi="Arial" w:cs="Arial"/>
          <w:color w:val="0D0D0D" w:themeColor="text1" w:themeTint="F2"/>
          <w:sz w:val="23"/>
          <w:szCs w:val="23"/>
        </w:rPr>
        <w:t>:</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https://doi.org/10.1136/bmjoq-2023-002632.</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(Accessed: 1</w:t>
      </w:r>
      <w:r w:rsidR="00E74B05" w:rsidRPr="00C6726B">
        <w:rPr>
          <w:rFonts w:ascii="Arial" w:hAnsi="Arial" w:cs="Arial"/>
          <w:color w:val="0D0D0D" w:themeColor="text1" w:themeTint="F2"/>
          <w:sz w:val="23"/>
          <w:szCs w:val="23"/>
        </w:rPr>
        <w:t>4</w:t>
      </w:r>
      <w:r w:rsidR="00E74B05" w:rsidRPr="00C6726B">
        <w:rPr>
          <w:rFonts w:ascii="Arial" w:hAnsi="Arial" w:cs="Arial"/>
          <w:color w:val="0D0D0D" w:themeColor="text1" w:themeTint="F2"/>
          <w:sz w:val="23"/>
          <w:szCs w:val="23"/>
        </w:rPr>
        <w:t xml:space="preserve"> March 2026).</w:t>
      </w:r>
    </w:p>
    <w:p w14:paraId="46B6EEC4" w14:textId="0C9B169E"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shd w:val="clear" w:color="auto" w:fill="FFFFFF"/>
        </w:rPr>
        <w:t xml:space="preserve">Wood, D. P., Robinson, C. A., Nathan, R., </w:t>
      </w:r>
      <w:r w:rsidRPr="00C6726B">
        <w:rPr>
          <w:rFonts w:ascii="Arial" w:hAnsi="Arial" w:cs="Arial"/>
          <w:color w:val="0D0D0D" w:themeColor="text1" w:themeTint="F2"/>
          <w:sz w:val="23"/>
          <w:szCs w:val="23"/>
          <w:shd w:val="clear" w:color="auto" w:fill="FFFFFF"/>
        </w:rPr>
        <w:t>and</w:t>
      </w:r>
      <w:r w:rsidRPr="00C6726B">
        <w:rPr>
          <w:rFonts w:ascii="Arial" w:hAnsi="Arial" w:cs="Arial"/>
          <w:color w:val="0D0D0D" w:themeColor="text1" w:themeTint="F2"/>
          <w:sz w:val="23"/>
          <w:szCs w:val="23"/>
          <w:shd w:val="clear" w:color="auto" w:fill="FFFFFF"/>
        </w:rPr>
        <w:t xml:space="preserve"> McPhillips, R. (2022). “A study of the implementation of patient safety policies in the NHS in England since 2000: what can we </w:t>
      </w:r>
      <w:proofErr w:type="gramStart"/>
      <w:r w:rsidRPr="00C6726B">
        <w:rPr>
          <w:rFonts w:ascii="Arial" w:hAnsi="Arial" w:cs="Arial"/>
          <w:color w:val="0D0D0D" w:themeColor="text1" w:themeTint="F2"/>
          <w:sz w:val="23"/>
          <w:szCs w:val="23"/>
          <w:shd w:val="clear" w:color="auto" w:fill="FFFFFF"/>
        </w:rPr>
        <w:t>learn?,</w:t>
      </w:r>
      <w:proofErr w:type="gramEnd"/>
      <w:r w:rsidRPr="00C6726B">
        <w:rPr>
          <w:rFonts w:ascii="Arial" w:hAnsi="Arial" w:cs="Arial"/>
          <w:color w:val="0D0D0D" w:themeColor="text1" w:themeTint="F2"/>
          <w:sz w:val="23"/>
          <w:szCs w:val="23"/>
          <w:shd w:val="clear" w:color="auto" w:fill="FFFFFF"/>
        </w:rPr>
        <w:t>”</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Journal of health organization and management</w:t>
      </w:r>
      <w:r w:rsidRPr="00C6726B">
        <w:rPr>
          <w:rFonts w:ascii="Arial" w:hAnsi="Arial" w:cs="Arial"/>
          <w:color w:val="0D0D0D" w:themeColor="text1" w:themeTint="F2"/>
          <w:sz w:val="23"/>
          <w:szCs w:val="23"/>
          <w:shd w:val="clear" w:color="auto" w:fill="FFFFFF"/>
        </w:rPr>
        <w:t>, 36(5), pp. 650–665. Available at: https://doi.org/10.1108/JHOM-02-2021-0073.</w:t>
      </w:r>
      <w:r w:rsidR="00E74B05" w:rsidRPr="00C6726B">
        <w:rPr>
          <w:rFonts w:ascii="Arial" w:hAnsi="Arial" w:cs="Arial"/>
          <w:color w:val="0D0D0D" w:themeColor="text1" w:themeTint="F2"/>
          <w:sz w:val="23"/>
          <w:szCs w:val="23"/>
        </w:rPr>
        <w:t xml:space="preserve"> </w:t>
      </w:r>
      <w:r w:rsidR="00E74B05" w:rsidRPr="00C6726B">
        <w:rPr>
          <w:rFonts w:ascii="Arial" w:hAnsi="Arial" w:cs="Arial"/>
          <w:color w:val="0D0D0D" w:themeColor="text1" w:themeTint="F2"/>
          <w:sz w:val="23"/>
          <w:szCs w:val="23"/>
        </w:rPr>
        <w:t xml:space="preserve">(Accessed: </w:t>
      </w:r>
      <w:r w:rsidR="00E74B05" w:rsidRPr="00C6726B">
        <w:rPr>
          <w:rFonts w:ascii="Arial" w:hAnsi="Arial" w:cs="Arial"/>
          <w:color w:val="0D0D0D" w:themeColor="text1" w:themeTint="F2"/>
          <w:sz w:val="23"/>
          <w:szCs w:val="23"/>
        </w:rPr>
        <w:t>2</w:t>
      </w:r>
      <w:r w:rsidR="00E74B05" w:rsidRPr="00C6726B">
        <w:rPr>
          <w:rFonts w:ascii="Arial" w:hAnsi="Arial" w:cs="Arial"/>
          <w:color w:val="0D0D0D" w:themeColor="text1" w:themeTint="F2"/>
          <w:sz w:val="23"/>
          <w:szCs w:val="23"/>
        </w:rPr>
        <w:t>0 March 2026).</w:t>
      </w:r>
    </w:p>
    <w:p w14:paraId="72F2BAA7" w14:textId="77777777" w:rsidR="00D632D1" w:rsidRPr="00C6726B" w:rsidRDefault="00D632D1" w:rsidP="00797DCE">
      <w:pPr>
        <w:pStyle w:val="NormalWeb"/>
        <w:spacing w:before="0" w:beforeAutospacing="0" w:after="240" w:afterAutospacing="0"/>
        <w:rPr>
          <w:rFonts w:ascii="Arial" w:hAnsi="Arial" w:cs="Arial"/>
          <w:color w:val="0D0D0D" w:themeColor="text1" w:themeTint="F2"/>
          <w:sz w:val="23"/>
          <w:szCs w:val="23"/>
        </w:rPr>
      </w:pPr>
      <w:r w:rsidRPr="00C6726B">
        <w:rPr>
          <w:rFonts w:ascii="Arial" w:hAnsi="Arial" w:cs="Arial"/>
          <w:color w:val="0D0D0D" w:themeColor="text1" w:themeTint="F2"/>
          <w:sz w:val="23"/>
          <w:szCs w:val="23"/>
        </w:rPr>
        <w:t>World Health Organization (2023).</w:t>
      </w:r>
      <w:r w:rsidRPr="00C6726B">
        <w:rPr>
          <w:rStyle w:val="apple-converted-space"/>
          <w:rFonts w:ascii="Arial" w:eastAsiaTheme="majorEastAsia" w:hAnsi="Arial" w:cs="Arial"/>
          <w:color w:val="0D0D0D" w:themeColor="text1" w:themeTint="F2"/>
          <w:sz w:val="23"/>
          <w:szCs w:val="23"/>
        </w:rPr>
        <w:t> </w:t>
      </w:r>
      <w:r w:rsidRPr="00C6726B">
        <w:rPr>
          <w:rFonts w:ascii="Arial" w:hAnsi="Arial" w:cs="Arial"/>
          <w:i/>
          <w:iCs/>
          <w:color w:val="0D0D0D" w:themeColor="text1" w:themeTint="F2"/>
          <w:sz w:val="23"/>
          <w:szCs w:val="23"/>
        </w:rPr>
        <w:t>Patient safety</w:t>
      </w:r>
      <w:r w:rsidRPr="00C6726B">
        <w:rPr>
          <w:rFonts w:ascii="Arial" w:hAnsi="Arial" w:cs="Arial"/>
          <w:color w:val="0D0D0D" w:themeColor="text1" w:themeTint="F2"/>
          <w:sz w:val="23"/>
          <w:szCs w:val="23"/>
        </w:rPr>
        <w:t xml:space="preserve">. </w:t>
      </w:r>
      <w:r w:rsidRPr="00C6726B">
        <w:rPr>
          <w:rFonts w:ascii="Arial" w:hAnsi="Arial" w:cs="Arial"/>
          <w:color w:val="0D0D0D" w:themeColor="text1" w:themeTint="F2"/>
          <w:sz w:val="23"/>
          <w:szCs w:val="23"/>
        </w:rPr>
        <w:t>Available at: https://www.who.int/news-room/fact-sheets/detail/patient-safety (Accessed: 2</w:t>
      </w:r>
      <w:r w:rsidRPr="00C6726B">
        <w:rPr>
          <w:rFonts w:ascii="Arial" w:hAnsi="Arial" w:cs="Arial"/>
          <w:color w:val="0D0D0D" w:themeColor="text1" w:themeTint="F2"/>
          <w:sz w:val="23"/>
          <w:szCs w:val="23"/>
        </w:rPr>
        <w:t>1</w:t>
      </w:r>
      <w:r w:rsidRPr="00C6726B">
        <w:rPr>
          <w:rFonts w:ascii="Arial" w:hAnsi="Arial" w:cs="Arial"/>
          <w:color w:val="0D0D0D" w:themeColor="text1" w:themeTint="F2"/>
          <w:sz w:val="23"/>
          <w:szCs w:val="23"/>
        </w:rPr>
        <w:t xml:space="preserve"> March 2026).</w:t>
      </w:r>
    </w:p>
    <w:p w14:paraId="64EF969F" w14:textId="77777777" w:rsidR="00D632D1" w:rsidRPr="00697382" w:rsidRDefault="00D632D1" w:rsidP="00797DCE">
      <w:pPr>
        <w:pStyle w:val="NormalWeb"/>
        <w:spacing w:before="0" w:beforeAutospacing="0" w:after="240" w:afterAutospacing="0"/>
        <w:rPr>
          <w:rFonts w:ascii="Arial" w:hAnsi="Arial" w:cs="Arial"/>
          <w:color w:val="0D0D0D" w:themeColor="text1" w:themeTint="F2"/>
          <w:sz w:val="23"/>
          <w:szCs w:val="23"/>
          <w:shd w:val="clear" w:color="auto" w:fill="FFFFFF"/>
        </w:rPr>
      </w:pPr>
      <w:r w:rsidRPr="00C6726B">
        <w:rPr>
          <w:rFonts w:ascii="Arial" w:hAnsi="Arial" w:cs="Arial"/>
          <w:color w:val="0D0D0D" w:themeColor="text1" w:themeTint="F2"/>
          <w:sz w:val="23"/>
          <w:szCs w:val="23"/>
          <w:shd w:val="clear" w:color="auto" w:fill="FFFFFF"/>
        </w:rPr>
        <w:t>Zhelev, Z., de</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Bell, S., Bethel, A., Clarke, M., Anderson, R. and Thompson</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 xml:space="preserve">Coon, J., </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2025</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w:t>
      </w:r>
      <w:r w:rsidRPr="00C6726B">
        <w:rPr>
          <w:rFonts w:ascii="Arial" w:hAnsi="Arial" w:cs="Arial"/>
          <w:color w:val="0D0D0D" w:themeColor="text1" w:themeTint="F2"/>
          <w:sz w:val="23"/>
          <w:szCs w:val="23"/>
          <w:shd w:val="clear" w:color="auto" w:fill="FFFFFF"/>
        </w:rPr>
        <w:t xml:space="preserve"> “</w:t>
      </w:r>
      <w:r w:rsidRPr="00C6726B">
        <w:rPr>
          <w:rFonts w:ascii="Arial" w:hAnsi="Arial" w:cs="Arial"/>
          <w:color w:val="0D0D0D" w:themeColor="text1" w:themeTint="F2"/>
          <w:sz w:val="23"/>
          <w:szCs w:val="23"/>
          <w:shd w:val="clear" w:color="auto" w:fill="FFFFFF"/>
        </w:rPr>
        <w:t>The implementation of Safety Management Systems in healthcare: a systematic review and international comparison,”</w:t>
      </w:r>
      <w:r w:rsidRPr="00C6726B">
        <w:rPr>
          <w:rStyle w:val="apple-converted-space"/>
          <w:rFonts w:ascii="Arial" w:eastAsiaTheme="majorEastAsia" w:hAnsi="Arial" w:cs="Arial"/>
          <w:color w:val="0D0D0D" w:themeColor="text1" w:themeTint="F2"/>
          <w:sz w:val="23"/>
          <w:szCs w:val="23"/>
          <w:shd w:val="clear" w:color="auto" w:fill="FFFFFF"/>
        </w:rPr>
        <w:t> </w:t>
      </w:r>
      <w:r w:rsidRPr="00C6726B">
        <w:rPr>
          <w:rFonts w:ascii="Arial" w:hAnsi="Arial" w:cs="Arial"/>
          <w:i/>
          <w:iCs/>
          <w:color w:val="0D0D0D" w:themeColor="text1" w:themeTint="F2"/>
          <w:sz w:val="23"/>
          <w:szCs w:val="23"/>
        </w:rPr>
        <w:t>Health and social care delivery research</w:t>
      </w:r>
      <w:r w:rsidRPr="00C6726B">
        <w:rPr>
          <w:rFonts w:ascii="Arial" w:hAnsi="Arial" w:cs="Arial"/>
          <w:color w:val="0D0D0D" w:themeColor="text1" w:themeTint="F2"/>
          <w:sz w:val="23"/>
          <w:szCs w:val="23"/>
          <w:shd w:val="clear" w:color="auto" w:fill="FFFFFF"/>
        </w:rPr>
        <w:t xml:space="preserve">, 13(7). Available at: https://doi.org/10.3310/QPLF8546. </w:t>
      </w:r>
      <w:r w:rsidRPr="00C6726B">
        <w:rPr>
          <w:rFonts w:ascii="Arial" w:hAnsi="Arial" w:cs="Arial"/>
          <w:color w:val="0D0D0D" w:themeColor="text1" w:themeTint="F2"/>
          <w:sz w:val="23"/>
          <w:szCs w:val="23"/>
        </w:rPr>
        <w:t>(Accessed: 10 March 2026).</w:t>
      </w:r>
    </w:p>
    <w:p w14:paraId="7CC9C88E" w14:textId="2216F3AF" w:rsidR="00ED2C84" w:rsidRPr="00697382" w:rsidRDefault="00ED2C84" w:rsidP="00061FA8">
      <w:pPr>
        <w:pStyle w:val="NormalWeb"/>
        <w:spacing w:before="0" w:beforeAutospacing="0" w:after="240" w:afterAutospacing="0" w:line="360" w:lineRule="atLeast"/>
        <w:rPr>
          <w:rFonts w:ascii="Arial" w:hAnsi="Arial" w:cs="Arial"/>
          <w:color w:val="0D0D0D" w:themeColor="text1" w:themeTint="F2"/>
          <w:sz w:val="23"/>
          <w:szCs w:val="23"/>
        </w:rPr>
      </w:pPr>
    </w:p>
    <w:sectPr w:rsidR="00ED2C84" w:rsidRPr="0069738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459B0" w14:textId="77777777" w:rsidR="00553137" w:rsidRDefault="00553137" w:rsidP="00A2086F">
      <w:r>
        <w:separator/>
      </w:r>
    </w:p>
  </w:endnote>
  <w:endnote w:type="continuationSeparator" w:id="0">
    <w:p w14:paraId="3479B023" w14:textId="77777777" w:rsidR="00553137" w:rsidRDefault="00553137" w:rsidP="00A20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855252"/>
      <w:docPartObj>
        <w:docPartGallery w:val="Page Numbers (Bottom of Page)"/>
        <w:docPartUnique/>
      </w:docPartObj>
    </w:sdtPr>
    <w:sdtContent>
      <w:p w14:paraId="48F27AFB" w14:textId="46787298" w:rsidR="00A2086F" w:rsidRDefault="00A2086F" w:rsidP="00973F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2F0B7F">
          <w:rPr>
            <w:rStyle w:val="PageNumber"/>
          </w:rPr>
          <w:fldChar w:fldCharType="separate"/>
        </w:r>
        <w:r w:rsidR="002F0B7F">
          <w:rPr>
            <w:rStyle w:val="PageNumber"/>
            <w:noProof/>
          </w:rPr>
          <w:t>18</w:t>
        </w:r>
        <w:r>
          <w:rPr>
            <w:rStyle w:val="PageNumber"/>
          </w:rPr>
          <w:fldChar w:fldCharType="end"/>
        </w:r>
      </w:p>
    </w:sdtContent>
  </w:sdt>
  <w:p w14:paraId="2839B571" w14:textId="77777777" w:rsidR="00A2086F" w:rsidRDefault="00A208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1854522"/>
      <w:docPartObj>
        <w:docPartGallery w:val="Page Numbers (Bottom of Page)"/>
        <w:docPartUnique/>
      </w:docPartObj>
    </w:sdtPr>
    <w:sdtContent>
      <w:p w14:paraId="4B336D69" w14:textId="1F07DE86" w:rsidR="00A2086F" w:rsidRDefault="00A2086F" w:rsidP="00973F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DE60C7" w14:textId="77777777" w:rsidR="00A2086F" w:rsidRDefault="00A20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3CADA" w14:textId="77777777" w:rsidR="00553137" w:rsidRDefault="00553137" w:rsidP="00A2086F">
      <w:r>
        <w:separator/>
      </w:r>
    </w:p>
  </w:footnote>
  <w:footnote w:type="continuationSeparator" w:id="0">
    <w:p w14:paraId="06FC3401" w14:textId="77777777" w:rsidR="00553137" w:rsidRDefault="00553137" w:rsidP="00A20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33252"/>
    <w:multiLevelType w:val="hybridMultilevel"/>
    <w:tmpl w:val="700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330B3"/>
    <w:multiLevelType w:val="multilevel"/>
    <w:tmpl w:val="1AFC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12075"/>
    <w:multiLevelType w:val="multilevel"/>
    <w:tmpl w:val="A5089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A22E2"/>
    <w:multiLevelType w:val="multilevel"/>
    <w:tmpl w:val="EB0A7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47AD7"/>
    <w:multiLevelType w:val="hybridMultilevel"/>
    <w:tmpl w:val="F9586C8C"/>
    <w:lvl w:ilvl="0" w:tplc="826A8D0E">
      <w:start w:val="5"/>
      <w:numFmt w:val="low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1B86292A"/>
    <w:multiLevelType w:val="multilevel"/>
    <w:tmpl w:val="BB2C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216CC"/>
    <w:multiLevelType w:val="hybridMultilevel"/>
    <w:tmpl w:val="357C3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A745F0"/>
    <w:multiLevelType w:val="multilevel"/>
    <w:tmpl w:val="A36AC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E4C12"/>
    <w:multiLevelType w:val="multilevel"/>
    <w:tmpl w:val="2996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114BC"/>
    <w:multiLevelType w:val="multilevel"/>
    <w:tmpl w:val="5D6E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0E7B9A"/>
    <w:multiLevelType w:val="multilevel"/>
    <w:tmpl w:val="1536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727705"/>
    <w:multiLevelType w:val="multilevel"/>
    <w:tmpl w:val="89C6F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371011"/>
    <w:multiLevelType w:val="multilevel"/>
    <w:tmpl w:val="1E54C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27701B"/>
    <w:multiLevelType w:val="multilevel"/>
    <w:tmpl w:val="F9666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D60D5B"/>
    <w:multiLevelType w:val="multilevel"/>
    <w:tmpl w:val="2794D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3357F6"/>
    <w:multiLevelType w:val="multilevel"/>
    <w:tmpl w:val="A6D25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AD5711"/>
    <w:multiLevelType w:val="hybridMultilevel"/>
    <w:tmpl w:val="96CCAE24"/>
    <w:lvl w:ilvl="0" w:tplc="150CC3B6">
      <w:start w:val="1"/>
      <w:numFmt w:val="lowerLetter"/>
      <w:lvlText w:val="%1."/>
      <w:lvlJc w:val="left"/>
      <w:pPr>
        <w:ind w:left="785"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EC1AD2"/>
    <w:multiLevelType w:val="multilevel"/>
    <w:tmpl w:val="41CA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473188"/>
    <w:multiLevelType w:val="multilevel"/>
    <w:tmpl w:val="DE22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6124F9"/>
    <w:multiLevelType w:val="multilevel"/>
    <w:tmpl w:val="5F98A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3067A5"/>
    <w:multiLevelType w:val="multilevel"/>
    <w:tmpl w:val="E9AE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FA0C05"/>
    <w:multiLevelType w:val="multilevel"/>
    <w:tmpl w:val="A8F66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371E63"/>
    <w:multiLevelType w:val="multilevel"/>
    <w:tmpl w:val="E6DC2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F1272A"/>
    <w:multiLevelType w:val="multilevel"/>
    <w:tmpl w:val="833C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3C7912"/>
    <w:multiLevelType w:val="hybridMultilevel"/>
    <w:tmpl w:val="690A3696"/>
    <w:lvl w:ilvl="0" w:tplc="FBF2FAF0">
      <w:start w:val="5"/>
      <w:numFmt w:val="low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1213272361">
    <w:abstractNumId w:val="19"/>
  </w:num>
  <w:num w:numId="2" w16cid:durableId="1672685590">
    <w:abstractNumId w:val="1"/>
  </w:num>
  <w:num w:numId="3" w16cid:durableId="1180241697">
    <w:abstractNumId w:val="3"/>
  </w:num>
  <w:num w:numId="4" w16cid:durableId="1484346771">
    <w:abstractNumId w:val="8"/>
  </w:num>
  <w:num w:numId="5" w16cid:durableId="213856900">
    <w:abstractNumId w:val="10"/>
  </w:num>
  <w:num w:numId="6" w16cid:durableId="1092898053">
    <w:abstractNumId w:val="9"/>
  </w:num>
  <w:num w:numId="7" w16cid:durableId="657924470">
    <w:abstractNumId w:val="2"/>
  </w:num>
  <w:num w:numId="8" w16cid:durableId="151264159">
    <w:abstractNumId w:val="12"/>
  </w:num>
  <w:num w:numId="9" w16cid:durableId="1317876161">
    <w:abstractNumId w:val="14"/>
  </w:num>
  <w:num w:numId="10" w16cid:durableId="2061438493">
    <w:abstractNumId w:val="17"/>
  </w:num>
  <w:num w:numId="11" w16cid:durableId="155730168">
    <w:abstractNumId w:val="7"/>
  </w:num>
  <w:num w:numId="12" w16cid:durableId="1291864361">
    <w:abstractNumId w:val="5"/>
  </w:num>
  <w:num w:numId="13" w16cid:durableId="30496960">
    <w:abstractNumId w:val="18"/>
  </w:num>
  <w:num w:numId="14" w16cid:durableId="1658682887">
    <w:abstractNumId w:val="23"/>
  </w:num>
  <w:num w:numId="15" w16cid:durableId="683094995">
    <w:abstractNumId w:val="11"/>
  </w:num>
  <w:num w:numId="16" w16cid:durableId="2026055597">
    <w:abstractNumId w:val="21"/>
  </w:num>
  <w:num w:numId="17" w16cid:durableId="110756604">
    <w:abstractNumId w:val="6"/>
  </w:num>
  <w:num w:numId="18" w16cid:durableId="1452742825">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9" w16cid:durableId="1431851116">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0" w16cid:durableId="1567036740">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1" w16cid:durableId="1602908446">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2" w16cid:durableId="1647078388">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3" w16cid:durableId="708726055">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4" w16cid:durableId="39939445">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5" w16cid:durableId="1122773239">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6" w16cid:durableId="308562749">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7" w16cid:durableId="1260941867">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8" w16cid:durableId="1006519754">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9" w16cid:durableId="1235822494">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30" w16cid:durableId="291987412">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31" w16cid:durableId="1071194461">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32" w16cid:durableId="905578638">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33" w16cid:durableId="29455375">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34" w16cid:durableId="1235582096">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35" w16cid:durableId="1664161878">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36" w16cid:durableId="1838959986">
    <w:abstractNumId w:val="16"/>
  </w:num>
  <w:num w:numId="37" w16cid:durableId="1156996620">
    <w:abstractNumId w:val="4"/>
  </w:num>
  <w:num w:numId="38" w16cid:durableId="189035494">
    <w:abstractNumId w:val="24"/>
  </w:num>
  <w:num w:numId="39" w16cid:durableId="91324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AB1"/>
    <w:rsid w:val="00001AEB"/>
    <w:rsid w:val="00023635"/>
    <w:rsid w:val="0002722F"/>
    <w:rsid w:val="00033B4E"/>
    <w:rsid w:val="00043A0A"/>
    <w:rsid w:val="000461EC"/>
    <w:rsid w:val="0005133D"/>
    <w:rsid w:val="00054D36"/>
    <w:rsid w:val="00060E70"/>
    <w:rsid w:val="00061FA8"/>
    <w:rsid w:val="0006749F"/>
    <w:rsid w:val="0007047A"/>
    <w:rsid w:val="00070EE0"/>
    <w:rsid w:val="00080039"/>
    <w:rsid w:val="00092201"/>
    <w:rsid w:val="00097F4D"/>
    <w:rsid w:val="000A30D0"/>
    <w:rsid w:val="000C1EDF"/>
    <w:rsid w:val="000C3D35"/>
    <w:rsid w:val="000D7372"/>
    <w:rsid w:val="001003C4"/>
    <w:rsid w:val="00100983"/>
    <w:rsid w:val="00147089"/>
    <w:rsid w:val="00153AFF"/>
    <w:rsid w:val="00180959"/>
    <w:rsid w:val="001916F0"/>
    <w:rsid w:val="001A58EC"/>
    <w:rsid w:val="001C029A"/>
    <w:rsid w:val="001C2CFE"/>
    <w:rsid w:val="001C2E6A"/>
    <w:rsid w:val="001C5611"/>
    <w:rsid w:val="001C5AB5"/>
    <w:rsid w:val="001C5F08"/>
    <w:rsid w:val="001D0771"/>
    <w:rsid w:val="001D0B53"/>
    <w:rsid w:val="001D5B09"/>
    <w:rsid w:val="001E0A3F"/>
    <w:rsid w:val="001E3411"/>
    <w:rsid w:val="001E361D"/>
    <w:rsid w:val="001F0414"/>
    <w:rsid w:val="002038E6"/>
    <w:rsid w:val="0021539A"/>
    <w:rsid w:val="00222F1C"/>
    <w:rsid w:val="002258DE"/>
    <w:rsid w:val="00231D28"/>
    <w:rsid w:val="0023475B"/>
    <w:rsid w:val="00247847"/>
    <w:rsid w:val="00254542"/>
    <w:rsid w:val="0025510D"/>
    <w:rsid w:val="00261F96"/>
    <w:rsid w:val="00266220"/>
    <w:rsid w:val="00266D8F"/>
    <w:rsid w:val="00273106"/>
    <w:rsid w:val="00276EEA"/>
    <w:rsid w:val="00277EFE"/>
    <w:rsid w:val="002900F9"/>
    <w:rsid w:val="00292281"/>
    <w:rsid w:val="002B021F"/>
    <w:rsid w:val="002B4667"/>
    <w:rsid w:val="002C2D59"/>
    <w:rsid w:val="002C638E"/>
    <w:rsid w:val="002C7A2B"/>
    <w:rsid w:val="002D457D"/>
    <w:rsid w:val="002D6124"/>
    <w:rsid w:val="002E3CC4"/>
    <w:rsid w:val="002F0B7F"/>
    <w:rsid w:val="002F267D"/>
    <w:rsid w:val="002F28C0"/>
    <w:rsid w:val="0030436D"/>
    <w:rsid w:val="00310A72"/>
    <w:rsid w:val="00311A87"/>
    <w:rsid w:val="003152DE"/>
    <w:rsid w:val="0032040E"/>
    <w:rsid w:val="00324A15"/>
    <w:rsid w:val="00330C34"/>
    <w:rsid w:val="00331EB1"/>
    <w:rsid w:val="0033236C"/>
    <w:rsid w:val="00334B63"/>
    <w:rsid w:val="00336484"/>
    <w:rsid w:val="00341F00"/>
    <w:rsid w:val="00352393"/>
    <w:rsid w:val="003566FF"/>
    <w:rsid w:val="00360ACD"/>
    <w:rsid w:val="003638BB"/>
    <w:rsid w:val="0036403F"/>
    <w:rsid w:val="003721E5"/>
    <w:rsid w:val="0037351F"/>
    <w:rsid w:val="0037471C"/>
    <w:rsid w:val="00384277"/>
    <w:rsid w:val="003861DE"/>
    <w:rsid w:val="003A22AC"/>
    <w:rsid w:val="003B3DB1"/>
    <w:rsid w:val="003C4645"/>
    <w:rsid w:val="003D109C"/>
    <w:rsid w:val="003D30E5"/>
    <w:rsid w:val="003D4F3F"/>
    <w:rsid w:val="003E084C"/>
    <w:rsid w:val="003E0FC6"/>
    <w:rsid w:val="003F0F16"/>
    <w:rsid w:val="003F394A"/>
    <w:rsid w:val="00403284"/>
    <w:rsid w:val="00405D32"/>
    <w:rsid w:val="00411AE4"/>
    <w:rsid w:val="0042016D"/>
    <w:rsid w:val="00420B4D"/>
    <w:rsid w:val="00432B94"/>
    <w:rsid w:val="00454E88"/>
    <w:rsid w:val="004673E5"/>
    <w:rsid w:val="00473709"/>
    <w:rsid w:val="00474ADF"/>
    <w:rsid w:val="004770CC"/>
    <w:rsid w:val="00490DAD"/>
    <w:rsid w:val="0049468F"/>
    <w:rsid w:val="00496C9E"/>
    <w:rsid w:val="004A2D54"/>
    <w:rsid w:val="004A3521"/>
    <w:rsid w:val="004A3ACA"/>
    <w:rsid w:val="004A7ED3"/>
    <w:rsid w:val="004B03C9"/>
    <w:rsid w:val="004B7E85"/>
    <w:rsid w:val="004C3D67"/>
    <w:rsid w:val="004D0EF0"/>
    <w:rsid w:val="004F4FE6"/>
    <w:rsid w:val="00507F8C"/>
    <w:rsid w:val="00511DFA"/>
    <w:rsid w:val="00513391"/>
    <w:rsid w:val="00524932"/>
    <w:rsid w:val="005257F0"/>
    <w:rsid w:val="00526D76"/>
    <w:rsid w:val="00537D6A"/>
    <w:rsid w:val="0054043B"/>
    <w:rsid w:val="00543E73"/>
    <w:rsid w:val="00546D7A"/>
    <w:rsid w:val="00553137"/>
    <w:rsid w:val="00571249"/>
    <w:rsid w:val="005736E7"/>
    <w:rsid w:val="00580279"/>
    <w:rsid w:val="0058464A"/>
    <w:rsid w:val="00585E22"/>
    <w:rsid w:val="00594826"/>
    <w:rsid w:val="00596984"/>
    <w:rsid w:val="005A2A75"/>
    <w:rsid w:val="005A44F7"/>
    <w:rsid w:val="005A7F7E"/>
    <w:rsid w:val="005B5E17"/>
    <w:rsid w:val="005B7F46"/>
    <w:rsid w:val="005C3971"/>
    <w:rsid w:val="005E0467"/>
    <w:rsid w:val="005F060A"/>
    <w:rsid w:val="005F639F"/>
    <w:rsid w:val="0060107F"/>
    <w:rsid w:val="00611C05"/>
    <w:rsid w:val="0062363B"/>
    <w:rsid w:val="00632AB1"/>
    <w:rsid w:val="00637D48"/>
    <w:rsid w:val="00642CB8"/>
    <w:rsid w:val="00642E10"/>
    <w:rsid w:val="006514EC"/>
    <w:rsid w:val="0065243C"/>
    <w:rsid w:val="00653B89"/>
    <w:rsid w:val="00674A73"/>
    <w:rsid w:val="00674AFE"/>
    <w:rsid w:val="00682F77"/>
    <w:rsid w:val="00690A3D"/>
    <w:rsid w:val="00697382"/>
    <w:rsid w:val="006A3F8A"/>
    <w:rsid w:val="006B374C"/>
    <w:rsid w:val="006C29A5"/>
    <w:rsid w:val="006F134A"/>
    <w:rsid w:val="006F27A5"/>
    <w:rsid w:val="006F6943"/>
    <w:rsid w:val="007023E6"/>
    <w:rsid w:val="007045DC"/>
    <w:rsid w:val="0071550C"/>
    <w:rsid w:val="00717AE4"/>
    <w:rsid w:val="007255FF"/>
    <w:rsid w:val="007260E6"/>
    <w:rsid w:val="00733177"/>
    <w:rsid w:val="00735357"/>
    <w:rsid w:val="00755738"/>
    <w:rsid w:val="00755C50"/>
    <w:rsid w:val="0076169E"/>
    <w:rsid w:val="00774563"/>
    <w:rsid w:val="00780ED6"/>
    <w:rsid w:val="00784217"/>
    <w:rsid w:val="007926CE"/>
    <w:rsid w:val="00795B82"/>
    <w:rsid w:val="00796D81"/>
    <w:rsid w:val="00797DCE"/>
    <w:rsid w:val="007A7706"/>
    <w:rsid w:val="007A7D0C"/>
    <w:rsid w:val="007B36B1"/>
    <w:rsid w:val="007B6BA3"/>
    <w:rsid w:val="007B7F74"/>
    <w:rsid w:val="007C01AF"/>
    <w:rsid w:val="007C1353"/>
    <w:rsid w:val="007D0599"/>
    <w:rsid w:val="007E0DD7"/>
    <w:rsid w:val="007E3624"/>
    <w:rsid w:val="007F1CA1"/>
    <w:rsid w:val="007F6214"/>
    <w:rsid w:val="00803B4C"/>
    <w:rsid w:val="008107D5"/>
    <w:rsid w:val="008118E6"/>
    <w:rsid w:val="00814F8D"/>
    <w:rsid w:val="0082242A"/>
    <w:rsid w:val="00835D0F"/>
    <w:rsid w:val="00840667"/>
    <w:rsid w:val="00841C54"/>
    <w:rsid w:val="00842E71"/>
    <w:rsid w:val="00851A70"/>
    <w:rsid w:val="008561A2"/>
    <w:rsid w:val="00864A4B"/>
    <w:rsid w:val="00872B9E"/>
    <w:rsid w:val="00876F46"/>
    <w:rsid w:val="00877F86"/>
    <w:rsid w:val="00885263"/>
    <w:rsid w:val="0088529C"/>
    <w:rsid w:val="00885AD0"/>
    <w:rsid w:val="00886D6C"/>
    <w:rsid w:val="00895FC9"/>
    <w:rsid w:val="008A7166"/>
    <w:rsid w:val="008B1ACB"/>
    <w:rsid w:val="008B35A9"/>
    <w:rsid w:val="008C0666"/>
    <w:rsid w:val="008C3C2F"/>
    <w:rsid w:val="008E1DC5"/>
    <w:rsid w:val="008E4326"/>
    <w:rsid w:val="008F1BF5"/>
    <w:rsid w:val="00903E8F"/>
    <w:rsid w:val="009358CF"/>
    <w:rsid w:val="00940F34"/>
    <w:rsid w:val="00942C06"/>
    <w:rsid w:val="00944ED9"/>
    <w:rsid w:val="00947335"/>
    <w:rsid w:val="00960E8A"/>
    <w:rsid w:val="009611EC"/>
    <w:rsid w:val="009638CB"/>
    <w:rsid w:val="00970235"/>
    <w:rsid w:val="0097344C"/>
    <w:rsid w:val="009762EC"/>
    <w:rsid w:val="0097704C"/>
    <w:rsid w:val="00981295"/>
    <w:rsid w:val="00983B3E"/>
    <w:rsid w:val="0098487B"/>
    <w:rsid w:val="00995F39"/>
    <w:rsid w:val="0099724E"/>
    <w:rsid w:val="00997948"/>
    <w:rsid w:val="009A0EE8"/>
    <w:rsid w:val="009A4A4B"/>
    <w:rsid w:val="009A4CAA"/>
    <w:rsid w:val="009C022B"/>
    <w:rsid w:val="009D0989"/>
    <w:rsid w:val="009D0EA9"/>
    <w:rsid w:val="009D678F"/>
    <w:rsid w:val="009E07A1"/>
    <w:rsid w:val="009E1CAC"/>
    <w:rsid w:val="00A1169B"/>
    <w:rsid w:val="00A13EEC"/>
    <w:rsid w:val="00A2086F"/>
    <w:rsid w:val="00A25326"/>
    <w:rsid w:val="00A258FD"/>
    <w:rsid w:val="00A26EED"/>
    <w:rsid w:val="00A43619"/>
    <w:rsid w:val="00A43D88"/>
    <w:rsid w:val="00A4458F"/>
    <w:rsid w:val="00A8686E"/>
    <w:rsid w:val="00A90C54"/>
    <w:rsid w:val="00A97D4B"/>
    <w:rsid w:val="00AA1FE1"/>
    <w:rsid w:val="00AB19D0"/>
    <w:rsid w:val="00AB53E7"/>
    <w:rsid w:val="00AC008A"/>
    <w:rsid w:val="00AC0975"/>
    <w:rsid w:val="00AC4B2E"/>
    <w:rsid w:val="00AC5709"/>
    <w:rsid w:val="00AC634B"/>
    <w:rsid w:val="00AD23D2"/>
    <w:rsid w:val="00AE2258"/>
    <w:rsid w:val="00AF3C8C"/>
    <w:rsid w:val="00AF4D8F"/>
    <w:rsid w:val="00B0631D"/>
    <w:rsid w:val="00B13822"/>
    <w:rsid w:val="00B23F59"/>
    <w:rsid w:val="00B43796"/>
    <w:rsid w:val="00B5174C"/>
    <w:rsid w:val="00B518A8"/>
    <w:rsid w:val="00B521A4"/>
    <w:rsid w:val="00B53644"/>
    <w:rsid w:val="00B6492F"/>
    <w:rsid w:val="00B6638A"/>
    <w:rsid w:val="00B66900"/>
    <w:rsid w:val="00B675EB"/>
    <w:rsid w:val="00B735CA"/>
    <w:rsid w:val="00B77300"/>
    <w:rsid w:val="00B83C03"/>
    <w:rsid w:val="00B970E8"/>
    <w:rsid w:val="00BA69C8"/>
    <w:rsid w:val="00BB3A52"/>
    <w:rsid w:val="00BC6F6E"/>
    <w:rsid w:val="00BE1857"/>
    <w:rsid w:val="00BE40CC"/>
    <w:rsid w:val="00BE6C19"/>
    <w:rsid w:val="00BF1C2E"/>
    <w:rsid w:val="00BF27DE"/>
    <w:rsid w:val="00BF3D8A"/>
    <w:rsid w:val="00C00E74"/>
    <w:rsid w:val="00C02E08"/>
    <w:rsid w:val="00C038DD"/>
    <w:rsid w:val="00C046AC"/>
    <w:rsid w:val="00C140A3"/>
    <w:rsid w:val="00C1623B"/>
    <w:rsid w:val="00C21923"/>
    <w:rsid w:val="00C21F04"/>
    <w:rsid w:val="00C275AA"/>
    <w:rsid w:val="00C3071F"/>
    <w:rsid w:val="00C40ED7"/>
    <w:rsid w:val="00C43E02"/>
    <w:rsid w:val="00C46B2F"/>
    <w:rsid w:val="00C47D90"/>
    <w:rsid w:val="00C505DA"/>
    <w:rsid w:val="00C5604A"/>
    <w:rsid w:val="00C5641B"/>
    <w:rsid w:val="00C57CF1"/>
    <w:rsid w:val="00C6472A"/>
    <w:rsid w:val="00C6726B"/>
    <w:rsid w:val="00C91D7F"/>
    <w:rsid w:val="00C93572"/>
    <w:rsid w:val="00C97DE9"/>
    <w:rsid w:val="00CA1DA8"/>
    <w:rsid w:val="00CA21FD"/>
    <w:rsid w:val="00CA3F01"/>
    <w:rsid w:val="00CA44F4"/>
    <w:rsid w:val="00CC0018"/>
    <w:rsid w:val="00CC1A86"/>
    <w:rsid w:val="00CC2E0F"/>
    <w:rsid w:val="00CC635A"/>
    <w:rsid w:val="00CD23C0"/>
    <w:rsid w:val="00CD6544"/>
    <w:rsid w:val="00CE66E7"/>
    <w:rsid w:val="00CF1B16"/>
    <w:rsid w:val="00CF3193"/>
    <w:rsid w:val="00CF6682"/>
    <w:rsid w:val="00CF6829"/>
    <w:rsid w:val="00CF68D7"/>
    <w:rsid w:val="00D0018B"/>
    <w:rsid w:val="00D07CE3"/>
    <w:rsid w:val="00D123B1"/>
    <w:rsid w:val="00D2161B"/>
    <w:rsid w:val="00D26DAD"/>
    <w:rsid w:val="00D275AD"/>
    <w:rsid w:val="00D3169F"/>
    <w:rsid w:val="00D3572C"/>
    <w:rsid w:val="00D4270A"/>
    <w:rsid w:val="00D44D8D"/>
    <w:rsid w:val="00D46DC0"/>
    <w:rsid w:val="00D5391F"/>
    <w:rsid w:val="00D573C4"/>
    <w:rsid w:val="00D630E8"/>
    <w:rsid w:val="00D632D1"/>
    <w:rsid w:val="00D80C31"/>
    <w:rsid w:val="00D810EF"/>
    <w:rsid w:val="00D82AC8"/>
    <w:rsid w:val="00D94582"/>
    <w:rsid w:val="00D968B4"/>
    <w:rsid w:val="00DB4C3A"/>
    <w:rsid w:val="00DD016A"/>
    <w:rsid w:val="00DD05A4"/>
    <w:rsid w:val="00DD4923"/>
    <w:rsid w:val="00E13861"/>
    <w:rsid w:val="00E1684D"/>
    <w:rsid w:val="00E178EC"/>
    <w:rsid w:val="00E25D95"/>
    <w:rsid w:val="00E30855"/>
    <w:rsid w:val="00E416B5"/>
    <w:rsid w:val="00E433EA"/>
    <w:rsid w:val="00E46EA1"/>
    <w:rsid w:val="00E51B27"/>
    <w:rsid w:val="00E53924"/>
    <w:rsid w:val="00E54EE8"/>
    <w:rsid w:val="00E64D69"/>
    <w:rsid w:val="00E70210"/>
    <w:rsid w:val="00E738A0"/>
    <w:rsid w:val="00E74B05"/>
    <w:rsid w:val="00E80053"/>
    <w:rsid w:val="00EA00D0"/>
    <w:rsid w:val="00EA0DE3"/>
    <w:rsid w:val="00EA7F9C"/>
    <w:rsid w:val="00EB2AF9"/>
    <w:rsid w:val="00EB2F83"/>
    <w:rsid w:val="00EC2C47"/>
    <w:rsid w:val="00EC32FD"/>
    <w:rsid w:val="00ED2C84"/>
    <w:rsid w:val="00ED65AB"/>
    <w:rsid w:val="00EF16E4"/>
    <w:rsid w:val="00EF5931"/>
    <w:rsid w:val="00EF6A4E"/>
    <w:rsid w:val="00F1615A"/>
    <w:rsid w:val="00F20C1F"/>
    <w:rsid w:val="00F22677"/>
    <w:rsid w:val="00F30D13"/>
    <w:rsid w:val="00F34AFF"/>
    <w:rsid w:val="00F62F33"/>
    <w:rsid w:val="00F731E4"/>
    <w:rsid w:val="00F73398"/>
    <w:rsid w:val="00F736CA"/>
    <w:rsid w:val="00F93244"/>
    <w:rsid w:val="00F93875"/>
    <w:rsid w:val="00FB02BD"/>
    <w:rsid w:val="00FB1004"/>
    <w:rsid w:val="00FB4B46"/>
    <w:rsid w:val="00FC454D"/>
    <w:rsid w:val="00FC4B87"/>
    <w:rsid w:val="00FC7396"/>
    <w:rsid w:val="00FC78A4"/>
    <w:rsid w:val="00FD2D2B"/>
    <w:rsid w:val="00FD5832"/>
    <w:rsid w:val="00FE174D"/>
    <w:rsid w:val="00FF2A10"/>
    <w:rsid w:val="00FF333C"/>
    <w:rsid w:val="00FF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313A4"/>
  <w15:chartTrackingRefBased/>
  <w15:docId w15:val="{67AFBA4D-C9E5-C842-83A9-2B70C9CE0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3"/>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A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A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AB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A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2A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2A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2A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2A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2A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A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2A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2AB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AB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32AB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32AB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32AB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32AB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32AB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32A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A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A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AB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32A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2AB1"/>
    <w:rPr>
      <w:i/>
      <w:iCs/>
      <w:color w:val="404040" w:themeColor="text1" w:themeTint="BF"/>
    </w:rPr>
  </w:style>
  <w:style w:type="paragraph" w:styleId="ListParagraph">
    <w:name w:val="List Paragraph"/>
    <w:basedOn w:val="Normal"/>
    <w:uiPriority w:val="34"/>
    <w:qFormat/>
    <w:rsid w:val="00632AB1"/>
    <w:pPr>
      <w:ind w:left="720"/>
      <w:contextualSpacing/>
    </w:pPr>
  </w:style>
  <w:style w:type="character" w:styleId="IntenseEmphasis">
    <w:name w:val="Intense Emphasis"/>
    <w:basedOn w:val="DefaultParagraphFont"/>
    <w:uiPriority w:val="21"/>
    <w:qFormat/>
    <w:rsid w:val="00632AB1"/>
    <w:rPr>
      <w:i/>
      <w:iCs/>
      <w:color w:val="0F4761" w:themeColor="accent1" w:themeShade="BF"/>
    </w:rPr>
  </w:style>
  <w:style w:type="paragraph" w:styleId="IntenseQuote">
    <w:name w:val="Intense Quote"/>
    <w:basedOn w:val="Normal"/>
    <w:next w:val="Normal"/>
    <w:link w:val="IntenseQuoteChar"/>
    <w:uiPriority w:val="30"/>
    <w:qFormat/>
    <w:rsid w:val="00632A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AB1"/>
    <w:rPr>
      <w:i/>
      <w:iCs/>
      <w:color w:val="0F4761" w:themeColor="accent1" w:themeShade="BF"/>
    </w:rPr>
  </w:style>
  <w:style w:type="character" w:styleId="IntenseReference">
    <w:name w:val="Intense Reference"/>
    <w:basedOn w:val="DefaultParagraphFont"/>
    <w:uiPriority w:val="32"/>
    <w:qFormat/>
    <w:rsid w:val="00632AB1"/>
    <w:rPr>
      <w:b/>
      <w:bCs/>
      <w:smallCaps/>
      <w:color w:val="0F4761" w:themeColor="accent1" w:themeShade="BF"/>
      <w:spacing w:val="5"/>
    </w:rPr>
  </w:style>
  <w:style w:type="paragraph" w:customStyle="1" w:styleId="ds-markdown-paragraph">
    <w:name w:val="ds-markdown-paragraph"/>
    <w:basedOn w:val="Normal"/>
    <w:rsid w:val="00632AB1"/>
    <w:pPr>
      <w:spacing w:before="100" w:beforeAutospacing="1" w:after="100" w:afterAutospacing="1"/>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632AB1"/>
    <w:rPr>
      <w:b/>
      <w:bCs/>
    </w:rPr>
  </w:style>
  <w:style w:type="character" w:styleId="Emphasis">
    <w:name w:val="Emphasis"/>
    <w:basedOn w:val="DefaultParagraphFont"/>
    <w:uiPriority w:val="20"/>
    <w:qFormat/>
    <w:rsid w:val="00632AB1"/>
    <w:rPr>
      <w:i/>
      <w:iCs/>
    </w:rPr>
  </w:style>
  <w:style w:type="character" w:customStyle="1" w:styleId="apple-converted-space">
    <w:name w:val="apple-converted-space"/>
    <w:basedOn w:val="DefaultParagraphFont"/>
    <w:rsid w:val="00632AB1"/>
  </w:style>
  <w:style w:type="paragraph" w:styleId="NormalWeb">
    <w:name w:val="Normal (Web)"/>
    <w:basedOn w:val="Normal"/>
    <w:uiPriority w:val="99"/>
    <w:unhideWhenUsed/>
    <w:rsid w:val="00100983"/>
    <w:pPr>
      <w:spacing w:before="100" w:beforeAutospacing="1" w:after="100" w:afterAutospacing="1"/>
    </w:pPr>
    <w:rPr>
      <w:rFonts w:ascii="Times New Roman" w:eastAsia="Times New Roman" w:hAnsi="Times New Roman" w:cs="Times New Roman"/>
      <w:kern w:val="0"/>
      <w:sz w:val="24"/>
      <w:lang w:eastAsia="en-GB"/>
      <w14:ligatures w14:val="none"/>
    </w:rPr>
  </w:style>
  <w:style w:type="character" w:styleId="Hyperlink">
    <w:name w:val="Hyperlink"/>
    <w:basedOn w:val="DefaultParagraphFont"/>
    <w:uiPriority w:val="99"/>
    <w:unhideWhenUsed/>
    <w:rsid w:val="00A25326"/>
    <w:rPr>
      <w:color w:val="467886" w:themeColor="hyperlink"/>
      <w:u w:val="single"/>
    </w:rPr>
  </w:style>
  <w:style w:type="character" w:styleId="UnresolvedMention">
    <w:name w:val="Unresolved Mention"/>
    <w:basedOn w:val="DefaultParagraphFont"/>
    <w:uiPriority w:val="99"/>
    <w:semiHidden/>
    <w:unhideWhenUsed/>
    <w:rsid w:val="00A25326"/>
    <w:rPr>
      <w:color w:val="605E5C"/>
      <w:shd w:val="clear" w:color="auto" w:fill="E1DFDD"/>
    </w:rPr>
  </w:style>
  <w:style w:type="character" w:styleId="FollowedHyperlink">
    <w:name w:val="FollowedHyperlink"/>
    <w:basedOn w:val="DefaultParagraphFont"/>
    <w:uiPriority w:val="99"/>
    <w:semiHidden/>
    <w:unhideWhenUsed/>
    <w:rsid w:val="00147089"/>
    <w:rPr>
      <w:color w:val="96607D" w:themeColor="followedHyperlink"/>
      <w:u w:val="single"/>
    </w:rPr>
  </w:style>
  <w:style w:type="paragraph" w:styleId="Footer">
    <w:name w:val="footer"/>
    <w:basedOn w:val="Normal"/>
    <w:link w:val="FooterChar"/>
    <w:uiPriority w:val="99"/>
    <w:unhideWhenUsed/>
    <w:rsid w:val="00A2086F"/>
    <w:pPr>
      <w:tabs>
        <w:tab w:val="center" w:pos="4513"/>
        <w:tab w:val="right" w:pos="9026"/>
      </w:tabs>
    </w:pPr>
  </w:style>
  <w:style w:type="character" w:customStyle="1" w:styleId="FooterChar">
    <w:name w:val="Footer Char"/>
    <w:basedOn w:val="DefaultParagraphFont"/>
    <w:link w:val="Footer"/>
    <w:uiPriority w:val="99"/>
    <w:rsid w:val="00A2086F"/>
  </w:style>
  <w:style w:type="character" w:styleId="PageNumber">
    <w:name w:val="page number"/>
    <w:basedOn w:val="DefaultParagraphFont"/>
    <w:uiPriority w:val="99"/>
    <w:semiHidden/>
    <w:unhideWhenUsed/>
    <w:rsid w:val="00A2086F"/>
  </w:style>
  <w:style w:type="table" w:styleId="TableGrid">
    <w:name w:val="Table Grid"/>
    <w:basedOn w:val="TableNormal"/>
    <w:uiPriority w:val="39"/>
    <w:rsid w:val="00995F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alysis-label">
    <w:name w:val="analysis-label"/>
    <w:basedOn w:val="DefaultParagraphFont"/>
    <w:rsid w:val="00596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98603">
      <w:bodyDiv w:val="1"/>
      <w:marLeft w:val="0"/>
      <w:marRight w:val="0"/>
      <w:marTop w:val="0"/>
      <w:marBottom w:val="0"/>
      <w:divBdr>
        <w:top w:val="none" w:sz="0" w:space="0" w:color="auto"/>
        <w:left w:val="none" w:sz="0" w:space="0" w:color="auto"/>
        <w:bottom w:val="none" w:sz="0" w:space="0" w:color="auto"/>
        <w:right w:val="none" w:sz="0" w:space="0" w:color="auto"/>
      </w:divBdr>
      <w:divsChild>
        <w:div w:id="1791195602">
          <w:marLeft w:val="0"/>
          <w:marRight w:val="0"/>
          <w:marTop w:val="0"/>
          <w:marBottom w:val="0"/>
          <w:divBdr>
            <w:top w:val="none" w:sz="0" w:space="0" w:color="auto"/>
            <w:left w:val="none" w:sz="0" w:space="0" w:color="auto"/>
            <w:bottom w:val="none" w:sz="0" w:space="0" w:color="auto"/>
            <w:right w:val="none" w:sz="0" w:space="0" w:color="auto"/>
          </w:divBdr>
        </w:div>
      </w:divsChild>
    </w:div>
    <w:div w:id="146676908">
      <w:bodyDiv w:val="1"/>
      <w:marLeft w:val="0"/>
      <w:marRight w:val="0"/>
      <w:marTop w:val="0"/>
      <w:marBottom w:val="0"/>
      <w:divBdr>
        <w:top w:val="none" w:sz="0" w:space="0" w:color="auto"/>
        <w:left w:val="none" w:sz="0" w:space="0" w:color="auto"/>
        <w:bottom w:val="none" w:sz="0" w:space="0" w:color="auto"/>
        <w:right w:val="none" w:sz="0" w:space="0" w:color="auto"/>
      </w:divBdr>
      <w:divsChild>
        <w:div w:id="1565800565">
          <w:marLeft w:val="0"/>
          <w:marRight w:val="0"/>
          <w:marTop w:val="0"/>
          <w:marBottom w:val="0"/>
          <w:divBdr>
            <w:top w:val="none" w:sz="0" w:space="0" w:color="auto"/>
            <w:left w:val="none" w:sz="0" w:space="0" w:color="auto"/>
            <w:bottom w:val="none" w:sz="0" w:space="0" w:color="auto"/>
            <w:right w:val="none" w:sz="0" w:space="0" w:color="auto"/>
          </w:divBdr>
        </w:div>
      </w:divsChild>
    </w:div>
    <w:div w:id="277686267">
      <w:bodyDiv w:val="1"/>
      <w:marLeft w:val="0"/>
      <w:marRight w:val="0"/>
      <w:marTop w:val="0"/>
      <w:marBottom w:val="0"/>
      <w:divBdr>
        <w:top w:val="none" w:sz="0" w:space="0" w:color="auto"/>
        <w:left w:val="none" w:sz="0" w:space="0" w:color="auto"/>
        <w:bottom w:val="none" w:sz="0" w:space="0" w:color="auto"/>
        <w:right w:val="none" w:sz="0" w:space="0" w:color="auto"/>
      </w:divBdr>
      <w:divsChild>
        <w:div w:id="956136123">
          <w:marLeft w:val="0"/>
          <w:marRight w:val="0"/>
          <w:marTop w:val="0"/>
          <w:marBottom w:val="0"/>
          <w:divBdr>
            <w:top w:val="none" w:sz="0" w:space="0" w:color="auto"/>
            <w:left w:val="none" w:sz="0" w:space="0" w:color="auto"/>
            <w:bottom w:val="none" w:sz="0" w:space="0" w:color="auto"/>
            <w:right w:val="none" w:sz="0" w:space="0" w:color="auto"/>
          </w:divBdr>
        </w:div>
      </w:divsChild>
    </w:div>
    <w:div w:id="305402889">
      <w:bodyDiv w:val="1"/>
      <w:marLeft w:val="0"/>
      <w:marRight w:val="0"/>
      <w:marTop w:val="0"/>
      <w:marBottom w:val="0"/>
      <w:divBdr>
        <w:top w:val="none" w:sz="0" w:space="0" w:color="auto"/>
        <w:left w:val="none" w:sz="0" w:space="0" w:color="auto"/>
        <w:bottom w:val="none" w:sz="0" w:space="0" w:color="auto"/>
        <w:right w:val="none" w:sz="0" w:space="0" w:color="auto"/>
      </w:divBdr>
      <w:divsChild>
        <w:div w:id="1579056414">
          <w:marLeft w:val="0"/>
          <w:marRight w:val="0"/>
          <w:marTop w:val="0"/>
          <w:marBottom w:val="0"/>
          <w:divBdr>
            <w:top w:val="none" w:sz="0" w:space="0" w:color="auto"/>
            <w:left w:val="none" w:sz="0" w:space="0" w:color="auto"/>
            <w:bottom w:val="none" w:sz="0" w:space="0" w:color="auto"/>
            <w:right w:val="none" w:sz="0" w:space="0" w:color="auto"/>
          </w:divBdr>
        </w:div>
      </w:divsChild>
    </w:div>
    <w:div w:id="540358254">
      <w:bodyDiv w:val="1"/>
      <w:marLeft w:val="0"/>
      <w:marRight w:val="0"/>
      <w:marTop w:val="0"/>
      <w:marBottom w:val="0"/>
      <w:divBdr>
        <w:top w:val="none" w:sz="0" w:space="0" w:color="auto"/>
        <w:left w:val="none" w:sz="0" w:space="0" w:color="auto"/>
        <w:bottom w:val="none" w:sz="0" w:space="0" w:color="auto"/>
        <w:right w:val="none" w:sz="0" w:space="0" w:color="auto"/>
      </w:divBdr>
      <w:divsChild>
        <w:div w:id="974724649">
          <w:marLeft w:val="0"/>
          <w:marRight w:val="0"/>
          <w:marTop w:val="0"/>
          <w:marBottom w:val="0"/>
          <w:divBdr>
            <w:top w:val="none" w:sz="0" w:space="0" w:color="auto"/>
            <w:left w:val="none" w:sz="0" w:space="0" w:color="auto"/>
            <w:bottom w:val="none" w:sz="0" w:space="0" w:color="auto"/>
            <w:right w:val="none" w:sz="0" w:space="0" w:color="auto"/>
          </w:divBdr>
        </w:div>
      </w:divsChild>
    </w:div>
    <w:div w:id="682560965">
      <w:bodyDiv w:val="1"/>
      <w:marLeft w:val="0"/>
      <w:marRight w:val="0"/>
      <w:marTop w:val="0"/>
      <w:marBottom w:val="0"/>
      <w:divBdr>
        <w:top w:val="none" w:sz="0" w:space="0" w:color="auto"/>
        <w:left w:val="none" w:sz="0" w:space="0" w:color="auto"/>
        <w:bottom w:val="none" w:sz="0" w:space="0" w:color="auto"/>
        <w:right w:val="none" w:sz="0" w:space="0" w:color="auto"/>
      </w:divBdr>
      <w:divsChild>
        <w:div w:id="593443171">
          <w:marLeft w:val="0"/>
          <w:marRight w:val="0"/>
          <w:marTop w:val="0"/>
          <w:marBottom w:val="0"/>
          <w:divBdr>
            <w:top w:val="none" w:sz="0" w:space="0" w:color="auto"/>
            <w:left w:val="none" w:sz="0" w:space="0" w:color="auto"/>
            <w:bottom w:val="none" w:sz="0" w:space="0" w:color="auto"/>
            <w:right w:val="none" w:sz="0" w:space="0" w:color="auto"/>
          </w:divBdr>
        </w:div>
      </w:divsChild>
    </w:div>
    <w:div w:id="737746634">
      <w:bodyDiv w:val="1"/>
      <w:marLeft w:val="0"/>
      <w:marRight w:val="0"/>
      <w:marTop w:val="0"/>
      <w:marBottom w:val="0"/>
      <w:divBdr>
        <w:top w:val="none" w:sz="0" w:space="0" w:color="auto"/>
        <w:left w:val="none" w:sz="0" w:space="0" w:color="auto"/>
        <w:bottom w:val="none" w:sz="0" w:space="0" w:color="auto"/>
        <w:right w:val="none" w:sz="0" w:space="0" w:color="auto"/>
      </w:divBdr>
      <w:divsChild>
        <w:div w:id="930626332">
          <w:marLeft w:val="0"/>
          <w:marRight w:val="0"/>
          <w:marTop w:val="0"/>
          <w:marBottom w:val="0"/>
          <w:divBdr>
            <w:top w:val="none" w:sz="0" w:space="0" w:color="auto"/>
            <w:left w:val="none" w:sz="0" w:space="0" w:color="auto"/>
            <w:bottom w:val="none" w:sz="0" w:space="0" w:color="auto"/>
            <w:right w:val="none" w:sz="0" w:space="0" w:color="auto"/>
          </w:divBdr>
        </w:div>
      </w:divsChild>
    </w:div>
    <w:div w:id="920137724">
      <w:bodyDiv w:val="1"/>
      <w:marLeft w:val="0"/>
      <w:marRight w:val="0"/>
      <w:marTop w:val="0"/>
      <w:marBottom w:val="0"/>
      <w:divBdr>
        <w:top w:val="none" w:sz="0" w:space="0" w:color="auto"/>
        <w:left w:val="none" w:sz="0" w:space="0" w:color="auto"/>
        <w:bottom w:val="none" w:sz="0" w:space="0" w:color="auto"/>
        <w:right w:val="none" w:sz="0" w:space="0" w:color="auto"/>
      </w:divBdr>
      <w:divsChild>
        <w:div w:id="445127283">
          <w:marLeft w:val="0"/>
          <w:marRight w:val="0"/>
          <w:marTop w:val="0"/>
          <w:marBottom w:val="0"/>
          <w:divBdr>
            <w:top w:val="none" w:sz="0" w:space="0" w:color="auto"/>
            <w:left w:val="none" w:sz="0" w:space="0" w:color="auto"/>
            <w:bottom w:val="none" w:sz="0" w:space="0" w:color="auto"/>
            <w:right w:val="none" w:sz="0" w:space="0" w:color="auto"/>
          </w:divBdr>
        </w:div>
      </w:divsChild>
    </w:div>
    <w:div w:id="960646390">
      <w:bodyDiv w:val="1"/>
      <w:marLeft w:val="0"/>
      <w:marRight w:val="0"/>
      <w:marTop w:val="0"/>
      <w:marBottom w:val="0"/>
      <w:divBdr>
        <w:top w:val="none" w:sz="0" w:space="0" w:color="auto"/>
        <w:left w:val="none" w:sz="0" w:space="0" w:color="auto"/>
        <w:bottom w:val="none" w:sz="0" w:space="0" w:color="auto"/>
        <w:right w:val="none" w:sz="0" w:space="0" w:color="auto"/>
      </w:divBdr>
      <w:divsChild>
        <w:div w:id="360399004">
          <w:marLeft w:val="0"/>
          <w:marRight w:val="0"/>
          <w:marTop w:val="0"/>
          <w:marBottom w:val="0"/>
          <w:divBdr>
            <w:top w:val="none" w:sz="0" w:space="0" w:color="auto"/>
            <w:left w:val="none" w:sz="0" w:space="0" w:color="auto"/>
            <w:bottom w:val="none" w:sz="0" w:space="0" w:color="auto"/>
            <w:right w:val="none" w:sz="0" w:space="0" w:color="auto"/>
          </w:divBdr>
        </w:div>
      </w:divsChild>
    </w:div>
    <w:div w:id="997224891">
      <w:bodyDiv w:val="1"/>
      <w:marLeft w:val="0"/>
      <w:marRight w:val="0"/>
      <w:marTop w:val="0"/>
      <w:marBottom w:val="0"/>
      <w:divBdr>
        <w:top w:val="none" w:sz="0" w:space="0" w:color="auto"/>
        <w:left w:val="none" w:sz="0" w:space="0" w:color="auto"/>
        <w:bottom w:val="none" w:sz="0" w:space="0" w:color="auto"/>
        <w:right w:val="none" w:sz="0" w:space="0" w:color="auto"/>
      </w:divBdr>
      <w:divsChild>
        <w:div w:id="1003360182">
          <w:marLeft w:val="0"/>
          <w:marRight w:val="0"/>
          <w:marTop w:val="0"/>
          <w:marBottom w:val="0"/>
          <w:divBdr>
            <w:top w:val="none" w:sz="0" w:space="0" w:color="auto"/>
            <w:left w:val="none" w:sz="0" w:space="0" w:color="auto"/>
            <w:bottom w:val="none" w:sz="0" w:space="0" w:color="auto"/>
            <w:right w:val="none" w:sz="0" w:space="0" w:color="auto"/>
          </w:divBdr>
        </w:div>
      </w:divsChild>
    </w:div>
    <w:div w:id="1076904539">
      <w:bodyDiv w:val="1"/>
      <w:marLeft w:val="0"/>
      <w:marRight w:val="0"/>
      <w:marTop w:val="0"/>
      <w:marBottom w:val="0"/>
      <w:divBdr>
        <w:top w:val="none" w:sz="0" w:space="0" w:color="auto"/>
        <w:left w:val="none" w:sz="0" w:space="0" w:color="auto"/>
        <w:bottom w:val="none" w:sz="0" w:space="0" w:color="auto"/>
        <w:right w:val="none" w:sz="0" w:space="0" w:color="auto"/>
      </w:divBdr>
      <w:divsChild>
        <w:div w:id="81218537">
          <w:marLeft w:val="0"/>
          <w:marRight w:val="0"/>
          <w:marTop w:val="0"/>
          <w:marBottom w:val="0"/>
          <w:divBdr>
            <w:top w:val="none" w:sz="0" w:space="0" w:color="auto"/>
            <w:left w:val="none" w:sz="0" w:space="0" w:color="auto"/>
            <w:bottom w:val="none" w:sz="0" w:space="0" w:color="auto"/>
            <w:right w:val="none" w:sz="0" w:space="0" w:color="auto"/>
          </w:divBdr>
        </w:div>
      </w:divsChild>
    </w:div>
    <w:div w:id="1153256139">
      <w:bodyDiv w:val="1"/>
      <w:marLeft w:val="0"/>
      <w:marRight w:val="0"/>
      <w:marTop w:val="0"/>
      <w:marBottom w:val="0"/>
      <w:divBdr>
        <w:top w:val="none" w:sz="0" w:space="0" w:color="auto"/>
        <w:left w:val="none" w:sz="0" w:space="0" w:color="auto"/>
        <w:bottom w:val="none" w:sz="0" w:space="0" w:color="auto"/>
        <w:right w:val="none" w:sz="0" w:space="0" w:color="auto"/>
      </w:divBdr>
      <w:divsChild>
        <w:div w:id="695732657">
          <w:marLeft w:val="0"/>
          <w:marRight w:val="0"/>
          <w:marTop w:val="0"/>
          <w:marBottom w:val="0"/>
          <w:divBdr>
            <w:top w:val="none" w:sz="0" w:space="0" w:color="auto"/>
            <w:left w:val="none" w:sz="0" w:space="0" w:color="auto"/>
            <w:bottom w:val="none" w:sz="0" w:space="0" w:color="auto"/>
            <w:right w:val="none" w:sz="0" w:space="0" w:color="auto"/>
          </w:divBdr>
        </w:div>
      </w:divsChild>
    </w:div>
    <w:div w:id="1212420045">
      <w:bodyDiv w:val="1"/>
      <w:marLeft w:val="0"/>
      <w:marRight w:val="0"/>
      <w:marTop w:val="0"/>
      <w:marBottom w:val="0"/>
      <w:divBdr>
        <w:top w:val="none" w:sz="0" w:space="0" w:color="auto"/>
        <w:left w:val="none" w:sz="0" w:space="0" w:color="auto"/>
        <w:bottom w:val="none" w:sz="0" w:space="0" w:color="auto"/>
        <w:right w:val="none" w:sz="0" w:space="0" w:color="auto"/>
      </w:divBdr>
      <w:divsChild>
        <w:div w:id="936837839">
          <w:marLeft w:val="0"/>
          <w:marRight w:val="0"/>
          <w:marTop w:val="0"/>
          <w:marBottom w:val="0"/>
          <w:divBdr>
            <w:top w:val="none" w:sz="0" w:space="0" w:color="auto"/>
            <w:left w:val="none" w:sz="0" w:space="0" w:color="auto"/>
            <w:bottom w:val="none" w:sz="0" w:space="0" w:color="auto"/>
            <w:right w:val="none" w:sz="0" w:space="0" w:color="auto"/>
          </w:divBdr>
        </w:div>
      </w:divsChild>
    </w:div>
    <w:div w:id="1325888786">
      <w:bodyDiv w:val="1"/>
      <w:marLeft w:val="0"/>
      <w:marRight w:val="0"/>
      <w:marTop w:val="0"/>
      <w:marBottom w:val="0"/>
      <w:divBdr>
        <w:top w:val="none" w:sz="0" w:space="0" w:color="auto"/>
        <w:left w:val="none" w:sz="0" w:space="0" w:color="auto"/>
        <w:bottom w:val="none" w:sz="0" w:space="0" w:color="auto"/>
        <w:right w:val="none" w:sz="0" w:space="0" w:color="auto"/>
      </w:divBdr>
      <w:divsChild>
        <w:div w:id="1445150800">
          <w:marLeft w:val="0"/>
          <w:marRight w:val="0"/>
          <w:marTop w:val="0"/>
          <w:marBottom w:val="0"/>
          <w:divBdr>
            <w:top w:val="none" w:sz="0" w:space="0" w:color="auto"/>
            <w:left w:val="none" w:sz="0" w:space="0" w:color="auto"/>
            <w:bottom w:val="none" w:sz="0" w:space="0" w:color="auto"/>
            <w:right w:val="none" w:sz="0" w:space="0" w:color="auto"/>
          </w:divBdr>
        </w:div>
      </w:divsChild>
    </w:div>
    <w:div w:id="1564635438">
      <w:bodyDiv w:val="1"/>
      <w:marLeft w:val="0"/>
      <w:marRight w:val="0"/>
      <w:marTop w:val="0"/>
      <w:marBottom w:val="0"/>
      <w:divBdr>
        <w:top w:val="none" w:sz="0" w:space="0" w:color="auto"/>
        <w:left w:val="none" w:sz="0" w:space="0" w:color="auto"/>
        <w:bottom w:val="none" w:sz="0" w:space="0" w:color="auto"/>
        <w:right w:val="none" w:sz="0" w:space="0" w:color="auto"/>
      </w:divBdr>
      <w:divsChild>
        <w:div w:id="1784768788">
          <w:marLeft w:val="0"/>
          <w:marRight w:val="0"/>
          <w:marTop w:val="0"/>
          <w:marBottom w:val="0"/>
          <w:divBdr>
            <w:top w:val="none" w:sz="0" w:space="0" w:color="auto"/>
            <w:left w:val="none" w:sz="0" w:space="0" w:color="auto"/>
            <w:bottom w:val="none" w:sz="0" w:space="0" w:color="auto"/>
            <w:right w:val="none" w:sz="0" w:space="0" w:color="auto"/>
          </w:divBdr>
        </w:div>
      </w:divsChild>
    </w:div>
    <w:div w:id="1660039408">
      <w:bodyDiv w:val="1"/>
      <w:marLeft w:val="0"/>
      <w:marRight w:val="0"/>
      <w:marTop w:val="0"/>
      <w:marBottom w:val="0"/>
      <w:divBdr>
        <w:top w:val="none" w:sz="0" w:space="0" w:color="auto"/>
        <w:left w:val="none" w:sz="0" w:space="0" w:color="auto"/>
        <w:bottom w:val="none" w:sz="0" w:space="0" w:color="auto"/>
        <w:right w:val="none" w:sz="0" w:space="0" w:color="auto"/>
      </w:divBdr>
      <w:divsChild>
        <w:div w:id="292640950">
          <w:marLeft w:val="0"/>
          <w:marRight w:val="0"/>
          <w:marTop w:val="0"/>
          <w:marBottom w:val="0"/>
          <w:divBdr>
            <w:top w:val="none" w:sz="0" w:space="0" w:color="auto"/>
            <w:left w:val="none" w:sz="0" w:space="0" w:color="auto"/>
            <w:bottom w:val="none" w:sz="0" w:space="0" w:color="auto"/>
            <w:right w:val="none" w:sz="0" w:space="0" w:color="auto"/>
          </w:divBdr>
        </w:div>
      </w:divsChild>
    </w:div>
    <w:div w:id="1700886621">
      <w:bodyDiv w:val="1"/>
      <w:marLeft w:val="0"/>
      <w:marRight w:val="0"/>
      <w:marTop w:val="0"/>
      <w:marBottom w:val="0"/>
      <w:divBdr>
        <w:top w:val="none" w:sz="0" w:space="0" w:color="auto"/>
        <w:left w:val="none" w:sz="0" w:space="0" w:color="auto"/>
        <w:bottom w:val="none" w:sz="0" w:space="0" w:color="auto"/>
        <w:right w:val="none" w:sz="0" w:space="0" w:color="auto"/>
      </w:divBdr>
      <w:divsChild>
        <w:div w:id="494227464">
          <w:marLeft w:val="0"/>
          <w:marRight w:val="0"/>
          <w:marTop w:val="0"/>
          <w:marBottom w:val="0"/>
          <w:divBdr>
            <w:top w:val="none" w:sz="0" w:space="0" w:color="auto"/>
            <w:left w:val="none" w:sz="0" w:space="0" w:color="auto"/>
            <w:bottom w:val="none" w:sz="0" w:space="0" w:color="auto"/>
            <w:right w:val="none" w:sz="0" w:space="0" w:color="auto"/>
          </w:divBdr>
        </w:div>
      </w:divsChild>
    </w:div>
    <w:div w:id="1713386430">
      <w:bodyDiv w:val="1"/>
      <w:marLeft w:val="0"/>
      <w:marRight w:val="0"/>
      <w:marTop w:val="0"/>
      <w:marBottom w:val="0"/>
      <w:divBdr>
        <w:top w:val="none" w:sz="0" w:space="0" w:color="auto"/>
        <w:left w:val="none" w:sz="0" w:space="0" w:color="auto"/>
        <w:bottom w:val="none" w:sz="0" w:space="0" w:color="auto"/>
        <w:right w:val="none" w:sz="0" w:space="0" w:color="auto"/>
      </w:divBdr>
      <w:divsChild>
        <w:div w:id="933049921">
          <w:marLeft w:val="0"/>
          <w:marRight w:val="0"/>
          <w:marTop w:val="0"/>
          <w:marBottom w:val="0"/>
          <w:divBdr>
            <w:top w:val="none" w:sz="0" w:space="0" w:color="auto"/>
            <w:left w:val="none" w:sz="0" w:space="0" w:color="auto"/>
            <w:bottom w:val="none" w:sz="0" w:space="0" w:color="auto"/>
            <w:right w:val="none" w:sz="0" w:space="0" w:color="auto"/>
          </w:divBdr>
        </w:div>
      </w:divsChild>
    </w:div>
    <w:div w:id="1725254258">
      <w:bodyDiv w:val="1"/>
      <w:marLeft w:val="0"/>
      <w:marRight w:val="0"/>
      <w:marTop w:val="0"/>
      <w:marBottom w:val="0"/>
      <w:divBdr>
        <w:top w:val="none" w:sz="0" w:space="0" w:color="auto"/>
        <w:left w:val="none" w:sz="0" w:space="0" w:color="auto"/>
        <w:bottom w:val="none" w:sz="0" w:space="0" w:color="auto"/>
        <w:right w:val="none" w:sz="0" w:space="0" w:color="auto"/>
      </w:divBdr>
      <w:divsChild>
        <w:div w:id="785585873">
          <w:marLeft w:val="0"/>
          <w:marRight w:val="0"/>
          <w:marTop w:val="0"/>
          <w:marBottom w:val="0"/>
          <w:divBdr>
            <w:top w:val="none" w:sz="0" w:space="0" w:color="auto"/>
            <w:left w:val="none" w:sz="0" w:space="0" w:color="auto"/>
            <w:bottom w:val="none" w:sz="0" w:space="0" w:color="auto"/>
            <w:right w:val="none" w:sz="0" w:space="0" w:color="auto"/>
          </w:divBdr>
        </w:div>
      </w:divsChild>
    </w:div>
    <w:div w:id="1933925428">
      <w:bodyDiv w:val="1"/>
      <w:marLeft w:val="0"/>
      <w:marRight w:val="0"/>
      <w:marTop w:val="0"/>
      <w:marBottom w:val="0"/>
      <w:divBdr>
        <w:top w:val="none" w:sz="0" w:space="0" w:color="auto"/>
        <w:left w:val="none" w:sz="0" w:space="0" w:color="auto"/>
        <w:bottom w:val="none" w:sz="0" w:space="0" w:color="auto"/>
        <w:right w:val="none" w:sz="0" w:space="0" w:color="auto"/>
      </w:divBdr>
      <w:divsChild>
        <w:div w:id="1439452649">
          <w:marLeft w:val="0"/>
          <w:marRight w:val="0"/>
          <w:marTop w:val="0"/>
          <w:marBottom w:val="0"/>
          <w:divBdr>
            <w:top w:val="none" w:sz="0" w:space="0" w:color="auto"/>
            <w:left w:val="none" w:sz="0" w:space="0" w:color="auto"/>
            <w:bottom w:val="none" w:sz="0" w:space="0" w:color="auto"/>
            <w:right w:val="none" w:sz="0" w:space="0" w:color="auto"/>
          </w:divBdr>
        </w:div>
      </w:divsChild>
    </w:div>
    <w:div w:id="2004509745">
      <w:bodyDiv w:val="1"/>
      <w:marLeft w:val="0"/>
      <w:marRight w:val="0"/>
      <w:marTop w:val="0"/>
      <w:marBottom w:val="0"/>
      <w:divBdr>
        <w:top w:val="none" w:sz="0" w:space="0" w:color="auto"/>
        <w:left w:val="none" w:sz="0" w:space="0" w:color="auto"/>
        <w:bottom w:val="none" w:sz="0" w:space="0" w:color="auto"/>
        <w:right w:val="none" w:sz="0" w:space="0" w:color="auto"/>
      </w:divBdr>
    </w:div>
    <w:div w:id="2004619077">
      <w:bodyDiv w:val="1"/>
      <w:marLeft w:val="0"/>
      <w:marRight w:val="0"/>
      <w:marTop w:val="0"/>
      <w:marBottom w:val="0"/>
      <w:divBdr>
        <w:top w:val="none" w:sz="0" w:space="0" w:color="auto"/>
        <w:left w:val="none" w:sz="0" w:space="0" w:color="auto"/>
        <w:bottom w:val="none" w:sz="0" w:space="0" w:color="auto"/>
        <w:right w:val="none" w:sz="0" w:space="0" w:color="auto"/>
      </w:divBdr>
      <w:divsChild>
        <w:div w:id="1533490573">
          <w:marLeft w:val="0"/>
          <w:marRight w:val="0"/>
          <w:marTop w:val="0"/>
          <w:marBottom w:val="0"/>
          <w:divBdr>
            <w:top w:val="none" w:sz="0" w:space="0" w:color="auto"/>
            <w:left w:val="none" w:sz="0" w:space="0" w:color="auto"/>
            <w:bottom w:val="none" w:sz="0" w:space="0" w:color="auto"/>
            <w:right w:val="none" w:sz="0" w:space="0" w:color="auto"/>
          </w:divBdr>
        </w:div>
      </w:divsChild>
    </w:div>
    <w:div w:id="2072144749">
      <w:bodyDiv w:val="1"/>
      <w:marLeft w:val="0"/>
      <w:marRight w:val="0"/>
      <w:marTop w:val="0"/>
      <w:marBottom w:val="0"/>
      <w:divBdr>
        <w:top w:val="none" w:sz="0" w:space="0" w:color="auto"/>
        <w:left w:val="none" w:sz="0" w:space="0" w:color="auto"/>
        <w:bottom w:val="none" w:sz="0" w:space="0" w:color="auto"/>
        <w:right w:val="none" w:sz="0" w:space="0" w:color="auto"/>
      </w:divBdr>
    </w:div>
    <w:div w:id="2090350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7EDCF3-D5DF-FB4E-A284-A5A0C5564C0C}"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C4847F5E-8C0E-0D4A-ABB7-2F797B675E49}" type="asst">
      <dgm:prSet phldrT="[Text]"/>
      <dgm:spPr/>
      <dgm:t>
        <a:bodyPr/>
        <a:lstStyle/>
        <a:p>
          <a:pPr>
            <a:buFont typeface="+mj-lt"/>
            <a:buAutoNum type="arabicPeriod"/>
          </a:pPr>
          <a:r>
            <a:rPr lang="en-GB" b="0">
              <a:latin typeface="Arial" panose="020B0604020202020204" pitchFamily="34" charset="0"/>
              <a:cs typeface="Arial" panose="020B0604020202020204" pitchFamily="34" charset="0"/>
            </a:rPr>
            <a:t>Admitted in August 2021 to Wythenshawe Hospital, Manchester</a:t>
          </a:r>
          <a:endParaRPr lang="en-GB">
            <a:latin typeface="Arial" panose="020B0604020202020204" pitchFamily="34" charset="0"/>
            <a:cs typeface="Arial" panose="020B0604020202020204" pitchFamily="34" charset="0"/>
          </a:endParaRPr>
        </a:p>
      </dgm:t>
    </dgm:pt>
    <dgm:pt modelId="{B422EFDA-B1D2-EF46-B234-6ADD7965133A}" type="parTrans" cxnId="{6D9C4723-EF22-3141-BEA9-4D892381E0F5}">
      <dgm:prSet/>
      <dgm:spPr/>
      <dgm:t>
        <a:bodyPr/>
        <a:lstStyle/>
        <a:p>
          <a:endParaRPr lang="en-GB">
            <a:latin typeface="Arial" panose="020B0604020202020204" pitchFamily="34" charset="0"/>
            <a:cs typeface="Arial" panose="020B0604020202020204" pitchFamily="34" charset="0"/>
          </a:endParaRPr>
        </a:p>
      </dgm:t>
    </dgm:pt>
    <dgm:pt modelId="{50B2DFA6-CDD0-674D-9115-8631937F1713}" type="sibTrans" cxnId="{6D9C4723-EF22-3141-BEA9-4D892381E0F5}">
      <dgm:prSet/>
      <dgm:spPr/>
      <dgm:t>
        <a:bodyPr/>
        <a:lstStyle/>
        <a:p>
          <a:endParaRPr lang="en-GB"/>
        </a:p>
      </dgm:t>
    </dgm:pt>
    <dgm:pt modelId="{5C25942E-18FE-AE44-A5CF-047C93BC7948}">
      <dgm:prSet phldrT="[Text]"/>
      <dgm:spPr/>
      <dgm:t>
        <a:bodyPr/>
        <a:lstStyle/>
        <a:p>
          <a:r>
            <a:rPr lang="en-GB" b="0">
              <a:latin typeface="Arial" panose="020B0604020202020204" pitchFamily="34" charset="0"/>
              <a:cs typeface="Arial" panose="020B0604020202020204" pitchFamily="34" charset="0"/>
            </a:rPr>
            <a:t>Informed consent was not acquired</a:t>
          </a:r>
          <a:endParaRPr lang="en-GB">
            <a:latin typeface="Arial" panose="020B0604020202020204" pitchFamily="34" charset="0"/>
            <a:cs typeface="Arial" panose="020B0604020202020204" pitchFamily="34" charset="0"/>
          </a:endParaRPr>
        </a:p>
      </dgm:t>
    </dgm:pt>
    <dgm:pt modelId="{8FB9C455-BB47-2244-A0F5-5AF496CAFB7E}" type="parTrans" cxnId="{EB573FC1-961F-224F-90DC-896339F084D7}">
      <dgm:prSet/>
      <dgm:spPr/>
      <dgm:t>
        <a:bodyPr/>
        <a:lstStyle/>
        <a:p>
          <a:endParaRPr lang="en-GB">
            <a:latin typeface="Arial" panose="020B0604020202020204" pitchFamily="34" charset="0"/>
            <a:cs typeface="Arial" panose="020B0604020202020204" pitchFamily="34" charset="0"/>
          </a:endParaRPr>
        </a:p>
      </dgm:t>
    </dgm:pt>
    <dgm:pt modelId="{D0366C61-0076-C44A-B183-732A651014F3}" type="sibTrans" cxnId="{EB573FC1-961F-224F-90DC-896339F084D7}">
      <dgm:prSet/>
      <dgm:spPr/>
      <dgm:t>
        <a:bodyPr/>
        <a:lstStyle/>
        <a:p>
          <a:endParaRPr lang="en-GB"/>
        </a:p>
      </dgm:t>
    </dgm:pt>
    <dgm:pt modelId="{66FACEDE-1569-D440-827E-D3B80E2A0DAF}">
      <dgm:prSet phldrT="[Text]"/>
      <dgm:spPr/>
      <dgm:t>
        <a:bodyPr/>
        <a:lstStyle/>
        <a:p>
          <a:r>
            <a:rPr lang="en-GB" b="0">
              <a:latin typeface="Arial" panose="020B0604020202020204" pitchFamily="34" charset="0"/>
              <a:cs typeface="Arial" panose="020B0604020202020204" pitchFamily="34" charset="0"/>
            </a:rPr>
            <a:t>Dr. Patel</a:t>
          </a:r>
          <a:r>
            <a:rPr lang="en-GB">
              <a:latin typeface="Arial" panose="020B0604020202020204" pitchFamily="34" charset="0"/>
              <a:cs typeface="Arial" panose="020B0604020202020204" pitchFamily="34" charset="0"/>
            </a:rPr>
            <a:t> suspected HLH, yet d</a:t>
          </a:r>
          <a:r>
            <a:rPr lang="en-GB" b="0">
              <a:latin typeface="Arial" panose="020B0604020202020204" pitchFamily="34" charset="0"/>
              <a:cs typeface="Arial" panose="020B0604020202020204" pitchFamily="34" charset="0"/>
            </a:rPr>
            <a:t>ismissed by Medics staff "had never heard of HLH"</a:t>
          </a:r>
          <a:r>
            <a:rPr lang="en-GB" b="1">
              <a:latin typeface="Arial" panose="020B0604020202020204" pitchFamily="34" charset="0"/>
              <a:cs typeface="Arial" panose="020B0604020202020204" pitchFamily="34" charset="0"/>
            </a:rPr>
            <a:t>. </a:t>
          </a:r>
          <a:r>
            <a:rPr lang="en-GB">
              <a:latin typeface="Arial" panose="020B0604020202020204" pitchFamily="34" charset="0"/>
              <a:cs typeface="Arial" panose="020B0604020202020204" pitchFamily="34" charset="0"/>
            </a:rPr>
            <a:t>Hierarchical, dismissive of patient expertise.</a:t>
          </a:r>
        </a:p>
      </dgm:t>
    </dgm:pt>
    <dgm:pt modelId="{75AE927D-FF88-BA4E-A857-E270B548D03D}" type="parTrans" cxnId="{C43BB0AF-99E9-D247-B574-851F0D044A99}">
      <dgm:prSet/>
      <dgm:spPr/>
      <dgm:t>
        <a:bodyPr/>
        <a:lstStyle/>
        <a:p>
          <a:endParaRPr lang="en-GB">
            <a:latin typeface="Arial" panose="020B0604020202020204" pitchFamily="34" charset="0"/>
            <a:cs typeface="Arial" panose="020B0604020202020204" pitchFamily="34" charset="0"/>
          </a:endParaRPr>
        </a:p>
      </dgm:t>
    </dgm:pt>
    <dgm:pt modelId="{BE8B5BF8-D3A3-9049-87B9-B898DE3752B0}" type="sibTrans" cxnId="{C43BB0AF-99E9-D247-B574-851F0D044A99}">
      <dgm:prSet/>
      <dgm:spPr/>
      <dgm:t>
        <a:bodyPr/>
        <a:lstStyle/>
        <a:p>
          <a:endParaRPr lang="en-GB"/>
        </a:p>
      </dgm:t>
    </dgm:pt>
    <dgm:pt modelId="{C1EB907E-35B2-7E49-B962-A3A939DA74FB}">
      <dgm:prSet phldrT="[Text]"/>
      <dgm:spPr/>
      <dgm:t>
        <a:bodyPr/>
        <a:lstStyle/>
        <a:p>
          <a:pPr>
            <a:buFont typeface="+mj-lt"/>
            <a:buAutoNum type="arabicPeriod"/>
          </a:pPr>
          <a:r>
            <a:rPr lang="en-GB" b="0">
              <a:latin typeface="Arial" panose="020B0604020202020204" pitchFamily="34" charset="0"/>
              <a:cs typeface="Arial" panose="020B0604020202020204" pitchFamily="34" charset="0"/>
            </a:rPr>
            <a:t>Dr. Patel self-diagnosed Still's disease which induces immune reaction - hemophagocytic lymphohistiocytosis (HLH).</a:t>
          </a:r>
          <a:endParaRPr lang="en-GB">
            <a:latin typeface="Arial" panose="020B0604020202020204" pitchFamily="34" charset="0"/>
            <a:cs typeface="Arial" panose="020B0604020202020204" pitchFamily="34" charset="0"/>
          </a:endParaRPr>
        </a:p>
      </dgm:t>
    </dgm:pt>
    <dgm:pt modelId="{F0F77A9B-435C-554B-AAE9-420DBF02CD7F}" type="parTrans" cxnId="{6228EA59-597C-064D-9B60-35C719EC576D}">
      <dgm:prSet/>
      <dgm:spPr/>
      <dgm:t>
        <a:bodyPr/>
        <a:lstStyle/>
        <a:p>
          <a:endParaRPr lang="en-GB">
            <a:latin typeface="Arial" panose="020B0604020202020204" pitchFamily="34" charset="0"/>
            <a:cs typeface="Arial" panose="020B0604020202020204" pitchFamily="34" charset="0"/>
          </a:endParaRPr>
        </a:p>
      </dgm:t>
    </dgm:pt>
    <dgm:pt modelId="{0F5F2244-0E60-F948-8DB5-7EC15F00EC3A}" type="sibTrans" cxnId="{6228EA59-597C-064D-9B60-35C719EC576D}">
      <dgm:prSet/>
      <dgm:spPr/>
      <dgm:t>
        <a:bodyPr/>
        <a:lstStyle/>
        <a:p>
          <a:endParaRPr lang="en-GB"/>
        </a:p>
      </dgm:t>
    </dgm:pt>
    <dgm:pt modelId="{A481D235-3A63-414B-ABBB-4323A96EB458}">
      <dgm:prSet phldrT="[Text]" custT="1"/>
      <dgm:spPr/>
      <dgm:t>
        <a:bodyPr/>
        <a:lstStyle/>
        <a:p>
          <a:pPr>
            <a:buFont typeface="+mj-lt"/>
            <a:buAutoNum type="arabicPeriod"/>
          </a:pPr>
          <a:r>
            <a:rPr lang="en-GB" sz="800" b="1">
              <a:latin typeface="Arial" panose="020B0604020202020204" pitchFamily="34" charset="0"/>
              <a:cs typeface="Arial" panose="020B0604020202020204" pitchFamily="34" charset="0"/>
            </a:rPr>
            <a:t>The Rich Picture of Professor Amit Patel (43) </a:t>
          </a:r>
        </a:p>
        <a:p>
          <a:pPr>
            <a:buFont typeface="+mj-lt"/>
            <a:buAutoNum type="arabicPeriod"/>
          </a:pPr>
          <a:r>
            <a:rPr lang="en-GB" sz="800" b="1">
              <a:latin typeface="Arial" panose="020B0604020202020204" pitchFamily="34" charset="0"/>
              <a:cs typeface="Arial" panose="020B0604020202020204" pitchFamily="34" charset="0"/>
            </a:rPr>
            <a:t>Consultant Respiratory Physician - Best National HLH Expert - Case Study</a:t>
          </a:r>
          <a:endParaRPr lang="en-GB" sz="800">
            <a:latin typeface="Arial" panose="020B0604020202020204" pitchFamily="34" charset="0"/>
            <a:cs typeface="Arial" panose="020B0604020202020204" pitchFamily="34" charset="0"/>
          </a:endParaRPr>
        </a:p>
      </dgm:t>
    </dgm:pt>
    <dgm:pt modelId="{85E128C1-EA5D-9248-AF1B-C9CE33EEA193}" type="sibTrans" cxnId="{6EC91F44-0FFA-F642-BA23-D88DBA2347D2}">
      <dgm:prSet/>
      <dgm:spPr/>
      <dgm:t>
        <a:bodyPr/>
        <a:lstStyle/>
        <a:p>
          <a:endParaRPr lang="en-GB"/>
        </a:p>
      </dgm:t>
    </dgm:pt>
    <dgm:pt modelId="{4D8995C5-0706-084B-8A82-15A816DCCC49}" type="parTrans" cxnId="{6EC91F44-0FFA-F642-BA23-D88DBA2347D2}">
      <dgm:prSet/>
      <dgm:spPr/>
      <dgm:t>
        <a:bodyPr/>
        <a:lstStyle/>
        <a:p>
          <a:endParaRPr lang="en-GB"/>
        </a:p>
      </dgm:t>
    </dgm:pt>
    <dgm:pt modelId="{EBB57326-879E-8549-992B-7980580704B7}">
      <dgm:prSet/>
      <dgm:spPr/>
      <dgm:t>
        <a:bodyPr/>
        <a:lstStyle/>
        <a:p>
          <a:r>
            <a:rPr lang="en-GB" b="0">
              <a:latin typeface="Arial" panose="020B0604020202020204" pitchFamily="34" charset="0"/>
              <a:cs typeface="Arial" panose="020B0604020202020204" pitchFamily="34" charset="0"/>
            </a:rPr>
            <a:t>The staff informed him that his condition did not warrant admission to intensive care.</a:t>
          </a:r>
          <a:endParaRPr lang="en-GB">
            <a:latin typeface="Arial" panose="020B0604020202020204" pitchFamily="34" charset="0"/>
            <a:cs typeface="Arial" panose="020B0604020202020204" pitchFamily="34" charset="0"/>
          </a:endParaRPr>
        </a:p>
      </dgm:t>
    </dgm:pt>
    <dgm:pt modelId="{59B96397-E139-1B4B-B37D-B22924389C8C}" type="parTrans" cxnId="{61714699-273E-4F45-976D-FE19AC32DFDA}">
      <dgm:prSet/>
      <dgm:spPr/>
      <dgm:t>
        <a:bodyPr/>
        <a:lstStyle/>
        <a:p>
          <a:endParaRPr lang="en-GB">
            <a:latin typeface="Arial" panose="020B0604020202020204" pitchFamily="34" charset="0"/>
            <a:cs typeface="Arial" panose="020B0604020202020204" pitchFamily="34" charset="0"/>
          </a:endParaRPr>
        </a:p>
      </dgm:t>
    </dgm:pt>
    <dgm:pt modelId="{2CB642DF-59AD-AB45-AE88-AD8AD74FCB4D}" type="sibTrans" cxnId="{61714699-273E-4F45-976D-FE19AC32DFDA}">
      <dgm:prSet/>
      <dgm:spPr/>
      <dgm:t>
        <a:bodyPr/>
        <a:lstStyle/>
        <a:p>
          <a:endParaRPr lang="en-GB"/>
        </a:p>
      </dgm:t>
    </dgm:pt>
    <dgm:pt modelId="{79A74BA7-9418-0F49-90D3-A80D19B76494}">
      <dgm:prSet/>
      <dgm:spPr/>
      <dgm:t>
        <a:bodyPr/>
        <a:lstStyle/>
        <a:p>
          <a:r>
            <a:rPr lang="en-GB" b="0">
              <a:latin typeface="Arial" panose="020B0604020202020204" pitchFamily="34" charset="0"/>
              <a:cs typeface="Arial" panose="020B0604020202020204" pitchFamily="34" charset="0"/>
            </a:rPr>
            <a:t>Rheumatologists were "sceptical" about the diagnosis of Still's disease </a:t>
          </a:r>
          <a:r>
            <a:rPr lang="en-GB">
              <a:latin typeface="Arial" panose="020B0604020202020204" pitchFamily="34" charset="0"/>
              <a:cs typeface="Arial" panose="020B0604020202020204" pitchFamily="34" charset="0"/>
            </a:rPr>
            <a:t>(</a:t>
          </a:r>
          <a:r>
            <a:rPr lang="en-GB" b="0">
              <a:latin typeface="Arial" panose="020B0604020202020204" pitchFamily="34" charset="0"/>
              <a:cs typeface="Arial" panose="020B0604020202020204" pitchFamily="34" charset="0"/>
            </a:rPr>
            <a:t>rare inflammatory condition). R</a:t>
          </a:r>
          <a:r>
            <a:rPr lang="en-GB"/>
            <a:t>igid adherence to hierarchy.</a:t>
          </a:r>
          <a:endParaRPr lang="en-GB">
            <a:latin typeface="Arial" panose="020B0604020202020204" pitchFamily="34" charset="0"/>
            <a:cs typeface="Arial" panose="020B0604020202020204" pitchFamily="34" charset="0"/>
          </a:endParaRPr>
        </a:p>
      </dgm:t>
    </dgm:pt>
    <dgm:pt modelId="{D80D8642-212E-7442-8C8C-4E59D7BDDCBD}" type="parTrans" cxnId="{81D93FD5-17EC-4341-A61F-63B79C97F126}">
      <dgm:prSet/>
      <dgm:spPr/>
      <dgm:t>
        <a:bodyPr/>
        <a:lstStyle/>
        <a:p>
          <a:endParaRPr lang="en-GB">
            <a:latin typeface="Arial" panose="020B0604020202020204" pitchFamily="34" charset="0"/>
            <a:cs typeface="Arial" panose="020B0604020202020204" pitchFamily="34" charset="0"/>
          </a:endParaRPr>
        </a:p>
      </dgm:t>
    </dgm:pt>
    <dgm:pt modelId="{916FEDDA-0968-6D49-94B8-806FB25BB114}" type="sibTrans" cxnId="{81D93FD5-17EC-4341-A61F-63B79C97F126}">
      <dgm:prSet/>
      <dgm:spPr/>
      <dgm:t>
        <a:bodyPr/>
        <a:lstStyle/>
        <a:p>
          <a:endParaRPr lang="en-GB"/>
        </a:p>
      </dgm:t>
    </dgm:pt>
    <dgm:pt modelId="{A0BB5265-DE27-8542-85EF-0ED6EA5D1C1A}">
      <dgm:prSet/>
      <dgm:spPr/>
      <dgm:t>
        <a:bodyPr/>
        <a:lstStyle/>
        <a:p>
          <a:r>
            <a:rPr lang="en-GB">
              <a:latin typeface="Arial" panose="020B0604020202020204" pitchFamily="34" charset="0"/>
              <a:cs typeface="Arial" panose="020B0604020202020204" pitchFamily="34" charset="0"/>
            </a:rPr>
            <a:t>Dr. Patel </a:t>
          </a:r>
          <a:r>
            <a:rPr lang="en-GB" b="0">
              <a:latin typeface="Arial" panose="020B0604020202020204" pitchFamily="34" charset="0"/>
              <a:cs typeface="Arial" panose="020B0604020202020204" pitchFamily="34" charset="0"/>
            </a:rPr>
            <a:t>told his wife Dr. Shivani Tanna "I'm going to die here.” Failure to escalate, </a:t>
          </a:r>
          <a:r>
            <a:rPr lang="en-GB"/>
            <a:t>advocate ignored</a:t>
          </a:r>
          <a:r>
            <a:rPr lang="en-GB" b="0">
              <a:latin typeface="Arial" panose="020B0604020202020204" pitchFamily="34" charset="0"/>
              <a:cs typeface="Arial" panose="020B0604020202020204" pitchFamily="34" charset="0"/>
            </a:rPr>
            <a:t>.</a:t>
          </a:r>
          <a:endParaRPr lang="en-GB">
            <a:latin typeface="Arial" panose="020B0604020202020204" pitchFamily="34" charset="0"/>
            <a:cs typeface="Arial" panose="020B0604020202020204" pitchFamily="34" charset="0"/>
          </a:endParaRPr>
        </a:p>
      </dgm:t>
    </dgm:pt>
    <dgm:pt modelId="{C9796216-E85D-7347-966C-38FB3F809508}" type="parTrans" cxnId="{B84DC527-74CB-3F4F-90E7-D6F11A2A0BE6}">
      <dgm:prSet/>
      <dgm:spPr/>
      <dgm:t>
        <a:bodyPr/>
        <a:lstStyle/>
        <a:p>
          <a:endParaRPr lang="en-GB">
            <a:latin typeface="Arial" panose="020B0604020202020204" pitchFamily="34" charset="0"/>
            <a:cs typeface="Arial" panose="020B0604020202020204" pitchFamily="34" charset="0"/>
          </a:endParaRPr>
        </a:p>
      </dgm:t>
    </dgm:pt>
    <dgm:pt modelId="{F319C7F2-7198-1C47-A0AA-D4A58E7FF7B2}" type="sibTrans" cxnId="{B84DC527-74CB-3F4F-90E7-D6F11A2A0BE6}">
      <dgm:prSet/>
      <dgm:spPr/>
      <dgm:t>
        <a:bodyPr/>
        <a:lstStyle/>
        <a:p>
          <a:endParaRPr lang="en-GB"/>
        </a:p>
      </dgm:t>
    </dgm:pt>
    <dgm:pt modelId="{B5A4692E-5416-F543-A3BD-6E48940CFD02}">
      <dgm:prSet/>
      <dgm:spPr/>
      <dgm:t>
        <a:bodyPr/>
        <a:lstStyle/>
        <a:p>
          <a:r>
            <a:rPr lang="en-GB">
              <a:latin typeface="Arial" panose="020B0604020202020204" pitchFamily="34" charset="0"/>
              <a:cs typeface="Arial" panose="020B0604020202020204" pitchFamily="34" charset="0"/>
            </a:rPr>
            <a:t>Blood test completed - Bleeding disorder identified - Disseminated Intravascular Coagulation (DIC), Information flow broken.</a:t>
          </a:r>
        </a:p>
      </dgm:t>
    </dgm:pt>
    <dgm:pt modelId="{046FE9D9-279C-C74C-8A67-D87810D595FD}" type="parTrans" cxnId="{33F8106F-8569-1E45-9026-A96C15105AB7}">
      <dgm:prSet/>
      <dgm:spPr/>
      <dgm:t>
        <a:bodyPr/>
        <a:lstStyle/>
        <a:p>
          <a:endParaRPr lang="en-GB">
            <a:latin typeface="Arial" panose="020B0604020202020204" pitchFamily="34" charset="0"/>
            <a:cs typeface="Arial" panose="020B0604020202020204" pitchFamily="34" charset="0"/>
          </a:endParaRPr>
        </a:p>
      </dgm:t>
    </dgm:pt>
    <dgm:pt modelId="{B9FB96BF-1AC6-9949-A7C6-D297576BCA71}" type="sibTrans" cxnId="{33F8106F-8569-1E45-9026-A96C15105AB7}">
      <dgm:prSet/>
      <dgm:spPr/>
      <dgm:t>
        <a:bodyPr/>
        <a:lstStyle/>
        <a:p>
          <a:endParaRPr lang="en-GB"/>
        </a:p>
      </dgm:t>
    </dgm:pt>
    <dgm:pt modelId="{B759707D-C4DE-174E-B0B7-0439F9D95F24}">
      <dgm:prSet/>
      <dgm:spPr/>
      <dgm:t>
        <a:bodyPr/>
        <a:lstStyle/>
        <a:p>
          <a:r>
            <a:rPr lang="en-GB">
              <a:latin typeface="Arial" panose="020B0604020202020204" pitchFamily="34" charset="0"/>
              <a:cs typeface="Arial" panose="020B0604020202020204" pitchFamily="34" charset="0"/>
            </a:rPr>
            <a:t>Operation Considered: assessed for splenectomy to manage HLH but deemed to be too risky.</a:t>
          </a:r>
        </a:p>
      </dgm:t>
    </dgm:pt>
    <dgm:pt modelId="{D1211D3C-A3D8-D344-B85D-D3E84BB1B38F}" type="parTrans" cxnId="{15592245-E0E3-2944-832E-93700F8926B7}">
      <dgm:prSet/>
      <dgm:spPr/>
      <dgm:t>
        <a:bodyPr/>
        <a:lstStyle/>
        <a:p>
          <a:endParaRPr lang="en-GB">
            <a:latin typeface="Arial" panose="020B0604020202020204" pitchFamily="34" charset="0"/>
            <a:cs typeface="Arial" panose="020B0604020202020204" pitchFamily="34" charset="0"/>
          </a:endParaRPr>
        </a:p>
      </dgm:t>
    </dgm:pt>
    <dgm:pt modelId="{CA04F266-B11F-4441-8E8E-B3CDECAA2798}" type="sibTrans" cxnId="{15592245-E0E3-2944-832E-93700F8926B7}">
      <dgm:prSet/>
      <dgm:spPr/>
      <dgm:t>
        <a:bodyPr/>
        <a:lstStyle/>
        <a:p>
          <a:endParaRPr lang="en-GB"/>
        </a:p>
      </dgm:t>
    </dgm:pt>
    <dgm:pt modelId="{7FCF17E4-B7D8-A84D-96F4-A1D11FD39893}">
      <dgm:prSet/>
      <dgm:spPr/>
      <dgm:t>
        <a:bodyPr/>
        <a:lstStyle/>
        <a:p>
          <a:r>
            <a:rPr lang="en-GB" b="0">
              <a:latin typeface="Arial" panose="020B0604020202020204" pitchFamily="34" charset="0"/>
              <a:cs typeface="Arial" panose="020B0604020202020204" pitchFamily="34" charset="0"/>
            </a:rPr>
            <a:t>DIC and its limited diagnostic yield have not been communicated to the multi-disciplinary panel (MTD): Broken feedback loop. </a:t>
          </a:r>
        </a:p>
      </dgm:t>
    </dgm:pt>
    <dgm:pt modelId="{AF87C74C-CA7C-1648-92A3-E833A2ACBFF7}" type="parTrans" cxnId="{25C399C1-E2D8-F04D-8D6B-D2C9FF39EFD5}">
      <dgm:prSet/>
      <dgm:spPr/>
      <dgm:t>
        <a:bodyPr/>
        <a:lstStyle/>
        <a:p>
          <a:endParaRPr lang="en-GB">
            <a:latin typeface="Arial" panose="020B0604020202020204" pitchFamily="34" charset="0"/>
            <a:cs typeface="Arial" panose="020B0604020202020204" pitchFamily="34" charset="0"/>
          </a:endParaRPr>
        </a:p>
      </dgm:t>
    </dgm:pt>
    <dgm:pt modelId="{F2FCE2C6-994D-9245-9540-DFE2241C1FCD}" type="sibTrans" cxnId="{25C399C1-E2D8-F04D-8D6B-D2C9FF39EFD5}">
      <dgm:prSet/>
      <dgm:spPr/>
      <dgm:t>
        <a:bodyPr/>
        <a:lstStyle/>
        <a:p>
          <a:endParaRPr lang="en-GB"/>
        </a:p>
      </dgm:t>
    </dgm:pt>
    <dgm:pt modelId="{A954DA45-0DC7-074F-B6CD-2FA4EC13418C}">
      <dgm:prSet/>
      <dgm:spPr/>
      <dgm:t>
        <a:bodyPr/>
        <a:lstStyle/>
        <a:p>
          <a:r>
            <a:rPr lang="en-GB" b="0">
              <a:latin typeface="Arial" panose="020B0604020202020204" pitchFamily="34" charset="0"/>
              <a:cs typeface="Arial" panose="020B0604020202020204" pitchFamily="34" charset="0"/>
            </a:rPr>
            <a:t>MTD recommended Endobronchial ultrasound-guided biopsy (EBUS)</a:t>
          </a:r>
          <a:r>
            <a:rPr lang="en-GB" b="1">
              <a:latin typeface="Arial" panose="020B0604020202020204" pitchFamily="34" charset="0"/>
              <a:cs typeface="Arial" panose="020B0604020202020204" pitchFamily="34" charset="0"/>
            </a:rPr>
            <a:t>, </a:t>
          </a:r>
          <a:r>
            <a:rPr lang="en-GB">
              <a:latin typeface="Arial" panose="020B0604020202020204" pitchFamily="34" charset="0"/>
              <a:cs typeface="Arial" panose="020B0604020202020204" pitchFamily="34" charset="0"/>
            </a:rPr>
            <a:t>to identify the HLH trigger</a:t>
          </a:r>
          <a:r>
            <a:rPr lang="en-GB" b="1">
              <a:latin typeface="Arial" panose="020B0604020202020204" pitchFamily="34" charset="0"/>
              <a:cs typeface="Arial" panose="020B0604020202020204" pitchFamily="34" charset="0"/>
            </a:rPr>
            <a:t>.</a:t>
          </a:r>
          <a:endParaRPr lang="en-GB">
            <a:latin typeface="Arial" panose="020B0604020202020204" pitchFamily="34" charset="0"/>
            <a:cs typeface="Arial" panose="020B0604020202020204" pitchFamily="34" charset="0"/>
          </a:endParaRPr>
        </a:p>
      </dgm:t>
    </dgm:pt>
    <dgm:pt modelId="{645CF7FF-2E6E-5645-8B54-7BF0BA58F368}" type="parTrans" cxnId="{53A84567-9914-6E4F-89E2-C6EBB6D1966D}">
      <dgm:prSet/>
      <dgm:spPr/>
      <dgm:t>
        <a:bodyPr/>
        <a:lstStyle/>
        <a:p>
          <a:endParaRPr lang="en-GB">
            <a:latin typeface="Arial" panose="020B0604020202020204" pitchFamily="34" charset="0"/>
            <a:cs typeface="Arial" panose="020B0604020202020204" pitchFamily="34" charset="0"/>
          </a:endParaRPr>
        </a:p>
      </dgm:t>
    </dgm:pt>
    <dgm:pt modelId="{8CB284A9-CDDC-FE44-AC48-16B8BE8989E7}" type="sibTrans" cxnId="{53A84567-9914-6E4F-89E2-C6EBB6D1966D}">
      <dgm:prSet/>
      <dgm:spPr/>
      <dgm:t>
        <a:bodyPr/>
        <a:lstStyle/>
        <a:p>
          <a:endParaRPr lang="en-GB"/>
        </a:p>
      </dgm:t>
    </dgm:pt>
    <dgm:pt modelId="{9CB31818-8230-CE44-A977-E655A7A4C2F9}">
      <dgm:prSet/>
      <dgm:spPr/>
      <dgm:t>
        <a:bodyPr/>
        <a:lstStyle/>
        <a:p>
          <a:r>
            <a:rPr lang="en-GB">
              <a:latin typeface="Arial" panose="020B0604020202020204" pitchFamily="34" charset="0"/>
              <a:cs typeface="Arial" panose="020B0604020202020204" pitchFamily="34" charset="0"/>
            </a:rPr>
            <a:t>Sep 2, 2021: EBUS operation performed.</a:t>
          </a:r>
        </a:p>
      </dgm:t>
    </dgm:pt>
    <dgm:pt modelId="{B4EA9F4D-DBE4-F145-9CFD-CBD50D2359A2}" type="parTrans" cxnId="{5DF4612A-FD1B-784E-9897-730E35B2DE39}">
      <dgm:prSet/>
      <dgm:spPr/>
      <dgm:t>
        <a:bodyPr/>
        <a:lstStyle/>
        <a:p>
          <a:endParaRPr lang="en-GB">
            <a:latin typeface="Arial" panose="020B0604020202020204" pitchFamily="34" charset="0"/>
            <a:cs typeface="Arial" panose="020B0604020202020204" pitchFamily="34" charset="0"/>
          </a:endParaRPr>
        </a:p>
      </dgm:t>
    </dgm:pt>
    <dgm:pt modelId="{A683C8D9-DCB0-B94F-BA80-8203F32F3106}" type="sibTrans" cxnId="{5DF4612A-FD1B-784E-9897-730E35B2DE39}">
      <dgm:prSet/>
      <dgm:spPr/>
      <dgm:t>
        <a:bodyPr/>
        <a:lstStyle/>
        <a:p>
          <a:endParaRPr lang="en-GB"/>
        </a:p>
      </dgm:t>
    </dgm:pt>
    <dgm:pt modelId="{9873FD2B-0EE1-CF4D-928D-89173579D6A4}">
      <dgm:prSet/>
      <dgm:spPr/>
      <dgm:t>
        <a:bodyPr/>
        <a:lstStyle/>
        <a:p>
          <a:r>
            <a:rPr lang="en-GB">
              <a:latin typeface="Arial" panose="020B0604020202020204" pitchFamily="34" charset="0"/>
              <a:cs typeface="Arial" panose="020B0604020202020204" pitchFamily="34" charset="0"/>
            </a:rPr>
            <a:t>Sept 2, 2021: Dr. Patels' lungs haemorrhage post-procedure, reducing his survival from 75% to 10%.</a:t>
          </a:r>
        </a:p>
      </dgm:t>
    </dgm:pt>
    <dgm:pt modelId="{E35755B2-4141-6845-82F5-321C85DA7A44}" type="parTrans" cxnId="{B48130F6-331B-A34E-B6CC-8CCAC3FA8397}">
      <dgm:prSet/>
      <dgm:spPr/>
      <dgm:t>
        <a:bodyPr/>
        <a:lstStyle/>
        <a:p>
          <a:endParaRPr lang="en-GB">
            <a:latin typeface="Arial" panose="020B0604020202020204" pitchFamily="34" charset="0"/>
            <a:cs typeface="Arial" panose="020B0604020202020204" pitchFamily="34" charset="0"/>
          </a:endParaRPr>
        </a:p>
      </dgm:t>
    </dgm:pt>
    <dgm:pt modelId="{AB4FBC46-E1C4-DC47-979B-81C42D506C15}" type="sibTrans" cxnId="{B48130F6-331B-A34E-B6CC-8CCAC3FA8397}">
      <dgm:prSet/>
      <dgm:spPr/>
      <dgm:t>
        <a:bodyPr/>
        <a:lstStyle/>
        <a:p>
          <a:endParaRPr lang="en-GB"/>
        </a:p>
      </dgm:t>
    </dgm:pt>
    <dgm:pt modelId="{D970DC3E-30CD-5340-850F-450623E896F5}">
      <dgm:prSet/>
      <dgm:spPr/>
      <dgm:t>
        <a:bodyPr/>
        <a:lstStyle/>
        <a:p>
          <a:r>
            <a:rPr lang="en-GB">
              <a:latin typeface="Arial" panose="020B0604020202020204" pitchFamily="34" charset="0"/>
              <a:cs typeface="Arial" panose="020B0604020202020204" pitchFamily="34" charset="0"/>
            </a:rPr>
            <a:t>Sep 2, 2021: Admitted to Manchester Royal Infirmary for urgent medical intervention.</a:t>
          </a:r>
        </a:p>
      </dgm:t>
    </dgm:pt>
    <dgm:pt modelId="{2BDEEC62-C83C-9140-AC8D-8028269DD57A}" type="parTrans" cxnId="{7C05B8C6-BB4D-5143-A535-29FF91954133}">
      <dgm:prSet/>
      <dgm:spPr/>
      <dgm:t>
        <a:bodyPr/>
        <a:lstStyle/>
        <a:p>
          <a:endParaRPr lang="en-GB">
            <a:latin typeface="Arial" panose="020B0604020202020204" pitchFamily="34" charset="0"/>
            <a:cs typeface="Arial" panose="020B0604020202020204" pitchFamily="34" charset="0"/>
          </a:endParaRPr>
        </a:p>
      </dgm:t>
    </dgm:pt>
    <dgm:pt modelId="{29A7FEC2-989C-3644-A776-39D1D12C40A0}" type="sibTrans" cxnId="{7C05B8C6-BB4D-5143-A535-29FF91954133}">
      <dgm:prSet/>
      <dgm:spPr/>
      <dgm:t>
        <a:bodyPr/>
        <a:lstStyle/>
        <a:p>
          <a:endParaRPr lang="en-GB"/>
        </a:p>
      </dgm:t>
    </dgm:pt>
    <dgm:pt modelId="{FD1CE6DD-AF7C-0249-A6D1-188372D0B6F3}">
      <dgm:prSet/>
      <dgm:spPr/>
      <dgm:t>
        <a:bodyPr/>
        <a:lstStyle/>
        <a:p>
          <a:r>
            <a:rPr lang="en-GB">
              <a:latin typeface="Arial" panose="020B0604020202020204" pitchFamily="34" charset="0"/>
              <a:cs typeface="Arial" panose="020B0604020202020204" pitchFamily="34" charset="0"/>
            </a:rPr>
            <a:t> Sep 2 -  Oct 28: </a:t>
          </a:r>
        </a:p>
        <a:p>
          <a:r>
            <a:rPr lang="en-GB">
              <a:latin typeface="Arial" panose="020B0604020202020204" pitchFamily="34" charset="0"/>
              <a:cs typeface="Arial" panose="020B0604020202020204" pitchFamily="34" charset="0"/>
            </a:rPr>
            <a:t> Dr. Patels Condition persists in declining despite urgent medical intervention.</a:t>
          </a:r>
        </a:p>
      </dgm:t>
    </dgm:pt>
    <dgm:pt modelId="{E31D229D-B802-854A-AF52-8BEF12182127}" type="parTrans" cxnId="{548AC285-8653-C240-90F8-F763020C0E4E}">
      <dgm:prSet/>
      <dgm:spPr/>
      <dgm:t>
        <a:bodyPr/>
        <a:lstStyle/>
        <a:p>
          <a:endParaRPr lang="en-GB">
            <a:latin typeface="Arial" panose="020B0604020202020204" pitchFamily="34" charset="0"/>
            <a:cs typeface="Arial" panose="020B0604020202020204" pitchFamily="34" charset="0"/>
          </a:endParaRPr>
        </a:p>
      </dgm:t>
    </dgm:pt>
    <dgm:pt modelId="{77EDA72F-D14D-384F-8684-C5E61256615E}" type="sibTrans" cxnId="{548AC285-8653-C240-90F8-F763020C0E4E}">
      <dgm:prSet/>
      <dgm:spPr/>
      <dgm:t>
        <a:bodyPr/>
        <a:lstStyle/>
        <a:p>
          <a:endParaRPr lang="en-GB"/>
        </a:p>
      </dgm:t>
    </dgm:pt>
    <dgm:pt modelId="{6B6D18BF-53D7-4C47-A36A-CAC31AC14CF1}">
      <dgm:prSet/>
      <dgm:spPr/>
      <dgm:t>
        <a:bodyPr/>
        <a:lstStyle/>
        <a:p>
          <a:r>
            <a:rPr lang="en-GB">
              <a:latin typeface="Arial" panose="020B0604020202020204" pitchFamily="34" charset="0"/>
              <a:cs typeface="Arial" panose="020B0604020202020204" pitchFamily="34" charset="0"/>
            </a:rPr>
            <a:t>Oct 28, 2021: Professor Amit Patel succumbed to complications arising from a severe haemorrhage.</a:t>
          </a:r>
        </a:p>
      </dgm:t>
    </dgm:pt>
    <dgm:pt modelId="{86F55F10-34B3-654F-BCEC-9900E1BD327D}" type="parTrans" cxnId="{F5732C85-C78B-8642-87B6-B834685A34A9}">
      <dgm:prSet/>
      <dgm:spPr/>
      <dgm:t>
        <a:bodyPr/>
        <a:lstStyle/>
        <a:p>
          <a:endParaRPr lang="en-GB">
            <a:latin typeface="Arial" panose="020B0604020202020204" pitchFamily="34" charset="0"/>
            <a:cs typeface="Arial" panose="020B0604020202020204" pitchFamily="34" charset="0"/>
          </a:endParaRPr>
        </a:p>
      </dgm:t>
    </dgm:pt>
    <dgm:pt modelId="{296D3D30-E65E-A842-B01C-E2C1107D29BE}" type="sibTrans" cxnId="{F5732C85-C78B-8642-87B6-B834685A34A9}">
      <dgm:prSet/>
      <dgm:spPr/>
      <dgm:t>
        <a:bodyPr/>
        <a:lstStyle/>
        <a:p>
          <a:endParaRPr lang="en-GB"/>
        </a:p>
      </dgm:t>
    </dgm:pt>
    <dgm:pt modelId="{F3BE3D7A-6C3A-1143-8128-CAF2174FC02D}">
      <dgm:prSet/>
      <dgm:spPr/>
      <dgm:t>
        <a:bodyPr/>
        <a:lstStyle/>
        <a:p>
          <a:r>
            <a:rPr lang="en-GB">
              <a:latin typeface="Arial" panose="020B0604020202020204" pitchFamily="34" charset="0"/>
              <a:cs typeface="Arial" panose="020B0604020202020204" pitchFamily="34" charset="0"/>
            </a:rPr>
            <a:t>May 6, 2024: Initial inquest hearing documented, and specifics of the catastrophic haemorrhage disclosed.</a:t>
          </a:r>
        </a:p>
      </dgm:t>
    </dgm:pt>
    <dgm:pt modelId="{E27A44A1-D7A8-F34D-9036-1E4878CE9EEE}" type="parTrans" cxnId="{70F94394-469A-484C-8AE9-079C0E3AE0E9}">
      <dgm:prSet/>
      <dgm:spPr/>
      <dgm:t>
        <a:bodyPr/>
        <a:lstStyle/>
        <a:p>
          <a:endParaRPr lang="en-GB">
            <a:latin typeface="Arial" panose="020B0604020202020204" pitchFamily="34" charset="0"/>
            <a:cs typeface="Arial" panose="020B0604020202020204" pitchFamily="34" charset="0"/>
          </a:endParaRPr>
        </a:p>
      </dgm:t>
    </dgm:pt>
    <dgm:pt modelId="{13EE922A-DFED-874B-A218-9F8C141985AB}" type="sibTrans" cxnId="{70F94394-469A-484C-8AE9-079C0E3AE0E9}">
      <dgm:prSet/>
      <dgm:spPr/>
      <dgm:t>
        <a:bodyPr/>
        <a:lstStyle/>
        <a:p>
          <a:endParaRPr lang="en-GB"/>
        </a:p>
      </dgm:t>
    </dgm:pt>
    <dgm:pt modelId="{F295B7B4-87B4-BA42-A2D0-C66E0B5EB924}">
      <dgm:prSet/>
      <dgm:spPr/>
      <dgm:t>
        <a:bodyPr/>
        <a:lstStyle/>
        <a:p>
          <a:r>
            <a:rPr lang="en-GB">
              <a:latin typeface="Arial" panose="020B0604020202020204" pitchFamily="34" charset="0"/>
              <a:cs typeface="Arial" panose="020B0604020202020204" pitchFamily="34" charset="0"/>
            </a:rPr>
            <a:t>May 31, 2024, the coroner concluded that the EBUS advice was unjustified, and that Patel did not provide informed consent.</a:t>
          </a:r>
        </a:p>
      </dgm:t>
    </dgm:pt>
    <dgm:pt modelId="{A7C09892-4005-D54C-9FB9-D2BC60098796}" type="parTrans" cxnId="{B5A90C9F-2DDF-6044-B12B-A8B6722AEE4F}">
      <dgm:prSet/>
      <dgm:spPr/>
      <dgm:t>
        <a:bodyPr/>
        <a:lstStyle/>
        <a:p>
          <a:endParaRPr lang="en-GB">
            <a:latin typeface="Arial" panose="020B0604020202020204" pitchFamily="34" charset="0"/>
            <a:cs typeface="Arial" panose="020B0604020202020204" pitchFamily="34" charset="0"/>
          </a:endParaRPr>
        </a:p>
      </dgm:t>
    </dgm:pt>
    <dgm:pt modelId="{4C786CCD-9141-8C44-9B67-D3FFEF806B32}" type="sibTrans" cxnId="{B5A90C9F-2DDF-6044-B12B-A8B6722AEE4F}">
      <dgm:prSet/>
      <dgm:spPr/>
      <dgm:t>
        <a:bodyPr/>
        <a:lstStyle/>
        <a:p>
          <a:endParaRPr lang="en-GB"/>
        </a:p>
      </dgm:t>
    </dgm:pt>
    <dgm:pt modelId="{41A07463-247D-5846-81DF-7882D75A24DE}">
      <dgm:prSet/>
      <dgm:spPr/>
      <dgm:t>
        <a:bodyPr/>
        <a:lstStyle/>
        <a:p>
          <a:r>
            <a:rPr lang="en-GB"/>
            <a:t>Professor Patel asserted the necessity for immediate treatment with immunosuppressants, emphasising that "time was of the essence”, However, physicians ignored him and commenced steroid treatment.</a:t>
          </a:r>
        </a:p>
      </dgm:t>
    </dgm:pt>
    <dgm:pt modelId="{0E525EB7-B20A-7A48-98D8-0F9D9066E9F6}" type="sibTrans" cxnId="{B8E64A98-A644-714B-8CF9-DF9790AB6ADF}">
      <dgm:prSet/>
      <dgm:spPr/>
      <dgm:t>
        <a:bodyPr/>
        <a:lstStyle/>
        <a:p>
          <a:endParaRPr lang="en-GB"/>
        </a:p>
      </dgm:t>
    </dgm:pt>
    <dgm:pt modelId="{3B449BB8-7882-1442-91BB-A71FE09FC0F2}" type="parTrans" cxnId="{B8E64A98-A644-714B-8CF9-DF9790AB6ADF}">
      <dgm:prSet/>
      <dgm:spPr/>
      <dgm:t>
        <a:bodyPr/>
        <a:lstStyle/>
        <a:p>
          <a:endParaRPr lang="en-GB"/>
        </a:p>
      </dgm:t>
    </dgm:pt>
    <dgm:pt modelId="{7861FE38-AA85-9241-82E0-C6366C01A77A}" type="pres">
      <dgm:prSet presAssocID="{FE7EDCF3-D5DF-FB4E-A284-A5A0C5564C0C}" presName="hierChild1" presStyleCnt="0">
        <dgm:presLayoutVars>
          <dgm:orgChart val="1"/>
          <dgm:chPref val="1"/>
          <dgm:dir/>
          <dgm:animOne val="branch"/>
          <dgm:animLvl val="lvl"/>
          <dgm:resizeHandles/>
        </dgm:presLayoutVars>
      </dgm:prSet>
      <dgm:spPr/>
    </dgm:pt>
    <dgm:pt modelId="{54BFBE2F-83FF-D444-9BCF-EF333301C8D8}" type="pres">
      <dgm:prSet presAssocID="{A481D235-3A63-414B-ABBB-4323A96EB458}" presName="hierRoot1" presStyleCnt="0">
        <dgm:presLayoutVars>
          <dgm:hierBranch val="init"/>
        </dgm:presLayoutVars>
      </dgm:prSet>
      <dgm:spPr/>
    </dgm:pt>
    <dgm:pt modelId="{99229F33-6D55-0C43-9A82-9F2659540FC6}" type="pres">
      <dgm:prSet presAssocID="{A481D235-3A63-414B-ABBB-4323A96EB458}" presName="rootComposite1" presStyleCnt="0"/>
      <dgm:spPr/>
    </dgm:pt>
    <dgm:pt modelId="{7D55FD9A-4CF6-5541-A547-7521BE29540B}" type="pres">
      <dgm:prSet presAssocID="{A481D235-3A63-414B-ABBB-4323A96EB458}" presName="rootText1" presStyleLbl="node0" presStyleIdx="0" presStyleCnt="1" custScaleX="777106" custScaleY="192849" custLinFactNeighborX="-2214" custLinFactNeighborY="-25947">
        <dgm:presLayoutVars>
          <dgm:chPref val="3"/>
        </dgm:presLayoutVars>
      </dgm:prSet>
      <dgm:spPr/>
    </dgm:pt>
    <dgm:pt modelId="{0EA6A77E-BB2A-5141-8B54-6ED4ECB48FBD}" type="pres">
      <dgm:prSet presAssocID="{A481D235-3A63-414B-ABBB-4323A96EB458}" presName="rootConnector1" presStyleLbl="node1" presStyleIdx="0" presStyleCnt="0"/>
      <dgm:spPr/>
    </dgm:pt>
    <dgm:pt modelId="{4A7FCDB5-C482-8542-8BDE-4F15685BC368}" type="pres">
      <dgm:prSet presAssocID="{A481D235-3A63-414B-ABBB-4323A96EB458}" presName="hierChild2" presStyleCnt="0"/>
      <dgm:spPr/>
    </dgm:pt>
    <dgm:pt modelId="{D296F158-4ED2-FD48-838E-E7E52249E52D}" type="pres">
      <dgm:prSet presAssocID="{8FB9C455-BB47-2244-A0F5-5AF496CAFB7E}" presName="Name37" presStyleLbl="parChTrans1D2" presStyleIdx="0" presStyleCnt="4"/>
      <dgm:spPr/>
    </dgm:pt>
    <dgm:pt modelId="{563B2800-4511-CC46-80EF-45D9A18A0D0F}" type="pres">
      <dgm:prSet presAssocID="{5C25942E-18FE-AE44-A5CF-047C93BC7948}" presName="hierRoot2" presStyleCnt="0">
        <dgm:presLayoutVars>
          <dgm:hierBranch val="init"/>
        </dgm:presLayoutVars>
      </dgm:prSet>
      <dgm:spPr/>
    </dgm:pt>
    <dgm:pt modelId="{B32BC93A-D719-D545-8C62-2FC274D33233}" type="pres">
      <dgm:prSet presAssocID="{5C25942E-18FE-AE44-A5CF-047C93BC7948}" presName="rootComposite" presStyleCnt="0"/>
      <dgm:spPr/>
    </dgm:pt>
    <dgm:pt modelId="{4638B459-FEE1-6147-9DA4-3E5D5B83E746}" type="pres">
      <dgm:prSet presAssocID="{5C25942E-18FE-AE44-A5CF-047C93BC7948}" presName="rootText" presStyleLbl="node2" presStyleIdx="0" presStyleCnt="3" custScaleX="156557" custScaleY="125708">
        <dgm:presLayoutVars>
          <dgm:chPref val="3"/>
        </dgm:presLayoutVars>
      </dgm:prSet>
      <dgm:spPr/>
    </dgm:pt>
    <dgm:pt modelId="{529198DB-2973-8D4B-B6D1-F0822A98B475}" type="pres">
      <dgm:prSet presAssocID="{5C25942E-18FE-AE44-A5CF-047C93BC7948}" presName="rootConnector" presStyleLbl="node2" presStyleIdx="0" presStyleCnt="3"/>
      <dgm:spPr/>
    </dgm:pt>
    <dgm:pt modelId="{957E36B8-0AE2-3949-A10A-562A22B84C6E}" type="pres">
      <dgm:prSet presAssocID="{5C25942E-18FE-AE44-A5CF-047C93BC7948}" presName="hierChild4" presStyleCnt="0"/>
      <dgm:spPr/>
    </dgm:pt>
    <dgm:pt modelId="{9B44FD43-CEA7-5549-8070-2CC7B864CA75}" type="pres">
      <dgm:prSet presAssocID="{AF87C74C-CA7C-1648-92A3-E833A2ACBFF7}" presName="Name37" presStyleLbl="parChTrans1D3" presStyleIdx="0" presStyleCnt="9"/>
      <dgm:spPr/>
    </dgm:pt>
    <dgm:pt modelId="{1B10A120-FC15-794F-AE75-5664E26E3A8E}" type="pres">
      <dgm:prSet presAssocID="{7FCF17E4-B7D8-A84D-96F4-A1D11FD39893}" presName="hierRoot2" presStyleCnt="0">
        <dgm:presLayoutVars>
          <dgm:hierBranch val="init"/>
        </dgm:presLayoutVars>
      </dgm:prSet>
      <dgm:spPr/>
    </dgm:pt>
    <dgm:pt modelId="{42BE3666-7C18-CA46-9A51-4FDBABBC4D42}" type="pres">
      <dgm:prSet presAssocID="{7FCF17E4-B7D8-A84D-96F4-A1D11FD39893}" presName="rootComposite" presStyleCnt="0"/>
      <dgm:spPr/>
    </dgm:pt>
    <dgm:pt modelId="{85DFDFE4-16DF-3D4C-91CD-006F18031706}" type="pres">
      <dgm:prSet presAssocID="{7FCF17E4-B7D8-A84D-96F4-A1D11FD39893}" presName="rootText" presStyleLbl="node3" presStyleIdx="0" presStyleCnt="9" custScaleX="147180" custScaleY="326731" custLinFactNeighborX="3855" custLinFactNeighborY="75630">
        <dgm:presLayoutVars>
          <dgm:chPref val="3"/>
        </dgm:presLayoutVars>
      </dgm:prSet>
      <dgm:spPr/>
    </dgm:pt>
    <dgm:pt modelId="{0A89FB93-AC42-3B44-96F8-78FCE95362EB}" type="pres">
      <dgm:prSet presAssocID="{7FCF17E4-B7D8-A84D-96F4-A1D11FD39893}" presName="rootConnector" presStyleLbl="node3" presStyleIdx="0" presStyleCnt="9"/>
      <dgm:spPr/>
    </dgm:pt>
    <dgm:pt modelId="{E69346F5-B780-784A-B86B-EDBBA927FF87}" type="pres">
      <dgm:prSet presAssocID="{7FCF17E4-B7D8-A84D-96F4-A1D11FD39893}" presName="hierChild4" presStyleCnt="0"/>
      <dgm:spPr/>
    </dgm:pt>
    <dgm:pt modelId="{BC7AF096-B24E-444A-8B87-79558AB7E702}" type="pres">
      <dgm:prSet presAssocID="{7FCF17E4-B7D8-A84D-96F4-A1D11FD39893}" presName="hierChild5" presStyleCnt="0"/>
      <dgm:spPr/>
    </dgm:pt>
    <dgm:pt modelId="{2B99EA23-E08F-7A4C-938E-AFCF2D49168D}" type="pres">
      <dgm:prSet presAssocID="{645CF7FF-2E6E-5645-8B54-7BF0BA58F368}" presName="Name37" presStyleLbl="parChTrans1D3" presStyleIdx="1" presStyleCnt="9"/>
      <dgm:spPr/>
    </dgm:pt>
    <dgm:pt modelId="{A0345327-17AC-1042-BB2B-0B44D1A2194A}" type="pres">
      <dgm:prSet presAssocID="{A954DA45-0DC7-074F-B6CD-2FA4EC13418C}" presName="hierRoot2" presStyleCnt="0">
        <dgm:presLayoutVars>
          <dgm:hierBranch val="init"/>
        </dgm:presLayoutVars>
      </dgm:prSet>
      <dgm:spPr/>
    </dgm:pt>
    <dgm:pt modelId="{CE03546D-6315-2A4F-AC56-6148E3EE0CBF}" type="pres">
      <dgm:prSet presAssocID="{A954DA45-0DC7-074F-B6CD-2FA4EC13418C}" presName="rootComposite" presStyleCnt="0"/>
      <dgm:spPr/>
    </dgm:pt>
    <dgm:pt modelId="{9D11A5D1-D24A-E94E-A2DE-097F05ABF4DC}" type="pres">
      <dgm:prSet presAssocID="{A954DA45-0DC7-074F-B6CD-2FA4EC13418C}" presName="rootText" presStyleLbl="node3" presStyleIdx="1" presStyleCnt="9" custScaleX="137830" custScaleY="353302" custLinFactY="16708" custLinFactNeighborX="1860" custLinFactNeighborY="100000">
        <dgm:presLayoutVars>
          <dgm:chPref val="3"/>
        </dgm:presLayoutVars>
      </dgm:prSet>
      <dgm:spPr/>
    </dgm:pt>
    <dgm:pt modelId="{C717FE9D-AACB-0D48-A7C0-4543C67A92EB}" type="pres">
      <dgm:prSet presAssocID="{A954DA45-0DC7-074F-B6CD-2FA4EC13418C}" presName="rootConnector" presStyleLbl="node3" presStyleIdx="1" presStyleCnt="9"/>
      <dgm:spPr/>
    </dgm:pt>
    <dgm:pt modelId="{65D3D6CD-4B63-524E-8D07-7CDD3499CEAC}" type="pres">
      <dgm:prSet presAssocID="{A954DA45-0DC7-074F-B6CD-2FA4EC13418C}" presName="hierChild4" presStyleCnt="0"/>
      <dgm:spPr/>
    </dgm:pt>
    <dgm:pt modelId="{4D61F7DB-D53A-284B-8B5B-9AD92810A522}" type="pres">
      <dgm:prSet presAssocID="{A954DA45-0DC7-074F-B6CD-2FA4EC13418C}" presName="hierChild5" presStyleCnt="0"/>
      <dgm:spPr/>
    </dgm:pt>
    <dgm:pt modelId="{53469A38-36B4-D44E-BE47-BFBCFF34221E}" type="pres">
      <dgm:prSet presAssocID="{B4EA9F4D-DBE4-F145-9CFD-CBD50D2359A2}" presName="Name37" presStyleLbl="parChTrans1D3" presStyleIdx="2" presStyleCnt="9"/>
      <dgm:spPr/>
    </dgm:pt>
    <dgm:pt modelId="{DD95F0F2-333F-4040-815A-549B6CBDEAC4}" type="pres">
      <dgm:prSet presAssocID="{9CB31818-8230-CE44-A977-E655A7A4C2F9}" presName="hierRoot2" presStyleCnt="0">
        <dgm:presLayoutVars>
          <dgm:hierBranch val="init"/>
        </dgm:presLayoutVars>
      </dgm:prSet>
      <dgm:spPr/>
    </dgm:pt>
    <dgm:pt modelId="{2977B045-694F-9148-90EC-AF6CA42650B4}" type="pres">
      <dgm:prSet presAssocID="{9CB31818-8230-CE44-A977-E655A7A4C2F9}" presName="rootComposite" presStyleCnt="0"/>
      <dgm:spPr/>
    </dgm:pt>
    <dgm:pt modelId="{1B585BE1-01A0-6E40-96CF-0549941E3830}" type="pres">
      <dgm:prSet presAssocID="{9CB31818-8230-CE44-A977-E655A7A4C2F9}" presName="rootText" presStyleLbl="node3" presStyleIdx="2" presStyleCnt="9" custScaleX="155227" custScaleY="262130" custLinFactY="53275" custLinFactNeighborX="-19218" custLinFactNeighborY="100000">
        <dgm:presLayoutVars>
          <dgm:chPref val="3"/>
        </dgm:presLayoutVars>
      </dgm:prSet>
      <dgm:spPr/>
    </dgm:pt>
    <dgm:pt modelId="{D1AFAD0C-ABCC-8748-B0D2-4B8FD93938ED}" type="pres">
      <dgm:prSet presAssocID="{9CB31818-8230-CE44-A977-E655A7A4C2F9}" presName="rootConnector" presStyleLbl="node3" presStyleIdx="2" presStyleCnt="9"/>
      <dgm:spPr/>
    </dgm:pt>
    <dgm:pt modelId="{B5928FDA-7EF4-9540-AFB5-665007C4905D}" type="pres">
      <dgm:prSet presAssocID="{9CB31818-8230-CE44-A977-E655A7A4C2F9}" presName="hierChild4" presStyleCnt="0"/>
      <dgm:spPr/>
    </dgm:pt>
    <dgm:pt modelId="{B73F8933-0CC6-2246-A329-C680A053B719}" type="pres">
      <dgm:prSet presAssocID="{9CB31818-8230-CE44-A977-E655A7A4C2F9}" presName="hierChild5" presStyleCnt="0"/>
      <dgm:spPr/>
    </dgm:pt>
    <dgm:pt modelId="{88CB4545-C078-6441-92B6-CB257E53D2CF}" type="pres">
      <dgm:prSet presAssocID="{5C25942E-18FE-AE44-A5CF-047C93BC7948}" presName="hierChild5" presStyleCnt="0"/>
      <dgm:spPr/>
    </dgm:pt>
    <dgm:pt modelId="{B904C972-AF2B-074D-9FC5-F50B351B04A5}" type="pres">
      <dgm:prSet presAssocID="{75AE927D-FF88-BA4E-A857-E270B548D03D}" presName="Name37" presStyleLbl="parChTrans1D2" presStyleIdx="1" presStyleCnt="4"/>
      <dgm:spPr/>
    </dgm:pt>
    <dgm:pt modelId="{4BFE1179-5B95-1940-8F1C-BD6D9A3F3F92}" type="pres">
      <dgm:prSet presAssocID="{66FACEDE-1569-D440-827E-D3B80E2A0DAF}" presName="hierRoot2" presStyleCnt="0">
        <dgm:presLayoutVars>
          <dgm:hierBranch val="init"/>
        </dgm:presLayoutVars>
      </dgm:prSet>
      <dgm:spPr/>
    </dgm:pt>
    <dgm:pt modelId="{02FF9CCD-A6F6-4041-8AF9-BF07BC397BD8}" type="pres">
      <dgm:prSet presAssocID="{66FACEDE-1569-D440-827E-D3B80E2A0DAF}" presName="rootComposite" presStyleCnt="0"/>
      <dgm:spPr/>
    </dgm:pt>
    <dgm:pt modelId="{FA715759-BCD4-EC40-A09E-120B81C97125}" type="pres">
      <dgm:prSet presAssocID="{66FACEDE-1569-D440-827E-D3B80E2A0DAF}" presName="rootText" presStyleLbl="node2" presStyleIdx="1" presStyleCnt="3" custScaleX="281552" custScaleY="211862" custLinFactNeighborX="2691" custLinFactNeighborY="32296">
        <dgm:presLayoutVars>
          <dgm:chPref val="3"/>
        </dgm:presLayoutVars>
      </dgm:prSet>
      <dgm:spPr/>
    </dgm:pt>
    <dgm:pt modelId="{526C852D-06DC-C44D-8E7E-9CEA879A87AD}" type="pres">
      <dgm:prSet presAssocID="{66FACEDE-1569-D440-827E-D3B80E2A0DAF}" presName="rootConnector" presStyleLbl="node2" presStyleIdx="1" presStyleCnt="3"/>
      <dgm:spPr/>
    </dgm:pt>
    <dgm:pt modelId="{18096941-CE10-CF4D-9560-79FA916F7998}" type="pres">
      <dgm:prSet presAssocID="{66FACEDE-1569-D440-827E-D3B80E2A0DAF}" presName="hierChild4" presStyleCnt="0"/>
      <dgm:spPr/>
    </dgm:pt>
    <dgm:pt modelId="{0A7D6BBB-0790-6847-8C36-4EE0E60785BA}" type="pres">
      <dgm:prSet presAssocID="{59B96397-E139-1B4B-B37D-B22924389C8C}" presName="Name37" presStyleLbl="parChTrans1D3" presStyleIdx="3" presStyleCnt="9"/>
      <dgm:spPr/>
    </dgm:pt>
    <dgm:pt modelId="{157EE772-E07F-E349-9172-3F0F471515C1}" type="pres">
      <dgm:prSet presAssocID="{EBB57326-879E-8549-992B-7980580704B7}" presName="hierRoot2" presStyleCnt="0">
        <dgm:presLayoutVars>
          <dgm:hierBranch val="init"/>
        </dgm:presLayoutVars>
      </dgm:prSet>
      <dgm:spPr/>
    </dgm:pt>
    <dgm:pt modelId="{C1CD005E-9A87-A640-BA7B-A5E2C011DCCB}" type="pres">
      <dgm:prSet presAssocID="{EBB57326-879E-8549-992B-7980580704B7}" presName="rootComposite" presStyleCnt="0"/>
      <dgm:spPr/>
    </dgm:pt>
    <dgm:pt modelId="{C91EF84F-D9FB-474B-A289-5715D3A46426}" type="pres">
      <dgm:prSet presAssocID="{EBB57326-879E-8549-992B-7980580704B7}" presName="rootText" presStyleLbl="node3" presStyleIdx="3" presStyleCnt="9" custScaleX="126638" custScaleY="352614" custLinFactNeighborX="5383" custLinFactNeighborY="56518">
        <dgm:presLayoutVars>
          <dgm:chPref val="3"/>
        </dgm:presLayoutVars>
      </dgm:prSet>
      <dgm:spPr/>
    </dgm:pt>
    <dgm:pt modelId="{65621D82-3D70-624F-B9A7-AD557E3D84A5}" type="pres">
      <dgm:prSet presAssocID="{EBB57326-879E-8549-992B-7980580704B7}" presName="rootConnector" presStyleLbl="node3" presStyleIdx="3" presStyleCnt="9"/>
      <dgm:spPr/>
    </dgm:pt>
    <dgm:pt modelId="{CEF4BE8D-7457-A948-91C4-3154A3128FD3}" type="pres">
      <dgm:prSet presAssocID="{EBB57326-879E-8549-992B-7980580704B7}" presName="hierChild4" presStyleCnt="0"/>
      <dgm:spPr/>
    </dgm:pt>
    <dgm:pt modelId="{B60BDC8E-E954-AE40-B872-4084A426BDBB}" type="pres">
      <dgm:prSet presAssocID="{3B449BB8-7882-1442-91BB-A71FE09FC0F2}" presName="Name37" presStyleLbl="parChTrans1D4" presStyleIdx="0" presStyleCnt="6"/>
      <dgm:spPr/>
    </dgm:pt>
    <dgm:pt modelId="{B04897D0-2F8F-E44E-97AC-84BBCC2721B6}" type="pres">
      <dgm:prSet presAssocID="{41A07463-247D-5846-81DF-7882D75A24DE}" presName="hierRoot2" presStyleCnt="0">
        <dgm:presLayoutVars>
          <dgm:hierBranch val="init"/>
        </dgm:presLayoutVars>
      </dgm:prSet>
      <dgm:spPr/>
    </dgm:pt>
    <dgm:pt modelId="{92757A51-7235-E74A-BA8B-763117028FE5}" type="pres">
      <dgm:prSet presAssocID="{41A07463-247D-5846-81DF-7882D75A24DE}" presName="rootComposite" presStyleCnt="0"/>
      <dgm:spPr/>
    </dgm:pt>
    <dgm:pt modelId="{CCCF1568-E5BD-144D-9135-B65305B574FD}" type="pres">
      <dgm:prSet presAssocID="{41A07463-247D-5846-81DF-7882D75A24DE}" presName="rootText" presStyleLbl="node4" presStyleIdx="0" presStyleCnt="6" custScaleX="171308" custScaleY="399292" custLinFactY="70716" custLinFactNeighborX="10483" custLinFactNeighborY="100000">
        <dgm:presLayoutVars>
          <dgm:chPref val="3"/>
        </dgm:presLayoutVars>
      </dgm:prSet>
      <dgm:spPr/>
    </dgm:pt>
    <dgm:pt modelId="{A75E47A3-1D5A-F84C-81E3-94FCD5C5D9EC}" type="pres">
      <dgm:prSet presAssocID="{41A07463-247D-5846-81DF-7882D75A24DE}" presName="rootConnector" presStyleLbl="node4" presStyleIdx="0" presStyleCnt="6"/>
      <dgm:spPr/>
    </dgm:pt>
    <dgm:pt modelId="{EB6E9A91-774F-504F-8934-73CF7E3F9E78}" type="pres">
      <dgm:prSet presAssocID="{41A07463-247D-5846-81DF-7882D75A24DE}" presName="hierChild4" presStyleCnt="0"/>
      <dgm:spPr/>
    </dgm:pt>
    <dgm:pt modelId="{B676FE3B-E4FC-4E4C-BF7A-912FAF7B92C7}" type="pres">
      <dgm:prSet presAssocID="{41A07463-247D-5846-81DF-7882D75A24DE}" presName="hierChild5" presStyleCnt="0"/>
      <dgm:spPr/>
    </dgm:pt>
    <dgm:pt modelId="{AACC5F25-5DA1-4843-8819-FDA508D18F46}" type="pres">
      <dgm:prSet presAssocID="{EBB57326-879E-8549-992B-7980580704B7}" presName="hierChild5" presStyleCnt="0"/>
      <dgm:spPr/>
    </dgm:pt>
    <dgm:pt modelId="{5A177DD6-D224-4349-9DA6-BAF2DC69EFA6}" type="pres">
      <dgm:prSet presAssocID="{D80D8642-212E-7442-8C8C-4E59D7BDDCBD}" presName="Name37" presStyleLbl="parChTrans1D3" presStyleIdx="4" presStyleCnt="9"/>
      <dgm:spPr/>
    </dgm:pt>
    <dgm:pt modelId="{0F9B4096-9463-0848-A083-198F9CCD2D59}" type="pres">
      <dgm:prSet presAssocID="{79A74BA7-9418-0F49-90D3-A80D19B76494}" presName="hierRoot2" presStyleCnt="0">
        <dgm:presLayoutVars>
          <dgm:hierBranch val="init"/>
        </dgm:presLayoutVars>
      </dgm:prSet>
      <dgm:spPr/>
    </dgm:pt>
    <dgm:pt modelId="{720CED8D-82A2-DB4A-9295-1276E97A444C}" type="pres">
      <dgm:prSet presAssocID="{79A74BA7-9418-0F49-90D3-A80D19B76494}" presName="rootComposite" presStyleCnt="0"/>
      <dgm:spPr/>
    </dgm:pt>
    <dgm:pt modelId="{689D0E37-40AE-1E4F-B599-F9F93F39439F}" type="pres">
      <dgm:prSet presAssocID="{79A74BA7-9418-0F49-90D3-A80D19B76494}" presName="rootText" presStyleLbl="node3" presStyleIdx="4" presStyleCnt="9" custScaleX="140827" custScaleY="398668" custLinFactNeighborX="8074" custLinFactNeighborY="53827">
        <dgm:presLayoutVars>
          <dgm:chPref val="3"/>
        </dgm:presLayoutVars>
      </dgm:prSet>
      <dgm:spPr/>
    </dgm:pt>
    <dgm:pt modelId="{87CBADDD-2315-284F-903D-81323076FD86}" type="pres">
      <dgm:prSet presAssocID="{79A74BA7-9418-0F49-90D3-A80D19B76494}" presName="rootConnector" presStyleLbl="node3" presStyleIdx="4" presStyleCnt="9"/>
      <dgm:spPr/>
    </dgm:pt>
    <dgm:pt modelId="{892564B7-5220-7245-85C4-4DE00ABBFDCC}" type="pres">
      <dgm:prSet presAssocID="{79A74BA7-9418-0F49-90D3-A80D19B76494}" presName="hierChild4" presStyleCnt="0"/>
      <dgm:spPr/>
    </dgm:pt>
    <dgm:pt modelId="{7470EF9D-7B90-EE48-A7E0-3672CE2FD023}" type="pres">
      <dgm:prSet presAssocID="{79A74BA7-9418-0F49-90D3-A80D19B76494}" presName="hierChild5" presStyleCnt="0"/>
      <dgm:spPr/>
    </dgm:pt>
    <dgm:pt modelId="{1CBF9481-05A5-8C43-8DB7-EF26791C872F}" type="pres">
      <dgm:prSet presAssocID="{046FE9D9-279C-C74C-8A67-D87810D595FD}" presName="Name37" presStyleLbl="parChTrans1D3" presStyleIdx="5" presStyleCnt="9"/>
      <dgm:spPr/>
    </dgm:pt>
    <dgm:pt modelId="{B683E6D8-DBFE-6F41-AD9E-571597532FB4}" type="pres">
      <dgm:prSet presAssocID="{B5A4692E-5416-F543-A3BD-6E48940CFD02}" presName="hierRoot2" presStyleCnt="0">
        <dgm:presLayoutVars>
          <dgm:hierBranch val="init"/>
        </dgm:presLayoutVars>
      </dgm:prSet>
      <dgm:spPr/>
    </dgm:pt>
    <dgm:pt modelId="{B240EED9-B489-6C4D-9FB6-AC64475732BD}" type="pres">
      <dgm:prSet presAssocID="{B5A4692E-5416-F543-A3BD-6E48940CFD02}" presName="rootComposite" presStyleCnt="0"/>
      <dgm:spPr/>
    </dgm:pt>
    <dgm:pt modelId="{254C7B03-7AD6-6A4D-A447-E7A20B38C97D}" type="pres">
      <dgm:prSet presAssocID="{B5A4692E-5416-F543-A3BD-6E48940CFD02}" presName="rootText" presStyleLbl="node3" presStyleIdx="5" presStyleCnt="9" custScaleX="146820" custScaleY="308916" custLinFactNeighborX="12111" custLinFactNeighborY="56518">
        <dgm:presLayoutVars>
          <dgm:chPref val="3"/>
        </dgm:presLayoutVars>
      </dgm:prSet>
      <dgm:spPr/>
    </dgm:pt>
    <dgm:pt modelId="{E06C2B21-AFFD-D54C-A906-9A24666157C4}" type="pres">
      <dgm:prSet presAssocID="{B5A4692E-5416-F543-A3BD-6E48940CFD02}" presName="rootConnector" presStyleLbl="node3" presStyleIdx="5" presStyleCnt="9"/>
      <dgm:spPr/>
    </dgm:pt>
    <dgm:pt modelId="{02ED3618-BD02-E546-A1EC-A44E14C02089}" type="pres">
      <dgm:prSet presAssocID="{B5A4692E-5416-F543-A3BD-6E48940CFD02}" presName="hierChild4" presStyleCnt="0"/>
      <dgm:spPr/>
    </dgm:pt>
    <dgm:pt modelId="{E82E2679-E507-BB49-B97E-74B6AC874390}" type="pres">
      <dgm:prSet presAssocID="{D1211D3C-A3D8-D344-B85D-D3E84BB1B38F}" presName="Name37" presStyleLbl="parChTrans1D4" presStyleIdx="1" presStyleCnt="6"/>
      <dgm:spPr/>
    </dgm:pt>
    <dgm:pt modelId="{A19ACBA5-433D-C84F-889C-33179380855A}" type="pres">
      <dgm:prSet presAssocID="{B759707D-C4DE-174E-B0B7-0439F9D95F24}" presName="hierRoot2" presStyleCnt="0">
        <dgm:presLayoutVars>
          <dgm:hierBranch val="init"/>
        </dgm:presLayoutVars>
      </dgm:prSet>
      <dgm:spPr/>
    </dgm:pt>
    <dgm:pt modelId="{715EE719-A46B-5944-B68E-8B2A9CE6BEF4}" type="pres">
      <dgm:prSet presAssocID="{B759707D-C4DE-174E-B0B7-0439F9D95F24}" presName="rootComposite" presStyleCnt="0"/>
      <dgm:spPr/>
    </dgm:pt>
    <dgm:pt modelId="{1A4778DD-B025-CF43-8886-F2D88AF158D6}" type="pres">
      <dgm:prSet presAssocID="{B759707D-C4DE-174E-B0B7-0439F9D95F24}" presName="rootText" presStyleLbl="node4" presStyleIdx="1" presStyleCnt="6" custScaleX="241892" custScaleY="260595" custLinFactY="24051" custLinFactNeighborX="-72978" custLinFactNeighborY="100000">
        <dgm:presLayoutVars>
          <dgm:chPref val="3"/>
        </dgm:presLayoutVars>
      </dgm:prSet>
      <dgm:spPr/>
    </dgm:pt>
    <dgm:pt modelId="{304182A3-9DE9-CD44-A439-8A85E323D594}" type="pres">
      <dgm:prSet presAssocID="{B759707D-C4DE-174E-B0B7-0439F9D95F24}" presName="rootConnector" presStyleLbl="node4" presStyleIdx="1" presStyleCnt="6"/>
      <dgm:spPr/>
    </dgm:pt>
    <dgm:pt modelId="{8911A4EA-709E-5C47-9AB8-7FA562777F0D}" type="pres">
      <dgm:prSet presAssocID="{B759707D-C4DE-174E-B0B7-0439F9D95F24}" presName="hierChild4" presStyleCnt="0"/>
      <dgm:spPr/>
    </dgm:pt>
    <dgm:pt modelId="{E6C4321B-8F47-CD4A-9B14-0078D37FA138}" type="pres">
      <dgm:prSet presAssocID="{B759707D-C4DE-174E-B0B7-0439F9D95F24}" presName="hierChild5" presStyleCnt="0"/>
      <dgm:spPr/>
    </dgm:pt>
    <dgm:pt modelId="{443E8859-696D-F943-BC16-9FB2C9D96D4B}" type="pres">
      <dgm:prSet presAssocID="{B5A4692E-5416-F543-A3BD-6E48940CFD02}" presName="hierChild5" presStyleCnt="0"/>
      <dgm:spPr/>
    </dgm:pt>
    <dgm:pt modelId="{0C135EB9-EF53-C748-B208-CAEB3D85C2E6}" type="pres">
      <dgm:prSet presAssocID="{66FACEDE-1569-D440-827E-D3B80E2A0DAF}" presName="hierChild5" presStyleCnt="0"/>
      <dgm:spPr/>
    </dgm:pt>
    <dgm:pt modelId="{8A57EE52-1A99-8A4F-B904-4992607403D4}" type="pres">
      <dgm:prSet presAssocID="{F0F77A9B-435C-554B-AAE9-420DBF02CD7F}" presName="Name37" presStyleLbl="parChTrans1D2" presStyleIdx="2" presStyleCnt="4"/>
      <dgm:spPr/>
    </dgm:pt>
    <dgm:pt modelId="{8F7AF5BE-B576-5F41-8BFE-2B304504D991}" type="pres">
      <dgm:prSet presAssocID="{C1EB907E-35B2-7E49-B962-A3A939DA74FB}" presName="hierRoot2" presStyleCnt="0">
        <dgm:presLayoutVars>
          <dgm:hierBranch val="init"/>
        </dgm:presLayoutVars>
      </dgm:prSet>
      <dgm:spPr/>
    </dgm:pt>
    <dgm:pt modelId="{13A3F753-69F2-B444-8B29-375C5D3A8D88}" type="pres">
      <dgm:prSet presAssocID="{C1EB907E-35B2-7E49-B962-A3A939DA74FB}" presName="rootComposite" presStyleCnt="0"/>
      <dgm:spPr/>
    </dgm:pt>
    <dgm:pt modelId="{2177EBE5-4488-124C-ABCF-DDB4B2051965}" type="pres">
      <dgm:prSet presAssocID="{C1EB907E-35B2-7E49-B962-A3A939DA74FB}" presName="rootText" presStyleLbl="node2" presStyleIdx="2" presStyleCnt="3" custScaleX="312040" custScaleY="262214">
        <dgm:presLayoutVars>
          <dgm:chPref val="3"/>
        </dgm:presLayoutVars>
      </dgm:prSet>
      <dgm:spPr/>
    </dgm:pt>
    <dgm:pt modelId="{67F7B18D-2ADC-2341-9537-A9B974303FF1}" type="pres">
      <dgm:prSet presAssocID="{C1EB907E-35B2-7E49-B962-A3A939DA74FB}" presName="rootConnector" presStyleLbl="node2" presStyleIdx="2" presStyleCnt="3"/>
      <dgm:spPr/>
    </dgm:pt>
    <dgm:pt modelId="{E8FA29F7-5DE7-A941-B785-F7119D9343C0}" type="pres">
      <dgm:prSet presAssocID="{C1EB907E-35B2-7E49-B962-A3A939DA74FB}" presName="hierChild4" presStyleCnt="0"/>
      <dgm:spPr/>
    </dgm:pt>
    <dgm:pt modelId="{91309FA6-840B-C349-B9B0-8470A69ED859}" type="pres">
      <dgm:prSet presAssocID="{C9796216-E85D-7347-966C-38FB3F809508}" presName="Name37" presStyleLbl="parChTrans1D3" presStyleIdx="6" presStyleCnt="9"/>
      <dgm:spPr/>
    </dgm:pt>
    <dgm:pt modelId="{500CC3AB-47DC-754B-9D81-C0740F899F27}" type="pres">
      <dgm:prSet presAssocID="{A0BB5265-DE27-8542-85EF-0ED6EA5D1C1A}" presName="hierRoot2" presStyleCnt="0">
        <dgm:presLayoutVars>
          <dgm:hierBranch val="init"/>
        </dgm:presLayoutVars>
      </dgm:prSet>
      <dgm:spPr/>
    </dgm:pt>
    <dgm:pt modelId="{50A31083-FF8B-5C40-9CE5-4631A7EE48EC}" type="pres">
      <dgm:prSet presAssocID="{A0BB5265-DE27-8542-85EF-0ED6EA5D1C1A}" presName="rootComposite" presStyleCnt="0"/>
      <dgm:spPr/>
    </dgm:pt>
    <dgm:pt modelId="{04B508CF-8FE4-B74F-83C3-7BCEEA8CA062}" type="pres">
      <dgm:prSet presAssocID="{A0BB5265-DE27-8542-85EF-0ED6EA5D1C1A}" presName="rootText" presStyleLbl="node3" presStyleIdx="6" presStyleCnt="9" custScaleX="131509" custScaleY="276140" custLinFactNeighborX="24055" custLinFactNeighborY="77895">
        <dgm:presLayoutVars>
          <dgm:chPref val="3"/>
        </dgm:presLayoutVars>
      </dgm:prSet>
      <dgm:spPr/>
    </dgm:pt>
    <dgm:pt modelId="{1D0BB182-0798-3245-835B-CA23A12D5417}" type="pres">
      <dgm:prSet presAssocID="{A0BB5265-DE27-8542-85EF-0ED6EA5D1C1A}" presName="rootConnector" presStyleLbl="node3" presStyleIdx="6" presStyleCnt="9"/>
      <dgm:spPr/>
    </dgm:pt>
    <dgm:pt modelId="{EEB71F9F-7494-0448-BBAF-86BBA18A9F60}" type="pres">
      <dgm:prSet presAssocID="{A0BB5265-DE27-8542-85EF-0ED6EA5D1C1A}" presName="hierChild4" presStyleCnt="0"/>
      <dgm:spPr/>
    </dgm:pt>
    <dgm:pt modelId="{F965D9FE-98C7-AC46-8514-A6B64EE1137B}" type="pres">
      <dgm:prSet presAssocID="{A0BB5265-DE27-8542-85EF-0ED6EA5D1C1A}" presName="hierChild5" presStyleCnt="0"/>
      <dgm:spPr/>
    </dgm:pt>
    <dgm:pt modelId="{5AAC0E19-7E3F-8D44-94DB-B26550EB7A77}" type="pres">
      <dgm:prSet presAssocID="{E35755B2-4141-6845-82F5-321C85DA7A44}" presName="Name37" presStyleLbl="parChTrans1D3" presStyleIdx="7" presStyleCnt="9"/>
      <dgm:spPr/>
    </dgm:pt>
    <dgm:pt modelId="{61A87586-6BF9-1640-8959-40176CA94D39}" type="pres">
      <dgm:prSet presAssocID="{9873FD2B-0EE1-CF4D-928D-89173579D6A4}" presName="hierRoot2" presStyleCnt="0">
        <dgm:presLayoutVars>
          <dgm:hierBranch val="init"/>
        </dgm:presLayoutVars>
      </dgm:prSet>
      <dgm:spPr/>
    </dgm:pt>
    <dgm:pt modelId="{7A8BCF7C-4741-AE41-83DB-2FA8D5FDBC8D}" type="pres">
      <dgm:prSet presAssocID="{9873FD2B-0EE1-CF4D-928D-89173579D6A4}" presName="rootComposite" presStyleCnt="0"/>
      <dgm:spPr/>
    </dgm:pt>
    <dgm:pt modelId="{2A32BF8D-85C6-554D-8185-1AE4BBB6C0DE}" type="pres">
      <dgm:prSet presAssocID="{9873FD2B-0EE1-CF4D-928D-89173579D6A4}" presName="rootText" presStyleLbl="node3" presStyleIdx="7" presStyleCnt="9" custScaleX="196321" custScaleY="266224" custLinFactY="8757" custLinFactNeighborX="49413" custLinFactNeighborY="100000">
        <dgm:presLayoutVars>
          <dgm:chPref val="3"/>
        </dgm:presLayoutVars>
      </dgm:prSet>
      <dgm:spPr/>
    </dgm:pt>
    <dgm:pt modelId="{5D3A299E-7EBF-C247-B1F1-5EE9E28C2BE3}" type="pres">
      <dgm:prSet presAssocID="{9873FD2B-0EE1-CF4D-928D-89173579D6A4}" presName="rootConnector" presStyleLbl="node3" presStyleIdx="7" presStyleCnt="9"/>
      <dgm:spPr/>
    </dgm:pt>
    <dgm:pt modelId="{2117167E-79A5-8F46-B8E8-C44E91B5971E}" type="pres">
      <dgm:prSet presAssocID="{9873FD2B-0EE1-CF4D-928D-89173579D6A4}" presName="hierChild4" presStyleCnt="0"/>
      <dgm:spPr/>
    </dgm:pt>
    <dgm:pt modelId="{69514DE6-D10D-6044-94AA-7408D9D5DDC0}" type="pres">
      <dgm:prSet presAssocID="{86F55F10-34B3-654F-BCEC-9900E1BD327D}" presName="Name37" presStyleLbl="parChTrans1D4" presStyleIdx="2" presStyleCnt="6"/>
      <dgm:spPr/>
    </dgm:pt>
    <dgm:pt modelId="{50F15B46-16EF-124F-BFE6-30020C68D1E9}" type="pres">
      <dgm:prSet presAssocID="{6B6D18BF-53D7-4C47-A36A-CAC31AC14CF1}" presName="hierRoot2" presStyleCnt="0">
        <dgm:presLayoutVars>
          <dgm:hierBranch val="init"/>
        </dgm:presLayoutVars>
      </dgm:prSet>
      <dgm:spPr/>
    </dgm:pt>
    <dgm:pt modelId="{78C5CFC2-306A-6145-B675-2A166E450491}" type="pres">
      <dgm:prSet presAssocID="{6B6D18BF-53D7-4C47-A36A-CAC31AC14CF1}" presName="rootComposite" presStyleCnt="0"/>
      <dgm:spPr/>
    </dgm:pt>
    <dgm:pt modelId="{AD2ACA57-44F6-B54D-853C-2C3568917C12}" type="pres">
      <dgm:prSet presAssocID="{6B6D18BF-53D7-4C47-A36A-CAC31AC14CF1}" presName="rootText" presStyleLbl="node4" presStyleIdx="2" presStyleCnt="6" custScaleX="145357" custScaleY="289571" custLinFactY="76799" custLinFactNeighborX="42528" custLinFactNeighborY="100000">
        <dgm:presLayoutVars>
          <dgm:chPref val="3"/>
        </dgm:presLayoutVars>
      </dgm:prSet>
      <dgm:spPr/>
    </dgm:pt>
    <dgm:pt modelId="{22EC2016-15E2-ED45-B77F-B19E4F202703}" type="pres">
      <dgm:prSet presAssocID="{6B6D18BF-53D7-4C47-A36A-CAC31AC14CF1}" presName="rootConnector" presStyleLbl="node4" presStyleIdx="2" presStyleCnt="6"/>
      <dgm:spPr/>
    </dgm:pt>
    <dgm:pt modelId="{1ADDFB0D-E2CF-0649-BFE8-65E097DE4C7A}" type="pres">
      <dgm:prSet presAssocID="{6B6D18BF-53D7-4C47-A36A-CAC31AC14CF1}" presName="hierChild4" presStyleCnt="0"/>
      <dgm:spPr/>
    </dgm:pt>
    <dgm:pt modelId="{B90A3B19-8ECE-4540-B663-B1E881B68885}" type="pres">
      <dgm:prSet presAssocID="{6B6D18BF-53D7-4C47-A36A-CAC31AC14CF1}" presName="hierChild5" presStyleCnt="0"/>
      <dgm:spPr/>
    </dgm:pt>
    <dgm:pt modelId="{C7A21295-1A5F-E24E-8D07-AA13DB72FDCA}" type="pres">
      <dgm:prSet presAssocID="{E27A44A1-D7A8-F34D-9036-1E4878CE9EEE}" presName="Name37" presStyleLbl="parChTrans1D4" presStyleIdx="3" presStyleCnt="6"/>
      <dgm:spPr/>
    </dgm:pt>
    <dgm:pt modelId="{9D7247EC-698B-5F49-BB39-A315B249A1E7}" type="pres">
      <dgm:prSet presAssocID="{F3BE3D7A-6C3A-1143-8128-CAF2174FC02D}" presName="hierRoot2" presStyleCnt="0">
        <dgm:presLayoutVars>
          <dgm:hierBranch val="init"/>
        </dgm:presLayoutVars>
      </dgm:prSet>
      <dgm:spPr/>
    </dgm:pt>
    <dgm:pt modelId="{C21545BA-D794-3D4D-A4B2-55C93AEEF99D}" type="pres">
      <dgm:prSet presAssocID="{F3BE3D7A-6C3A-1143-8128-CAF2174FC02D}" presName="rootComposite" presStyleCnt="0"/>
      <dgm:spPr/>
    </dgm:pt>
    <dgm:pt modelId="{39FF6CF1-6B6F-BC42-8D89-663448615CBC}" type="pres">
      <dgm:prSet presAssocID="{F3BE3D7A-6C3A-1143-8128-CAF2174FC02D}" presName="rootText" presStyleLbl="node4" presStyleIdx="3" presStyleCnt="6" custScaleX="281557" custScaleY="265926" custLinFactX="-197830" custLinFactY="42424" custLinFactNeighborX="-200000" custLinFactNeighborY="100000">
        <dgm:presLayoutVars>
          <dgm:chPref val="3"/>
        </dgm:presLayoutVars>
      </dgm:prSet>
      <dgm:spPr/>
    </dgm:pt>
    <dgm:pt modelId="{6B7285EE-2E61-E54F-A730-D51D656AE578}" type="pres">
      <dgm:prSet presAssocID="{F3BE3D7A-6C3A-1143-8128-CAF2174FC02D}" presName="rootConnector" presStyleLbl="node4" presStyleIdx="3" presStyleCnt="6"/>
      <dgm:spPr/>
    </dgm:pt>
    <dgm:pt modelId="{5E57C32A-554D-104F-9D60-C6F84DE912A1}" type="pres">
      <dgm:prSet presAssocID="{F3BE3D7A-6C3A-1143-8128-CAF2174FC02D}" presName="hierChild4" presStyleCnt="0"/>
      <dgm:spPr/>
    </dgm:pt>
    <dgm:pt modelId="{D763DE2D-9757-A745-8E99-E5D34147F1DA}" type="pres">
      <dgm:prSet presAssocID="{F3BE3D7A-6C3A-1143-8128-CAF2174FC02D}" presName="hierChild5" presStyleCnt="0"/>
      <dgm:spPr/>
    </dgm:pt>
    <dgm:pt modelId="{65D8AB9E-F6F7-2D41-B36F-4E113B9E5EA6}" type="pres">
      <dgm:prSet presAssocID="{A7C09892-4005-D54C-9FB9-D2BC60098796}" presName="Name37" presStyleLbl="parChTrans1D4" presStyleIdx="4" presStyleCnt="6"/>
      <dgm:spPr/>
    </dgm:pt>
    <dgm:pt modelId="{00C3F0F0-8874-7741-B835-8250C1CD65EF}" type="pres">
      <dgm:prSet presAssocID="{F295B7B4-87B4-BA42-A2D0-C66E0B5EB924}" presName="hierRoot2" presStyleCnt="0">
        <dgm:presLayoutVars>
          <dgm:hierBranch val="init"/>
        </dgm:presLayoutVars>
      </dgm:prSet>
      <dgm:spPr/>
    </dgm:pt>
    <dgm:pt modelId="{C50E2713-28D4-7240-AD75-ECD9125050DD}" type="pres">
      <dgm:prSet presAssocID="{F295B7B4-87B4-BA42-A2D0-C66E0B5EB924}" presName="rootComposite" presStyleCnt="0"/>
      <dgm:spPr/>
    </dgm:pt>
    <dgm:pt modelId="{A835B2EA-3109-BA4C-BDD2-572D37121953}" type="pres">
      <dgm:prSet presAssocID="{F295B7B4-87B4-BA42-A2D0-C66E0B5EB924}" presName="rootText" presStyleLbl="node4" presStyleIdx="4" presStyleCnt="6" custScaleX="335747" custScaleY="210554">
        <dgm:presLayoutVars>
          <dgm:chPref val="3"/>
        </dgm:presLayoutVars>
      </dgm:prSet>
      <dgm:spPr/>
    </dgm:pt>
    <dgm:pt modelId="{12A3A959-3E7C-AB45-A5AD-509B13136068}" type="pres">
      <dgm:prSet presAssocID="{F295B7B4-87B4-BA42-A2D0-C66E0B5EB924}" presName="rootConnector" presStyleLbl="node4" presStyleIdx="4" presStyleCnt="6"/>
      <dgm:spPr/>
    </dgm:pt>
    <dgm:pt modelId="{1202B463-D94B-C340-BC8B-C9983D9881E1}" type="pres">
      <dgm:prSet presAssocID="{F295B7B4-87B4-BA42-A2D0-C66E0B5EB924}" presName="hierChild4" presStyleCnt="0"/>
      <dgm:spPr/>
    </dgm:pt>
    <dgm:pt modelId="{6CF2C383-567E-EF4C-AF6A-37F0A9B6DB0B}" type="pres">
      <dgm:prSet presAssocID="{F295B7B4-87B4-BA42-A2D0-C66E0B5EB924}" presName="hierChild5" presStyleCnt="0"/>
      <dgm:spPr/>
    </dgm:pt>
    <dgm:pt modelId="{C14BA985-16A6-E146-BA63-A581D451A810}" type="pres">
      <dgm:prSet presAssocID="{9873FD2B-0EE1-CF4D-928D-89173579D6A4}" presName="hierChild5" presStyleCnt="0"/>
      <dgm:spPr/>
    </dgm:pt>
    <dgm:pt modelId="{95CC70A9-750A-1741-811F-4102B6F69804}" type="pres">
      <dgm:prSet presAssocID="{2BDEEC62-C83C-9140-AC8D-8028269DD57A}" presName="Name37" presStyleLbl="parChTrans1D3" presStyleIdx="8" presStyleCnt="9"/>
      <dgm:spPr/>
    </dgm:pt>
    <dgm:pt modelId="{C88D4EF6-1383-3F41-A6A8-77FEC033F1BB}" type="pres">
      <dgm:prSet presAssocID="{D970DC3E-30CD-5340-850F-450623E896F5}" presName="hierRoot2" presStyleCnt="0">
        <dgm:presLayoutVars>
          <dgm:hierBranch val="init"/>
        </dgm:presLayoutVars>
      </dgm:prSet>
      <dgm:spPr/>
    </dgm:pt>
    <dgm:pt modelId="{03DA0A02-B5EF-334F-A1F2-F18641A8E9F6}" type="pres">
      <dgm:prSet presAssocID="{D970DC3E-30CD-5340-850F-450623E896F5}" presName="rootComposite" presStyleCnt="0"/>
      <dgm:spPr/>
    </dgm:pt>
    <dgm:pt modelId="{88747D45-C94A-AE40-BCD9-A7222C4369D5}" type="pres">
      <dgm:prSet presAssocID="{D970DC3E-30CD-5340-850F-450623E896F5}" presName="rootText" presStyleLbl="node3" presStyleIdx="8" presStyleCnt="9" custScaleX="146083" custScaleY="323973" custLinFactNeighborY="73528">
        <dgm:presLayoutVars>
          <dgm:chPref val="3"/>
        </dgm:presLayoutVars>
      </dgm:prSet>
      <dgm:spPr/>
    </dgm:pt>
    <dgm:pt modelId="{9D4F3CA0-7E2E-5B45-9794-AA1910EB063F}" type="pres">
      <dgm:prSet presAssocID="{D970DC3E-30CD-5340-850F-450623E896F5}" presName="rootConnector" presStyleLbl="node3" presStyleIdx="8" presStyleCnt="9"/>
      <dgm:spPr/>
    </dgm:pt>
    <dgm:pt modelId="{6847D3A1-99FB-4544-8B2E-80AE5FEA9600}" type="pres">
      <dgm:prSet presAssocID="{D970DC3E-30CD-5340-850F-450623E896F5}" presName="hierChild4" presStyleCnt="0"/>
      <dgm:spPr/>
    </dgm:pt>
    <dgm:pt modelId="{04C881DB-567E-5A41-8255-F92097862D03}" type="pres">
      <dgm:prSet presAssocID="{E31D229D-B802-854A-AF52-8BEF12182127}" presName="Name37" presStyleLbl="parChTrans1D4" presStyleIdx="5" presStyleCnt="6"/>
      <dgm:spPr/>
    </dgm:pt>
    <dgm:pt modelId="{A1035591-FD91-464D-8406-3172A70928EA}" type="pres">
      <dgm:prSet presAssocID="{FD1CE6DD-AF7C-0249-A6D1-188372D0B6F3}" presName="hierRoot2" presStyleCnt="0">
        <dgm:presLayoutVars>
          <dgm:hierBranch val="init"/>
        </dgm:presLayoutVars>
      </dgm:prSet>
      <dgm:spPr/>
    </dgm:pt>
    <dgm:pt modelId="{D0E16B68-ECF9-B44D-A9D7-8FEFFBB25C1F}" type="pres">
      <dgm:prSet presAssocID="{FD1CE6DD-AF7C-0249-A6D1-188372D0B6F3}" presName="rootComposite" presStyleCnt="0"/>
      <dgm:spPr/>
    </dgm:pt>
    <dgm:pt modelId="{ED0D5408-4AE5-B547-9F70-4B23FA03BA77}" type="pres">
      <dgm:prSet presAssocID="{FD1CE6DD-AF7C-0249-A6D1-188372D0B6F3}" presName="rootText" presStyleLbl="node4" presStyleIdx="5" presStyleCnt="6" custScaleX="231636" custScaleY="336609" custLinFactX="17036" custLinFactY="20192" custLinFactNeighborX="100000" custLinFactNeighborY="100000">
        <dgm:presLayoutVars>
          <dgm:chPref val="3"/>
        </dgm:presLayoutVars>
      </dgm:prSet>
      <dgm:spPr/>
    </dgm:pt>
    <dgm:pt modelId="{2760A44C-0E56-564B-A8EF-03138DFB3559}" type="pres">
      <dgm:prSet presAssocID="{FD1CE6DD-AF7C-0249-A6D1-188372D0B6F3}" presName="rootConnector" presStyleLbl="node4" presStyleIdx="5" presStyleCnt="6"/>
      <dgm:spPr/>
    </dgm:pt>
    <dgm:pt modelId="{E1508022-8916-2249-8100-1263F423FB3D}" type="pres">
      <dgm:prSet presAssocID="{FD1CE6DD-AF7C-0249-A6D1-188372D0B6F3}" presName="hierChild4" presStyleCnt="0"/>
      <dgm:spPr/>
    </dgm:pt>
    <dgm:pt modelId="{D5D64A28-C5B6-2D41-ACD1-AAD98ABABB0C}" type="pres">
      <dgm:prSet presAssocID="{FD1CE6DD-AF7C-0249-A6D1-188372D0B6F3}" presName="hierChild5" presStyleCnt="0"/>
      <dgm:spPr/>
    </dgm:pt>
    <dgm:pt modelId="{3115FC50-608A-9543-8889-25FC322E3C3E}" type="pres">
      <dgm:prSet presAssocID="{D970DC3E-30CD-5340-850F-450623E896F5}" presName="hierChild5" presStyleCnt="0"/>
      <dgm:spPr/>
    </dgm:pt>
    <dgm:pt modelId="{871C612A-3F81-0349-AB3B-C43B90ADBB61}" type="pres">
      <dgm:prSet presAssocID="{C1EB907E-35B2-7E49-B962-A3A939DA74FB}" presName="hierChild5" presStyleCnt="0"/>
      <dgm:spPr/>
    </dgm:pt>
    <dgm:pt modelId="{EBCB28CD-50EA-B047-B314-D845D18474DD}" type="pres">
      <dgm:prSet presAssocID="{A481D235-3A63-414B-ABBB-4323A96EB458}" presName="hierChild3" presStyleCnt="0"/>
      <dgm:spPr/>
    </dgm:pt>
    <dgm:pt modelId="{6B264596-EDC5-3046-8418-22BEFABFCF80}" type="pres">
      <dgm:prSet presAssocID="{B422EFDA-B1D2-EF46-B234-6ADD7965133A}" presName="Name111" presStyleLbl="parChTrans1D2" presStyleIdx="3" presStyleCnt="4"/>
      <dgm:spPr/>
    </dgm:pt>
    <dgm:pt modelId="{4CF92874-9C76-6C41-8B42-1721EC1EB3B8}" type="pres">
      <dgm:prSet presAssocID="{C4847F5E-8C0E-0D4A-ABB7-2F797B675E49}" presName="hierRoot3" presStyleCnt="0">
        <dgm:presLayoutVars>
          <dgm:hierBranch val="init"/>
        </dgm:presLayoutVars>
      </dgm:prSet>
      <dgm:spPr/>
    </dgm:pt>
    <dgm:pt modelId="{8132A1A7-4AE0-F045-AA41-26051F7422CC}" type="pres">
      <dgm:prSet presAssocID="{C4847F5E-8C0E-0D4A-ABB7-2F797B675E49}" presName="rootComposite3" presStyleCnt="0"/>
      <dgm:spPr/>
    </dgm:pt>
    <dgm:pt modelId="{6306E49C-2304-2444-9647-A1D0AA5F9AC0}" type="pres">
      <dgm:prSet presAssocID="{C4847F5E-8C0E-0D4A-ABB7-2F797B675E49}" presName="rootText3" presStyleLbl="asst1" presStyleIdx="0" presStyleCnt="1" custScaleX="202637" custScaleY="162981">
        <dgm:presLayoutVars>
          <dgm:chPref val="3"/>
        </dgm:presLayoutVars>
      </dgm:prSet>
      <dgm:spPr/>
    </dgm:pt>
    <dgm:pt modelId="{648EA1A7-ED2D-D247-8CE4-4DA270E9A471}" type="pres">
      <dgm:prSet presAssocID="{C4847F5E-8C0E-0D4A-ABB7-2F797B675E49}" presName="rootConnector3" presStyleLbl="asst1" presStyleIdx="0" presStyleCnt="1"/>
      <dgm:spPr/>
    </dgm:pt>
    <dgm:pt modelId="{BAEDE288-992B-6245-AB0A-933B58FAF07B}" type="pres">
      <dgm:prSet presAssocID="{C4847F5E-8C0E-0D4A-ABB7-2F797B675E49}" presName="hierChild6" presStyleCnt="0"/>
      <dgm:spPr/>
    </dgm:pt>
    <dgm:pt modelId="{CFDDE3B6-02E5-654C-AB20-93CD53E848A7}" type="pres">
      <dgm:prSet presAssocID="{C4847F5E-8C0E-0D4A-ABB7-2F797B675E49}" presName="hierChild7" presStyleCnt="0"/>
      <dgm:spPr/>
    </dgm:pt>
  </dgm:ptLst>
  <dgm:cxnLst>
    <dgm:cxn modelId="{D4CC1804-8372-B64C-9693-A31ACF272739}" type="presOf" srcId="{9873FD2B-0EE1-CF4D-928D-89173579D6A4}" destId="{5D3A299E-7EBF-C247-B1F1-5EE9E28C2BE3}" srcOrd="1" destOrd="0" presId="urn:microsoft.com/office/officeart/2005/8/layout/orgChart1"/>
    <dgm:cxn modelId="{44761007-B3B9-9A4E-BE3E-DF0237CE106A}" type="presOf" srcId="{C1EB907E-35B2-7E49-B962-A3A939DA74FB}" destId="{67F7B18D-2ADC-2341-9537-A9B974303FF1}" srcOrd="1" destOrd="0" presId="urn:microsoft.com/office/officeart/2005/8/layout/orgChart1"/>
    <dgm:cxn modelId="{5EBB3807-A87C-C64E-BACE-ADDFBD22175E}" type="presOf" srcId="{6B6D18BF-53D7-4C47-A36A-CAC31AC14CF1}" destId="{AD2ACA57-44F6-B54D-853C-2C3568917C12}" srcOrd="0" destOrd="0" presId="urn:microsoft.com/office/officeart/2005/8/layout/orgChart1"/>
    <dgm:cxn modelId="{E4AF3C09-D918-884F-B0E7-13540D255AF0}" type="presOf" srcId="{F295B7B4-87B4-BA42-A2D0-C66E0B5EB924}" destId="{12A3A959-3E7C-AB45-A5AD-509B13136068}" srcOrd="1" destOrd="0" presId="urn:microsoft.com/office/officeart/2005/8/layout/orgChart1"/>
    <dgm:cxn modelId="{46B3A60F-9995-E640-8FC4-0B22AE472CBC}" type="presOf" srcId="{A481D235-3A63-414B-ABBB-4323A96EB458}" destId="{7D55FD9A-4CF6-5541-A547-7521BE29540B}" srcOrd="0" destOrd="0" presId="urn:microsoft.com/office/officeart/2005/8/layout/orgChart1"/>
    <dgm:cxn modelId="{82A1EF10-CAD5-FF45-8FA5-A45E84368F66}" type="presOf" srcId="{A954DA45-0DC7-074F-B6CD-2FA4EC13418C}" destId="{C717FE9D-AACB-0D48-A7C0-4543C67A92EB}" srcOrd="1" destOrd="0" presId="urn:microsoft.com/office/officeart/2005/8/layout/orgChart1"/>
    <dgm:cxn modelId="{EEE65C13-1226-7E49-936A-AA56C611082D}" type="presOf" srcId="{B4EA9F4D-DBE4-F145-9CFD-CBD50D2359A2}" destId="{53469A38-36B4-D44E-BE47-BFBCFF34221E}" srcOrd="0" destOrd="0" presId="urn:microsoft.com/office/officeart/2005/8/layout/orgChart1"/>
    <dgm:cxn modelId="{FF76A01E-DEA7-EB4A-8EA5-9FE4E79B8F98}" type="presOf" srcId="{C4847F5E-8C0E-0D4A-ABB7-2F797B675E49}" destId="{6306E49C-2304-2444-9647-A1D0AA5F9AC0}" srcOrd="0" destOrd="0" presId="urn:microsoft.com/office/officeart/2005/8/layout/orgChart1"/>
    <dgm:cxn modelId="{6D9C4723-EF22-3141-BEA9-4D892381E0F5}" srcId="{A481D235-3A63-414B-ABBB-4323A96EB458}" destId="{C4847F5E-8C0E-0D4A-ABB7-2F797B675E49}" srcOrd="0" destOrd="0" parTransId="{B422EFDA-B1D2-EF46-B234-6ADD7965133A}" sibTransId="{50B2DFA6-CDD0-674D-9115-8631937F1713}"/>
    <dgm:cxn modelId="{B84DC527-74CB-3F4F-90E7-D6F11A2A0BE6}" srcId="{C1EB907E-35B2-7E49-B962-A3A939DA74FB}" destId="{A0BB5265-DE27-8542-85EF-0ED6EA5D1C1A}" srcOrd="0" destOrd="0" parTransId="{C9796216-E85D-7347-966C-38FB3F809508}" sibTransId="{F319C7F2-7198-1C47-A0AA-D4A58E7FF7B2}"/>
    <dgm:cxn modelId="{5DF4612A-FD1B-784E-9897-730E35B2DE39}" srcId="{5C25942E-18FE-AE44-A5CF-047C93BC7948}" destId="{9CB31818-8230-CE44-A977-E655A7A4C2F9}" srcOrd="2" destOrd="0" parTransId="{B4EA9F4D-DBE4-F145-9CFD-CBD50D2359A2}" sibTransId="{A683C8D9-DCB0-B94F-BA80-8203F32F3106}"/>
    <dgm:cxn modelId="{696D482E-461F-A14F-837C-CDAD63FD453E}" type="presOf" srcId="{D970DC3E-30CD-5340-850F-450623E896F5}" destId="{88747D45-C94A-AE40-BCD9-A7222C4369D5}" srcOrd="0" destOrd="0" presId="urn:microsoft.com/office/officeart/2005/8/layout/orgChart1"/>
    <dgm:cxn modelId="{4994D33E-7F7C-8249-BFAA-636F1BF695D3}" type="presOf" srcId="{B759707D-C4DE-174E-B0B7-0439F9D95F24}" destId="{1A4778DD-B025-CF43-8886-F2D88AF158D6}" srcOrd="0" destOrd="0" presId="urn:microsoft.com/office/officeart/2005/8/layout/orgChart1"/>
    <dgm:cxn modelId="{AA891444-B9F8-B540-86C0-C377CB7F1105}" type="presOf" srcId="{A954DA45-0DC7-074F-B6CD-2FA4EC13418C}" destId="{9D11A5D1-D24A-E94E-A2DE-097F05ABF4DC}" srcOrd="0" destOrd="0" presId="urn:microsoft.com/office/officeart/2005/8/layout/orgChart1"/>
    <dgm:cxn modelId="{6EC91F44-0FFA-F642-BA23-D88DBA2347D2}" srcId="{FE7EDCF3-D5DF-FB4E-A284-A5A0C5564C0C}" destId="{A481D235-3A63-414B-ABBB-4323A96EB458}" srcOrd="0" destOrd="0" parTransId="{4D8995C5-0706-084B-8A82-15A816DCCC49}" sibTransId="{85E128C1-EA5D-9248-AF1B-C9CE33EEA193}"/>
    <dgm:cxn modelId="{15592245-E0E3-2944-832E-93700F8926B7}" srcId="{B5A4692E-5416-F543-A3BD-6E48940CFD02}" destId="{B759707D-C4DE-174E-B0B7-0439F9D95F24}" srcOrd="0" destOrd="0" parTransId="{D1211D3C-A3D8-D344-B85D-D3E84BB1B38F}" sibTransId="{CA04F266-B11F-4441-8E8E-B3CDECAA2798}"/>
    <dgm:cxn modelId="{FA70AC49-87CC-3D4A-A514-4297CDFF20D5}" type="presOf" srcId="{F295B7B4-87B4-BA42-A2D0-C66E0B5EB924}" destId="{A835B2EA-3109-BA4C-BDD2-572D37121953}" srcOrd="0" destOrd="0" presId="urn:microsoft.com/office/officeart/2005/8/layout/orgChart1"/>
    <dgm:cxn modelId="{D53FC251-2B4B-FE46-AB1E-AA3F83AF837F}" type="presOf" srcId="{F3BE3D7A-6C3A-1143-8128-CAF2174FC02D}" destId="{39FF6CF1-6B6F-BC42-8D89-663448615CBC}" srcOrd="0" destOrd="0" presId="urn:microsoft.com/office/officeart/2005/8/layout/orgChart1"/>
    <dgm:cxn modelId="{48DCEC55-289C-614F-8B4F-3B37AE148A1E}" type="presOf" srcId="{F0F77A9B-435C-554B-AAE9-420DBF02CD7F}" destId="{8A57EE52-1A99-8A4F-B904-4992607403D4}" srcOrd="0" destOrd="0" presId="urn:microsoft.com/office/officeart/2005/8/layout/orgChart1"/>
    <dgm:cxn modelId="{6228EA59-597C-064D-9B60-35C719EC576D}" srcId="{A481D235-3A63-414B-ABBB-4323A96EB458}" destId="{C1EB907E-35B2-7E49-B962-A3A939DA74FB}" srcOrd="3" destOrd="0" parTransId="{F0F77A9B-435C-554B-AAE9-420DBF02CD7F}" sibTransId="{0F5F2244-0E60-F948-8DB5-7EC15F00EC3A}"/>
    <dgm:cxn modelId="{09E4AE5B-8BA6-4741-A2ED-350D3503C732}" type="presOf" srcId="{D1211D3C-A3D8-D344-B85D-D3E84BB1B38F}" destId="{E82E2679-E507-BB49-B97E-74B6AC874390}" srcOrd="0" destOrd="0" presId="urn:microsoft.com/office/officeart/2005/8/layout/orgChart1"/>
    <dgm:cxn modelId="{0E0AEC5B-D520-254C-B4F1-6E1D3FBDD618}" type="presOf" srcId="{A7C09892-4005-D54C-9FB9-D2BC60098796}" destId="{65D8AB9E-F6F7-2D41-B36F-4E113B9E5EA6}" srcOrd="0" destOrd="0" presId="urn:microsoft.com/office/officeart/2005/8/layout/orgChart1"/>
    <dgm:cxn modelId="{F9AD7C5D-63BE-744F-A0AC-F0D9F7438575}" type="presOf" srcId="{EBB57326-879E-8549-992B-7980580704B7}" destId="{65621D82-3D70-624F-B9A7-AD557E3D84A5}" srcOrd="1" destOrd="0" presId="urn:microsoft.com/office/officeart/2005/8/layout/orgChart1"/>
    <dgm:cxn modelId="{5C3BBC5D-1C87-E747-AFC5-E9A8E830B5E8}" type="presOf" srcId="{C9796216-E85D-7347-966C-38FB3F809508}" destId="{91309FA6-840B-C349-B9B0-8470A69ED859}" srcOrd="0" destOrd="0" presId="urn:microsoft.com/office/officeart/2005/8/layout/orgChart1"/>
    <dgm:cxn modelId="{EC431264-FFA7-174A-ABA7-877DD1C9F6A4}" type="presOf" srcId="{41A07463-247D-5846-81DF-7882D75A24DE}" destId="{A75E47A3-1D5A-F84C-81E3-94FCD5C5D9EC}" srcOrd="1" destOrd="0" presId="urn:microsoft.com/office/officeart/2005/8/layout/orgChart1"/>
    <dgm:cxn modelId="{53A84567-9914-6E4F-89E2-C6EBB6D1966D}" srcId="{5C25942E-18FE-AE44-A5CF-047C93BC7948}" destId="{A954DA45-0DC7-074F-B6CD-2FA4EC13418C}" srcOrd="1" destOrd="0" parTransId="{645CF7FF-2E6E-5645-8B54-7BF0BA58F368}" sibTransId="{8CB284A9-CDDC-FE44-AC48-16B8BE8989E7}"/>
    <dgm:cxn modelId="{6C8E3368-0007-0941-B054-96DD3D8732F4}" type="presOf" srcId="{66FACEDE-1569-D440-827E-D3B80E2A0DAF}" destId="{526C852D-06DC-C44D-8E7E-9CEA879A87AD}" srcOrd="1" destOrd="0" presId="urn:microsoft.com/office/officeart/2005/8/layout/orgChart1"/>
    <dgm:cxn modelId="{ED7BCF68-A451-A843-A776-B50761AAB9F2}" type="presOf" srcId="{2BDEEC62-C83C-9140-AC8D-8028269DD57A}" destId="{95CC70A9-750A-1741-811F-4102B6F69804}" srcOrd="0" destOrd="0" presId="urn:microsoft.com/office/officeart/2005/8/layout/orgChart1"/>
    <dgm:cxn modelId="{7C18F56B-69D9-6244-923E-65E30B21DAB0}" type="presOf" srcId="{79A74BA7-9418-0F49-90D3-A80D19B76494}" destId="{689D0E37-40AE-1E4F-B599-F9F93F39439F}" srcOrd="0" destOrd="0" presId="urn:microsoft.com/office/officeart/2005/8/layout/orgChart1"/>
    <dgm:cxn modelId="{00D7406C-A5D6-CB42-ABA8-90F4FC585E96}" type="presOf" srcId="{D80D8642-212E-7442-8C8C-4E59D7BDDCBD}" destId="{5A177DD6-D224-4349-9DA6-BAF2DC69EFA6}" srcOrd="0" destOrd="0" presId="urn:microsoft.com/office/officeart/2005/8/layout/orgChart1"/>
    <dgm:cxn modelId="{80A77A6C-9C52-1C42-B892-F989184E0FB7}" type="presOf" srcId="{F3BE3D7A-6C3A-1143-8128-CAF2174FC02D}" destId="{6B7285EE-2E61-E54F-A730-D51D656AE578}" srcOrd="1" destOrd="0" presId="urn:microsoft.com/office/officeart/2005/8/layout/orgChart1"/>
    <dgm:cxn modelId="{33F8106F-8569-1E45-9026-A96C15105AB7}" srcId="{66FACEDE-1569-D440-827E-D3B80E2A0DAF}" destId="{B5A4692E-5416-F543-A3BD-6E48940CFD02}" srcOrd="2" destOrd="0" parTransId="{046FE9D9-279C-C74C-8A67-D87810D595FD}" sibTransId="{B9FB96BF-1AC6-9949-A7C6-D297576BCA71}"/>
    <dgm:cxn modelId="{2793CA70-7AD6-AC4D-8DC5-395F4F3676F9}" type="presOf" srcId="{A0BB5265-DE27-8542-85EF-0ED6EA5D1C1A}" destId="{04B508CF-8FE4-B74F-83C3-7BCEEA8CA062}" srcOrd="0" destOrd="0" presId="urn:microsoft.com/office/officeart/2005/8/layout/orgChart1"/>
    <dgm:cxn modelId="{0B38CB72-C0A0-2E4C-A06F-D0BDE5BDCEA4}" type="presOf" srcId="{79A74BA7-9418-0F49-90D3-A80D19B76494}" destId="{87CBADDD-2315-284F-903D-81323076FD86}" srcOrd="1" destOrd="0" presId="urn:microsoft.com/office/officeart/2005/8/layout/orgChart1"/>
    <dgm:cxn modelId="{3676C075-98D8-9D4A-A781-F33E693D3F44}" type="presOf" srcId="{FE7EDCF3-D5DF-FB4E-A284-A5A0C5564C0C}" destId="{7861FE38-AA85-9241-82E0-C6366C01A77A}" srcOrd="0" destOrd="0" presId="urn:microsoft.com/office/officeart/2005/8/layout/orgChart1"/>
    <dgm:cxn modelId="{4FE9DB75-4DF7-8342-81E9-ABDDED1B03FE}" type="presOf" srcId="{9CB31818-8230-CE44-A977-E655A7A4C2F9}" destId="{1B585BE1-01A0-6E40-96CF-0549941E3830}" srcOrd="0" destOrd="0" presId="urn:microsoft.com/office/officeart/2005/8/layout/orgChart1"/>
    <dgm:cxn modelId="{D5DF317A-1DC2-B047-BBD0-930D98601D89}" type="presOf" srcId="{75AE927D-FF88-BA4E-A857-E270B548D03D}" destId="{B904C972-AF2B-074D-9FC5-F50B351B04A5}" srcOrd="0" destOrd="0" presId="urn:microsoft.com/office/officeart/2005/8/layout/orgChart1"/>
    <dgm:cxn modelId="{0016C283-F33A-9848-AA0C-ACB076C3F876}" type="presOf" srcId="{A0BB5265-DE27-8542-85EF-0ED6EA5D1C1A}" destId="{1D0BB182-0798-3245-835B-CA23A12D5417}" srcOrd="1" destOrd="0" presId="urn:microsoft.com/office/officeart/2005/8/layout/orgChart1"/>
    <dgm:cxn modelId="{F5732C85-C78B-8642-87B6-B834685A34A9}" srcId="{9873FD2B-0EE1-CF4D-928D-89173579D6A4}" destId="{6B6D18BF-53D7-4C47-A36A-CAC31AC14CF1}" srcOrd="0" destOrd="0" parTransId="{86F55F10-34B3-654F-BCEC-9900E1BD327D}" sibTransId="{296D3D30-E65E-A842-B01C-E2C1107D29BE}"/>
    <dgm:cxn modelId="{548AC285-8653-C240-90F8-F763020C0E4E}" srcId="{D970DC3E-30CD-5340-850F-450623E896F5}" destId="{FD1CE6DD-AF7C-0249-A6D1-188372D0B6F3}" srcOrd="0" destOrd="0" parTransId="{E31D229D-B802-854A-AF52-8BEF12182127}" sibTransId="{77EDA72F-D14D-384F-8684-C5E61256615E}"/>
    <dgm:cxn modelId="{EC1B8486-2042-B74B-BB93-E610864067A4}" type="presOf" srcId="{FD1CE6DD-AF7C-0249-A6D1-188372D0B6F3}" destId="{2760A44C-0E56-564B-A8EF-03138DFB3559}" srcOrd="1" destOrd="0" presId="urn:microsoft.com/office/officeart/2005/8/layout/orgChart1"/>
    <dgm:cxn modelId="{EE4E058B-8EB2-FB48-B2B4-A7EE6BAEE452}" type="presOf" srcId="{59B96397-E139-1B4B-B37D-B22924389C8C}" destId="{0A7D6BBB-0790-6847-8C36-4EE0E60785BA}" srcOrd="0" destOrd="0" presId="urn:microsoft.com/office/officeart/2005/8/layout/orgChart1"/>
    <dgm:cxn modelId="{4D0C128D-1BAF-8F40-98A5-98F69818104D}" type="presOf" srcId="{6B6D18BF-53D7-4C47-A36A-CAC31AC14CF1}" destId="{22EC2016-15E2-ED45-B77F-B19E4F202703}" srcOrd="1" destOrd="0" presId="urn:microsoft.com/office/officeart/2005/8/layout/orgChart1"/>
    <dgm:cxn modelId="{9F796991-F873-E74B-B6D3-896311A187CE}" type="presOf" srcId="{41A07463-247D-5846-81DF-7882D75A24DE}" destId="{CCCF1568-E5BD-144D-9135-B65305B574FD}" srcOrd="0" destOrd="0" presId="urn:microsoft.com/office/officeart/2005/8/layout/orgChart1"/>
    <dgm:cxn modelId="{C9200C92-00CA-464D-A6D4-5893DF51F8DB}" type="presOf" srcId="{5C25942E-18FE-AE44-A5CF-047C93BC7948}" destId="{529198DB-2973-8D4B-B6D1-F0822A98B475}" srcOrd="1" destOrd="0" presId="urn:microsoft.com/office/officeart/2005/8/layout/orgChart1"/>
    <dgm:cxn modelId="{70F94394-469A-484C-8AE9-079C0E3AE0E9}" srcId="{9873FD2B-0EE1-CF4D-928D-89173579D6A4}" destId="{F3BE3D7A-6C3A-1143-8128-CAF2174FC02D}" srcOrd="1" destOrd="0" parTransId="{E27A44A1-D7A8-F34D-9036-1E4878CE9EEE}" sibTransId="{13EE922A-DFED-874B-A218-9F8C141985AB}"/>
    <dgm:cxn modelId="{1EFB3298-4187-C24A-82A7-B76FB198C960}" type="presOf" srcId="{AF87C74C-CA7C-1648-92A3-E833A2ACBFF7}" destId="{9B44FD43-CEA7-5549-8070-2CC7B864CA75}" srcOrd="0" destOrd="0" presId="urn:microsoft.com/office/officeart/2005/8/layout/orgChart1"/>
    <dgm:cxn modelId="{B8E64A98-A644-714B-8CF9-DF9790AB6ADF}" srcId="{EBB57326-879E-8549-992B-7980580704B7}" destId="{41A07463-247D-5846-81DF-7882D75A24DE}" srcOrd="0" destOrd="0" parTransId="{3B449BB8-7882-1442-91BB-A71FE09FC0F2}" sibTransId="{0E525EB7-B20A-7A48-98D8-0F9D9066E9F6}"/>
    <dgm:cxn modelId="{61714699-273E-4F45-976D-FE19AC32DFDA}" srcId="{66FACEDE-1569-D440-827E-D3B80E2A0DAF}" destId="{EBB57326-879E-8549-992B-7980580704B7}" srcOrd="0" destOrd="0" parTransId="{59B96397-E139-1B4B-B37D-B22924389C8C}" sibTransId="{2CB642DF-59AD-AB45-AE88-AD8AD74FCB4D}"/>
    <dgm:cxn modelId="{1F96C79B-4411-8543-9F3C-25F48546558F}" type="presOf" srcId="{9873FD2B-0EE1-CF4D-928D-89173579D6A4}" destId="{2A32BF8D-85C6-554D-8185-1AE4BBB6C0DE}" srcOrd="0" destOrd="0" presId="urn:microsoft.com/office/officeart/2005/8/layout/orgChart1"/>
    <dgm:cxn modelId="{0551ED9B-545C-234D-8577-86BD153CA881}" type="presOf" srcId="{7FCF17E4-B7D8-A84D-96F4-A1D11FD39893}" destId="{85DFDFE4-16DF-3D4C-91CD-006F18031706}" srcOrd="0" destOrd="0" presId="urn:microsoft.com/office/officeart/2005/8/layout/orgChart1"/>
    <dgm:cxn modelId="{B5A90C9F-2DDF-6044-B12B-A8B6722AEE4F}" srcId="{9873FD2B-0EE1-CF4D-928D-89173579D6A4}" destId="{F295B7B4-87B4-BA42-A2D0-C66E0B5EB924}" srcOrd="2" destOrd="0" parTransId="{A7C09892-4005-D54C-9FB9-D2BC60098796}" sibTransId="{4C786CCD-9141-8C44-9B67-D3FFEF806B32}"/>
    <dgm:cxn modelId="{D152F5A0-62AD-8149-AE96-B6779B853D80}" type="presOf" srcId="{E27A44A1-D7A8-F34D-9036-1E4878CE9EEE}" destId="{C7A21295-1A5F-E24E-8D07-AA13DB72FDCA}" srcOrd="0" destOrd="0" presId="urn:microsoft.com/office/officeart/2005/8/layout/orgChart1"/>
    <dgm:cxn modelId="{951792A3-6319-344E-A79E-7ACA97564CD1}" type="presOf" srcId="{9CB31818-8230-CE44-A977-E655A7A4C2F9}" destId="{D1AFAD0C-ABCC-8748-B0D2-4B8FD93938ED}" srcOrd="1" destOrd="0" presId="urn:microsoft.com/office/officeart/2005/8/layout/orgChart1"/>
    <dgm:cxn modelId="{D8BDDAA8-1563-0B43-8D6D-3CBEE5BADBED}" type="presOf" srcId="{3B449BB8-7882-1442-91BB-A71FE09FC0F2}" destId="{B60BDC8E-E954-AE40-B872-4084A426BDBB}" srcOrd="0" destOrd="0" presId="urn:microsoft.com/office/officeart/2005/8/layout/orgChart1"/>
    <dgm:cxn modelId="{DB512EAD-D9C9-0A4E-ABF6-27B53418B7C3}" type="presOf" srcId="{5C25942E-18FE-AE44-A5CF-047C93BC7948}" destId="{4638B459-FEE1-6147-9DA4-3E5D5B83E746}" srcOrd="0" destOrd="0" presId="urn:microsoft.com/office/officeart/2005/8/layout/orgChart1"/>
    <dgm:cxn modelId="{C43BB0AF-99E9-D247-B574-851F0D044A99}" srcId="{A481D235-3A63-414B-ABBB-4323A96EB458}" destId="{66FACEDE-1569-D440-827E-D3B80E2A0DAF}" srcOrd="2" destOrd="0" parTransId="{75AE927D-FF88-BA4E-A857-E270B548D03D}" sibTransId="{BE8B5BF8-D3A3-9049-87B9-B898DE3752B0}"/>
    <dgm:cxn modelId="{EB573FC1-961F-224F-90DC-896339F084D7}" srcId="{A481D235-3A63-414B-ABBB-4323A96EB458}" destId="{5C25942E-18FE-AE44-A5CF-047C93BC7948}" srcOrd="1" destOrd="0" parTransId="{8FB9C455-BB47-2244-A0F5-5AF496CAFB7E}" sibTransId="{D0366C61-0076-C44A-B183-732A651014F3}"/>
    <dgm:cxn modelId="{25C399C1-E2D8-F04D-8D6B-D2C9FF39EFD5}" srcId="{5C25942E-18FE-AE44-A5CF-047C93BC7948}" destId="{7FCF17E4-B7D8-A84D-96F4-A1D11FD39893}" srcOrd="0" destOrd="0" parTransId="{AF87C74C-CA7C-1648-92A3-E833A2ACBFF7}" sibTransId="{F2FCE2C6-994D-9245-9540-DFE2241C1FCD}"/>
    <dgm:cxn modelId="{7C05B8C6-BB4D-5143-A535-29FF91954133}" srcId="{C1EB907E-35B2-7E49-B962-A3A939DA74FB}" destId="{D970DC3E-30CD-5340-850F-450623E896F5}" srcOrd="2" destOrd="0" parTransId="{2BDEEC62-C83C-9140-AC8D-8028269DD57A}" sibTransId="{29A7FEC2-989C-3644-A776-39D1D12C40A0}"/>
    <dgm:cxn modelId="{8DF81FCD-D571-8F40-B49A-856FA004CEED}" type="presOf" srcId="{B5A4692E-5416-F543-A3BD-6E48940CFD02}" destId="{254C7B03-7AD6-6A4D-A447-E7A20B38C97D}" srcOrd="0" destOrd="0" presId="urn:microsoft.com/office/officeart/2005/8/layout/orgChart1"/>
    <dgm:cxn modelId="{5193CBCD-FBF2-1747-98AC-FD215F98D9DF}" type="presOf" srcId="{C1EB907E-35B2-7E49-B962-A3A939DA74FB}" destId="{2177EBE5-4488-124C-ABCF-DDB4B2051965}" srcOrd="0" destOrd="0" presId="urn:microsoft.com/office/officeart/2005/8/layout/orgChart1"/>
    <dgm:cxn modelId="{81D93FD5-17EC-4341-A61F-63B79C97F126}" srcId="{66FACEDE-1569-D440-827E-D3B80E2A0DAF}" destId="{79A74BA7-9418-0F49-90D3-A80D19B76494}" srcOrd="1" destOrd="0" parTransId="{D80D8642-212E-7442-8C8C-4E59D7BDDCBD}" sibTransId="{916FEDDA-0968-6D49-94B8-806FB25BB114}"/>
    <dgm:cxn modelId="{7332BAD8-B3D8-5241-B89E-BC82B9856480}" type="presOf" srcId="{B422EFDA-B1D2-EF46-B234-6ADD7965133A}" destId="{6B264596-EDC5-3046-8418-22BEFABFCF80}" srcOrd="0" destOrd="0" presId="urn:microsoft.com/office/officeart/2005/8/layout/orgChart1"/>
    <dgm:cxn modelId="{037712DA-E70F-F54E-9872-061228C7E9EA}" type="presOf" srcId="{8FB9C455-BB47-2244-A0F5-5AF496CAFB7E}" destId="{D296F158-4ED2-FD48-838E-E7E52249E52D}" srcOrd="0" destOrd="0" presId="urn:microsoft.com/office/officeart/2005/8/layout/orgChart1"/>
    <dgm:cxn modelId="{61BE69DF-D9E1-C346-A9B9-1BDAD481D704}" type="presOf" srcId="{D970DC3E-30CD-5340-850F-450623E896F5}" destId="{9D4F3CA0-7E2E-5B45-9794-AA1910EB063F}" srcOrd="1" destOrd="0" presId="urn:microsoft.com/office/officeart/2005/8/layout/orgChart1"/>
    <dgm:cxn modelId="{B19166E6-C40F-AA48-8EFC-33E8F7BE38EF}" type="presOf" srcId="{7FCF17E4-B7D8-A84D-96F4-A1D11FD39893}" destId="{0A89FB93-AC42-3B44-96F8-78FCE95362EB}" srcOrd="1" destOrd="0" presId="urn:microsoft.com/office/officeart/2005/8/layout/orgChart1"/>
    <dgm:cxn modelId="{A865BEE7-E06E-B14F-AFA5-663FA767E308}" type="presOf" srcId="{FD1CE6DD-AF7C-0249-A6D1-188372D0B6F3}" destId="{ED0D5408-4AE5-B547-9F70-4B23FA03BA77}" srcOrd="0" destOrd="0" presId="urn:microsoft.com/office/officeart/2005/8/layout/orgChart1"/>
    <dgm:cxn modelId="{D9D387E8-6189-EB4F-B519-57FD3259198E}" type="presOf" srcId="{645CF7FF-2E6E-5645-8B54-7BF0BA58F368}" destId="{2B99EA23-E08F-7A4C-938E-AFCF2D49168D}" srcOrd="0" destOrd="0" presId="urn:microsoft.com/office/officeart/2005/8/layout/orgChart1"/>
    <dgm:cxn modelId="{97A4DDEF-099F-2D4A-85BF-FE1A815FCF6D}" type="presOf" srcId="{C4847F5E-8C0E-0D4A-ABB7-2F797B675E49}" destId="{648EA1A7-ED2D-D247-8CE4-4DA270E9A471}" srcOrd="1" destOrd="0" presId="urn:microsoft.com/office/officeart/2005/8/layout/orgChart1"/>
    <dgm:cxn modelId="{4D0D93F3-C0BA-FD4E-8BED-CDC04B70B10C}" type="presOf" srcId="{86F55F10-34B3-654F-BCEC-9900E1BD327D}" destId="{69514DE6-D10D-6044-94AA-7408D9D5DDC0}" srcOrd="0" destOrd="0" presId="urn:microsoft.com/office/officeart/2005/8/layout/orgChart1"/>
    <dgm:cxn modelId="{6F47AEF4-BF12-0F4F-A76F-5D6E7EC028E6}" type="presOf" srcId="{EBB57326-879E-8549-992B-7980580704B7}" destId="{C91EF84F-D9FB-474B-A289-5715D3A46426}" srcOrd="0" destOrd="0" presId="urn:microsoft.com/office/officeart/2005/8/layout/orgChart1"/>
    <dgm:cxn modelId="{F9870EF5-A382-2545-9144-07E3F1BC036B}" type="presOf" srcId="{B5A4692E-5416-F543-A3BD-6E48940CFD02}" destId="{E06C2B21-AFFD-D54C-A906-9A24666157C4}" srcOrd="1" destOrd="0" presId="urn:microsoft.com/office/officeart/2005/8/layout/orgChart1"/>
    <dgm:cxn modelId="{B48130F6-331B-A34E-B6CC-8CCAC3FA8397}" srcId="{C1EB907E-35B2-7E49-B962-A3A939DA74FB}" destId="{9873FD2B-0EE1-CF4D-928D-89173579D6A4}" srcOrd="1" destOrd="0" parTransId="{E35755B2-4141-6845-82F5-321C85DA7A44}" sibTransId="{AB4FBC46-E1C4-DC47-979B-81C42D506C15}"/>
    <dgm:cxn modelId="{C2A7ACF6-F563-0446-BC33-16E47C67524E}" type="presOf" srcId="{A481D235-3A63-414B-ABBB-4323A96EB458}" destId="{0EA6A77E-BB2A-5141-8B54-6ED4ECB48FBD}" srcOrd="1" destOrd="0" presId="urn:microsoft.com/office/officeart/2005/8/layout/orgChart1"/>
    <dgm:cxn modelId="{9B477DFB-1CCE-4843-A21F-8E9249C7844F}" type="presOf" srcId="{E35755B2-4141-6845-82F5-321C85DA7A44}" destId="{5AAC0E19-7E3F-8D44-94DB-B26550EB7A77}" srcOrd="0" destOrd="0" presId="urn:microsoft.com/office/officeart/2005/8/layout/orgChart1"/>
    <dgm:cxn modelId="{294CE2FC-27EB-FC4A-9777-2CC000B9780C}" type="presOf" srcId="{B759707D-C4DE-174E-B0B7-0439F9D95F24}" destId="{304182A3-9DE9-CD44-A439-8A85E323D594}" srcOrd="1" destOrd="0" presId="urn:microsoft.com/office/officeart/2005/8/layout/orgChart1"/>
    <dgm:cxn modelId="{936D93FD-9F9F-B44D-B333-D6B024DC9C40}" type="presOf" srcId="{66FACEDE-1569-D440-827E-D3B80E2A0DAF}" destId="{FA715759-BCD4-EC40-A09E-120B81C97125}" srcOrd="0" destOrd="0" presId="urn:microsoft.com/office/officeart/2005/8/layout/orgChart1"/>
    <dgm:cxn modelId="{1AFD45FF-E4AE-7F4D-AA78-796A1C562491}" type="presOf" srcId="{046FE9D9-279C-C74C-8A67-D87810D595FD}" destId="{1CBF9481-05A5-8C43-8DB7-EF26791C872F}" srcOrd="0" destOrd="0" presId="urn:microsoft.com/office/officeart/2005/8/layout/orgChart1"/>
    <dgm:cxn modelId="{51D876FF-0D23-6041-8AF7-FB9FBF1D90D1}" type="presOf" srcId="{E31D229D-B802-854A-AF52-8BEF12182127}" destId="{04C881DB-567E-5A41-8255-F92097862D03}" srcOrd="0" destOrd="0" presId="urn:microsoft.com/office/officeart/2005/8/layout/orgChart1"/>
    <dgm:cxn modelId="{E860D2DA-5275-1345-84F1-1EC5D2644044}" type="presParOf" srcId="{7861FE38-AA85-9241-82E0-C6366C01A77A}" destId="{54BFBE2F-83FF-D444-9BCF-EF333301C8D8}" srcOrd="0" destOrd="0" presId="urn:microsoft.com/office/officeart/2005/8/layout/orgChart1"/>
    <dgm:cxn modelId="{E71D00DC-A86F-4640-A21F-65D3B29A7BAB}" type="presParOf" srcId="{54BFBE2F-83FF-D444-9BCF-EF333301C8D8}" destId="{99229F33-6D55-0C43-9A82-9F2659540FC6}" srcOrd="0" destOrd="0" presId="urn:microsoft.com/office/officeart/2005/8/layout/orgChart1"/>
    <dgm:cxn modelId="{5EF309C4-088D-1A46-B07A-C051D3A14D1D}" type="presParOf" srcId="{99229F33-6D55-0C43-9A82-9F2659540FC6}" destId="{7D55FD9A-4CF6-5541-A547-7521BE29540B}" srcOrd="0" destOrd="0" presId="urn:microsoft.com/office/officeart/2005/8/layout/orgChart1"/>
    <dgm:cxn modelId="{E258FC3B-E075-B247-9C9A-091C08AC5827}" type="presParOf" srcId="{99229F33-6D55-0C43-9A82-9F2659540FC6}" destId="{0EA6A77E-BB2A-5141-8B54-6ED4ECB48FBD}" srcOrd="1" destOrd="0" presId="urn:microsoft.com/office/officeart/2005/8/layout/orgChart1"/>
    <dgm:cxn modelId="{5CF90F08-235C-714B-92E7-C1B6DC48729A}" type="presParOf" srcId="{54BFBE2F-83FF-D444-9BCF-EF333301C8D8}" destId="{4A7FCDB5-C482-8542-8BDE-4F15685BC368}" srcOrd="1" destOrd="0" presId="urn:microsoft.com/office/officeart/2005/8/layout/orgChart1"/>
    <dgm:cxn modelId="{E349CB07-C0CE-0B47-92D8-8642B57F21D7}" type="presParOf" srcId="{4A7FCDB5-C482-8542-8BDE-4F15685BC368}" destId="{D296F158-4ED2-FD48-838E-E7E52249E52D}" srcOrd="0" destOrd="0" presId="urn:microsoft.com/office/officeart/2005/8/layout/orgChart1"/>
    <dgm:cxn modelId="{6D180D74-2BDA-814E-813A-F6647488CE00}" type="presParOf" srcId="{4A7FCDB5-C482-8542-8BDE-4F15685BC368}" destId="{563B2800-4511-CC46-80EF-45D9A18A0D0F}" srcOrd="1" destOrd="0" presId="urn:microsoft.com/office/officeart/2005/8/layout/orgChart1"/>
    <dgm:cxn modelId="{C22DA4E6-CC44-2E40-A3C5-B8CB98420BCC}" type="presParOf" srcId="{563B2800-4511-CC46-80EF-45D9A18A0D0F}" destId="{B32BC93A-D719-D545-8C62-2FC274D33233}" srcOrd="0" destOrd="0" presId="urn:microsoft.com/office/officeart/2005/8/layout/orgChart1"/>
    <dgm:cxn modelId="{7BC89CFA-8D55-794B-91CC-410873EEC07E}" type="presParOf" srcId="{B32BC93A-D719-D545-8C62-2FC274D33233}" destId="{4638B459-FEE1-6147-9DA4-3E5D5B83E746}" srcOrd="0" destOrd="0" presId="urn:microsoft.com/office/officeart/2005/8/layout/orgChart1"/>
    <dgm:cxn modelId="{D836FD16-1233-034A-B152-C438013CA028}" type="presParOf" srcId="{B32BC93A-D719-D545-8C62-2FC274D33233}" destId="{529198DB-2973-8D4B-B6D1-F0822A98B475}" srcOrd="1" destOrd="0" presId="urn:microsoft.com/office/officeart/2005/8/layout/orgChart1"/>
    <dgm:cxn modelId="{4E68A527-2476-6944-AD82-D5E364B479F1}" type="presParOf" srcId="{563B2800-4511-CC46-80EF-45D9A18A0D0F}" destId="{957E36B8-0AE2-3949-A10A-562A22B84C6E}" srcOrd="1" destOrd="0" presId="urn:microsoft.com/office/officeart/2005/8/layout/orgChart1"/>
    <dgm:cxn modelId="{04B1C1C3-D765-CB4B-B2D5-E9C97882C029}" type="presParOf" srcId="{957E36B8-0AE2-3949-A10A-562A22B84C6E}" destId="{9B44FD43-CEA7-5549-8070-2CC7B864CA75}" srcOrd="0" destOrd="0" presId="urn:microsoft.com/office/officeart/2005/8/layout/orgChart1"/>
    <dgm:cxn modelId="{4DF9781E-7AB4-4F43-9DCF-1CD46B249E69}" type="presParOf" srcId="{957E36B8-0AE2-3949-A10A-562A22B84C6E}" destId="{1B10A120-FC15-794F-AE75-5664E26E3A8E}" srcOrd="1" destOrd="0" presId="urn:microsoft.com/office/officeart/2005/8/layout/orgChart1"/>
    <dgm:cxn modelId="{D61E493C-5439-E143-8FA4-FAA40A224589}" type="presParOf" srcId="{1B10A120-FC15-794F-AE75-5664E26E3A8E}" destId="{42BE3666-7C18-CA46-9A51-4FDBABBC4D42}" srcOrd="0" destOrd="0" presId="urn:microsoft.com/office/officeart/2005/8/layout/orgChart1"/>
    <dgm:cxn modelId="{42008EE2-ADF3-514E-AB6B-77A4F8F7F382}" type="presParOf" srcId="{42BE3666-7C18-CA46-9A51-4FDBABBC4D42}" destId="{85DFDFE4-16DF-3D4C-91CD-006F18031706}" srcOrd="0" destOrd="0" presId="urn:microsoft.com/office/officeart/2005/8/layout/orgChart1"/>
    <dgm:cxn modelId="{42BC2928-83D4-DE4E-95D3-E87E39C14400}" type="presParOf" srcId="{42BE3666-7C18-CA46-9A51-4FDBABBC4D42}" destId="{0A89FB93-AC42-3B44-96F8-78FCE95362EB}" srcOrd="1" destOrd="0" presId="urn:microsoft.com/office/officeart/2005/8/layout/orgChart1"/>
    <dgm:cxn modelId="{41541673-BE00-F441-BDD7-01F81A196E65}" type="presParOf" srcId="{1B10A120-FC15-794F-AE75-5664E26E3A8E}" destId="{E69346F5-B780-784A-B86B-EDBBA927FF87}" srcOrd="1" destOrd="0" presId="urn:microsoft.com/office/officeart/2005/8/layout/orgChart1"/>
    <dgm:cxn modelId="{C1B4B6E1-8214-6147-BEE7-3022B90B8276}" type="presParOf" srcId="{1B10A120-FC15-794F-AE75-5664E26E3A8E}" destId="{BC7AF096-B24E-444A-8B87-79558AB7E702}" srcOrd="2" destOrd="0" presId="urn:microsoft.com/office/officeart/2005/8/layout/orgChart1"/>
    <dgm:cxn modelId="{8E8B01BD-C21E-2046-987B-55CE2015D6BC}" type="presParOf" srcId="{957E36B8-0AE2-3949-A10A-562A22B84C6E}" destId="{2B99EA23-E08F-7A4C-938E-AFCF2D49168D}" srcOrd="2" destOrd="0" presId="urn:microsoft.com/office/officeart/2005/8/layout/orgChart1"/>
    <dgm:cxn modelId="{47FBEB6A-7864-0B4D-BD17-35CEC107378E}" type="presParOf" srcId="{957E36B8-0AE2-3949-A10A-562A22B84C6E}" destId="{A0345327-17AC-1042-BB2B-0B44D1A2194A}" srcOrd="3" destOrd="0" presId="urn:microsoft.com/office/officeart/2005/8/layout/orgChart1"/>
    <dgm:cxn modelId="{8D34F41D-84CA-D34D-A3C9-B27F8F4EA1BD}" type="presParOf" srcId="{A0345327-17AC-1042-BB2B-0B44D1A2194A}" destId="{CE03546D-6315-2A4F-AC56-6148E3EE0CBF}" srcOrd="0" destOrd="0" presId="urn:microsoft.com/office/officeart/2005/8/layout/orgChart1"/>
    <dgm:cxn modelId="{278C0DFB-5B29-5D46-B30E-3D9C0FC50507}" type="presParOf" srcId="{CE03546D-6315-2A4F-AC56-6148E3EE0CBF}" destId="{9D11A5D1-D24A-E94E-A2DE-097F05ABF4DC}" srcOrd="0" destOrd="0" presId="urn:microsoft.com/office/officeart/2005/8/layout/orgChart1"/>
    <dgm:cxn modelId="{A090C4FD-9CDD-C549-840C-9C4314059E75}" type="presParOf" srcId="{CE03546D-6315-2A4F-AC56-6148E3EE0CBF}" destId="{C717FE9D-AACB-0D48-A7C0-4543C67A92EB}" srcOrd="1" destOrd="0" presId="urn:microsoft.com/office/officeart/2005/8/layout/orgChart1"/>
    <dgm:cxn modelId="{7FFB4BEB-5B06-894A-ADFA-AAC8DFA5393E}" type="presParOf" srcId="{A0345327-17AC-1042-BB2B-0B44D1A2194A}" destId="{65D3D6CD-4B63-524E-8D07-7CDD3499CEAC}" srcOrd="1" destOrd="0" presId="urn:microsoft.com/office/officeart/2005/8/layout/orgChart1"/>
    <dgm:cxn modelId="{45475F03-6B00-EE4B-883F-BC5DE7644460}" type="presParOf" srcId="{A0345327-17AC-1042-BB2B-0B44D1A2194A}" destId="{4D61F7DB-D53A-284B-8B5B-9AD92810A522}" srcOrd="2" destOrd="0" presId="urn:microsoft.com/office/officeart/2005/8/layout/orgChart1"/>
    <dgm:cxn modelId="{6CB94CA1-B734-9141-B543-D5051ED723B0}" type="presParOf" srcId="{957E36B8-0AE2-3949-A10A-562A22B84C6E}" destId="{53469A38-36B4-D44E-BE47-BFBCFF34221E}" srcOrd="4" destOrd="0" presId="urn:microsoft.com/office/officeart/2005/8/layout/orgChart1"/>
    <dgm:cxn modelId="{9F22E0D9-6F47-3A4F-9563-557092A61D1B}" type="presParOf" srcId="{957E36B8-0AE2-3949-A10A-562A22B84C6E}" destId="{DD95F0F2-333F-4040-815A-549B6CBDEAC4}" srcOrd="5" destOrd="0" presId="urn:microsoft.com/office/officeart/2005/8/layout/orgChart1"/>
    <dgm:cxn modelId="{4BE7D36B-97D6-9D4A-AAA6-ED9C82EBCC0B}" type="presParOf" srcId="{DD95F0F2-333F-4040-815A-549B6CBDEAC4}" destId="{2977B045-694F-9148-90EC-AF6CA42650B4}" srcOrd="0" destOrd="0" presId="urn:microsoft.com/office/officeart/2005/8/layout/orgChart1"/>
    <dgm:cxn modelId="{0402CE90-DD36-ED45-A2A7-804DAF39547E}" type="presParOf" srcId="{2977B045-694F-9148-90EC-AF6CA42650B4}" destId="{1B585BE1-01A0-6E40-96CF-0549941E3830}" srcOrd="0" destOrd="0" presId="urn:microsoft.com/office/officeart/2005/8/layout/orgChart1"/>
    <dgm:cxn modelId="{16CBECC2-A3CB-5D47-8735-0785D24B3F7F}" type="presParOf" srcId="{2977B045-694F-9148-90EC-AF6CA42650B4}" destId="{D1AFAD0C-ABCC-8748-B0D2-4B8FD93938ED}" srcOrd="1" destOrd="0" presId="urn:microsoft.com/office/officeart/2005/8/layout/orgChart1"/>
    <dgm:cxn modelId="{C6AFF567-763E-0A4A-A2BF-B3B55C810736}" type="presParOf" srcId="{DD95F0F2-333F-4040-815A-549B6CBDEAC4}" destId="{B5928FDA-7EF4-9540-AFB5-665007C4905D}" srcOrd="1" destOrd="0" presId="urn:microsoft.com/office/officeart/2005/8/layout/orgChart1"/>
    <dgm:cxn modelId="{7FB2E8A9-0058-0D49-8E4C-C687C36880A7}" type="presParOf" srcId="{DD95F0F2-333F-4040-815A-549B6CBDEAC4}" destId="{B73F8933-0CC6-2246-A329-C680A053B719}" srcOrd="2" destOrd="0" presId="urn:microsoft.com/office/officeart/2005/8/layout/orgChart1"/>
    <dgm:cxn modelId="{4B337F54-3835-F446-96B3-A78E60A41EC7}" type="presParOf" srcId="{563B2800-4511-CC46-80EF-45D9A18A0D0F}" destId="{88CB4545-C078-6441-92B6-CB257E53D2CF}" srcOrd="2" destOrd="0" presId="urn:microsoft.com/office/officeart/2005/8/layout/orgChart1"/>
    <dgm:cxn modelId="{B746001C-55C2-D54F-8992-F50E614CAEF9}" type="presParOf" srcId="{4A7FCDB5-C482-8542-8BDE-4F15685BC368}" destId="{B904C972-AF2B-074D-9FC5-F50B351B04A5}" srcOrd="2" destOrd="0" presId="urn:microsoft.com/office/officeart/2005/8/layout/orgChart1"/>
    <dgm:cxn modelId="{307DF1EE-DF6F-0549-8DA3-1A4EC9B4562C}" type="presParOf" srcId="{4A7FCDB5-C482-8542-8BDE-4F15685BC368}" destId="{4BFE1179-5B95-1940-8F1C-BD6D9A3F3F92}" srcOrd="3" destOrd="0" presId="urn:microsoft.com/office/officeart/2005/8/layout/orgChart1"/>
    <dgm:cxn modelId="{1445F590-FA7C-1246-8E7B-A1888ADB1B11}" type="presParOf" srcId="{4BFE1179-5B95-1940-8F1C-BD6D9A3F3F92}" destId="{02FF9CCD-A6F6-4041-8AF9-BF07BC397BD8}" srcOrd="0" destOrd="0" presId="urn:microsoft.com/office/officeart/2005/8/layout/orgChart1"/>
    <dgm:cxn modelId="{E39C8780-949C-844E-B48E-1A7074C9E2E9}" type="presParOf" srcId="{02FF9CCD-A6F6-4041-8AF9-BF07BC397BD8}" destId="{FA715759-BCD4-EC40-A09E-120B81C97125}" srcOrd="0" destOrd="0" presId="urn:microsoft.com/office/officeart/2005/8/layout/orgChart1"/>
    <dgm:cxn modelId="{4687A94F-0CAF-8B4C-935E-4DC042607F67}" type="presParOf" srcId="{02FF9CCD-A6F6-4041-8AF9-BF07BC397BD8}" destId="{526C852D-06DC-C44D-8E7E-9CEA879A87AD}" srcOrd="1" destOrd="0" presId="urn:microsoft.com/office/officeart/2005/8/layout/orgChart1"/>
    <dgm:cxn modelId="{9348CA9E-8AB2-FC4D-810F-7EABE4145CFA}" type="presParOf" srcId="{4BFE1179-5B95-1940-8F1C-BD6D9A3F3F92}" destId="{18096941-CE10-CF4D-9560-79FA916F7998}" srcOrd="1" destOrd="0" presId="urn:microsoft.com/office/officeart/2005/8/layout/orgChart1"/>
    <dgm:cxn modelId="{D0929DA2-30F1-504C-9C18-5971D51A7C4C}" type="presParOf" srcId="{18096941-CE10-CF4D-9560-79FA916F7998}" destId="{0A7D6BBB-0790-6847-8C36-4EE0E60785BA}" srcOrd="0" destOrd="0" presId="urn:microsoft.com/office/officeart/2005/8/layout/orgChart1"/>
    <dgm:cxn modelId="{051B4E9E-FF73-F741-B20E-46C8DF559758}" type="presParOf" srcId="{18096941-CE10-CF4D-9560-79FA916F7998}" destId="{157EE772-E07F-E349-9172-3F0F471515C1}" srcOrd="1" destOrd="0" presId="urn:microsoft.com/office/officeart/2005/8/layout/orgChart1"/>
    <dgm:cxn modelId="{4614D56A-0DCC-FC47-9417-EE5053C9DB23}" type="presParOf" srcId="{157EE772-E07F-E349-9172-3F0F471515C1}" destId="{C1CD005E-9A87-A640-BA7B-A5E2C011DCCB}" srcOrd="0" destOrd="0" presId="urn:microsoft.com/office/officeart/2005/8/layout/orgChart1"/>
    <dgm:cxn modelId="{12896F78-6A16-8A4E-B2A7-E0D69CB82852}" type="presParOf" srcId="{C1CD005E-9A87-A640-BA7B-A5E2C011DCCB}" destId="{C91EF84F-D9FB-474B-A289-5715D3A46426}" srcOrd="0" destOrd="0" presId="urn:microsoft.com/office/officeart/2005/8/layout/orgChart1"/>
    <dgm:cxn modelId="{B6A785EA-95CF-124F-A8D3-A5C75945E58E}" type="presParOf" srcId="{C1CD005E-9A87-A640-BA7B-A5E2C011DCCB}" destId="{65621D82-3D70-624F-B9A7-AD557E3D84A5}" srcOrd="1" destOrd="0" presId="urn:microsoft.com/office/officeart/2005/8/layout/orgChart1"/>
    <dgm:cxn modelId="{18C4C11D-63A1-A645-888A-6B0F33C76C41}" type="presParOf" srcId="{157EE772-E07F-E349-9172-3F0F471515C1}" destId="{CEF4BE8D-7457-A948-91C4-3154A3128FD3}" srcOrd="1" destOrd="0" presId="urn:microsoft.com/office/officeart/2005/8/layout/orgChart1"/>
    <dgm:cxn modelId="{2E499D30-C4C7-E443-8C41-B077809420C5}" type="presParOf" srcId="{CEF4BE8D-7457-A948-91C4-3154A3128FD3}" destId="{B60BDC8E-E954-AE40-B872-4084A426BDBB}" srcOrd="0" destOrd="0" presId="urn:microsoft.com/office/officeart/2005/8/layout/orgChart1"/>
    <dgm:cxn modelId="{2EBE70CF-D29A-E449-AB4C-F15BB7D2992B}" type="presParOf" srcId="{CEF4BE8D-7457-A948-91C4-3154A3128FD3}" destId="{B04897D0-2F8F-E44E-97AC-84BBCC2721B6}" srcOrd="1" destOrd="0" presId="urn:microsoft.com/office/officeart/2005/8/layout/orgChart1"/>
    <dgm:cxn modelId="{3FA8ECAA-77FA-E54C-933E-32D5FF4C6099}" type="presParOf" srcId="{B04897D0-2F8F-E44E-97AC-84BBCC2721B6}" destId="{92757A51-7235-E74A-BA8B-763117028FE5}" srcOrd="0" destOrd="0" presId="urn:microsoft.com/office/officeart/2005/8/layout/orgChart1"/>
    <dgm:cxn modelId="{F276278D-4385-B340-B561-CB4FE9553300}" type="presParOf" srcId="{92757A51-7235-E74A-BA8B-763117028FE5}" destId="{CCCF1568-E5BD-144D-9135-B65305B574FD}" srcOrd="0" destOrd="0" presId="urn:microsoft.com/office/officeart/2005/8/layout/orgChart1"/>
    <dgm:cxn modelId="{B0F70E3D-7B95-F24F-AF50-6D6A824B78B3}" type="presParOf" srcId="{92757A51-7235-E74A-BA8B-763117028FE5}" destId="{A75E47A3-1D5A-F84C-81E3-94FCD5C5D9EC}" srcOrd="1" destOrd="0" presId="urn:microsoft.com/office/officeart/2005/8/layout/orgChart1"/>
    <dgm:cxn modelId="{0FE4882D-8A3F-4146-8F31-4A5D8E61F0E6}" type="presParOf" srcId="{B04897D0-2F8F-E44E-97AC-84BBCC2721B6}" destId="{EB6E9A91-774F-504F-8934-73CF7E3F9E78}" srcOrd="1" destOrd="0" presId="urn:microsoft.com/office/officeart/2005/8/layout/orgChart1"/>
    <dgm:cxn modelId="{2527A030-F67B-ED4E-AA3D-8722B9E5598D}" type="presParOf" srcId="{B04897D0-2F8F-E44E-97AC-84BBCC2721B6}" destId="{B676FE3B-E4FC-4E4C-BF7A-912FAF7B92C7}" srcOrd="2" destOrd="0" presId="urn:microsoft.com/office/officeart/2005/8/layout/orgChart1"/>
    <dgm:cxn modelId="{2CA345F6-1BF6-5741-A4D6-D43E7D172D3F}" type="presParOf" srcId="{157EE772-E07F-E349-9172-3F0F471515C1}" destId="{AACC5F25-5DA1-4843-8819-FDA508D18F46}" srcOrd="2" destOrd="0" presId="urn:microsoft.com/office/officeart/2005/8/layout/orgChart1"/>
    <dgm:cxn modelId="{3976FACE-162A-C142-ADCE-886D9F55818F}" type="presParOf" srcId="{18096941-CE10-CF4D-9560-79FA916F7998}" destId="{5A177DD6-D224-4349-9DA6-BAF2DC69EFA6}" srcOrd="2" destOrd="0" presId="urn:microsoft.com/office/officeart/2005/8/layout/orgChart1"/>
    <dgm:cxn modelId="{A53E738C-0794-1948-BB81-9933EF3B7612}" type="presParOf" srcId="{18096941-CE10-CF4D-9560-79FA916F7998}" destId="{0F9B4096-9463-0848-A083-198F9CCD2D59}" srcOrd="3" destOrd="0" presId="urn:microsoft.com/office/officeart/2005/8/layout/orgChart1"/>
    <dgm:cxn modelId="{19B2683B-88A9-EB46-8DA2-4E07EB361A3F}" type="presParOf" srcId="{0F9B4096-9463-0848-A083-198F9CCD2D59}" destId="{720CED8D-82A2-DB4A-9295-1276E97A444C}" srcOrd="0" destOrd="0" presId="urn:microsoft.com/office/officeart/2005/8/layout/orgChart1"/>
    <dgm:cxn modelId="{AE30B45A-538E-2A4E-B2AB-D9C81F5CFA05}" type="presParOf" srcId="{720CED8D-82A2-DB4A-9295-1276E97A444C}" destId="{689D0E37-40AE-1E4F-B599-F9F93F39439F}" srcOrd="0" destOrd="0" presId="urn:microsoft.com/office/officeart/2005/8/layout/orgChart1"/>
    <dgm:cxn modelId="{8E621E6F-3AD2-B446-B457-6DF2DE454EA0}" type="presParOf" srcId="{720CED8D-82A2-DB4A-9295-1276E97A444C}" destId="{87CBADDD-2315-284F-903D-81323076FD86}" srcOrd="1" destOrd="0" presId="urn:microsoft.com/office/officeart/2005/8/layout/orgChart1"/>
    <dgm:cxn modelId="{C429473A-0B84-584A-BCB8-FBEE7A5F97BE}" type="presParOf" srcId="{0F9B4096-9463-0848-A083-198F9CCD2D59}" destId="{892564B7-5220-7245-85C4-4DE00ABBFDCC}" srcOrd="1" destOrd="0" presId="urn:microsoft.com/office/officeart/2005/8/layout/orgChart1"/>
    <dgm:cxn modelId="{FD53CE0F-EDE7-144F-A608-79BCD0A3D9E9}" type="presParOf" srcId="{0F9B4096-9463-0848-A083-198F9CCD2D59}" destId="{7470EF9D-7B90-EE48-A7E0-3672CE2FD023}" srcOrd="2" destOrd="0" presId="urn:microsoft.com/office/officeart/2005/8/layout/orgChart1"/>
    <dgm:cxn modelId="{05482466-0A8D-6640-A5D1-A9499ACB23F5}" type="presParOf" srcId="{18096941-CE10-CF4D-9560-79FA916F7998}" destId="{1CBF9481-05A5-8C43-8DB7-EF26791C872F}" srcOrd="4" destOrd="0" presId="urn:microsoft.com/office/officeart/2005/8/layout/orgChart1"/>
    <dgm:cxn modelId="{61A23C1D-540D-B04E-8D1F-508BE942D740}" type="presParOf" srcId="{18096941-CE10-CF4D-9560-79FA916F7998}" destId="{B683E6D8-DBFE-6F41-AD9E-571597532FB4}" srcOrd="5" destOrd="0" presId="urn:microsoft.com/office/officeart/2005/8/layout/orgChart1"/>
    <dgm:cxn modelId="{6F6150C0-8CEC-B44D-9A66-0B7B997A1E16}" type="presParOf" srcId="{B683E6D8-DBFE-6F41-AD9E-571597532FB4}" destId="{B240EED9-B489-6C4D-9FB6-AC64475732BD}" srcOrd="0" destOrd="0" presId="urn:microsoft.com/office/officeart/2005/8/layout/orgChart1"/>
    <dgm:cxn modelId="{5422C897-512E-AE43-B92E-93EB59D38DDE}" type="presParOf" srcId="{B240EED9-B489-6C4D-9FB6-AC64475732BD}" destId="{254C7B03-7AD6-6A4D-A447-E7A20B38C97D}" srcOrd="0" destOrd="0" presId="urn:microsoft.com/office/officeart/2005/8/layout/orgChart1"/>
    <dgm:cxn modelId="{89CF3B9F-5224-FA41-8DA6-30C6D2772D2A}" type="presParOf" srcId="{B240EED9-B489-6C4D-9FB6-AC64475732BD}" destId="{E06C2B21-AFFD-D54C-A906-9A24666157C4}" srcOrd="1" destOrd="0" presId="urn:microsoft.com/office/officeart/2005/8/layout/orgChart1"/>
    <dgm:cxn modelId="{964D3F36-47E5-7640-8E3F-FF7C339A764A}" type="presParOf" srcId="{B683E6D8-DBFE-6F41-AD9E-571597532FB4}" destId="{02ED3618-BD02-E546-A1EC-A44E14C02089}" srcOrd="1" destOrd="0" presId="urn:microsoft.com/office/officeart/2005/8/layout/orgChart1"/>
    <dgm:cxn modelId="{C4B9FA59-A226-DD49-B7E7-45ADD28B5150}" type="presParOf" srcId="{02ED3618-BD02-E546-A1EC-A44E14C02089}" destId="{E82E2679-E507-BB49-B97E-74B6AC874390}" srcOrd="0" destOrd="0" presId="urn:microsoft.com/office/officeart/2005/8/layout/orgChart1"/>
    <dgm:cxn modelId="{D3252238-92C4-E141-AABA-153CB9264D67}" type="presParOf" srcId="{02ED3618-BD02-E546-A1EC-A44E14C02089}" destId="{A19ACBA5-433D-C84F-889C-33179380855A}" srcOrd="1" destOrd="0" presId="urn:microsoft.com/office/officeart/2005/8/layout/orgChart1"/>
    <dgm:cxn modelId="{C4D20569-DEC7-DE4D-9DEB-35F5690ADFCB}" type="presParOf" srcId="{A19ACBA5-433D-C84F-889C-33179380855A}" destId="{715EE719-A46B-5944-B68E-8B2A9CE6BEF4}" srcOrd="0" destOrd="0" presId="urn:microsoft.com/office/officeart/2005/8/layout/orgChart1"/>
    <dgm:cxn modelId="{9F9330A0-1642-5D43-84EB-D897551E795D}" type="presParOf" srcId="{715EE719-A46B-5944-B68E-8B2A9CE6BEF4}" destId="{1A4778DD-B025-CF43-8886-F2D88AF158D6}" srcOrd="0" destOrd="0" presId="urn:microsoft.com/office/officeart/2005/8/layout/orgChart1"/>
    <dgm:cxn modelId="{E269F1CF-49B5-EF4F-AD16-9458247D6657}" type="presParOf" srcId="{715EE719-A46B-5944-B68E-8B2A9CE6BEF4}" destId="{304182A3-9DE9-CD44-A439-8A85E323D594}" srcOrd="1" destOrd="0" presId="urn:microsoft.com/office/officeart/2005/8/layout/orgChart1"/>
    <dgm:cxn modelId="{BA1F9A4B-C9E7-A541-B2C4-54D593403C40}" type="presParOf" srcId="{A19ACBA5-433D-C84F-889C-33179380855A}" destId="{8911A4EA-709E-5C47-9AB8-7FA562777F0D}" srcOrd="1" destOrd="0" presId="urn:microsoft.com/office/officeart/2005/8/layout/orgChart1"/>
    <dgm:cxn modelId="{944D8E7D-DD63-984A-BC68-B32A2835829C}" type="presParOf" srcId="{A19ACBA5-433D-C84F-889C-33179380855A}" destId="{E6C4321B-8F47-CD4A-9B14-0078D37FA138}" srcOrd="2" destOrd="0" presId="urn:microsoft.com/office/officeart/2005/8/layout/orgChart1"/>
    <dgm:cxn modelId="{E2D44BFE-B594-5944-82F4-5CFB70F300F6}" type="presParOf" srcId="{B683E6D8-DBFE-6F41-AD9E-571597532FB4}" destId="{443E8859-696D-F943-BC16-9FB2C9D96D4B}" srcOrd="2" destOrd="0" presId="urn:microsoft.com/office/officeart/2005/8/layout/orgChart1"/>
    <dgm:cxn modelId="{E4E775F2-F7DB-D34D-8884-5D81BB418545}" type="presParOf" srcId="{4BFE1179-5B95-1940-8F1C-BD6D9A3F3F92}" destId="{0C135EB9-EF53-C748-B208-CAEB3D85C2E6}" srcOrd="2" destOrd="0" presId="urn:microsoft.com/office/officeart/2005/8/layout/orgChart1"/>
    <dgm:cxn modelId="{00E6AEB7-9FBC-D94B-9C1D-0346299094DA}" type="presParOf" srcId="{4A7FCDB5-C482-8542-8BDE-4F15685BC368}" destId="{8A57EE52-1A99-8A4F-B904-4992607403D4}" srcOrd="4" destOrd="0" presId="urn:microsoft.com/office/officeart/2005/8/layout/orgChart1"/>
    <dgm:cxn modelId="{9BB57B60-03D4-EE48-8D5E-053A200BA2C4}" type="presParOf" srcId="{4A7FCDB5-C482-8542-8BDE-4F15685BC368}" destId="{8F7AF5BE-B576-5F41-8BFE-2B304504D991}" srcOrd="5" destOrd="0" presId="urn:microsoft.com/office/officeart/2005/8/layout/orgChart1"/>
    <dgm:cxn modelId="{166E58BC-A5EF-454A-8CD7-AA9E2DECB3BB}" type="presParOf" srcId="{8F7AF5BE-B576-5F41-8BFE-2B304504D991}" destId="{13A3F753-69F2-B444-8B29-375C5D3A8D88}" srcOrd="0" destOrd="0" presId="urn:microsoft.com/office/officeart/2005/8/layout/orgChart1"/>
    <dgm:cxn modelId="{9D038EE3-35F1-2F42-99EC-0F5A4ED77C06}" type="presParOf" srcId="{13A3F753-69F2-B444-8B29-375C5D3A8D88}" destId="{2177EBE5-4488-124C-ABCF-DDB4B2051965}" srcOrd="0" destOrd="0" presId="urn:microsoft.com/office/officeart/2005/8/layout/orgChart1"/>
    <dgm:cxn modelId="{39207BE7-2EEA-E04E-8A8B-EC578099460B}" type="presParOf" srcId="{13A3F753-69F2-B444-8B29-375C5D3A8D88}" destId="{67F7B18D-2ADC-2341-9537-A9B974303FF1}" srcOrd="1" destOrd="0" presId="urn:microsoft.com/office/officeart/2005/8/layout/orgChart1"/>
    <dgm:cxn modelId="{DAC42772-D05A-CD4D-9BCA-DFE95ECE0B9E}" type="presParOf" srcId="{8F7AF5BE-B576-5F41-8BFE-2B304504D991}" destId="{E8FA29F7-5DE7-A941-B785-F7119D9343C0}" srcOrd="1" destOrd="0" presId="urn:microsoft.com/office/officeart/2005/8/layout/orgChart1"/>
    <dgm:cxn modelId="{DBF134CA-6D14-FF4A-95F5-B6E3DF296861}" type="presParOf" srcId="{E8FA29F7-5DE7-A941-B785-F7119D9343C0}" destId="{91309FA6-840B-C349-B9B0-8470A69ED859}" srcOrd="0" destOrd="0" presId="urn:microsoft.com/office/officeart/2005/8/layout/orgChart1"/>
    <dgm:cxn modelId="{D1FB47CD-E49F-BB4B-9623-AE0881C17F54}" type="presParOf" srcId="{E8FA29F7-5DE7-A941-B785-F7119D9343C0}" destId="{500CC3AB-47DC-754B-9D81-C0740F899F27}" srcOrd="1" destOrd="0" presId="urn:microsoft.com/office/officeart/2005/8/layout/orgChart1"/>
    <dgm:cxn modelId="{E3ABE676-F4F6-3C4D-8F24-68A942D88A3F}" type="presParOf" srcId="{500CC3AB-47DC-754B-9D81-C0740F899F27}" destId="{50A31083-FF8B-5C40-9CE5-4631A7EE48EC}" srcOrd="0" destOrd="0" presId="urn:microsoft.com/office/officeart/2005/8/layout/orgChart1"/>
    <dgm:cxn modelId="{ED440CCC-3530-044D-B0D9-E53F4E5EB80F}" type="presParOf" srcId="{50A31083-FF8B-5C40-9CE5-4631A7EE48EC}" destId="{04B508CF-8FE4-B74F-83C3-7BCEEA8CA062}" srcOrd="0" destOrd="0" presId="urn:microsoft.com/office/officeart/2005/8/layout/orgChart1"/>
    <dgm:cxn modelId="{AACF6810-E74F-EC4C-AA36-037A4BE1D58D}" type="presParOf" srcId="{50A31083-FF8B-5C40-9CE5-4631A7EE48EC}" destId="{1D0BB182-0798-3245-835B-CA23A12D5417}" srcOrd="1" destOrd="0" presId="urn:microsoft.com/office/officeart/2005/8/layout/orgChart1"/>
    <dgm:cxn modelId="{485A6929-E2C0-E848-A708-760D656B0BD9}" type="presParOf" srcId="{500CC3AB-47DC-754B-9D81-C0740F899F27}" destId="{EEB71F9F-7494-0448-BBAF-86BBA18A9F60}" srcOrd="1" destOrd="0" presId="urn:microsoft.com/office/officeart/2005/8/layout/orgChart1"/>
    <dgm:cxn modelId="{3BFAF220-7A12-0048-AF76-E4BF653DD19C}" type="presParOf" srcId="{500CC3AB-47DC-754B-9D81-C0740F899F27}" destId="{F965D9FE-98C7-AC46-8514-A6B64EE1137B}" srcOrd="2" destOrd="0" presId="urn:microsoft.com/office/officeart/2005/8/layout/orgChart1"/>
    <dgm:cxn modelId="{FF469631-0F76-2842-A724-2D1DE9B83BF5}" type="presParOf" srcId="{E8FA29F7-5DE7-A941-B785-F7119D9343C0}" destId="{5AAC0E19-7E3F-8D44-94DB-B26550EB7A77}" srcOrd="2" destOrd="0" presId="urn:microsoft.com/office/officeart/2005/8/layout/orgChart1"/>
    <dgm:cxn modelId="{8FFB4D88-0F4C-3E4B-AE84-55555B230FBD}" type="presParOf" srcId="{E8FA29F7-5DE7-A941-B785-F7119D9343C0}" destId="{61A87586-6BF9-1640-8959-40176CA94D39}" srcOrd="3" destOrd="0" presId="urn:microsoft.com/office/officeart/2005/8/layout/orgChart1"/>
    <dgm:cxn modelId="{17301B59-55E7-1C42-AD0B-B84E3A520886}" type="presParOf" srcId="{61A87586-6BF9-1640-8959-40176CA94D39}" destId="{7A8BCF7C-4741-AE41-83DB-2FA8D5FDBC8D}" srcOrd="0" destOrd="0" presId="urn:microsoft.com/office/officeart/2005/8/layout/orgChart1"/>
    <dgm:cxn modelId="{38BBFABF-9488-9742-9440-08D76AEA28F3}" type="presParOf" srcId="{7A8BCF7C-4741-AE41-83DB-2FA8D5FDBC8D}" destId="{2A32BF8D-85C6-554D-8185-1AE4BBB6C0DE}" srcOrd="0" destOrd="0" presId="urn:microsoft.com/office/officeart/2005/8/layout/orgChart1"/>
    <dgm:cxn modelId="{9D8D784E-6DB0-0A40-82EB-136DE94D329D}" type="presParOf" srcId="{7A8BCF7C-4741-AE41-83DB-2FA8D5FDBC8D}" destId="{5D3A299E-7EBF-C247-B1F1-5EE9E28C2BE3}" srcOrd="1" destOrd="0" presId="urn:microsoft.com/office/officeart/2005/8/layout/orgChart1"/>
    <dgm:cxn modelId="{2DA85D65-EA78-304E-823D-5975A1BD131C}" type="presParOf" srcId="{61A87586-6BF9-1640-8959-40176CA94D39}" destId="{2117167E-79A5-8F46-B8E8-C44E91B5971E}" srcOrd="1" destOrd="0" presId="urn:microsoft.com/office/officeart/2005/8/layout/orgChart1"/>
    <dgm:cxn modelId="{3D37BCC7-A738-B84A-B37C-777D024FE987}" type="presParOf" srcId="{2117167E-79A5-8F46-B8E8-C44E91B5971E}" destId="{69514DE6-D10D-6044-94AA-7408D9D5DDC0}" srcOrd="0" destOrd="0" presId="urn:microsoft.com/office/officeart/2005/8/layout/orgChart1"/>
    <dgm:cxn modelId="{C7C21394-1537-234B-B94A-616A3D9F5A64}" type="presParOf" srcId="{2117167E-79A5-8F46-B8E8-C44E91B5971E}" destId="{50F15B46-16EF-124F-BFE6-30020C68D1E9}" srcOrd="1" destOrd="0" presId="urn:microsoft.com/office/officeart/2005/8/layout/orgChart1"/>
    <dgm:cxn modelId="{0187C55B-0141-E244-8AFC-16E95FC90CB3}" type="presParOf" srcId="{50F15B46-16EF-124F-BFE6-30020C68D1E9}" destId="{78C5CFC2-306A-6145-B675-2A166E450491}" srcOrd="0" destOrd="0" presId="urn:microsoft.com/office/officeart/2005/8/layout/orgChart1"/>
    <dgm:cxn modelId="{4A324D97-1931-0245-A2A2-AC668B063019}" type="presParOf" srcId="{78C5CFC2-306A-6145-B675-2A166E450491}" destId="{AD2ACA57-44F6-B54D-853C-2C3568917C12}" srcOrd="0" destOrd="0" presId="urn:microsoft.com/office/officeart/2005/8/layout/orgChart1"/>
    <dgm:cxn modelId="{9C47BD8F-7626-584E-A005-9F1FED074A5D}" type="presParOf" srcId="{78C5CFC2-306A-6145-B675-2A166E450491}" destId="{22EC2016-15E2-ED45-B77F-B19E4F202703}" srcOrd="1" destOrd="0" presId="urn:microsoft.com/office/officeart/2005/8/layout/orgChart1"/>
    <dgm:cxn modelId="{98C56CD4-7D7F-0141-AFDE-DAFFB769730F}" type="presParOf" srcId="{50F15B46-16EF-124F-BFE6-30020C68D1E9}" destId="{1ADDFB0D-E2CF-0649-BFE8-65E097DE4C7A}" srcOrd="1" destOrd="0" presId="urn:microsoft.com/office/officeart/2005/8/layout/orgChart1"/>
    <dgm:cxn modelId="{DEB2E8AE-119B-C249-841D-D5E6A3F43ECA}" type="presParOf" srcId="{50F15B46-16EF-124F-BFE6-30020C68D1E9}" destId="{B90A3B19-8ECE-4540-B663-B1E881B68885}" srcOrd="2" destOrd="0" presId="urn:microsoft.com/office/officeart/2005/8/layout/orgChart1"/>
    <dgm:cxn modelId="{2426CFAA-2E7A-5249-B79D-FCD47F2D79F5}" type="presParOf" srcId="{2117167E-79A5-8F46-B8E8-C44E91B5971E}" destId="{C7A21295-1A5F-E24E-8D07-AA13DB72FDCA}" srcOrd="2" destOrd="0" presId="urn:microsoft.com/office/officeart/2005/8/layout/orgChart1"/>
    <dgm:cxn modelId="{EBE3E58C-D1E1-C94F-B688-58D6E44A84F2}" type="presParOf" srcId="{2117167E-79A5-8F46-B8E8-C44E91B5971E}" destId="{9D7247EC-698B-5F49-BB39-A315B249A1E7}" srcOrd="3" destOrd="0" presId="urn:microsoft.com/office/officeart/2005/8/layout/orgChart1"/>
    <dgm:cxn modelId="{DA7BFB4C-7A14-4D4D-8A94-DCB9FA3A9626}" type="presParOf" srcId="{9D7247EC-698B-5F49-BB39-A315B249A1E7}" destId="{C21545BA-D794-3D4D-A4B2-55C93AEEF99D}" srcOrd="0" destOrd="0" presId="urn:microsoft.com/office/officeart/2005/8/layout/orgChart1"/>
    <dgm:cxn modelId="{A27816B4-11F4-F349-8597-9ECE84C7E239}" type="presParOf" srcId="{C21545BA-D794-3D4D-A4B2-55C93AEEF99D}" destId="{39FF6CF1-6B6F-BC42-8D89-663448615CBC}" srcOrd="0" destOrd="0" presId="urn:microsoft.com/office/officeart/2005/8/layout/orgChart1"/>
    <dgm:cxn modelId="{06EDF86D-5A2E-E444-BE10-88F29253AC1B}" type="presParOf" srcId="{C21545BA-D794-3D4D-A4B2-55C93AEEF99D}" destId="{6B7285EE-2E61-E54F-A730-D51D656AE578}" srcOrd="1" destOrd="0" presId="urn:microsoft.com/office/officeart/2005/8/layout/orgChart1"/>
    <dgm:cxn modelId="{36C84256-E4BB-2446-BD0E-D23172FEAFF7}" type="presParOf" srcId="{9D7247EC-698B-5F49-BB39-A315B249A1E7}" destId="{5E57C32A-554D-104F-9D60-C6F84DE912A1}" srcOrd="1" destOrd="0" presId="urn:microsoft.com/office/officeart/2005/8/layout/orgChart1"/>
    <dgm:cxn modelId="{D057374F-4688-BF4C-99E9-D8FB21D694AB}" type="presParOf" srcId="{9D7247EC-698B-5F49-BB39-A315B249A1E7}" destId="{D763DE2D-9757-A745-8E99-E5D34147F1DA}" srcOrd="2" destOrd="0" presId="urn:microsoft.com/office/officeart/2005/8/layout/orgChart1"/>
    <dgm:cxn modelId="{6CDBE8B5-2CAF-4F49-802A-705530019251}" type="presParOf" srcId="{2117167E-79A5-8F46-B8E8-C44E91B5971E}" destId="{65D8AB9E-F6F7-2D41-B36F-4E113B9E5EA6}" srcOrd="4" destOrd="0" presId="urn:microsoft.com/office/officeart/2005/8/layout/orgChart1"/>
    <dgm:cxn modelId="{FCFE492E-70DD-1642-9AA3-1562A299C45C}" type="presParOf" srcId="{2117167E-79A5-8F46-B8E8-C44E91B5971E}" destId="{00C3F0F0-8874-7741-B835-8250C1CD65EF}" srcOrd="5" destOrd="0" presId="urn:microsoft.com/office/officeart/2005/8/layout/orgChart1"/>
    <dgm:cxn modelId="{8C91E7CC-7ECE-5644-83ED-1A57ECC54F48}" type="presParOf" srcId="{00C3F0F0-8874-7741-B835-8250C1CD65EF}" destId="{C50E2713-28D4-7240-AD75-ECD9125050DD}" srcOrd="0" destOrd="0" presId="urn:microsoft.com/office/officeart/2005/8/layout/orgChart1"/>
    <dgm:cxn modelId="{D9EF9373-198F-8343-9A64-CF27FD3E42FE}" type="presParOf" srcId="{C50E2713-28D4-7240-AD75-ECD9125050DD}" destId="{A835B2EA-3109-BA4C-BDD2-572D37121953}" srcOrd="0" destOrd="0" presId="urn:microsoft.com/office/officeart/2005/8/layout/orgChart1"/>
    <dgm:cxn modelId="{B8F7AEBB-2DB1-1343-9C56-3BD4E0D5F997}" type="presParOf" srcId="{C50E2713-28D4-7240-AD75-ECD9125050DD}" destId="{12A3A959-3E7C-AB45-A5AD-509B13136068}" srcOrd="1" destOrd="0" presId="urn:microsoft.com/office/officeart/2005/8/layout/orgChart1"/>
    <dgm:cxn modelId="{C1955F50-D3B2-CC42-95D1-1E72596DA0BF}" type="presParOf" srcId="{00C3F0F0-8874-7741-B835-8250C1CD65EF}" destId="{1202B463-D94B-C340-BC8B-C9983D9881E1}" srcOrd="1" destOrd="0" presId="urn:microsoft.com/office/officeart/2005/8/layout/orgChart1"/>
    <dgm:cxn modelId="{DE89DA7E-05D1-1F42-9C4D-42BA239D4A04}" type="presParOf" srcId="{00C3F0F0-8874-7741-B835-8250C1CD65EF}" destId="{6CF2C383-567E-EF4C-AF6A-37F0A9B6DB0B}" srcOrd="2" destOrd="0" presId="urn:microsoft.com/office/officeart/2005/8/layout/orgChart1"/>
    <dgm:cxn modelId="{27446BB5-5471-D746-BAC3-24D9017F0D01}" type="presParOf" srcId="{61A87586-6BF9-1640-8959-40176CA94D39}" destId="{C14BA985-16A6-E146-BA63-A581D451A810}" srcOrd="2" destOrd="0" presId="urn:microsoft.com/office/officeart/2005/8/layout/orgChart1"/>
    <dgm:cxn modelId="{71D99DBF-25B7-2F43-8107-193B33EC3730}" type="presParOf" srcId="{E8FA29F7-5DE7-A941-B785-F7119D9343C0}" destId="{95CC70A9-750A-1741-811F-4102B6F69804}" srcOrd="4" destOrd="0" presId="urn:microsoft.com/office/officeart/2005/8/layout/orgChart1"/>
    <dgm:cxn modelId="{FC42E704-8F5A-1C4F-9E49-910BBBF7B520}" type="presParOf" srcId="{E8FA29F7-5DE7-A941-B785-F7119D9343C0}" destId="{C88D4EF6-1383-3F41-A6A8-77FEC033F1BB}" srcOrd="5" destOrd="0" presId="urn:microsoft.com/office/officeart/2005/8/layout/orgChart1"/>
    <dgm:cxn modelId="{13D4B956-2B89-0A4B-8913-284408D12377}" type="presParOf" srcId="{C88D4EF6-1383-3F41-A6A8-77FEC033F1BB}" destId="{03DA0A02-B5EF-334F-A1F2-F18641A8E9F6}" srcOrd="0" destOrd="0" presId="urn:microsoft.com/office/officeart/2005/8/layout/orgChart1"/>
    <dgm:cxn modelId="{F43BBCA4-B734-9340-AB8B-E3EF193F7A4F}" type="presParOf" srcId="{03DA0A02-B5EF-334F-A1F2-F18641A8E9F6}" destId="{88747D45-C94A-AE40-BCD9-A7222C4369D5}" srcOrd="0" destOrd="0" presId="urn:microsoft.com/office/officeart/2005/8/layout/orgChart1"/>
    <dgm:cxn modelId="{D54A0CDD-AC6B-3E46-A226-9270BC11FC1D}" type="presParOf" srcId="{03DA0A02-B5EF-334F-A1F2-F18641A8E9F6}" destId="{9D4F3CA0-7E2E-5B45-9794-AA1910EB063F}" srcOrd="1" destOrd="0" presId="urn:microsoft.com/office/officeart/2005/8/layout/orgChart1"/>
    <dgm:cxn modelId="{06401ED3-97F7-1349-AB28-B358EBC0361D}" type="presParOf" srcId="{C88D4EF6-1383-3F41-A6A8-77FEC033F1BB}" destId="{6847D3A1-99FB-4544-8B2E-80AE5FEA9600}" srcOrd="1" destOrd="0" presId="urn:microsoft.com/office/officeart/2005/8/layout/orgChart1"/>
    <dgm:cxn modelId="{80F43EEC-7EA9-C14D-9E3B-18FCE42A7FE7}" type="presParOf" srcId="{6847D3A1-99FB-4544-8B2E-80AE5FEA9600}" destId="{04C881DB-567E-5A41-8255-F92097862D03}" srcOrd="0" destOrd="0" presId="urn:microsoft.com/office/officeart/2005/8/layout/orgChart1"/>
    <dgm:cxn modelId="{4158FEA9-8B94-7D42-8C18-AB4E36B4F4D2}" type="presParOf" srcId="{6847D3A1-99FB-4544-8B2E-80AE5FEA9600}" destId="{A1035591-FD91-464D-8406-3172A70928EA}" srcOrd="1" destOrd="0" presId="urn:microsoft.com/office/officeart/2005/8/layout/orgChart1"/>
    <dgm:cxn modelId="{6ABD15BC-77AE-4C4D-8FB6-B68719C2F15B}" type="presParOf" srcId="{A1035591-FD91-464D-8406-3172A70928EA}" destId="{D0E16B68-ECF9-B44D-A9D7-8FEFFBB25C1F}" srcOrd="0" destOrd="0" presId="urn:microsoft.com/office/officeart/2005/8/layout/orgChart1"/>
    <dgm:cxn modelId="{33E29F98-83C5-E447-8AF9-DE9510144714}" type="presParOf" srcId="{D0E16B68-ECF9-B44D-A9D7-8FEFFBB25C1F}" destId="{ED0D5408-4AE5-B547-9F70-4B23FA03BA77}" srcOrd="0" destOrd="0" presId="urn:microsoft.com/office/officeart/2005/8/layout/orgChart1"/>
    <dgm:cxn modelId="{FDC6D38F-4214-B746-A730-C669216E01C8}" type="presParOf" srcId="{D0E16B68-ECF9-B44D-A9D7-8FEFFBB25C1F}" destId="{2760A44C-0E56-564B-A8EF-03138DFB3559}" srcOrd="1" destOrd="0" presId="urn:microsoft.com/office/officeart/2005/8/layout/orgChart1"/>
    <dgm:cxn modelId="{CB8DB592-8703-C54B-BB57-A3D837BDD524}" type="presParOf" srcId="{A1035591-FD91-464D-8406-3172A70928EA}" destId="{E1508022-8916-2249-8100-1263F423FB3D}" srcOrd="1" destOrd="0" presId="urn:microsoft.com/office/officeart/2005/8/layout/orgChart1"/>
    <dgm:cxn modelId="{E23E122A-61A1-EC4D-924A-FFB7D84FBE48}" type="presParOf" srcId="{A1035591-FD91-464D-8406-3172A70928EA}" destId="{D5D64A28-C5B6-2D41-ACD1-AAD98ABABB0C}" srcOrd="2" destOrd="0" presId="urn:microsoft.com/office/officeart/2005/8/layout/orgChart1"/>
    <dgm:cxn modelId="{698D3DFB-D864-C249-AACA-1E6E91A7B917}" type="presParOf" srcId="{C88D4EF6-1383-3F41-A6A8-77FEC033F1BB}" destId="{3115FC50-608A-9543-8889-25FC322E3C3E}" srcOrd="2" destOrd="0" presId="urn:microsoft.com/office/officeart/2005/8/layout/orgChart1"/>
    <dgm:cxn modelId="{1D90C4D6-DE66-9E46-A3FB-189B62F6A0C2}" type="presParOf" srcId="{8F7AF5BE-B576-5F41-8BFE-2B304504D991}" destId="{871C612A-3F81-0349-AB3B-C43B90ADBB61}" srcOrd="2" destOrd="0" presId="urn:microsoft.com/office/officeart/2005/8/layout/orgChart1"/>
    <dgm:cxn modelId="{AF019F75-CCFF-EC4D-A5C8-3DC7384CC4C3}" type="presParOf" srcId="{54BFBE2F-83FF-D444-9BCF-EF333301C8D8}" destId="{EBCB28CD-50EA-B047-B314-D845D18474DD}" srcOrd="2" destOrd="0" presId="urn:microsoft.com/office/officeart/2005/8/layout/orgChart1"/>
    <dgm:cxn modelId="{C95A9941-03C3-1E40-99A2-E4B862C6A58B}" type="presParOf" srcId="{EBCB28CD-50EA-B047-B314-D845D18474DD}" destId="{6B264596-EDC5-3046-8418-22BEFABFCF80}" srcOrd="0" destOrd="0" presId="urn:microsoft.com/office/officeart/2005/8/layout/orgChart1"/>
    <dgm:cxn modelId="{4742F27C-B712-8A4F-9672-C0438D8D32C6}" type="presParOf" srcId="{EBCB28CD-50EA-B047-B314-D845D18474DD}" destId="{4CF92874-9C76-6C41-8B42-1721EC1EB3B8}" srcOrd="1" destOrd="0" presId="urn:microsoft.com/office/officeart/2005/8/layout/orgChart1"/>
    <dgm:cxn modelId="{7B897983-0AC5-484F-8DEC-F80F46D61582}" type="presParOf" srcId="{4CF92874-9C76-6C41-8B42-1721EC1EB3B8}" destId="{8132A1A7-4AE0-F045-AA41-26051F7422CC}" srcOrd="0" destOrd="0" presId="urn:microsoft.com/office/officeart/2005/8/layout/orgChart1"/>
    <dgm:cxn modelId="{FC5E5793-3354-5047-A604-239E34B016B8}" type="presParOf" srcId="{8132A1A7-4AE0-F045-AA41-26051F7422CC}" destId="{6306E49C-2304-2444-9647-A1D0AA5F9AC0}" srcOrd="0" destOrd="0" presId="urn:microsoft.com/office/officeart/2005/8/layout/orgChart1"/>
    <dgm:cxn modelId="{567D916F-A113-ED44-B006-0818FAFD015A}" type="presParOf" srcId="{8132A1A7-4AE0-F045-AA41-26051F7422CC}" destId="{648EA1A7-ED2D-D247-8CE4-4DA270E9A471}" srcOrd="1" destOrd="0" presId="urn:microsoft.com/office/officeart/2005/8/layout/orgChart1"/>
    <dgm:cxn modelId="{B6DB4EF6-B45C-AE43-893E-CEC540957682}" type="presParOf" srcId="{4CF92874-9C76-6C41-8B42-1721EC1EB3B8}" destId="{BAEDE288-992B-6245-AB0A-933B58FAF07B}" srcOrd="1" destOrd="0" presId="urn:microsoft.com/office/officeart/2005/8/layout/orgChart1"/>
    <dgm:cxn modelId="{26EF52FE-0EEC-3B43-AE65-0D4095AD29A3}" type="presParOf" srcId="{4CF92874-9C76-6C41-8B42-1721EC1EB3B8}" destId="{CFDDE3B6-02E5-654C-AB20-93CD53E848A7}"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264596-EDC5-3046-8418-22BEFABFCF80}">
      <dsp:nvSpPr>
        <dsp:cNvPr id="0" name=""/>
        <dsp:cNvSpPr/>
      </dsp:nvSpPr>
      <dsp:spPr>
        <a:xfrm>
          <a:off x="2566047" y="1006401"/>
          <a:ext cx="91440" cy="324150"/>
        </a:xfrm>
        <a:custGeom>
          <a:avLst/>
          <a:gdLst/>
          <a:ahLst/>
          <a:cxnLst/>
          <a:rect l="0" t="0" r="0" b="0"/>
          <a:pathLst>
            <a:path>
              <a:moveTo>
                <a:pt x="81666" y="0"/>
              </a:moveTo>
              <a:lnTo>
                <a:pt x="81666" y="324150"/>
              </a:lnTo>
              <a:lnTo>
                <a:pt x="45720" y="32415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C881DB-567E-5A41-8255-F92097862D03}">
      <dsp:nvSpPr>
        <dsp:cNvPr id="0" name=""/>
        <dsp:cNvSpPr/>
      </dsp:nvSpPr>
      <dsp:spPr>
        <a:xfrm>
          <a:off x="5395915" y="3120537"/>
          <a:ext cx="97773" cy="557400"/>
        </a:xfrm>
        <a:custGeom>
          <a:avLst/>
          <a:gdLst/>
          <a:ahLst/>
          <a:cxnLst/>
          <a:rect l="0" t="0" r="0" b="0"/>
          <a:pathLst>
            <a:path>
              <a:moveTo>
                <a:pt x="0" y="0"/>
              </a:moveTo>
              <a:lnTo>
                <a:pt x="0" y="557400"/>
              </a:lnTo>
              <a:lnTo>
                <a:pt x="97773" y="55740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CC70A9-750A-1741-811F-4102B6F69804}">
      <dsp:nvSpPr>
        <dsp:cNvPr id="0" name=""/>
        <dsp:cNvSpPr/>
      </dsp:nvSpPr>
      <dsp:spPr>
        <a:xfrm>
          <a:off x="4635070" y="2167198"/>
          <a:ext cx="1014344" cy="250596"/>
        </a:xfrm>
        <a:custGeom>
          <a:avLst/>
          <a:gdLst/>
          <a:ahLst/>
          <a:cxnLst/>
          <a:rect l="0" t="0" r="0" b="0"/>
          <a:pathLst>
            <a:path>
              <a:moveTo>
                <a:pt x="0" y="0"/>
              </a:moveTo>
              <a:lnTo>
                <a:pt x="0" y="205044"/>
              </a:lnTo>
              <a:lnTo>
                <a:pt x="1014344" y="205044"/>
              </a:lnTo>
              <a:lnTo>
                <a:pt x="1014344" y="25059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D8AB9E-F6F7-2D41-B36F-4E113B9E5EA6}">
      <dsp:nvSpPr>
        <dsp:cNvPr id="0" name=""/>
        <dsp:cNvSpPr/>
      </dsp:nvSpPr>
      <dsp:spPr>
        <a:xfrm>
          <a:off x="4132682" y="3071688"/>
          <a:ext cx="91440" cy="1470712"/>
        </a:xfrm>
        <a:custGeom>
          <a:avLst/>
          <a:gdLst/>
          <a:ahLst/>
          <a:cxnLst/>
          <a:rect l="0" t="0" r="0" b="0"/>
          <a:pathLst>
            <a:path>
              <a:moveTo>
                <a:pt x="132333" y="0"/>
              </a:moveTo>
              <a:lnTo>
                <a:pt x="45720" y="147071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A21295-1A5F-E24E-8D07-AA13DB72FDCA}">
      <dsp:nvSpPr>
        <dsp:cNvPr id="0" name=""/>
        <dsp:cNvSpPr/>
      </dsp:nvSpPr>
      <dsp:spPr>
        <a:xfrm>
          <a:off x="3673977" y="3071688"/>
          <a:ext cx="591037" cy="1171770"/>
        </a:xfrm>
        <a:custGeom>
          <a:avLst/>
          <a:gdLst/>
          <a:ahLst/>
          <a:cxnLst/>
          <a:rect l="0" t="0" r="0" b="0"/>
          <a:pathLst>
            <a:path>
              <a:moveTo>
                <a:pt x="591037" y="0"/>
              </a:moveTo>
              <a:lnTo>
                <a:pt x="591037" y="1171770"/>
              </a:lnTo>
              <a:lnTo>
                <a:pt x="0" y="11717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514DE6-D10D-6044-94AA-7408D9D5DDC0}">
      <dsp:nvSpPr>
        <dsp:cNvPr id="0" name=""/>
        <dsp:cNvSpPr/>
      </dsp:nvSpPr>
      <dsp:spPr>
        <a:xfrm>
          <a:off x="4265015" y="3071688"/>
          <a:ext cx="97885" cy="552756"/>
        </a:xfrm>
        <a:custGeom>
          <a:avLst/>
          <a:gdLst/>
          <a:ahLst/>
          <a:cxnLst/>
          <a:rect l="0" t="0" r="0" b="0"/>
          <a:pathLst>
            <a:path>
              <a:moveTo>
                <a:pt x="0" y="0"/>
              </a:moveTo>
              <a:lnTo>
                <a:pt x="0" y="552756"/>
              </a:lnTo>
              <a:lnTo>
                <a:pt x="97885" y="55275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AC0E19-7E3F-8D44-94DB-B26550EB7A77}">
      <dsp:nvSpPr>
        <dsp:cNvPr id="0" name=""/>
        <dsp:cNvSpPr/>
      </dsp:nvSpPr>
      <dsp:spPr>
        <a:xfrm>
          <a:off x="4559973" y="2167198"/>
          <a:ext cx="91440" cy="327012"/>
        </a:xfrm>
        <a:custGeom>
          <a:avLst/>
          <a:gdLst/>
          <a:ahLst/>
          <a:cxnLst/>
          <a:rect l="0" t="0" r="0" b="0"/>
          <a:pathLst>
            <a:path>
              <a:moveTo>
                <a:pt x="75097" y="0"/>
              </a:moveTo>
              <a:lnTo>
                <a:pt x="75097" y="281460"/>
              </a:lnTo>
              <a:lnTo>
                <a:pt x="45720" y="281460"/>
              </a:lnTo>
              <a:lnTo>
                <a:pt x="45720" y="32701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309FA6-840B-C349-B9B0-8470A69ED859}">
      <dsp:nvSpPr>
        <dsp:cNvPr id="0" name=""/>
        <dsp:cNvSpPr/>
      </dsp:nvSpPr>
      <dsp:spPr>
        <a:xfrm>
          <a:off x="3693470" y="2167198"/>
          <a:ext cx="941600" cy="260068"/>
        </a:xfrm>
        <a:custGeom>
          <a:avLst/>
          <a:gdLst/>
          <a:ahLst/>
          <a:cxnLst/>
          <a:rect l="0" t="0" r="0" b="0"/>
          <a:pathLst>
            <a:path>
              <a:moveTo>
                <a:pt x="941600" y="0"/>
              </a:moveTo>
              <a:lnTo>
                <a:pt x="941600" y="214516"/>
              </a:lnTo>
              <a:lnTo>
                <a:pt x="0" y="214516"/>
              </a:lnTo>
              <a:lnTo>
                <a:pt x="0" y="26006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57EE52-1A99-8A4F-B904-4992607403D4}">
      <dsp:nvSpPr>
        <dsp:cNvPr id="0" name=""/>
        <dsp:cNvSpPr/>
      </dsp:nvSpPr>
      <dsp:spPr>
        <a:xfrm>
          <a:off x="2647714" y="1006401"/>
          <a:ext cx="1987355" cy="592018"/>
        </a:xfrm>
        <a:custGeom>
          <a:avLst/>
          <a:gdLst/>
          <a:ahLst/>
          <a:cxnLst/>
          <a:rect l="0" t="0" r="0" b="0"/>
          <a:pathLst>
            <a:path>
              <a:moveTo>
                <a:pt x="0" y="0"/>
              </a:moveTo>
              <a:lnTo>
                <a:pt x="0" y="546466"/>
              </a:lnTo>
              <a:lnTo>
                <a:pt x="1987355" y="546466"/>
              </a:lnTo>
              <a:lnTo>
                <a:pt x="1987355" y="59201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2E2679-E507-BB49-B97E-74B6AC874390}">
      <dsp:nvSpPr>
        <dsp:cNvPr id="0" name=""/>
        <dsp:cNvSpPr/>
      </dsp:nvSpPr>
      <dsp:spPr>
        <a:xfrm>
          <a:off x="2418440" y="2941758"/>
          <a:ext cx="273597" cy="520225"/>
        </a:xfrm>
        <a:custGeom>
          <a:avLst/>
          <a:gdLst/>
          <a:ahLst/>
          <a:cxnLst/>
          <a:rect l="0" t="0" r="0" b="0"/>
          <a:pathLst>
            <a:path>
              <a:moveTo>
                <a:pt x="273597" y="0"/>
              </a:moveTo>
              <a:lnTo>
                <a:pt x="0" y="52022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BF9481-05A5-8C43-8DB7-EF26791C872F}">
      <dsp:nvSpPr>
        <dsp:cNvPr id="0" name=""/>
        <dsp:cNvSpPr/>
      </dsp:nvSpPr>
      <dsp:spPr>
        <a:xfrm>
          <a:off x="2069107" y="2128032"/>
          <a:ext cx="877708" cy="143644"/>
        </a:xfrm>
        <a:custGeom>
          <a:avLst/>
          <a:gdLst/>
          <a:ahLst/>
          <a:cxnLst/>
          <a:rect l="0" t="0" r="0" b="0"/>
          <a:pathLst>
            <a:path>
              <a:moveTo>
                <a:pt x="0" y="0"/>
              </a:moveTo>
              <a:lnTo>
                <a:pt x="0" y="98092"/>
              </a:lnTo>
              <a:lnTo>
                <a:pt x="877708" y="98092"/>
              </a:lnTo>
              <a:lnTo>
                <a:pt x="877708" y="143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177DD6-D224-4349-9DA6-BAF2DC69EFA6}">
      <dsp:nvSpPr>
        <dsp:cNvPr id="0" name=""/>
        <dsp:cNvSpPr/>
      </dsp:nvSpPr>
      <dsp:spPr>
        <a:xfrm>
          <a:off x="2069107" y="2128032"/>
          <a:ext cx="145144" cy="137807"/>
        </a:xfrm>
        <a:custGeom>
          <a:avLst/>
          <a:gdLst/>
          <a:ahLst/>
          <a:cxnLst/>
          <a:rect l="0" t="0" r="0" b="0"/>
          <a:pathLst>
            <a:path>
              <a:moveTo>
                <a:pt x="0" y="0"/>
              </a:moveTo>
              <a:lnTo>
                <a:pt x="0" y="92255"/>
              </a:lnTo>
              <a:lnTo>
                <a:pt x="145144" y="92255"/>
              </a:lnTo>
              <a:lnTo>
                <a:pt x="145144" y="13780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0BDC8E-E954-AE40-B872-4084A426BDBB}">
      <dsp:nvSpPr>
        <dsp:cNvPr id="0" name=""/>
        <dsp:cNvSpPr/>
      </dsp:nvSpPr>
      <dsp:spPr>
        <a:xfrm>
          <a:off x="980411" y="3036545"/>
          <a:ext cx="104533" cy="771874"/>
        </a:xfrm>
        <a:custGeom>
          <a:avLst/>
          <a:gdLst/>
          <a:ahLst/>
          <a:cxnLst/>
          <a:rect l="0" t="0" r="0" b="0"/>
          <a:pathLst>
            <a:path>
              <a:moveTo>
                <a:pt x="0" y="0"/>
              </a:moveTo>
              <a:lnTo>
                <a:pt x="0" y="771874"/>
              </a:lnTo>
              <a:lnTo>
                <a:pt x="104533" y="77187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7D6BBB-0790-6847-8C36-4EE0E60785BA}">
      <dsp:nvSpPr>
        <dsp:cNvPr id="0" name=""/>
        <dsp:cNvSpPr/>
      </dsp:nvSpPr>
      <dsp:spPr>
        <a:xfrm>
          <a:off x="1200167" y="2128032"/>
          <a:ext cx="868940" cy="143644"/>
        </a:xfrm>
        <a:custGeom>
          <a:avLst/>
          <a:gdLst/>
          <a:ahLst/>
          <a:cxnLst/>
          <a:rect l="0" t="0" r="0" b="0"/>
          <a:pathLst>
            <a:path>
              <a:moveTo>
                <a:pt x="868940" y="0"/>
              </a:moveTo>
              <a:lnTo>
                <a:pt x="868940" y="98092"/>
              </a:lnTo>
              <a:lnTo>
                <a:pt x="0" y="98092"/>
              </a:lnTo>
              <a:lnTo>
                <a:pt x="0" y="1436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04C972-AF2B-074D-9FC5-F50B351B04A5}">
      <dsp:nvSpPr>
        <dsp:cNvPr id="0" name=""/>
        <dsp:cNvSpPr/>
      </dsp:nvSpPr>
      <dsp:spPr>
        <a:xfrm>
          <a:off x="2069107" y="1006401"/>
          <a:ext cx="578606" cy="662073"/>
        </a:xfrm>
        <a:custGeom>
          <a:avLst/>
          <a:gdLst/>
          <a:ahLst/>
          <a:cxnLst/>
          <a:rect l="0" t="0" r="0" b="0"/>
          <a:pathLst>
            <a:path>
              <a:moveTo>
                <a:pt x="578606" y="0"/>
              </a:moveTo>
              <a:lnTo>
                <a:pt x="578606" y="616521"/>
              </a:lnTo>
              <a:lnTo>
                <a:pt x="0" y="616521"/>
              </a:lnTo>
              <a:lnTo>
                <a:pt x="0" y="66207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469A38-36B4-D44E-BE47-BFBCFF34221E}">
      <dsp:nvSpPr>
        <dsp:cNvPr id="0" name=""/>
        <dsp:cNvSpPr/>
      </dsp:nvSpPr>
      <dsp:spPr>
        <a:xfrm>
          <a:off x="24909" y="1871098"/>
          <a:ext cx="91440" cy="2365169"/>
        </a:xfrm>
        <a:custGeom>
          <a:avLst/>
          <a:gdLst/>
          <a:ahLst/>
          <a:cxnLst/>
          <a:rect l="0" t="0" r="0" b="0"/>
          <a:pathLst>
            <a:path>
              <a:moveTo>
                <a:pt x="45720" y="0"/>
              </a:moveTo>
              <a:lnTo>
                <a:pt x="45720" y="2365169"/>
              </a:lnTo>
              <a:lnTo>
                <a:pt x="64225" y="236516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99EA23-E08F-7A4C-938E-AFCF2D49168D}">
      <dsp:nvSpPr>
        <dsp:cNvPr id="0" name=""/>
        <dsp:cNvSpPr/>
      </dsp:nvSpPr>
      <dsp:spPr>
        <a:xfrm>
          <a:off x="70629" y="1871098"/>
          <a:ext cx="109947" cy="1527268"/>
        </a:xfrm>
        <a:custGeom>
          <a:avLst/>
          <a:gdLst/>
          <a:ahLst/>
          <a:cxnLst/>
          <a:rect l="0" t="0" r="0" b="0"/>
          <a:pathLst>
            <a:path>
              <a:moveTo>
                <a:pt x="0" y="0"/>
              </a:moveTo>
              <a:lnTo>
                <a:pt x="0" y="1527268"/>
              </a:lnTo>
              <a:lnTo>
                <a:pt x="109947" y="152726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44FD43-CEA7-5549-8070-2CC7B864CA75}">
      <dsp:nvSpPr>
        <dsp:cNvPr id="0" name=""/>
        <dsp:cNvSpPr/>
      </dsp:nvSpPr>
      <dsp:spPr>
        <a:xfrm>
          <a:off x="70629" y="1871098"/>
          <a:ext cx="118602" cy="609518"/>
        </a:xfrm>
        <a:custGeom>
          <a:avLst/>
          <a:gdLst/>
          <a:ahLst/>
          <a:cxnLst/>
          <a:rect l="0" t="0" r="0" b="0"/>
          <a:pathLst>
            <a:path>
              <a:moveTo>
                <a:pt x="0" y="0"/>
              </a:moveTo>
              <a:lnTo>
                <a:pt x="0" y="609518"/>
              </a:lnTo>
              <a:lnTo>
                <a:pt x="118602" y="60951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96F158-4ED2-FD48-838E-E7E52249E52D}">
      <dsp:nvSpPr>
        <dsp:cNvPr id="0" name=""/>
        <dsp:cNvSpPr/>
      </dsp:nvSpPr>
      <dsp:spPr>
        <a:xfrm>
          <a:off x="342304" y="1006401"/>
          <a:ext cx="2305410" cy="592018"/>
        </a:xfrm>
        <a:custGeom>
          <a:avLst/>
          <a:gdLst/>
          <a:ahLst/>
          <a:cxnLst/>
          <a:rect l="0" t="0" r="0" b="0"/>
          <a:pathLst>
            <a:path>
              <a:moveTo>
                <a:pt x="2305410" y="0"/>
              </a:moveTo>
              <a:lnTo>
                <a:pt x="2305410" y="546466"/>
              </a:lnTo>
              <a:lnTo>
                <a:pt x="0" y="546466"/>
              </a:lnTo>
              <a:lnTo>
                <a:pt x="0" y="59201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55FD9A-4CF6-5541-A547-7521BE29540B}">
      <dsp:nvSpPr>
        <dsp:cNvPr id="0" name=""/>
        <dsp:cNvSpPr/>
      </dsp:nvSpPr>
      <dsp:spPr>
        <a:xfrm>
          <a:off x="962064" y="588085"/>
          <a:ext cx="3371300" cy="4183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Font typeface="+mj-lt"/>
            <a:buNone/>
          </a:pPr>
          <a:r>
            <a:rPr lang="en-GB" sz="800" b="1" kern="1200">
              <a:latin typeface="Arial" panose="020B0604020202020204" pitchFamily="34" charset="0"/>
              <a:cs typeface="Arial" panose="020B0604020202020204" pitchFamily="34" charset="0"/>
            </a:rPr>
            <a:t>The Rich Picture of Professor Amit Patel (43) </a:t>
          </a:r>
        </a:p>
        <a:p>
          <a:pPr marL="0" lvl="0" indent="0" algn="ctr" defTabSz="355600">
            <a:lnSpc>
              <a:spcPct val="90000"/>
            </a:lnSpc>
            <a:spcBef>
              <a:spcPct val="0"/>
            </a:spcBef>
            <a:spcAft>
              <a:spcPct val="35000"/>
            </a:spcAft>
            <a:buFont typeface="+mj-lt"/>
            <a:buNone/>
          </a:pPr>
          <a:r>
            <a:rPr lang="en-GB" sz="800" b="1" kern="1200">
              <a:latin typeface="Arial" panose="020B0604020202020204" pitchFamily="34" charset="0"/>
              <a:cs typeface="Arial" panose="020B0604020202020204" pitchFamily="34" charset="0"/>
            </a:rPr>
            <a:t>Consultant Respiratory Physician - Best National HLH Expert - Case Study</a:t>
          </a:r>
          <a:endParaRPr lang="en-GB" sz="800" kern="1200">
            <a:latin typeface="Arial" panose="020B0604020202020204" pitchFamily="34" charset="0"/>
            <a:cs typeface="Arial" panose="020B0604020202020204" pitchFamily="34" charset="0"/>
          </a:endParaRPr>
        </a:p>
      </dsp:txBody>
      <dsp:txXfrm>
        <a:off x="962064" y="588085"/>
        <a:ext cx="3371300" cy="418316"/>
      </dsp:txXfrm>
    </dsp:sp>
    <dsp:sp modelId="{4638B459-FEE1-6147-9DA4-3E5D5B83E746}">
      <dsp:nvSpPr>
        <dsp:cNvPr id="0" name=""/>
        <dsp:cNvSpPr/>
      </dsp:nvSpPr>
      <dsp:spPr>
        <a:xfrm>
          <a:off x="2710" y="1598420"/>
          <a:ext cx="679187" cy="27267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Informed consent was not acquired</a:t>
          </a:r>
          <a:endParaRPr lang="en-GB" sz="500" kern="1200">
            <a:latin typeface="Arial" panose="020B0604020202020204" pitchFamily="34" charset="0"/>
            <a:cs typeface="Arial" panose="020B0604020202020204" pitchFamily="34" charset="0"/>
          </a:endParaRPr>
        </a:p>
      </dsp:txBody>
      <dsp:txXfrm>
        <a:off x="2710" y="1598420"/>
        <a:ext cx="679187" cy="272678"/>
      </dsp:txXfrm>
    </dsp:sp>
    <dsp:sp modelId="{85DFDFE4-16DF-3D4C-91CD-006F18031706}">
      <dsp:nvSpPr>
        <dsp:cNvPr id="0" name=""/>
        <dsp:cNvSpPr/>
      </dsp:nvSpPr>
      <dsp:spPr>
        <a:xfrm>
          <a:off x="189231" y="2126253"/>
          <a:ext cx="638507" cy="70872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DIC and its limited diagnostic yield have not been communicated to the multi-disciplinary panel (MTD): Broken feedback loop. </a:t>
          </a:r>
        </a:p>
      </dsp:txBody>
      <dsp:txXfrm>
        <a:off x="189231" y="2126253"/>
        <a:ext cx="638507" cy="708724"/>
      </dsp:txXfrm>
    </dsp:sp>
    <dsp:sp modelId="{9D11A5D1-D24A-E94E-A2DE-097F05ABF4DC}">
      <dsp:nvSpPr>
        <dsp:cNvPr id="0" name=""/>
        <dsp:cNvSpPr/>
      </dsp:nvSpPr>
      <dsp:spPr>
        <a:xfrm>
          <a:off x="180576" y="3015186"/>
          <a:ext cx="597944" cy="76636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MTD recommended Endobronchial ultrasound-guided biopsy (EBUS)</a:t>
          </a:r>
          <a:r>
            <a:rPr lang="en-GB" sz="500" b="1" kern="1200">
              <a:latin typeface="Arial" panose="020B0604020202020204" pitchFamily="34" charset="0"/>
              <a:cs typeface="Arial" panose="020B0604020202020204" pitchFamily="34" charset="0"/>
            </a:rPr>
            <a:t>, </a:t>
          </a:r>
          <a:r>
            <a:rPr lang="en-GB" sz="500" kern="1200">
              <a:latin typeface="Arial" panose="020B0604020202020204" pitchFamily="34" charset="0"/>
              <a:cs typeface="Arial" panose="020B0604020202020204" pitchFamily="34" charset="0"/>
            </a:rPr>
            <a:t>to identify the HLH trigger</a:t>
          </a:r>
          <a:r>
            <a:rPr lang="en-GB" sz="500" b="1" kern="1200">
              <a:latin typeface="Arial" panose="020B0604020202020204" pitchFamily="34" charset="0"/>
              <a:cs typeface="Arial" panose="020B0604020202020204" pitchFamily="34" charset="0"/>
            </a:rPr>
            <a:t>.</a:t>
          </a:r>
          <a:endParaRPr lang="en-GB" sz="500" kern="1200">
            <a:latin typeface="Arial" panose="020B0604020202020204" pitchFamily="34" charset="0"/>
            <a:cs typeface="Arial" panose="020B0604020202020204" pitchFamily="34" charset="0"/>
          </a:endParaRPr>
        </a:p>
      </dsp:txBody>
      <dsp:txXfrm>
        <a:off x="180576" y="3015186"/>
        <a:ext cx="597944" cy="766360"/>
      </dsp:txXfrm>
    </dsp:sp>
    <dsp:sp modelId="{1B585BE1-01A0-6E40-96CF-0549941E3830}">
      <dsp:nvSpPr>
        <dsp:cNvPr id="0" name=""/>
        <dsp:cNvSpPr/>
      </dsp:nvSpPr>
      <dsp:spPr>
        <a:xfrm>
          <a:off x="89134" y="3951969"/>
          <a:ext cx="673417" cy="56859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Sep 2, 2021: EBUS operation performed.</a:t>
          </a:r>
        </a:p>
      </dsp:txBody>
      <dsp:txXfrm>
        <a:off x="89134" y="3951969"/>
        <a:ext cx="673417" cy="568596"/>
      </dsp:txXfrm>
    </dsp:sp>
    <dsp:sp modelId="{FA715759-BCD4-EC40-A09E-120B81C97125}">
      <dsp:nvSpPr>
        <dsp:cNvPr id="0" name=""/>
        <dsp:cNvSpPr/>
      </dsp:nvSpPr>
      <dsp:spPr>
        <a:xfrm>
          <a:off x="1458382" y="1668474"/>
          <a:ext cx="1221450" cy="4595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Dr. Patel</a:t>
          </a:r>
          <a:r>
            <a:rPr lang="en-GB" sz="500" kern="1200">
              <a:latin typeface="Arial" panose="020B0604020202020204" pitchFamily="34" charset="0"/>
              <a:cs typeface="Arial" panose="020B0604020202020204" pitchFamily="34" charset="0"/>
            </a:rPr>
            <a:t> suspected HLH, yet d</a:t>
          </a:r>
          <a:r>
            <a:rPr lang="en-GB" sz="500" b="0" kern="1200">
              <a:latin typeface="Arial" panose="020B0604020202020204" pitchFamily="34" charset="0"/>
              <a:cs typeface="Arial" panose="020B0604020202020204" pitchFamily="34" charset="0"/>
            </a:rPr>
            <a:t>ismissed by Medics staff "had never heard of HLH"</a:t>
          </a:r>
          <a:r>
            <a:rPr lang="en-GB" sz="500" b="1" kern="1200">
              <a:latin typeface="Arial" panose="020B0604020202020204" pitchFamily="34" charset="0"/>
              <a:cs typeface="Arial" panose="020B0604020202020204" pitchFamily="34" charset="0"/>
            </a:rPr>
            <a:t>. </a:t>
          </a:r>
          <a:r>
            <a:rPr lang="en-GB" sz="500" kern="1200">
              <a:latin typeface="Arial" panose="020B0604020202020204" pitchFamily="34" charset="0"/>
              <a:cs typeface="Arial" panose="020B0604020202020204" pitchFamily="34" charset="0"/>
            </a:rPr>
            <a:t>Hierarchical, dismissive of patient expertise.</a:t>
          </a:r>
        </a:p>
      </dsp:txBody>
      <dsp:txXfrm>
        <a:off x="1458382" y="1668474"/>
        <a:ext cx="1221450" cy="459558"/>
      </dsp:txXfrm>
    </dsp:sp>
    <dsp:sp modelId="{C91EF84F-D9FB-474B-A289-5715D3A46426}">
      <dsp:nvSpPr>
        <dsp:cNvPr id="0" name=""/>
        <dsp:cNvSpPr/>
      </dsp:nvSpPr>
      <dsp:spPr>
        <a:xfrm>
          <a:off x="925472" y="2271677"/>
          <a:ext cx="549390" cy="7648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The staff informed him that his condition did not warrant admission to intensive care.</a:t>
          </a:r>
          <a:endParaRPr lang="en-GB" sz="500" kern="1200">
            <a:latin typeface="Arial" panose="020B0604020202020204" pitchFamily="34" charset="0"/>
            <a:cs typeface="Arial" panose="020B0604020202020204" pitchFamily="34" charset="0"/>
          </a:endParaRPr>
        </a:p>
      </dsp:txBody>
      <dsp:txXfrm>
        <a:off x="925472" y="2271677"/>
        <a:ext cx="549390" cy="764868"/>
      </dsp:txXfrm>
    </dsp:sp>
    <dsp:sp modelId="{CCCF1568-E5BD-144D-9135-B65305B574FD}">
      <dsp:nvSpPr>
        <dsp:cNvPr id="0" name=""/>
        <dsp:cNvSpPr/>
      </dsp:nvSpPr>
      <dsp:spPr>
        <a:xfrm>
          <a:off x="1084944" y="3375360"/>
          <a:ext cx="743181" cy="86611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Professor Patel asserted the necessity for immediate treatment with immunosuppressants, emphasising that "time was of the essence”, However, physicians ignored him and commenced steroid treatment.</a:t>
          </a:r>
        </a:p>
      </dsp:txBody>
      <dsp:txXfrm>
        <a:off x="1084944" y="3375360"/>
        <a:ext cx="743181" cy="866119"/>
      </dsp:txXfrm>
    </dsp:sp>
    <dsp:sp modelId="{689D0E37-40AE-1E4F-B599-F9F93F39439F}">
      <dsp:nvSpPr>
        <dsp:cNvPr id="0" name=""/>
        <dsp:cNvSpPr/>
      </dsp:nvSpPr>
      <dsp:spPr>
        <a:xfrm>
          <a:off x="1908779" y="2265840"/>
          <a:ext cx="610946" cy="86476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Rheumatologists were "sceptical" about the diagnosis of Still's disease </a:t>
          </a:r>
          <a:r>
            <a:rPr lang="en-GB" sz="500" kern="1200">
              <a:latin typeface="Arial" panose="020B0604020202020204" pitchFamily="34" charset="0"/>
              <a:cs typeface="Arial" panose="020B0604020202020204" pitchFamily="34" charset="0"/>
            </a:rPr>
            <a:t>(</a:t>
          </a:r>
          <a:r>
            <a:rPr lang="en-GB" sz="500" b="0" kern="1200">
              <a:latin typeface="Arial" panose="020B0604020202020204" pitchFamily="34" charset="0"/>
              <a:cs typeface="Arial" panose="020B0604020202020204" pitchFamily="34" charset="0"/>
            </a:rPr>
            <a:t>rare inflammatory condition). R</a:t>
          </a:r>
          <a:r>
            <a:rPr lang="en-GB" sz="500" kern="1200"/>
            <a:t>igid adherence to hierarchy.</a:t>
          </a:r>
          <a:endParaRPr lang="en-GB" sz="500" kern="1200">
            <a:latin typeface="Arial" panose="020B0604020202020204" pitchFamily="34" charset="0"/>
            <a:cs typeface="Arial" panose="020B0604020202020204" pitchFamily="34" charset="0"/>
          </a:endParaRPr>
        </a:p>
      </dsp:txBody>
      <dsp:txXfrm>
        <a:off x="1908779" y="2265840"/>
        <a:ext cx="610946" cy="864766"/>
      </dsp:txXfrm>
    </dsp:sp>
    <dsp:sp modelId="{254C7B03-7AD6-6A4D-A447-E7A20B38C97D}">
      <dsp:nvSpPr>
        <dsp:cNvPr id="0" name=""/>
        <dsp:cNvSpPr/>
      </dsp:nvSpPr>
      <dsp:spPr>
        <a:xfrm>
          <a:off x="2628343" y="2271677"/>
          <a:ext cx="636945" cy="67008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Blood test completed - Bleeding disorder identified - Disseminated Intravascular Coagulation (DIC), Information flow broken.</a:t>
          </a:r>
        </a:p>
      </dsp:txBody>
      <dsp:txXfrm>
        <a:off x="2628343" y="2271677"/>
        <a:ext cx="636945" cy="670081"/>
      </dsp:txXfrm>
    </dsp:sp>
    <dsp:sp modelId="{1A4778DD-B025-CF43-8886-F2D88AF158D6}">
      <dsp:nvSpPr>
        <dsp:cNvPr id="0" name=""/>
        <dsp:cNvSpPr/>
      </dsp:nvSpPr>
      <dsp:spPr>
        <a:xfrm>
          <a:off x="2418440" y="3179351"/>
          <a:ext cx="1049394" cy="56526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Operation Considered: assessed for splenectomy to manage HLH but deemed to be too risky.</a:t>
          </a:r>
        </a:p>
      </dsp:txBody>
      <dsp:txXfrm>
        <a:off x="2418440" y="3179351"/>
        <a:ext cx="1049394" cy="565266"/>
      </dsp:txXfrm>
    </dsp:sp>
    <dsp:sp modelId="{2177EBE5-4488-124C-ABCF-DDB4B2051965}">
      <dsp:nvSpPr>
        <dsp:cNvPr id="0" name=""/>
        <dsp:cNvSpPr/>
      </dsp:nvSpPr>
      <dsp:spPr>
        <a:xfrm>
          <a:off x="3958212" y="1598420"/>
          <a:ext cx="1353715" cy="56877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b="0" kern="1200">
              <a:latin typeface="Arial" panose="020B0604020202020204" pitchFamily="34" charset="0"/>
              <a:cs typeface="Arial" panose="020B0604020202020204" pitchFamily="34" charset="0"/>
            </a:rPr>
            <a:t>Dr. Patel self-diagnosed Still's disease which induces immune reaction - hemophagocytic lymphohistiocytosis (HLH).</a:t>
          </a:r>
          <a:endParaRPr lang="en-GB" sz="500" kern="1200">
            <a:latin typeface="Arial" panose="020B0604020202020204" pitchFamily="34" charset="0"/>
            <a:cs typeface="Arial" panose="020B0604020202020204" pitchFamily="34" charset="0"/>
          </a:endParaRPr>
        </a:p>
      </dsp:txBody>
      <dsp:txXfrm>
        <a:off x="3958212" y="1598420"/>
        <a:ext cx="1353715" cy="568778"/>
      </dsp:txXfrm>
    </dsp:sp>
    <dsp:sp modelId="{04B508CF-8FE4-B74F-83C3-7BCEEA8CA062}">
      <dsp:nvSpPr>
        <dsp:cNvPr id="0" name=""/>
        <dsp:cNvSpPr/>
      </dsp:nvSpPr>
      <dsp:spPr>
        <a:xfrm>
          <a:off x="3408209" y="2427267"/>
          <a:ext cx="570522" cy="59898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Dr. Patel </a:t>
          </a:r>
          <a:r>
            <a:rPr lang="en-GB" sz="500" b="0" kern="1200">
              <a:latin typeface="Arial" panose="020B0604020202020204" pitchFamily="34" charset="0"/>
              <a:cs typeface="Arial" panose="020B0604020202020204" pitchFamily="34" charset="0"/>
            </a:rPr>
            <a:t>told his wife Dr. Shivani Tanna "I'm going to die here.” Failure to escalate, </a:t>
          </a:r>
          <a:r>
            <a:rPr lang="en-GB" sz="500" kern="1200"/>
            <a:t>advocate ignored</a:t>
          </a:r>
          <a:r>
            <a:rPr lang="en-GB" sz="500" b="0" kern="1200">
              <a:latin typeface="Arial" panose="020B0604020202020204" pitchFamily="34" charset="0"/>
              <a:cs typeface="Arial" panose="020B0604020202020204" pitchFamily="34" charset="0"/>
            </a:rPr>
            <a:t>.</a:t>
          </a:r>
          <a:endParaRPr lang="en-GB" sz="500" kern="1200">
            <a:latin typeface="Arial" panose="020B0604020202020204" pitchFamily="34" charset="0"/>
            <a:cs typeface="Arial" panose="020B0604020202020204" pitchFamily="34" charset="0"/>
          </a:endParaRPr>
        </a:p>
      </dsp:txBody>
      <dsp:txXfrm>
        <a:off x="3408209" y="2427267"/>
        <a:ext cx="570522" cy="598985"/>
      </dsp:txXfrm>
    </dsp:sp>
    <dsp:sp modelId="{2A32BF8D-85C6-554D-8185-1AE4BBB6C0DE}">
      <dsp:nvSpPr>
        <dsp:cNvPr id="0" name=""/>
        <dsp:cNvSpPr/>
      </dsp:nvSpPr>
      <dsp:spPr>
        <a:xfrm>
          <a:off x="4179845" y="2494211"/>
          <a:ext cx="851694" cy="577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Sept 2, 2021: Dr. Patels' lungs haemorrhage post-procedure, reducing his survival from 75% to 10%.</a:t>
          </a:r>
        </a:p>
      </dsp:txBody>
      <dsp:txXfrm>
        <a:off x="4179845" y="2494211"/>
        <a:ext cx="851694" cy="577476"/>
      </dsp:txXfrm>
    </dsp:sp>
    <dsp:sp modelId="{AD2ACA57-44F6-B54D-853C-2C3568917C12}">
      <dsp:nvSpPr>
        <dsp:cNvPr id="0" name=""/>
        <dsp:cNvSpPr/>
      </dsp:nvSpPr>
      <dsp:spPr>
        <a:xfrm>
          <a:off x="4362900" y="3310384"/>
          <a:ext cx="630598" cy="62811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Oct 28, 2021: Professor Amit Patel succumbed to complications arising from a severe haemorrhage.</a:t>
          </a:r>
        </a:p>
      </dsp:txBody>
      <dsp:txXfrm>
        <a:off x="4362900" y="3310384"/>
        <a:ext cx="630598" cy="628119"/>
      </dsp:txXfrm>
    </dsp:sp>
    <dsp:sp modelId="{39FF6CF1-6B6F-BC42-8D89-663448615CBC}">
      <dsp:nvSpPr>
        <dsp:cNvPr id="0" name=""/>
        <dsp:cNvSpPr/>
      </dsp:nvSpPr>
      <dsp:spPr>
        <a:xfrm>
          <a:off x="2452505" y="3955043"/>
          <a:ext cx="1221472" cy="57683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May 6, 2024: Initial inquest hearing documented, and specifics of the catastrophic haemorrhage disclosed.</a:t>
          </a:r>
        </a:p>
      </dsp:txBody>
      <dsp:txXfrm>
        <a:off x="2452505" y="3955043"/>
        <a:ext cx="1221472" cy="576830"/>
      </dsp:txXfrm>
    </dsp:sp>
    <dsp:sp modelId="{A835B2EA-3109-BA4C-BDD2-572D37121953}">
      <dsp:nvSpPr>
        <dsp:cNvPr id="0" name=""/>
        <dsp:cNvSpPr/>
      </dsp:nvSpPr>
      <dsp:spPr>
        <a:xfrm>
          <a:off x="4178402" y="4314040"/>
          <a:ext cx="1456563" cy="45672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May 31, 2024, the coroner concluded that the EBUS advice was unjustified, and that Patel did not provide informed consent.</a:t>
          </a:r>
        </a:p>
      </dsp:txBody>
      <dsp:txXfrm>
        <a:off x="4178402" y="4314040"/>
        <a:ext cx="1456563" cy="456720"/>
      </dsp:txXfrm>
    </dsp:sp>
    <dsp:sp modelId="{88747D45-C94A-AE40-BCD9-A7222C4369D5}">
      <dsp:nvSpPr>
        <dsp:cNvPr id="0" name=""/>
        <dsp:cNvSpPr/>
      </dsp:nvSpPr>
      <dsp:spPr>
        <a:xfrm>
          <a:off x="5332540" y="2417794"/>
          <a:ext cx="633748" cy="70274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Sep 2, 2021: Admitted to Manchester Royal Infirmary for urgent medical intervention.</a:t>
          </a:r>
        </a:p>
      </dsp:txBody>
      <dsp:txXfrm>
        <a:off x="5332540" y="2417794"/>
        <a:ext cx="633748" cy="702742"/>
      </dsp:txXfrm>
    </dsp:sp>
    <dsp:sp modelId="{ED0D5408-4AE5-B547-9F70-4B23FA03BA77}">
      <dsp:nvSpPr>
        <dsp:cNvPr id="0" name=""/>
        <dsp:cNvSpPr/>
      </dsp:nvSpPr>
      <dsp:spPr>
        <a:xfrm>
          <a:off x="5493688" y="3312861"/>
          <a:ext cx="1004901" cy="73015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Sep 2 -  Oct 28: </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Dr. Patels Condition persists in declining despite urgent medical intervention.</a:t>
          </a:r>
        </a:p>
      </dsp:txBody>
      <dsp:txXfrm>
        <a:off x="5493688" y="3312861"/>
        <a:ext cx="1004901" cy="730151"/>
      </dsp:txXfrm>
    </dsp:sp>
    <dsp:sp modelId="{6306E49C-2304-2444-9647-A1D0AA5F9AC0}">
      <dsp:nvSpPr>
        <dsp:cNvPr id="0" name=""/>
        <dsp:cNvSpPr/>
      </dsp:nvSpPr>
      <dsp:spPr>
        <a:xfrm>
          <a:off x="1732672" y="1153787"/>
          <a:ext cx="879095" cy="35352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b="0" kern="1200">
              <a:latin typeface="Arial" panose="020B0604020202020204" pitchFamily="34" charset="0"/>
              <a:cs typeface="Arial" panose="020B0604020202020204" pitchFamily="34" charset="0"/>
            </a:rPr>
            <a:t>Admitted in August 2021 to Wythenshawe Hospital, Manchester</a:t>
          </a:r>
          <a:endParaRPr lang="en-GB" sz="500" kern="1200">
            <a:latin typeface="Arial" panose="020B0604020202020204" pitchFamily="34" charset="0"/>
            <a:cs typeface="Arial" panose="020B0604020202020204" pitchFamily="34" charset="0"/>
          </a:endParaRPr>
        </a:p>
      </dsp:txBody>
      <dsp:txXfrm>
        <a:off x="1732672" y="1153787"/>
        <a:ext cx="879095" cy="35352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577</TotalTime>
  <Pages>19</Pages>
  <Words>6864</Words>
  <Characters>39130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420</cp:revision>
  <dcterms:created xsi:type="dcterms:W3CDTF">2026-03-22T12:24:00Z</dcterms:created>
  <dcterms:modified xsi:type="dcterms:W3CDTF">2026-04-03T08:52:00Z</dcterms:modified>
</cp:coreProperties>
</file>