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359123359"/>
        <w:docPartObj>
          <w:docPartGallery w:val="Cover Pages"/>
          <w:docPartUnique/>
        </w:docPartObj>
      </w:sdtPr>
      <w:sdtEndPr>
        <w:rPr>
          <w:rFonts w:ascii="Times New Roman" w:hAnsi="Times New Roman" w:cs="Times New Roman"/>
          <w:b/>
          <w:bCs/>
          <w:color w:val="BF4E14" w:themeColor="accent2" w:themeShade="BF"/>
          <w:u w:val="thick"/>
        </w:rPr>
      </w:sdtEndPr>
      <w:sdtContent>
        <w:p w14:paraId="392585E4" w14:textId="57DDDBF9" w:rsidR="00C8584B" w:rsidRDefault="00C8584B"/>
        <w:p w14:paraId="3E468680" w14:textId="657347FC" w:rsidR="00C8584B" w:rsidRDefault="00C8584B">
          <w:pPr>
            <w:rPr>
              <w:rFonts w:ascii="Times New Roman" w:hAnsi="Times New Roman" w:cs="Times New Roman"/>
              <w:b/>
              <w:bCs/>
              <w:color w:val="BF4E14" w:themeColor="accent2" w:themeShade="BF"/>
              <w:u w:val="thick"/>
            </w:rPr>
          </w:pPr>
          <w:r>
            <w:rPr>
              <w:noProof/>
            </w:rPr>
            <mc:AlternateContent>
              <mc:Choice Requires="wps">
                <w:drawing>
                  <wp:anchor distT="0" distB="0" distL="114300" distR="114300" simplePos="0" relativeHeight="251662336" behindDoc="0" locked="0" layoutInCell="1" allowOverlap="1" wp14:anchorId="3F8554CE" wp14:editId="791345F7">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Black" w:hAnsi="Arial Black"/>
                                    <w:caps/>
                                    <w:color w:val="BF4E14" w:themeColor="accent2" w:themeShade="BF"/>
                                    <w:sz w:val="40"/>
                                    <w:szCs w:val="40"/>
                                    <w:u w:val="thick"/>
                                  </w:rPr>
                                  <w:alias w:val="Publish Date"/>
                                  <w:tag w:val=""/>
                                  <w:id w:val="400952559"/>
                                  <w:dataBinding w:prefixMappings="xmlns:ns0='http://schemas.microsoft.com/office/2006/coverPageProps' " w:xpath="/ns0:CoverPageProperties[1]/ns0:PublishDate[1]" w:storeItemID="{55AF091B-3C7A-41E3-B477-F2FDAA23CFDA}"/>
                                  <w:date w:fullDate="2025-12-12T00:00:00Z">
                                    <w:dateFormat w:val="MMMM d, yyyy"/>
                                    <w:lid w:val="en-US"/>
                                    <w:storeMappedDataAs w:val="dateTime"/>
                                    <w:calendar w:val="gregorian"/>
                                  </w:date>
                                </w:sdtPr>
                                <w:sdtContent>
                                  <w:p w14:paraId="27E67185" w14:textId="1886E82A" w:rsidR="00C8584B" w:rsidRPr="00C8584B" w:rsidRDefault="00C8584B">
                                    <w:pPr>
                                      <w:pStyle w:val="NoSpacing"/>
                                      <w:jc w:val="right"/>
                                      <w:rPr>
                                        <w:rFonts w:ascii="Arial Black" w:hAnsi="Arial Black"/>
                                        <w:caps/>
                                        <w:color w:val="BF4E14" w:themeColor="accent2" w:themeShade="BF"/>
                                        <w:sz w:val="40"/>
                                        <w:szCs w:val="40"/>
                                        <w:u w:val="thick"/>
                                      </w:rPr>
                                    </w:pPr>
                                    <w:r w:rsidRPr="00C8584B">
                                      <w:rPr>
                                        <w:rFonts w:ascii="Arial Black" w:hAnsi="Arial Black"/>
                                        <w:caps/>
                                        <w:color w:val="BF4E14" w:themeColor="accent2" w:themeShade="BF"/>
                                        <w:sz w:val="40"/>
                                        <w:szCs w:val="40"/>
                                        <w:u w:val="thick"/>
                                      </w:rPr>
                                      <w:t>December 12, 2025</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3F8554CE" id="_x0000_t202" coordsize="21600,21600" o:spt="202" path="m,l,21600r21600,l21600,xe">
                    <v:stroke joinstyle="miter"/>
                    <v:path gradientshapeok="t" o:connecttype="rect"/>
                  </v:shapetype>
                  <v:shape id="Text Box 111" o:spid="_x0000_s1026"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" filled="f" stroked="f" strokeweight=".5pt">
                    <v:textbox style="mso-fit-shape-to-text:t" inset="0,0,0,0">
                      <w:txbxContent>
                        <w:sdt>
                          <w:sdtPr>
                            <w:rPr>
                              <w:rFonts w:ascii="Arial Black" w:hAnsi="Arial Black"/>
                              <w:caps/>
                              <w:color w:val="BF4E14" w:themeColor="accent2" w:themeShade="BF"/>
                              <w:sz w:val="40"/>
                              <w:szCs w:val="40"/>
                              <w:u w:val="thick"/>
                            </w:rPr>
                            <w:alias w:val="Publish Date"/>
                            <w:tag w:val=""/>
                            <w:id w:val="400952559"/>
                            <w:dataBinding w:prefixMappings="xmlns:ns0='http://schemas.microsoft.com/office/2006/coverPageProps' " w:xpath="/ns0:CoverPageProperties[1]/ns0:PublishDate[1]" w:storeItemID="{55AF091B-3C7A-41E3-B477-F2FDAA23CFDA}"/>
                            <w:date w:fullDate="2025-12-12T00:00:00Z">
                              <w:dateFormat w:val="MMMM d, yyyy"/>
                              <w:lid w:val="en-US"/>
                              <w:storeMappedDataAs w:val="dateTime"/>
                              <w:calendar w:val="gregorian"/>
                            </w:date>
                          </w:sdtPr>
                          <w:sdtContent>
                            <w:p w14:paraId="27E67185" w14:textId="1886E82A" w:rsidR="00C8584B" w:rsidRPr="00C8584B" w:rsidRDefault="00C8584B">
                              <w:pPr>
                                <w:pStyle w:val="NoSpacing"/>
                                <w:jc w:val="right"/>
                                <w:rPr>
                                  <w:rFonts w:ascii="Arial Black" w:hAnsi="Arial Black"/>
                                  <w:caps/>
                                  <w:color w:val="BF4E14" w:themeColor="accent2" w:themeShade="BF"/>
                                  <w:sz w:val="40"/>
                                  <w:szCs w:val="40"/>
                                  <w:u w:val="thick"/>
                                </w:rPr>
                              </w:pPr>
                              <w:r w:rsidRPr="00C8584B">
                                <w:rPr>
                                  <w:rFonts w:ascii="Arial Black" w:hAnsi="Arial Black"/>
                                  <w:caps/>
                                  <w:color w:val="BF4E14" w:themeColor="accent2" w:themeShade="BF"/>
                                  <w:sz w:val="40"/>
                                  <w:szCs w:val="40"/>
                                  <w:u w:val="thick"/>
                                </w:rPr>
                                <w:t>December 12, 2025</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72882BF0" wp14:editId="129D7667">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9BA82ED" w14:textId="691B98B2" w:rsidR="00C8584B" w:rsidRPr="00C8584B" w:rsidRDefault="00C8584B">
                                <w:pPr>
                                  <w:pStyle w:val="NoSpacing"/>
                                  <w:jc w:val="right"/>
                                  <w:rPr>
                                    <w:rFonts w:ascii="Arial Black" w:hAnsi="Arial Black"/>
                                    <w:caps/>
                                    <w:color w:val="BF4E14" w:themeColor="accent2" w:themeShade="BF"/>
                                    <w:sz w:val="52"/>
                                    <w:szCs w:val="52"/>
                                    <w:u w:val="thick"/>
                                  </w:rPr>
                                </w:pPr>
                                <w:sdt>
                                  <w:sdtPr>
                                    <w:rPr>
                                      <w:rFonts w:ascii="Arial Black" w:hAnsi="Arial Black"/>
                                      <w:caps/>
                                      <w:color w:val="BF4E14" w:themeColor="accent2" w:themeShade="BF"/>
                                      <w:sz w:val="52"/>
                                      <w:szCs w:val="52"/>
                                      <w:u w:val="thick"/>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Pr="00C8584B">
                                      <w:rPr>
                                        <w:rFonts w:ascii="Arial Black" w:hAnsi="Arial Black"/>
                                        <w:caps/>
                                        <w:color w:val="BF4E14" w:themeColor="accent2" w:themeShade="BF"/>
                                        <w:sz w:val="52"/>
                                        <w:szCs w:val="52"/>
                                        <w:u w:val="thick"/>
                                      </w:rPr>
                                      <w:t>Social Impact Measurement</w:t>
                                    </w:r>
                                  </w:sdtContent>
                                </w:sdt>
                              </w:p>
                              <w:sdt>
                                <w:sdtPr>
                                  <w:rPr>
                                    <w:rFonts w:ascii="Arial Black" w:hAnsi="Arial Black"/>
                                    <w:smallCaps/>
                                    <w:color w:val="BF4E14" w:themeColor="accent2" w:themeShade="BF"/>
                                    <w:sz w:val="36"/>
                                    <w:szCs w:val="36"/>
                                    <w:u w:val="thick"/>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333DB503" w14:textId="60FAA794" w:rsidR="00C8584B" w:rsidRPr="00C8584B" w:rsidRDefault="00C8584B">
                                    <w:pPr>
                                      <w:pStyle w:val="NoSpacing"/>
                                      <w:jc w:val="right"/>
                                      <w:rPr>
                                        <w:rFonts w:ascii="Arial Black" w:hAnsi="Arial Black"/>
                                        <w:smallCaps/>
                                        <w:color w:val="BF4E14" w:themeColor="accent2" w:themeShade="BF"/>
                                        <w:sz w:val="36"/>
                                        <w:szCs w:val="36"/>
                                        <w:u w:val="thick"/>
                                      </w:rPr>
                                    </w:pPr>
                                    <w:r w:rsidRPr="00C8584B">
                                      <w:rPr>
                                        <w:rFonts w:ascii="Arial Black" w:hAnsi="Arial Black"/>
                                        <w:smallCaps/>
                                        <w:color w:val="BF4E14" w:themeColor="accent2" w:themeShade="BF"/>
                                        <w:sz w:val="36"/>
                                        <w:szCs w:val="36"/>
                                        <w:u w:val="thick"/>
                                      </w:rPr>
                                      <w:t>Assignment 2</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72882BF0" id="Text Box 113" o:spid="_x0000_s1027"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" filled="f" stroked="f" strokeweight=".5pt">
                    <v:textbox inset="0,0,0,0">
                      <w:txbxContent>
                        <w:p w14:paraId="69BA82ED" w14:textId="691B98B2" w:rsidR="00C8584B" w:rsidRPr="00C8584B" w:rsidRDefault="00C8584B">
                          <w:pPr>
                            <w:pStyle w:val="NoSpacing"/>
                            <w:jc w:val="right"/>
                            <w:rPr>
                              <w:rFonts w:ascii="Arial Black" w:hAnsi="Arial Black"/>
                              <w:caps/>
                              <w:color w:val="BF4E14" w:themeColor="accent2" w:themeShade="BF"/>
                              <w:sz w:val="52"/>
                              <w:szCs w:val="52"/>
                              <w:u w:val="thick"/>
                            </w:rPr>
                          </w:pPr>
                          <w:sdt>
                            <w:sdtPr>
                              <w:rPr>
                                <w:rFonts w:ascii="Arial Black" w:hAnsi="Arial Black"/>
                                <w:caps/>
                                <w:color w:val="BF4E14" w:themeColor="accent2" w:themeShade="BF"/>
                                <w:sz w:val="52"/>
                                <w:szCs w:val="52"/>
                                <w:u w:val="thick"/>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Pr="00C8584B">
                                <w:rPr>
                                  <w:rFonts w:ascii="Arial Black" w:hAnsi="Arial Black"/>
                                  <w:caps/>
                                  <w:color w:val="BF4E14" w:themeColor="accent2" w:themeShade="BF"/>
                                  <w:sz w:val="52"/>
                                  <w:szCs w:val="52"/>
                                  <w:u w:val="thick"/>
                                </w:rPr>
                                <w:t>Social Impact Measurement</w:t>
                              </w:r>
                            </w:sdtContent>
                          </w:sdt>
                        </w:p>
                        <w:sdt>
                          <w:sdtPr>
                            <w:rPr>
                              <w:rFonts w:ascii="Arial Black" w:hAnsi="Arial Black"/>
                              <w:smallCaps/>
                              <w:color w:val="BF4E14" w:themeColor="accent2" w:themeShade="BF"/>
                              <w:sz w:val="36"/>
                              <w:szCs w:val="36"/>
                              <w:u w:val="thick"/>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333DB503" w14:textId="60FAA794" w:rsidR="00C8584B" w:rsidRPr="00C8584B" w:rsidRDefault="00C8584B">
                              <w:pPr>
                                <w:pStyle w:val="NoSpacing"/>
                                <w:jc w:val="right"/>
                                <w:rPr>
                                  <w:rFonts w:ascii="Arial Black" w:hAnsi="Arial Black"/>
                                  <w:smallCaps/>
                                  <w:color w:val="BF4E14" w:themeColor="accent2" w:themeShade="BF"/>
                                  <w:sz w:val="36"/>
                                  <w:szCs w:val="36"/>
                                  <w:u w:val="thick"/>
                                </w:rPr>
                              </w:pPr>
                              <w:r w:rsidRPr="00C8584B">
                                <w:rPr>
                                  <w:rFonts w:ascii="Arial Black" w:hAnsi="Arial Black"/>
                                  <w:smallCaps/>
                                  <w:color w:val="BF4E14" w:themeColor="accent2" w:themeShade="BF"/>
                                  <w:sz w:val="36"/>
                                  <w:szCs w:val="36"/>
                                  <w:u w:val="thick"/>
                                </w:rPr>
                                <w:t>Assignment 2</w:t>
                              </w:r>
                            </w:p>
                          </w:sdtContent>
                        </w:sdt>
                      </w:txbxContent>
                    </v:textbox>
                    <w10:wrap type="square" anchorx="page" anchory="page"/>
                  </v:shape>
                </w:pict>
              </mc:Fallback>
            </mc:AlternateContent>
          </w:r>
          <w:r>
            <w:rPr>
              <w:noProof/>
            </w:rPr>
            <mc:AlternateContent>
              <mc:Choice Requires="wpg">
                <w:drawing>
                  <wp:anchor distT="0" distB="0" distL="114300" distR="114300" simplePos="0" relativeHeight="251659264" behindDoc="0" locked="0" layoutInCell="1" allowOverlap="1" wp14:anchorId="45B7A002" wp14:editId="3082570D">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5"/>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248E924D" id="Group 115"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" fillcolor="#e97132 [3205]" stroked="f" strokeweight="1.5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" fillcolor="#156082 [3204]" stroked="f" strokeweight="1.5pt">
                      <o:lock v:ext="edit" aspectratio="t"/>
                    </v:rect>
                    <w10:wrap anchorx="page" anchory="page"/>
                  </v:group>
                </w:pict>
              </mc:Fallback>
            </mc:AlternateContent>
          </w:r>
          <w:r>
            <w:rPr>
              <w:rFonts w:ascii="Times New Roman" w:hAnsi="Times New Roman" w:cs="Times New Roman"/>
              <w:b/>
              <w:bCs/>
              <w:color w:val="BF4E14" w:themeColor="accent2" w:themeShade="BF"/>
              <w:u w:val="thick"/>
            </w:rPr>
            <w:br w:type="page"/>
          </w:r>
        </w:p>
      </w:sdtContent>
    </w:sdt>
    <w:p w14:paraId="2CBF8687" w14:textId="42793080" w:rsidR="00C158B1" w:rsidRPr="00B61978" w:rsidRDefault="00C158B1" w:rsidP="00C158B1">
      <w:pPr>
        <w:spacing w:line="480" w:lineRule="auto"/>
        <w:rPr>
          <w:rFonts w:ascii="Times New Roman" w:hAnsi="Times New Roman" w:cs="Times New Roman"/>
          <w:b/>
          <w:bCs/>
          <w:color w:val="BF4E14" w:themeColor="accent2" w:themeShade="BF"/>
          <w:u w:val="thick"/>
        </w:rPr>
      </w:pPr>
      <w:r w:rsidRPr="00B61978">
        <w:rPr>
          <w:rFonts w:ascii="Times New Roman" w:hAnsi="Times New Roman" w:cs="Times New Roman"/>
          <w:b/>
          <w:bCs/>
          <w:color w:val="BF4E14" w:themeColor="accent2" w:themeShade="BF"/>
          <w:u w:val="thick"/>
        </w:rPr>
        <w:lastRenderedPageBreak/>
        <w:t>Introduction</w:t>
      </w:r>
    </w:p>
    <w:p w14:paraId="6E2CBC10" w14:textId="77777777" w:rsidR="00B61978" w:rsidRDefault="00C158B1" w:rsidP="00C158B1">
      <w:pPr>
        <w:spacing w:line="480" w:lineRule="auto"/>
        <w:rPr>
          <w:rFonts w:ascii="Times New Roman" w:hAnsi="Times New Roman" w:cs="Times New Roman"/>
        </w:rPr>
      </w:pPr>
      <w:r w:rsidRPr="00C158B1">
        <w:rPr>
          <w:rFonts w:ascii="Times New Roman" w:hAnsi="Times New Roman" w:cs="Times New Roman"/>
        </w:rPr>
        <w:t xml:space="preserve">Food waste is a significant contributor to the carbon emissions and degradation of the natural environment. Commercial markets are responding to this challenge by creating social enterprises such as Toast Ale that integrate sustainable practices within those markets. The creation of craft beers from surplus bread otherwise discarded by traditional </w:t>
      </w:r>
      <w:r w:rsidR="00B61978" w:rsidRPr="00C158B1">
        <w:rPr>
          <w:rFonts w:ascii="Times New Roman" w:hAnsi="Times New Roman" w:cs="Times New Roman"/>
        </w:rPr>
        <w:t>brewers’</w:t>
      </w:r>
      <w:r w:rsidRPr="00C158B1">
        <w:rPr>
          <w:rFonts w:ascii="Times New Roman" w:hAnsi="Times New Roman" w:cs="Times New Roman"/>
        </w:rPr>
        <w:t xml:space="preserve"> positions Toast Ale as part of the burgeoning circular economy movement. The Social Audit Network (SAN) framework provides a systematic way to evaluate how Toast Ale creates social and environmental impacts through the transformation of its </w:t>
      </w:r>
      <w:r w:rsidR="00B61978">
        <w:rPr>
          <w:rFonts w:ascii="Times New Roman" w:hAnsi="Times New Roman" w:cs="Times New Roman"/>
        </w:rPr>
        <w:t>s</w:t>
      </w:r>
      <w:r w:rsidRPr="00C158B1">
        <w:rPr>
          <w:rFonts w:ascii="Times New Roman" w:hAnsi="Times New Roman" w:cs="Times New Roman"/>
        </w:rPr>
        <w:t xml:space="preserve">urplus </w:t>
      </w:r>
      <w:r w:rsidR="00B61978">
        <w:rPr>
          <w:rFonts w:ascii="Times New Roman" w:hAnsi="Times New Roman" w:cs="Times New Roman"/>
        </w:rPr>
        <w:t>b</w:t>
      </w:r>
      <w:r w:rsidRPr="00C158B1">
        <w:rPr>
          <w:rFonts w:ascii="Times New Roman" w:hAnsi="Times New Roman" w:cs="Times New Roman"/>
        </w:rPr>
        <w:t>read resource into tangible social and environmental benefits over the long term.</w:t>
      </w:r>
    </w:p>
    <w:p w14:paraId="002EF95B" w14:textId="77777777" w:rsidR="00B61978" w:rsidRDefault="00C158B1" w:rsidP="00C158B1">
      <w:pPr>
        <w:spacing w:line="480" w:lineRule="auto"/>
        <w:rPr>
          <w:rFonts w:ascii="Times New Roman" w:hAnsi="Times New Roman" w:cs="Times New Roman"/>
        </w:rPr>
      </w:pPr>
      <w:r w:rsidRPr="00C158B1">
        <w:rPr>
          <w:rFonts w:ascii="Times New Roman" w:hAnsi="Times New Roman" w:cs="Times New Roman"/>
        </w:rPr>
        <w:t xml:space="preserve">There is considerable evidence supporting the benefits of hybrid business models that combine commercial activity with environmental goals to produce societal benefit when guided by ethical governance and mission clarity (Nyssens, 2021; Bhatt, 2022). This report will demonstrate how Toast Ale demonstrates these </w:t>
      </w:r>
      <w:r w:rsidR="00B61978" w:rsidRPr="00C158B1">
        <w:rPr>
          <w:rFonts w:ascii="Times New Roman" w:hAnsi="Times New Roman" w:cs="Times New Roman"/>
        </w:rPr>
        <w:t>principles</w:t>
      </w:r>
      <w:r w:rsidR="00B61978">
        <w:rPr>
          <w:rFonts w:ascii="Times New Roman" w:hAnsi="Times New Roman" w:cs="Times New Roman"/>
        </w:rPr>
        <w:t xml:space="preserve"> </w:t>
      </w:r>
      <w:r w:rsidRPr="00C158B1">
        <w:rPr>
          <w:rFonts w:ascii="Times New Roman" w:hAnsi="Times New Roman" w:cs="Times New Roman"/>
        </w:rPr>
        <w:t>(Dart &amp; Gates, 2024). Society has an ever-growing concern for the negative impact of waste on our planet and food waste as an issue that contributes to many global problems. This has led to increased research into the importance of having a clear understanding of how to create profit while eliminating waste from business operations. The input of resources used to create, brew, distribute and sell/buy beer or any other product is a good example of how a social enterprise like Toast Ale can create and share value with customers, suppliers, community members and investors to generate profits while addressing important issues (Bhatt, 2022). The theories of change being applied by Toast Ale and other similar businesses are meant to map out what they hope to achieve through their operations to continue creating value for consumers, suppliers and investors in the future.</w:t>
      </w:r>
    </w:p>
    <w:p w14:paraId="155F3ACC" w14:textId="2735F443" w:rsidR="00C158B1" w:rsidRPr="00C158B1" w:rsidRDefault="00C158B1" w:rsidP="00C158B1">
      <w:pPr>
        <w:spacing w:line="480" w:lineRule="auto"/>
        <w:rPr>
          <w:rFonts w:ascii="Times New Roman" w:hAnsi="Times New Roman" w:cs="Times New Roman"/>
        </w:rPr>
      </w:pPr>
      <w:r w:rsidRPr="00C158B1">
        <w:rPr>
          <w:rFonts w:ascii="Times New Roman" w:hAnsi="Times New Roman" w:cs="Times New Roman"/>
        </w:rPr>
        <w:lastRenderedPageBreak/>
        <w:t xml:space="preserve">To continue supporting the needs of the community and business partners, Toast Ale's operating model is adaptable to changes in the environment and operate on the idea that as businesses continue to adapt to needs in society, the impact will be positive for consumers, suppliers and investors. By using the theory of change framework for creating a business model, Toast Ale has included ethical reasoning as part of their overall operational strategy. This has allowed Toast Ale to blend ethics and business through sharing information, including having open-source recipes for beer and allowing others to replicate their model of producing beer from surplus </w:t>
      </w:r>
      <w:r w:rsidR="00B61978" w:rsidRPr="00C158B1">
        <w:rPr>
          <w:rFonts w:ascii="Times New Roman" w:hAnsi="Times New Roman" w:cs="Times New Roman"/>
        </w:rPr>
        <w:t>bread. The</w:t>
      </w:r>
      <w:r w:rsidRPr="00C158B1">
        <w:rPr>
          <w:rFonts w:ascii="Times New Roman" w:hAnsi="Times New Roman" w:cs="Times New Roman"/>
        </w:rPr>
        <w:t xml:space="preserve"> hybrid business model is used by the Toast Ale company as they use social capital from partnerships with bakeries to help them achieve their environmental </w:t>
      </w:r>
      <w:r w:rsidR="00B61978" w:rsidRPr="00C158B1">
        <w:rPr>
          <w:rFonts w:ascii="Times New Roman" w:hAnsi="Times New Roman" w:cs="Times New Roman"/>
        </w:rPr>
        <w:t>goals and</w:t>
      </w:r>
      <w:r w:rsidRPr="00C158B1">
        <w:rPr>
          <w:rFonts w:ascii="Times New Roman" w:hAnsi="Times New Roman" w:cs="Times New Roman"/>
        </w:rPr>
        <w:t xml:space="preserve"> provide a means of accessing the surplus of bread that they use to create beer. According to hybrid business model theory, social enterprises combine the logic of running a business with the mission of increasing to improve environmental sustainability by creating revenue through the sale of products that support their social objectives (Grassl, 2012). Toast Ale is a good example of this hybridity in action in their creation of a saleable product directly from wastage in the process of making beer.</w:t>
      </w:r>
    </w:p>
    <w:p w14:paraId="015F6381" w14:textId="1F2E2F08" w:rsidR="00C158B1" w:rsidRPr="00B61978" w:rsidRDefault="00B61978" w:rsidP="00C158B1">
      <w:pPr>
        <w:spacing w:line="480" w:lineRule="auto"/>
        <w:rPr>
          <w:rFonts w:ascii="Times New Roman" w:hAnsi="Times New Roman" w:cs="Times New Roman"/>
          <w:b/>
          <w:bCs/>
          <w:color w:val="BF4E14" w:themeColor="accent2" w:themeShade="BF"/>
          <w:u w:val="thick"/>
        </w:rPr>
      </w:pPr>
      <w:r w:rsidRPr="00B61978">
        <w:rPr>
          <w:rFonts w:ascii="Times New Roman" w:hAnsi="Times New Roman" w:cs="Times New Roman"/>
          <w:b/>
          <w:bCs/>
          <w:color w:val="BF4E14" w:themeColor="accent2" w:themeShade="BF"/>
          <w:u w:val="thick"/>
        </w:rPr>
        <w:t xml:space="preserve">Mission and vision </w:t>
      </w:r>
    </w:p>
    <w:p w14:paraId="052197C1" w14:textId="77777777" w:rsidR="00B61978" w:rsidRDefault="00C158B1" w:rsidP="00C158B1">
      <w:pPr>
        <w:spacing w:line="480" w:lineRule="auto"/>
        <w:rPr>
          <w:rFonts w:ascii="Times New Roman" w:hAnsi="Times New Roman" w:cs="Times New Roman"/>
        </w:rPr>
      </w:pPr>
      <w:r w:rsidRPr="00C158B1">
        <w:rPr>
          <w:rFonts w:ascii="Times New Roman" w:hAnsi="Times New Roman" w:cs="Times New Roman"/>
        </w:rPr>
        <w:t>Toast Ale's business activities are an important part of delivering their mission. The key components of the Business Model Canvas explain that the components of the value proposition, production resources, and customer segments, respectively, need to be aligned with each other to be successful at delivering their mission (</w:t>
      </w:r>
      <w:proofErr w:type="spellStart"/>
      <w:r w:rsidRPr="00C158B1">
        <w:rPr>
          <w:rFonts w:ascii="Times New Roman" w:hAnsi="Times New Roman" w:cs="Times New Roman"/>
        </w:rPr>
        <w:t>Qastharin</w:t>
      </w:r>
      <w:proofErr w:type="spellEnd"/>
      <w:r w:rsidRPr="00C158B1">
        <w:rPr>
          <w:rFonts w:ascii="Times New Roman" w:hAnsi="Times New Roman" w:cs="Times New Roman"/>
        </w:rPr>
        <w:t>, 2016). Toast Ale's value proposition is focused on producing beer sustainably, and this value proposition is linked with an environmental message.</w:t>
      </w:r>
    </w:p>
    <w:p w14:paraId="48B39567" w14:textId="77777777" w:rsidR="00B61978" w:rsidRDefault="00C158B1" w:rsidP="00C158B1">
      <w:pPr>
        <w:spacing w:line="480" w:lineRule="auto"/>
        <w:rPr>
          <w:rFonts w:ascii="Times New Roman" w:hAnsi="Times New Roman" w:cs="Times New Roman"/>
        </w:rPr>
      </w:pPr>
      <w:r w:rsidRPr="00C158B1">
        <w:rPr>
          <w:rFonts w:ascii="Times New Roman" w:hAnsi="Times New Roman" w:cs="Times New Roman"/>
        </w:rPr>
        <w:t xml:space="preserve">The literature on the performance measurement of social enterprises states that the connection between an organisation's input of resources and its mission outcome must be established. </w:t>
      </w:r>
      <w:r w:rsidRPr="00C158B1">
        <w:rPr>
          <w:rFonts w:ascii="Times New Roman" w:hAnsi="Times New Roman" w:cs="Times New Roman"/>
        </w:rPr>
        <w:lastRenderedPageBreak/>
        <w:t>Therefore, organisations must provide information regarding their inputs, in addition to information on the environmental benefits achieved from using their products and processes (Costa &amp; Andreaus, 2021). Toast Ale uses both a carbon footprint report and metrics on waste reduction to validate its claims of being an environmentally responsible organisation.</w:t>
      </w:r>
    </w:p>
    <w:p w14:paraId="2568803A" w14:textId="77777777" w:rsidR="00B61978" w:rsidRDefault="00C158B1" w:rsidP="00C158B1">
      <w:pPr>
        <w:spacing w:line="480" w:lineRule="auto"/>
        <w:rPr>
          <w:rFonts w:ascii="Times New Roman" w:hAnsi="Times New Roman" w:cs="Times New Roman"/>
        </w:rPr>
      </w:pPr>
      <w:r w:rsidRPr="00C158B1">
        <w:rPr>
          <w:rFonts w:ascii="Times New Roman" w:hAnsi="Times New Roman" w:cs="Times New Roman"/>
        </w:rPr>
        <w:t>Social enterprises must innovate within their business models to sustain their impact. Research conducted on social enterprise innovation concluded that both diversification within the enterprise and the development of partnership-based models are beneficial to enhancing the resilience of social enterprises and expanding their reach (</w:t>
      </w:r>
      <w:proofErr w:type="spellStart"/>
      <w:r w:rsidRPr="00C158B1">
        <w:rPr>
          <w:rFonts w:ascii="Times New Roman" w:hAnsi="Times New Roman" w:cs="Times New Roman"/>
        </w:rPr>
        <w:t>Tykkyl</w:t>
      </w:r>
      <w:r w:rsidR="00B61978">
        <w:rPr>
          <w:rFonts w:ascii="Times New Roman" w:hAnsi="Times New Roman" w:cs="Times New Roman"/>
        </w:rPr>
        <w:t>a</w:t>
      </w:r>
      <w:r w:rsidRPr="00C158B1">
        <w:rPr>
          <w:rFonts w:ascii="Times New Roman" w:hAnsi="Times New Roman" w:cs="Times New Roman"/>
        </w:rPr>
        <w:t>inen</w:t>
      </w:r>
      <w:proofErr w:type="spellEnd"/>
      <w:r w:rsidRPr="00C158B1">
        <w:rPr>
          <w:rFonts w:ascii="Times New Roman" w:hAnsi="Times New Roman" w:cs="Times New Roman"/>
        </w:rPr>
        <w:t xml:space="preserve"> &amp; </w:t>
      </w:r>
      <w:proofErr w:type="spellStart"/>
      <w:r w:rsidRPr="00C158B1">
        <w:rPr>
          <w:rFonts w:ascii="Times New Roman" w:hAnsi="Times New Roman" w:cs="Times New Roman"/>
        </w:rPr>
        <w:t>Ritala</w:t>
      </w:r>
      <w:proofErr w:type="spellEnd"/>
      <w:r w:rsidRPr="00C158B1">
        <w:rPr>
          <w:rFonts w:ascii="Times New Roman" w:hAnsi="Times New Roman" w:cs="Times New Roman"/>
        </w:rPr>
        <w:t>, 2021). Toast Ale works with breweries around the world, shares its recipe with other breweries through an open-source license, and runs campaigns to increase awareness of food waste and how it can affect environmental destruction.</w:t>
      </w:r>
    </w:p>
    <w:p w14:paraId="07806A4B" w14:textId="77777777" w:rsidR="00D71FA9" w:rsidRDefault="00C158B1" w:rsidP="00C158B1">
      <w:pPr>
        <w:spacing w:line="480" w:lineRule="auto"/>
        <w:rPr>
          <w:rFonts w:ascii="Times New Roman" w:hAnsi="Times New Roman" w:cs="Times New Roman"/>
        </w:rPr>
      </w:pPr>
      <w:r w:rsidRPr="00C158B1">
        <w:rPr>
          <w:rFonts w:ascii="Times New Roman" w:hAnsi="Times New Roman" w:cs="Times New Roman"/>
        </w:rPr>
        <w:t xml:space="preserve">Toast Ale engages in several types of activities that are designed to fulfil their mission. They produce beer from the surplus of bread that they collect from bakeries, build relationships with bakeries to ensure they acquire ingredients in an environmentally sustainable manner, run campaigns to promote food waste awareness, and reinvest profits back to help fund environmental charities. They also work with restaurants and breweries to promote circular economy principles and to reduce waste throughout their supply </w:t>
      </w:r>
      <w:r w:rsidR="00B61978" w:rsidRPr="00C158B1">
        <w:rPr>
          <w:rFonts w:ascii="Times New Roman" w:hAnsi="Times New Roman" w:cs="Times New Roman"/>
        </w:rPr>
        <w:t>chains. The</w:t>
      </w:r>
      <w:r w:rsidRPr="00C158B1">
        <w:rPr>
          <w:rFonts w:ascii="Times New Roman" w:hAnsi="Times New Roman" w:cs="Times New Roman"/>
        </w:rPr>
        <w:t xml:space="preserve"> creation of surplus bread used in the production process, along with the number of beers produced and the carbon savings brought on, along with the funds raised to be used to donate to environmental partners are purposed outputs from these activities. The use of ethical governance demonstrates transparency in sourcing, production, and donation processes associated with these output types, reflecting the views of Bull and Ridley-Duff (2019) regarding the need for ethical coherence in operation and concludes that Toast Ale is one of many organisations participating in the movement to reduce food waste described by Reficco </w:t>
      </w:r>
      <w:r w:rsidRPr="00C158B1">
        <w:rPr>
          <w:rFonts w:ascii="Times New Roman" w:hAnsi="Times New Roman" w:cs="Times New Roman"/>
        </w:rPr>
        <w:lastRenderedPageBreak/>
        <w:t>et al. (2021) due to its transition from a "single issue" approach to addressing systemic problems.</w:t>
      </w:r>
    </w:p>
    <w:p w14:paraId="16A5A72A" w14:textId="77777777" w:rsidR="00D71FA9" w:rsidRDefault="00C158B1" w:rsidP="00C158B1">
      <w:pPr>
        <w:spacing w:line="480" w:lineRule="auto"/>
        <w:rPr>
          <w:rFonts w:ascii="Times New Roman" w:hAnsi="Times New Roman" w:cs="Times New Roman"/>
        </w:rPr>
      </w:pPr>
      <w:r w:rsidRPr="00C158B1">
        <w:rPr>
          <w:rFonts w:ascii="Times New Roman" w:hAnsi="Times New Roman" w:cs="Times New Roman"/>
        </w:rPr>
        <w:t>Scaling studies show that organisations that diversify and work with many partners have greater impacts on society (Jha et al., 2021). Through the partnerships created with breweries throughout the world, Toast Ale has developed a method of scaling that is orientated towards collaborative partnerships, rather than centralised scaling of production.</w:t>
      </w:r>
    </w:p>
    <w:p w14:paraId="37B7D68B" w14:textId="48C3B28D" w:rsidR="00C158B1" w:rsidRPr="00D71FA9" w:rsidRDefault="00C158B1" w:rsidP="00C158B1">
      <w:pPr>
        <w:spacing w:line="480" w:lineRule="auto"/>
        <w:rPr>
          <w:rFonts w:ascii="Times New Roman" w:hAnsi="Times New Roman" w:cs="Times New Roman"/>
          <w:b/>
          <w:bCs/>
          <w:color w:val="BF4E14" w:themeColor="accent2" w:themeShade="BF"/>
          <w:u w:val="thick"/>
        </w:rPr>
      </w:pPr>
      <w:r w:rsidRPr="00D71FA9">
        <w:rPr>
          <w:rFonts w:ascii="Times New Roman" w:hAnsi="Times New Roman" w:cs="Times New Roman"/>
          <w:b/>
          <w:bCs/>
          <w:color w:val="BF4E14" w:themeColor="accent2" w:themeShade="BF"/>
          <w:u w:val="thick"/>
        </w:rPr>
        <w:t>Outcomes Produced</w:t>
      </w:r>
    </w:p>
    <w:p w14:paraId="3B3D501A" w14:textId="77777777" w:rsidR="00D71FA9" w:rsidRDefault="00C158B1" w:rsidP="00C158B1">
      <w:pPr>
        <w:spacing w:line="480" w:lineRule="auto"/>
        <w:rPr>
          <w:rFonts w:ascii="Times New Roman" w:hAnsi="Times New Roman" w:cs="Times New Roman"/>
        </w:rPr>
      </w:pPr>
      <w:r w:rsidRPr="00C158B1">
        <w:rPr>
          <w:rFonts w:ascii="Times New Roman" w:hAnsi="Times New Roman" w:cs="Times New Roman"/>
        </w:rPr>
        <w:t xml:space="preserve">The SAN framework is a tool used to understand the effects of an organisation’s outputs. Consistent with the SAN framework, Toast Ale </w:t>
      </w:r>
      <w:r w:rsidR="00D71FA9" w:rsidRPr="00C158B1">
        <w:rPr>
          <w:rFonts w:ascii="Times New Roman" w:hAnsi="Times New Roman" w:cs="Times New Roman"/>
        </w:rPr>
        <w:t>can</w:t>
      </w:r>
      <w:r w:rsidRPr="00C158B1">
        <w:rPr>
          <w:rFonts w:ascii="Times New Roman" w:hAnsi="Times New Roman" w:cs="Times New Roman"/>
        </w:rPr>
        <w:t xml:space="preserve"> produce significant positive effects on the environment by reducing the amount of bread that is disposed of, reducing emissions associated with production, and increasing public awareness of sustainable consumption methods. Research done in the sustainability area confirms the growing trend of organisations adopting a "triple bottom line" (environmental, social, and economic) approach to maximise their impact on society (Nogueira et al., 2023), with Toast Ale being an example of an organisation producing commercially and environmentally sustainable beer </w:t>
      </w:r>
      <w:r w:rsidR="00D71FA9" w:rsidRPr="00C158B1">
        <w:rPr>
          <w:rFonts w:ascii="Times New Roman" w:hAnsi="Times New Roman" w:cs="Times New Roman"/>
        </w:rPr>
        <w:t>products. Toast</w:t>
      </w:r>
      <w:r w:rsidRPr="00C158B1">
        <w:rPr>
          <w:rFonts w:ascii="Times New Roman" w:hAnsi="Times New Roman" w:cs="Times New Roman"/>
        </w:rPr>
        <w:t xml:space="preserve"> Ale actively participates in campaigns and partnerships to educate consumers on how to reduce waste and create behavioural change to improve sustainability.</w:t>
      </w:r>
    </w:p>
    <w:p w14:paraId="67235644" w14:textId="77777777" w:rsidR="00D71FA9" w:rsidRDefault="00C158B1" w:rsidP="00C158B1">
      <w:pPr>
        <w:spacing w:line="480" w:lineRule="auto"/>
        <w:rPr>
          <w:rFonts w:ascii="Times New Roman" w:hAnsi="Times New Roman" w:cs="Times New Roman"/>
        </w:rPr>
      </w:pPr>
      <w:r w:rsidRPr="00C158B1">
        <w:rPr>
          <w:rFonts w:ascii="Times New Roman" w:hAnsi="Times New Roman" w:cs="Times New Roman"/>
        </w:rPr>
        <w:t>Narrative-based methods have demonstrated, according to ethical research, that they can change people's perceptions regarding sustainability and encourage them to make changes in their daily lives to make more sustainable choices (Bhatt, 2022). Toast Ale's recruitment of the community through its branding and community engagement is a way to normalise a circular economy idea.</w:t>
      </w:r>
    </w:p>
    <w:p w14:paraId="0F5A805E" w14:textId="77777777" w:rsidR="00D71FA9" w:rsidRDefault="00C158B1" w:rsidP="00C158B1">
      <w:pPr>
        <w:spacing w:line="480" w:lineRule="auto"/>
        <w:rPr>
          <w:rFonts w:ascii="Times New Roman" w:hAnsi="Times New Roman" w:cs="Times New Roman"/>
        </w:rPr>
      </w:pPr>
      <w:r w:rsidRPr="00C158B1">
        <w:rPr>
          <w:rFonts w:ascii="Times New Roman" w:hAnsi="Times New Roman" w:cs="Times New Roman"/>
        </w:rPr>
        <w:t xml:space="preserve">The economic benefits derived from Toast Ale's sustainability initiatives include the creation of jobs, the development of innovative markets, and the generation of revenue to support </w:t>
      </w:r>
      <w:r w:rsidRPr="00C158B1">
        <w:rPr>
          <w:rFonts w:ascii="Times New Roman" w:hAnsi="Times New Roman" w:cs="Times New Roman"/>
        </w:rPr>
        <w:lastRenderedPageBreak/>
        <w:t>environmental charities. As shown by Mahfuz Ashraf et al. (2019), social businesses are well positioned to contribute to the achievement of development goals when social and financial goals are aligned.</w:t>
      </w:r>
    </w:p>
    <w:p w14:paraId="3F5CA991" w14:textId="77777777" w:rsidR="00D71FA9" w:rsidRDefault="00C158B1" w:rsidP="00C158B1">
      <w:pPr>
        <w:spacing w:line="480" w:lineRule="auto"/>
        <w:rPr>
          <w:rFonts w:ascii="Times New Roman" w:hAnsi="Times New Roman" w:cs="Times New Roman"/>
        </w:rPr>
      </w:pPr>
      <w:r w:rsidRPr="00C158B1">
        <w:rPr>
          <w:rFonts w:ascii="Times New Roman" w:hAnsi="Times New Roman" w:cs="Times New Roman"/>
        </w:rPr>
        <w:t xml:space="preserve">Toast Ale's positive impact extends beyond its immediate impact on the food and beverage </w:t>
      </w:r>
      <w:r w:rsidR="00D71FA9" w:rsidRPr="00C158B1">
        <w:rPr>
          <w:rFonts w:ascii="Times New Roman" w:hAnsi="Times New Roman" w:cs="Times New Roman"/>
        </w:rPr>
        <w:t>industry,</w:t>
      </w:r>
      <w:r w:rsidRPr="00C158B1">
        <w:rPr>
          <w:rFonts w:ascii="Times New Roman" w:hAnsi="Times New Roman" w:cs="Times New Roman"/>
        </w:rPr>
        <w:t xml:space="preserve"> and it contributes to the systemic change occurring in this industry. Toast Ale advocates for food waste reduction and challenges the industry view of sourcing as a sustainable method for producing products. Stakeholder theory asserts that by engaging with stakeholders, such as suppliers, customers, and partner organisations, organisations enhance their social value and create collective responsibility for sustainability (Awa et al., 2024). Toast Ale has developed </w:t>
      </w:r>
      <w:r w:rsidR="00D71FA9" w:rsidRPr="00C158B1">
        <w:rPr>
          <w:rFonts w:ascii="Times New Roman" w:hAnsi="Times New Roman" w:cs="Times New Roman"/>
        </w:rPr>
        <w:t>and</w:t>
      </w:r>
      <w:r w:rsidRPr="00C158B1">
        <w:rPr>
          <w:rFonts w:ascii="Times New Roman" w:hAnsi="Times New Roman" w:cs="Times New Roman"/>
        </w:rPr>
        <w:t xml:space="preserve"> operationalised model of stakeholder engagement by working with numerous stakeholders across different sectors.</w:t>
      </w:r>
    </w:p>
    <w:p w14:paraId="5C84A230" w14:textId="77777777" w:rsidR="00D71FA9" w:rsidRDefault="00C158B1" w:rsidP="00C158B1">
      <w:pPr>
        <w:spacing w:line="480" w:lineRule="auto"/>
        <w:rPr>
          <w:rFonts w:ascii="Times New Roman" w:hAnsi="Times New Roman" w:cs="Times New Roman"/>
        </w:rPr>
      </w:pPr>
      <w:r w:rsidRPr="00C158B1">
        <w:rPr>
          <w:rFonts w:ascii="Times New Roman" w:hAnsi="Times New Roman" w:cs="Times New Roman"/>
        </w:rPr>
        <w:t xml:space="preserve">According to </w:t>
      </w:r>
      <w:proofErr w:type="spellStart"/>
      <w:r w:rsidRPr="00C158B1">
        <w:rPr>
          <w:rFonts w:ascii="Times New Roman" w:hAnsi="Times New Roman" w:cs="Times New Roman"/>
        </w:rPr>
        <w:t>Pasamar</w:t>
      </w:r>
      <w:proofErr w:type="spellEnd"/>
      <w:r w:rsidRPr="00C158B1">
        <w:rPr>
          <w:rFonts w:ascii="Times New Roman" w:hAnsi="Times New Roman" w:cs="Times New Roman"/>
        </w:rPr>
        <w:t xml:space="preserve"> et al. (2025), increasing institutional pressure for sustainable operations has caused businesses to adopt environmentally responsible practices as society's expectations demand it. Toast Ale's success demonstrates how to develop a business model that is commercially viable which encourages other businesses to develop sustainable operations. By creating an open-source recipe and partnering with restaurants and breweries to replicate the Toast Ale model, Toast Ale provides an example of how innovations can be diffused throughout the entire industry.</w:t>
      </w:r>
    </w:p>
    <w:p w14:paraId="47DC974E" w14:textId="77777777" w:rsidR="00D71FA9" w:rsidRDefault="00C158B1" w:rsidP="00C158B1">
      <w:pPr>
        <w:spacing w:line="480" w:lineRule="auto"/>
        <w:rPr>
          <w:rFonts w:ascii="Times New Roman" w:hAnsi="Times New Roman" w:cs="Times New Roman"/>
        </w:rPr>
      </w:pPr>
      <w:r w:rsidRPr="00C158B1">
        <w:rPr>
          <w:rFonts w:ascii="Times New Roman" w:hAnsi="Times New Roman" w:cs="Times New Roman"/>
        </w:rPr>
        <w:t>Research on sustainable operations indicates that businesses that reduce waste and incorporate recycled materials into their operational processes will help stabilise the environment in the long term (Gimenez et al., 2012). Toast Ale's products demonstrate how circular production processes can mitigate negative ecological impacts and serve as a source of inspiration for establishments around the world to create similar sustainable business models.</w:t>
      </w:r>
    </w:p>
    <w:p w14:paraId="21972846" w14:textId="77777777" w:rsidR="00D71FA9" w:rsidRPr="00D71FA9" w:rsidRDefault="00D71FA9" w:rsidP="00C158B1">
      <w:pPr>
        <w:spacing w:line="480" w:lineRule="auto"/>
        <w:rPr>
          <w:rFonts w:ascii="Times New Roman" w:hAnsi="Times New Roman" w:cs="Times New Roman"/>
          <w:b/>
          <w:bCs/>
          <w:color w:val="BF4E14" w:themeColor="accent2" w:themeShade="BF"/>
          <w:u w:val="thick"/>
        </w:rPr>
      </w:pPr>
      <w:r w:rsidRPr="00D71FA9">
        <w:rPr>
          <w:rFonts w:ascii="Times New Roman" w:hAnsi="Times New Roman" w:cs="Times New Roman"/>
          <w:b/>
          <w:bCs/>
          <w:color w:val="BF4E14" w:themeColor="accent2" w:themeShade="BF"/>
          <w:u w:val="thick"/>
        </w:rPr>
        <w:lastRenderedPageBreak/>
        <w:t xml:space="preserve">Conclusion </w:t>
      </w:r>
    </w:p>
    <w:p w14:paraId="2760D29C" w14:textId="1E93A7C0" w:rsidR="00C158B1" w:rsidRDefault="00C158B1" w:rsidP="00C158B1">
      <w:pPr>
        <w:spacing w:line="480" w:lineRule="auto"/>
        <w:rPr>
          <w:rFonts w:ascii="Times New Roman" w:hAnsi="Times New Roman" w:cs="Times New Roman"/>
        </w:rPr>
      </w:pPr>
      <w:r w:rsidRPr="00C158B1">
        <w:rPr>
          <w:rFonts w:ascii="Times New Roman" w:hAnsi="Times New Roman" w:cs="Times New Roman"/>
        </w:rPr>
        <w:t xml:space="preserve">In </w:t>
      </w:r>
      <w:r w:rsidR="00D71FA9">
        <w:rPr>
          <w:rFonts w:ascii="Times New Roman" w:hAnsi="Times New Roman" w:cs="Times New Roman"/>
        </w:rPr>
        <w:t>conclusion</w:t>
      </w:r>
      <w:r w:rsidRPr="00C158B1">
        <w:rPr>
          <w:rFonts w:ascii="Times New Roman" w:hAnsi="Times New Roman" w:cs="Times New Roman"/>
        </w:rPr>
        <w:t>, Toast Ale represents a strong example of how social enterprises can establish solutions to present-day environmental problems through innovative business models. The SAN framework illustrates how inputs, activities, outputs, and outcomes for Toast Ale are built around sustainability, the creation of social value, and waste reduction. Academic research has been utilised to support this conclusion by identifying the importance of hybrid business models, ethical responsibility, stakeholder engagement, and sustainability in developing effective social enterprises. In addition to supporting environmental charities, Toast Ale provides public education, transforms the food and beverage industry, and encourages collaboration between businesses globally. This demonstrates how innovative entrepreneurial strategies can play a meaningful role in combating climate change and reforming food syste</w:t>
      </w:r>
      <w:r>
        <w:rPr>
          <w:rFonts w:ascii="Times New Roman" w:hAnsi="Times New Roman" w:cs="Times New Roman"/>
        </w:rPr>
        <w:t>m.</w:t>
      </w:r>
    </w:p>
    <w:p w14:paraId="707DA025" w14:textId="77777777" w:rsidR="00401F4A" w:rsidRDefault="00401F4A" w:rsidP="00C158B1">
      <w:pPr>
        <w:spacing w:line="480" w:lineRule="auto"/>
        <w:rPr>
          <w:rFonts w:ascii="Times New Roman" w:hAnsi="Times New Roman" w:cs="Times New Roman"/>
        </w:rPr>
      </w:pPr>
    </w:p>
    <w:p w14:paraId="20A04936" w14:textId="77777777" w:rsidR="00401F4A" w:rsidRDefault="00401F4A" w:rsidP="00C158B1">
      <w:pPr>
        <w:spacing w:line="480" w:lineRule="auto"/>
        <w:rPr>
          <w:rFonts w:ascii="Times New Roman" w:hAnsi="Times New Roman" w:cs="Times New Roman"/>
        </w:rPr>
      </w:pPr>
    </w:p>
    <w:p w14:paraId="757DF7DC" w14:textId="77777777" w:rsidR="00401F4A" w:rsidRDefault="00401F4A" w:rsidP="00C158B1">
      <w:pPr>
        <w:spacing w:line="480" w:lineRule="auto"/>
        <w:rPr>
          <w:rFonts w:ascii="Times New Roman" w:hAnsi="Times New Roman" w:cs="Times New Roman"/>
        </w:rPr>
      </w:pPr>
    </w:p>
    <w:p w14:paraId="51DA3235" w14:textId="77777777" w:rsidR="00401F4A" w:rsidRDefault="00401F4A" w:rsidP="00C158B1">
      <w:pPr>
        <w:spacing w:line="480" w:lineRule="auto"/>
        <w:rPr>
          <w:rFonts w:ascii="Times New Roman" w:hAnsi="Times New Roman" w:cs="Times New Roman"/>
        </w:rPr>
      </w:pPr>
    </w:p>
    <w:p w14:paraId="31B3631D" w14:textId="77777777" w:rsidR="00401F4A" w:rsidRDefault="00401F4A" w:rsidP="00C158B1">
      <w:pPr>
        <w:spacing w:line="480" w:lineRule="auto"/>
        <w:rPr>
          <w:rFonts w:ascii="Times New Roman" w:hAnsi="Times New Roman" w:cs="Times New Roman"/>
        </w:rPr>
      </w:pPr>
    </w:p>
    <w:p w14:paraId="515CD20C" w14:textId="77777777" w:rsidR="00401F4A" w:rsidRDefault="00401F4A" w:rsidP="00C158B1">
      <w:pPr>
        <w:spacing w:line="480" w:lineRule="auto"/>
        <w:rPr>
          <w:rFonts w:ascii="Times New Roman" w:hAnsi="Times New Roman" w:cs="Times New Roman"/>
        </w:rPr>
      </w:pPr>
    </w:p>
    <w:p w14:paraId="3191363D" w14:textId="77777777" w:rsidR="00401F4A" w:rsidRDefault="00401F4A" w:rsidP="00C158B1">
      <w:pPr>
        <w:spacing w:line="480" w:lineRule="auto"/>
        <w:rPr>
          <w:rFonts w:ascii="Times New Roman" w:hAnsi="Times New Roman" w:cs="Times New Roman"/>
        </w:rPr>
      </w:pPr>
    </w:p>
    <w:p w14:paraId="1BABAB32" w14:textId="77777777" w:rsidR="00401F4A" w:rsidRDefault="00401F4A" w:rsidP="00C158B1">
      <w:pPr>
        <w:spacing w:line="480" w:lineRule="auto"/>
        <w:rPr>
          <w:rFonts w:ascii="Times New Roman" w:hAnsi="Times New Roman" w:cs="Times New Roman"/>
        </w:rPr>
      </w:pPr>
    </w:p>
    <w:p w14:paraId="0164003B" w14:textId="77777777" w:rsidR="00401F4A" w:rsidRDefault="00401F4A" w:rsidP="00C158B1">
      <w:pPr>
        <w:spacing w:line="480" w:lineRule="auto"/>
        <w:rPr>
          <w:rFonts w:ascii="Times New Roman" w:hAnsi="Times New Roman" w:cs="Times New Roman"/>
        </w:rPr>
      </w:pPr>
    </w:p>
    <w:p w14:paraId="375F2682" w14:textId="77777777" w:rsidR="00D71FA9" w:rsidRDefault="00D71FA9" w:rsidP="00C158B1">
      <w:pPr>
        <w:spacing w:line="480" w:lineRule="auto"/>
        <w:rPr>
          <w:rFonts w:ascii="Times New Roman" w:hAnsi="Times New Roman" w:cs="Times New Roman"/>
        </w:rPr>
      </w:pPr>
    </w:p>
    <w:p w14:paraId="22585AFA" w14:textId="3EF0CFC2" w:rsidR="00401F4A" w:rsidRPr="00C8584B" w:rsidRDefault="00401F4A" w:rsidP="00C158B1">
      <w:pPr>
        <w:spacing w:line="480" w:lineRule="auto"/>
        <w:rPr>
          <w:rFonts w:ascii="Times New Roman" w:hAnsi="Times New Roman" w:cs="Times New Roman"/>
          <w:b/>
          <w:bCs/>
          <w:color w:val="BF4E14" w:themeColor="accent2" w:themeShade="BF"/>
          <w:u w:val="thick"/>
        </w:rPr>
      </w:pPr>
      <w:r w:rsidRPr="00C8584B">
        <w:rPr>
          <w:rFonts w:ascii="Times New Roman" w:hAnsi="Times New Roman" w:cs="Times New Roman"/>
          <w:b/>
          <w:bCs/>
          <w:color w:val="BF4E14" w:themeColor="accent2" w:themeShade="BF"/>
          <w:u w:val="thick"/>
        </w:rPr>
        <w:lastRenderedPageBreak/>
        <w:t xml:space="preserve">References </w:t>
      </w:r>
    </w:p>
    <w:p w14:paraId="3E721123" w14:textId="77777777" w:rsidR="00401F4A" w:rsidRPr="00401F4A" w:rsidRDefault="00401F4A" w:rsidP="00401F4A">
      <w:pPr>
        <w:spacing w:line="480" w:lineRule="auto"/>
        <w:rPr>
          <w:rFonts w:ascii="Times New Roman" w:hAnsi="Times New Roman" w:cs="Times New Roman"/>
        </w:rPr>
      </w:pPr>
      <w:r w:rsidRPr="00401F4A">
        <w:rPr>
          <w:rFonts w:ascii="Times New Roman" w:hAnsi="Times New Roman" w:cs="Times New Roman"/>
        </w:rPr>
        <w:t xml:space="preserve">Awa, H. O., Etim, W., &amp; Ogbonda, E. (2024). Stakeholders, stakeholder theory and corporate social responsibility (CSR). </w:t>
      </w:r>
      <w:r w:rsidRPr="00D71FA9">
        <w:rPr>
          <w:rFonts w:ascii="Times New Roman" w:hAnsi="Times New Roman" w:cs="Times New Roman"/>
          <w:i/>
          <w:iCs/>
        </w:rPr>
        <w:t>International Journal of Corporate Social Responsibility, 9</w:t>
      </w:r>
      <w:r w:rsidRPr="00401F4A">
        <w:rPr>
          <w:rFonts w:ascii="Times New Roman" w:hAnsi="Times New Roman" w:cs="Times New Roman"/>
        </w:rPr>
        <w:t>(1), 11.</w:t>
      </w:r>
    </w:p>
    <w:p w14:paraId="39084A6D" w14:textId="77777777" w:rsidR="00401F4A" w:rsidRPr="00401F4A" w:rsidRDefault="00401F4A" w:rsidP="00401F4A">
      <w:pPr>
        <w:spacing w:line="480" w:lineRule="auto"/>
        <w:rPr>
          <w:rFonts w:ascii="Times New Roman" w:hAnsi="Times New Roman" w:cs="Times New Roman"/>
        </w:rPr>
      </w:pPr>
      <w:r w:rsidRPr="00401F4A">
        <w:rPr>
          <w:rFonts w:ascii="Times New Roman" w:hAnsi="Times New Roman" w:cs="Times New Roman"/>
        </w:rPr>
        <w:t xml:space="preserve">Bhatt, B. (2022). Ethical complexity of social change: Negotiated actions of a social enterprise. </w:t>
      </w:r>
      <w:r w:rsidRPr="00D71FA9">
        <w:rPr>
          <w:rFonts w:ascii="Times New Roman" w:hAnsi="Times New Roman" w:cs="Times New Roman"/>
          <w:i/>
          <w:iCs/>
        </w:rPr>
        <w:t>Journal of Business Ethics, 177</w:t>
      </w:r>
      <w:r w:rsidRPr="00401F4A">
        <w:rPr>
          <w:rFonts w:ascii="Times New Roman" w:hAnsi="Times New Roman" w:cs="Times New Roman"/>
        </w:rPr>
        <w:t>(4), 743-762.</w:t>
      </w:r>
    </w:p>
    <w:p w14:paraId="0E1C01DB" w14:textId="77777777" w:rsidR="00401F4A" w:rsidRPr="00401F4A" w:rsidRDefault="00401F4A" w:rsidP="00401F4A">
      <w:pPr>
        <w:spacing w:line="480" w:lineRule="auto"/>
        <w:rPr>
          <w:rFonts w:ascii="Times New Roman" w:hAnsi="Times New Roman" w:cs="Times New Roman"/>
        </w:rPr>
      </w:pPr>
      <w:r w:rsidRPr="00401F4A">
        <w:rPr>
          <w:rFonts w:ascii="Times New Roman" w:hAnsi="Times New Roman" w:cs="Times New Roman"/>
        </w:rPr>
        <w:t>Bull, M., &amp; Ridley-Duff, R. (2019). Towards an appreciation of ethics in social enterprise business models</w:t>
      </w:r>
      <w:r w:rsidRPr="00D71FA9">
        <w:rPr>
          <w:rFonts w:ascii="Times New Roman" w:hAnsi="Times New Roman" w:cs="Times New Roman"/>
          <w:i/>
          <w:iCs/>
        </w:rPr>
        <w:t>. Journal of Business Ethics, 159</w:t>
      </w:r>
      <w:r w:rsidRPr="00401F4A">
        <w:rPr>
          <w:rFonts w:ascii="Times New Roman" w:hAnsi="Times New Roman" w:cs="Times New Roman"/>
        </w:rPr>
        <w:t>(3), 619-634.</w:t>
      </w:r>
    </w:p>
    <w:p w14:paraId="637FE242" w14:textId="77777777" w:rsidR="00401F4A" w:rsidRPr="00401F4A" w:rsidRDefault="00401F4A" w:rsidP="00401F4A">
      <w:pPr>
        <w:spacing w:line="480" w:lineRule="auto"/>
        <w:rPr>
          <w:rFonts w:ascii="Times New Roman" w:hAnsi="Times New Roman" w:cs="Times New Roman"/>
        </w:rPr>
      </w:pPr>
      <w:r w:rsidRPr="00401F4A">
        <w:rPr>
          <w:rFonts w:ascii="Times New Roman" w:hAnsi="Times New Roman" w:cs="Times New Roman"/>
        </w:rPr>
        <w:t xml:space="preserve">Costa, E., &amp; Andreaus, M. (2021). Social impact and performance measurement systems in an Italian social enterprise: a participatory action research project. </w:t>
      </w:r>
      <w:r w:rsidRPr="00D71FA9">
        <w:rPr>
          <w:rFonts w:ascii="Times New Roman" w:hAnsi="Times New Roman" w:cs="Times New Roman"/>
          <w:i/>
          <w:iCs/>
        </w:rPr>
        <w:t>Journal of Public Budgeting, Accounting &amp; Financial Management, 33</w:t>
      </w:r>
      <w:r w:rsidRPr="00401F4A">
        <w:rPr>
          <w:rFonts w:ascii="Times New Roman" w:hAnsi="Times New Roman" w:cs="Times New Roman"/>
        </w:rPr>
        <w:t>(3), 289-313.</w:t>
      </w:r>
    </w:p>
    <w:p w14:paraId="3C17E48E" w14:textId="77777777" w:rsidR="00401F4A" w:rsidRPr="00401F4A" w:rsidRDefault="00401F4A" w:rsidP="00401F4A">
      <w:pPr>
        <w:spacing w:line="480" w:lineRule="auto"/>
        <w:rPr>
          <w:rFonts w:ascii="Times New Roman" w:hAnsi="Times New Roman" w:cs="Times New Roman"/>
        </w:rPr>
      </w:pPr>
      <w:r w:rsidRPr="00401F4A">
        <w:rPr>
          <w:rFonts w:ascii="Times New Roman" w:hAnsi="Times New Roman" w:cs="Times New Roman"/>
        </w:rPr>
        <w:t xml:space="preserve">Dart, J., &amp; Gates, E. (2024). Incorporating futures thinking into the theory of change: Case and lessons learned from a social enterprise intermediary in Australia. </w:t>
      </w:r>
      <w:r w:rsidRPr="00C8584B">
        <w:rPr>
          <w:rFonts w:ascii="Times New Roman" w:hAnsi="Times New Roman" w:cs="Times New Roman"/>
          <w:i/>
          <w:iCs/>
        </w:rPr>
        <w:t>New Directions for Evaluation, 2024</w:t>
      </w:r>
      <w:r w:rsidRPr="00401F4A">
        <w:rPr>
          <w:rFonts w:ascii="Times New Roman" w:hAnsi="Times New Roman" w:cs="Times New Roman"/>
        </w:rPr>
        <w:t>(182), 45-62.</w:t>
      </w:r>
    </w:p>
    <w:p w14:paraId="7BA7E89C" w14:textId="77777777" w:rsidR="00401F4A" w:rsidRPr="00401F4A" w:rsidRDefault="00401F4A" w:rsidP="00401F4A">
      <w:pPr>
        <w:spacing w:line="480" w:lineRule="auto"/>
        <w:rPr>
          <w:rFonts w:ascii="Times New Roman" w:hAnsi="Times New Roman" w:cs="Times New Roman"/>
        </w:rPr>
      </w:pPr>
      <w:proofErr w:type="spellStart"/>
      <w:r w:rsidRPr="00401F4A">
        <w:rPr>
          <w:rFonts w:ascii="Times New Roman" w:hAnsi="Times New Roman" w:cs="Times New Roman"/>
        </w:rPr>
        <w:t>Defourny</w:t>
      </w:r>
      <w:proofErr w:type="spellEnd"/>
      <w:r w:rsidRPr="00401F4A">
        <w:rPr>
          <w:rFonts w:ascii="Times New Roman" w:hAnsi="Times New Roman" w:cs="Times New Roman"/>
        </w:rPr>
        <w:t xml:space="preserve">, J., &amp; Nyssens, M. (2021). </w:t>
      </w:r>
      <w:r w:rsidRPr="00C8584B">
        <w:rPr>
          <w:rFonts w:ascii="Times New Roman" w:hAnsi="Times New Roman" w:cs="Times New Roman"/>
          <w:i/>
          <w:iCs/>
        </w:rPr>
        <w:t>Social enterprise in Western Europe: Theory, models and practice (p. 368)</w:t>
      </w:r>
      <w:r w:rsidRPr="00401F4A">
        <w:rPr>
          <w:rFonts w:ascii="Times New Roman" w:hAnsi="Times New Roman" w:cs="Times New Roman"/>
        </w:rPr>
        <w:t>. Taylor &amp; Francis.</w:t>
      </w:r>
    </w:p>
    <w:p w14:paraId="73939E62" w14:textId="77777777" w:rsidR="00401F4A" w:rsidRPr="00401F4A" w:rsidRDefault="00401F4A" w:rsidP="00401F4A">
      <w:pPr>
        <w:spacing w:line="480" w:lineRule="auto"/>
        <w:rPr>
          <w:rFonts w:ascii="Times New Roman" w:hAnsi="Times New Roman" w:cs="Times New Roman"/>
        </w:rPr>
      </w:pPr>
      <w:r w:rsidRPr="00401F4A">
        <w:rPr>
          <w:rFonts w:ascii="Times New Roman" w:hAnsi="Times New Roman" w:cs="Times New Roman"/>
        </w:rPr>
        <w:t xml:space="preserve">Gimenez, C., Sierra, V., &amp; Rodon, J. (2012). Sustainable operations: Their impact on the triple bottom line. </w:t>
      </w:r>
      <w:r w:rsidRPr="00C8584B">
        <w:rPr>
          <w:rFonts w:ascii="Times New Roman" w:hAnsi="Times New Roman" w:cs="Times New Roman"/>
          <w:i/>
          <w:iCs/>
        </w:rPr>
        <w:t>International journal of production economics, 140</w:t>
      </w:r>
      <w:r w:rsidRPr="00401F4A">
        <w:rPr>
          <w:rFonts w:ascii="Times New Roman" w:hAnsi="Times New Roman" w:cs="Times New Roman"/>
        </w:rPr>
        <w:t>(1), 149-159.</w:t>
      </w:r>
    </w:p>
    <w:p w14:paraId="012FFD3B" w14:textId="77777777" w:rsidR="00401F4A" w:rsidRPr="00401F4A" w:rsidRDefault="00401F4A" w:rsidP="00401F4A">
      <w:pPr>
        <w:spacing w:line="480" w:lineRule="auto"/>
        <w:rPr>
          <w:rFonts w:ascii="Times New Roman" w:hAnsi="Times New Roman" w:cs="Times New Roman"/>
        </w:rPr>
      </w:pPr>
      <w:r w:rsidRPr="00401F4A">
        <w:rPr>
          <w:rFonts w:ascii="Times New Roman" w:hAnsi="Times New Roman" w:cs="Times New Roman"/>
        </w:rPr>
        <w:t xml:space="preserve">Grassl, W. (2012). Business models of social enterprise: A design approach to hybridity. </w:t>
      </w:r>
      <w:r w:rsidRPr="00C8584B">
        <w:rPr>
          <w:rFonts w:ascii="Times New Roman" w:hAnsi="Times New Roman" w:cs="Times New Roman"/>
          <w:i/>
          <w:iCs/>
        </w:rPr>
        <w:t>ACRN Journal of entrepreneurship Perspectives, 1</w:t>
      </w:r>
      <w:r w:rsidRPr="00401F4A">
        <w:rPr>
          <w:rFonts w:ascii="Times New Roman" w:hAnsi="Times New Roman" w:cs="Times New Roman"/>
        </w:rPr>
        <w:t>(1), 37-60.</w:t>
      </w:r>
    </w:p>
    <w:p w14:paraId="29127C01" w14:textId="77777777" w:rsidR="00401F4A" w:rsidRPr="00401F4A" w:rsidRDefault="00401F4A" w:rsidP="00401F4A">
      <w:pPr>
        <w:spacing w:line="480" w:lineRule="auto"/>
        <w:rPr>
          <w:rFonts w:ascii="Times New Roman" w:hAnsi="Times New Roman" w:cs="Times New Roman"/>
        </w:rPr>
      </w:pPr>
      <w:r w:rsidRPr="00401F4A">
        <w:rPr>
          <w:rFonts w:ascii="Times New Roman" w:hAnsi="Times New Roman" w:cs="Times New Roman"/>
        </w:rPr>
        <w:t xml:space="preserve">Jha, S. K., Bhawe, N., &amp; Satish, P. (2021). Scaling social enterprises through product diversification. </w:t>
      </w:r>
      <w:r w:rsidRPr="00C8584B">
        <w:rPr>
          <w:rFonts w:ascii="Times New Roman" w:hAnsi="Times New Roman" w:cs="Times New Roman"/>
          <w:i/>
          <w:iCs/>
        </w:rPr>
        <w:t>Sustainability, 13</w:t>
      </w:r>
      <w:r w:rsidRPr="00401F4A">
        <w:rPr>
          <w:rFonts w:ascii="Times New Roman" w:hAnsi="Times New Roman" w:cs="Times New Roman"/>
        </w:rPr>
        <w:t>(21), 11660.</w:t>
      </w:r>
    </w:p>
    <w:p w14:paraId="452BF55A" w14:textId="77777777" w:rsidR="00401F4A" w:rsidRPr="00401F4A" w:rsidRDefault="00401F4A" w:rsidP="00401F4A">
      <w:pPr>
        <w:spacing w:line="480" w:lineRule="auto"/>
        <w:rPr>
          <w:rFonts w:ascii="Times New Roman" w:hAnsi="Times New Roman" w:cs="Times New Roman"/>
        </w:rPr>
      </w:pPr>
      <w:r w:rsidRPr="00401F4A">
        <w:rPr>
          <w:rFonts w:ascii="Times New Roman" w:hAnsi="Times New Roman" w:cs="Times New Roman"/>
        </w:rPr>
        <w:lastRenderedPageBreak/>
        <w:t xml:space="preserve">Mahfuz Ashraf, M., Razzaque, M. A., Liaw, S. T., Ray, P. K., &amp; Hasan, M. R. (2019). Social business as an entrepreneurship model in emerging economy: Systematic review and case study. </w:t>
      </w:r>
      <w:r w:rsidRPr="00C8584B">
        <w:rPr>
          <w:rFonts w:ascii="Times New Roman" w:hAnsi="Times New Roman" w:cs="Times New Roman"/>
          <w:i/>
          <w:iCs/>
        </w:rPr>
        <w:t>Management decision, 57</w:t>
      </w:r>
      <w:r w:rsidRPr="00401F4A">
        <w:rPr>
          <w:rFonts w:ascii="Times New Roman" w:hAnsi="Times New Roman" w:cs="Times New Roman"/>
        </w:rPr>
        <w:t>(5), 1145-1161.</w:t>
      </w:r>
    </w:p>
    <w:p w14:paraId="42704B82" w14:textId="77777777" w:rsidR="00401F4A" w:rsidRPr="00401F4A" w:rsidRDefault="00401F4A" w:rsidP="00401F4A">
      <w:pPr>
        <w:spacing w:line="480" w:lineRule="auto"/>
        <w:rPr>
          <w:rFonts w:ascii="Times New Roman" w:hAnsi="Times New Roman" w:cs="Times New Roman"/>
        </w:rPr>
      </w:pPr>
      <w:r w:rsidRPr="00401F4A">
        <w:rPr>
          <w:rFonts w:ascii="Times New Roman" w:hAnsi="Times New Roman" w:cs="Times New Roman"/>
        </w:rPr>
        <w:t xml:space="preserve">Nogueira, E., Gomes, S., &amp; Lopes, J. M. (2023). Triple bottom line, sustainability, and economic development: What binds them together? A bibliometric approach. </w:t>
      </w:r>
      <w:r w:rsidRPr="00C8584B">
        <w:rPr>
          <w:rFonts w:ascii="Times New Roman" w:hAnsi="Times New Roman" w:cs="Times New Roman"/>
          <w:i/>
          <w:iCs/>
        </w:rPr>
        <w:t>Sustainability, 15</w:t>
      </w:r>
      <w:r w:rsidRPr="00401F4A">
        <w:rPr>
          <w:rFonts w:ascii="Times New Roman" w:hAnsi="Times New Roman" w:cs="Times New Roman"/>
        </w:rPr>
        <w:t>(8), 6706.</w:t>
      </w:r>
    </w:p>
    <w:p w14:paraId="690D993C" w14:textId="77777777" w:rsidR="00401F4A" w:rsidRPr="00401F4A" w:rsidRDefault="00401F4A" w:rsidP="00401F4A">
      <w:pPr>
        <w:spacing w:line="480" w:lineRule="auto"/>
        <w:rPr>
          <w:rFonts w:ascii="Times New Roman" w:hAnsi="Times New Roman" w:cs="Times New Roman"/>
        </w:rPr>
      </w:pPr>
      <w:proofErr w:type="spellStart"/>
      <w:r w:rsidRPr="00401F4A">
        <w:rPr>
          <w:rFonts w:ascii="Times New Roman" w:hAnsi="Times New Roman" w:cs="Times New Roman"/>
        </w:rPr>
        <w:t>Pasamar</w:t>
      </w:r>
      <w:proofErr w:type="spellEnd"/>
      <w:r w:rsidRPr="00401F4A">
        <w:rPr>
          <w:rFonts w:ascii="Times New Roman" w:hAnsi="Times New Roman" w:cs="Times New Roman"/>
        </w:rPr>
        <w:t xml:space="preserve">, S., </w:t>
      </w:r>
      <w:proofErr w:type="spellStart"/>
      <w:r w:rsidRPr="00401F4A">
        <w:rPr>
          <w:rFonts w:ascii="Times New Roman" w:hAnsi="Times New Roman" w:cs="Times New Roman"/>
        </w:rPr>
        <w:t>Bornay-Barrachina</w:t>
      </w:r>
      <w:proofErr w:type="spellEnd"/>
      <w:r w:rsidRPr="00401F4A">
        <w:rPr>
          <w:rFonts w:ascii="Times New Roman" w:hAnsi="Times New Roman" w:cs="Times New Roman"/>
        </w:rPr>
        <w:t xml:space="preserve">, M., &amp; Morales-Sánchez, R. (2025). Institutional pressures for sustainability: a triple bottom line approach. </w:t>
      </w:r>
      <w:r w:rsidRPr="00C8584B">
        <w:rPr>
          <w:rFonts w:ascii="Times New Roman" w:hAnsi="Times New Roman" w:cs="Times New Roman"/>
          <w:i/>
          <w:iCs/>
        </w:rPr>
        <w:t>European Journal of Management and Business Economics, 34</w:t>
      </w:r>
      <w:r w:rsidRPr="00401F4A">
        <w:rPr>
          <w:rFonts w:ascii="Times New Roman" w:hAnsi="Times New Roman" w:cs="Times New Roman"/>
        </w:rPr>
        <w:t>(4), 460-484.</w:t>
      </w:r>
    </w:p>
    <w:p w14:paraId="49BC78ED" w14:textId="77777777" w:rsidR="00401F4A" w:rsidRPr="00401F4A" w:rsidRDefault="00401F4A" w:rsidP="00401F4A">
      <w:pPr>
        <w:spacing w:line="480" w:lineRule="auto"/>
        <w:rPr>
          <w:rFonts w:ascii="Times New Roman" w:hAnsi="Times New Roman" w:cs="Times New Roman"/>
        </w:rPr>
      </w:pPr>
      <w:proofErr w:type="spellStart"/>
      <w:r w:rsidRPr="00401F4A">
        <w:rPr>
          <w:rFonts w:ascii="Times New Roman" w:hAnsi="Times New Roman" w:cs="Times New Roman"/>
        </w:rPr>
        <w:t>Qastharin</w:t>
      </w:r>
      <w:proofErr w:type="spellEnd"/>
      <w:r w:rsidRPr="00401F4A">
        <w:rPr>
          <w:rFonts w:ascii="Times New Roman" w:hAnsi="Times New Roman" w:cs="Times New Roman"/>
        </w:rPr>
        <w:t>, A. R. (2016). Business model canvas for social enterprise</w:t>
      </w:r>
      <w:r w:rsidRPr="00C8584B">
        <w:rPr>
          <w:rFonts w:ascii="Times New Roman" w:hAnsi="Times New Roman" w:cs="Times New Roman"/>
          <w:i/>
          <w:iCs/>
        </w:rPr>
        <w:t>. Journal of Business and Economics, 7</w:t>
      </w:r>
      <w:r w:rsidRPr="00401F4A">
        <w:rPr>
          <w:rFonts w:ascii="Times New Roman" w:hAnsi="Times New Roman" w:cs="Times New Roman"/>
        </w:rPr>
        <w:t>(4), 627-637.</w:t>
      </w:r>
    </w:p>
    <w:p w14:paraId="4A4A5766" w14:textId="5E77E5AD" w:rsidR="00401F4A" w:rsidRPr="00C158B1" w:rsidRDefault="00401F4A" w:rsidP="00401F4A">
      <w:pPr>
        <w:spacing w:line="480" w:lineRule="auto"/>
        <w:rPr>
          <w:rFonts w:ascii="Times New Roman" w:hAnsi="Times New Roman" w:cs="Times New Roman"/>
        </w:rPr>
      </w:pPr>
      <w:proofErr w:type="spellStart"/>
      <w:r w:rsidRPr="00401F4A">
        <w:rPr>
          <w:rFonts w:ascii="Times New Roman" w:hAnsi="Times New Roman" w:cs="Times New Roman"/>
        </w:rPr>
        <w:t>Tykkyläinen</w:t>
      </w:r>
      <w:proofErr w:type="spellEnd"/>
      <w:r w:rsidRPr="00401F4A">
        <w:rPr>
          <w:rFonts w:ascii="Times New Roman" w:hAnsi="Times New Roman" w:cs="Times New Roman"/>
        </w:rPr>
        <w:t xml:space="preserve">, S., &amp; </w:t>
      </w:r>
      <w:proofErr w:type="spellStart"/>
      <w:r w:rsidRPr="00401F4A">
        <w:rPr>
          <w:rFonts w:ascii="Times New Roman" w:hAnsi="Times New Roman" w:cs="Times New Roman"/>
        </w:rPr>
        <w:t>Ritala</w:t>
      </w:r>
      <w:proofErr w:type="spellEnd"/>
      <w:r w:rsidRPr="00401F4A">
        <w:rPr>
          <w:rFonts w:ascii="Times New Roman" w:hAnsi="Times New Roman" w:cs="Times New Roman"/>
        </w:rPr>
        <w:t xml:space="preserve">, P. (2021). Business model innovation in social enterprises: An activity system perspective. </w:t>
      </w:r>
      <w:r w:rsidRPr="00C8584B">
        <w:rPr>
          <w:rFonts w:ascii="Times New Roman" w:hAnsi="Times New Roman" w:cs="Times New Roman"/>
          <w:i/>
          <w:iCs/>
        </w:rPr>
        <w:t>Journal of Business Research,</w:t>
      </w:r>
      <w:r w:rsidRPr="00401F4A">
        <w:rPr>
          <w:rFonts w:ascii="Times New Roman" w:hAnsi="Times New Roman" w:cs="Times New Roman"/>
        </w:rPr>
        <w:t xml:space="preserve"> 125, 684-697.</w:t>
      </w:r>
    </w:p>
    <w:sectPr w:rsidR="00401F4A" w:rsidRPr="00C158B1" w:rsidSect="00C8584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58B1"/>
    <w:rsid w:val="00401F4A"/>
    <w:rsid w:val="00B61978"/>
    <w:rsid w:val="00C158B1"/>
    <w:rsid w:val="00C8584B"/>
    <w:rsid w:val="00D71FA9"/>
    <w:rsid w:val="00D96A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F1E608"/>
  <w15:chartTrackingRefBased/>
  <w15:docId w15:val="{05268E99-0DD0-49AD-A169-5837FA1FE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58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158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158B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158B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158B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158B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158B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158B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158B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58B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158B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158B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158B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158B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158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158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158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158B1"/>
    <w:rPr>
      <w:rFonts w:eastAsiaTheme="majorEastAsia" w:cstheme="majorBidi"/>
      <w:color w:val="272727" w:themeColor="text1" w:themeTint="D8"/>
    </w:rPr>
  </w:style>
  <w:style w:type="paragraph" w:styleId="Title">
    <w:name w:val="Title"/>
    <w:basedOn w:val="Normal"/>
    <w:next w:val="Normal"/>
    <w:link w:val="TitleChar"/>
    <w:uiPriority w:val="10"/>
    <w:qFormat/>
    <w:rsid w:val="00C158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58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158B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158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158B1"/>
    <w:pPr>
      <w:spacing w:before="160"/>
      <w:jc w:val="center"/>
    </w:pPr>
    <w:rPr>
      <w:i/>
      <w:iCs/>
      <w:color w:val="404040" w:themeColor="text1" w:themeTint="BF"/>
    </w:rPr>
  </w:style>
  <w:style w:type="character" w:customStyle="1" w:styleId="QuoteChar">
    <w:name w:val="Quote Char"/>
    <w:basedOn w:val="DefaultParagraphFont"/>
    <w:link w:val="Quote"/>
    <w:uiPriority w:val="29"/>
    <w:rsid w:val="00C158B1"/>
    <w:rPr>
      <w:i/>
      <w:iCs/>
      <w:color w:val="404040" w:themeColor="text1" w:themeTint="BF"/>
    </w:rPr>
  </w:style>
  <w:style w:type="paragraph" w:styleId="ListParagraph">
    <w:name w:val="List Paragraph"/>
    <w:basedOn w:val="Normal"/>
    <w:uiPriority w:val="34"/>
    <w:qFormat/>
    <w:rsid w:val="00C158B1"/>
    <w:pPr>
      <w:ind w:left="720"/>
      <w:contextualSpacing/>
    </w:pPr>
  </w:style>
  <w:style w:type="character" w:styleId="IntenseEmphasis">
    <w:name w:val="Intense Emphasis"/>
    <w:basedOn w:val="DefaultParagraphFont"/>
    <w:uiPriority w:val="21"/>
    <w:qFormat/>
    <w:rsid w:val="00C158B1"/>
    <w:rPr>
      <w:i/>
      <w:iCs/>
      <w:color w:val="0F4761" w:themeColor="accent1" w:themeShade="BF"/>
    </w:rPr>
  </w:style>
  <w:style w:type="paragraph" w:styleId="IntenseQuote">
    <w:name w:val="Intense Quote"/>
    <w:basedOn w:val="Normal"/>
    <w:next w:val="Normal"/>
    <w:link w:val="IntenseQuoteChar"/>
    <w:uiPriority w:val="30"/>
    <w:qFormat/>
    <w:rsid w:val="00C158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158B1"/>
    <w:rPr>
      <w:i/>
      <w:iCs/>
      <w:color w:val="0F4761" w:themeColor="accent1" w:themeShade="BF"/>
    </w:rPr>
  </w:style>
  <w:style w:type="character" w:styleId="IntenseReference">
    <w:name w:val="Intense Reference"/>
    <w:basedOn w:val="DefaultParagraphFont"/>
    <w:uiPriority w:val="32"/>
    <w:qFormat/>
    <w:rsid w:val="00C158B1"/>
    <w:rPr>
      <w:b/>
      <w:bCs/>
      <w:smallCaps/>
      <w:color w:val="0F4761" w:themeColor="accent1" w:themeShade="BF"/>
      <w:spacing w:val="5"/>
    </w:rPr>
  </w:style>
  <w:style w:type="paragraph" w:styleId="NoSpacing">
    <w:name w:val="No Spacing"/>
    <w:link w:val="NoSpacingChar"/>
    <w:uiPriority w:val="1"/>
    <w:qFormat/>
    <w:rsid w:val="00C8584B"/>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C8584B"/>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2025-12-12T00:00:00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9</Pages>
  <Words>1976</Words>
  <Characters>11269</Characters>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Social Impact Measurement</dc:title>
  <dc:subject>Assignment 2</dc:subject>
  <cp:keywords/>
  <dc:description/>
  <dcterms:created xsi:type="dcterms:W3CDTF">2025-12-12T09:14:00Z</dcterms:created>
  <dcterms:modified xsi:type="dcterms:W3CDTF">2025-12-12T11:39:00Z</dcterms:modified>
</cp:coreProperties>
</file>