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E3BE4D4">
      <w:pPr>
        <w:jc w:val="both"/>
      </w:pPr>
      <w:bookmarkStart w:id="8" w:name="_GoBack"/>
      <w:bookmarkEnd w:id="8"/>
    </w:p>
    <w:p w14:paraId="596E805F"/>
    <w:p w14:paraId="490CC31D">
      <w:pPr>
        <w:rPr>
          <w:rFonts w:hint="default"/>
          <w:lang w:val="en-GB"/>
        </w:rPr>
      </w:pPr>
      <w:r>
        <w:rPr>
          <w:rFonts w:hint="default"/>
          <w:lang w:val="en-GB"/>
        </w:rPr>
        <w:t>NAME:Keila Alvarez</w:t>
      </w:r>
    </w:p>
    <w:p w14:paraId="0D224885">
      <w:pPr>
        <w:rPr>
          <w:rFonts w:hint="default"/>
          <w:lang w:val="en-GB"/>
        </w:rPr>
      </w:pPr>
    </w:p>
    <w:p w14:paraId="28722831">
      <w:pPr>
        <w:rPr>
          <w:rFonts w:hint="default"/>
          <w:lang w:val="en-GB"/>
        </w:rPr>
      </w:pPr>
      <w:r>
        <w:rPr>
          <w:rFonts w:hint="default"/>
          <w:lang w:val="en-GB"/>
        </w:rPr>
        <w:t>STUDENT NUMBER:2433086</w:t>
      </w:r>
    </w:p>
    <w:p w14:paraId="59055777">
      <w:pPr>
        <w:rPr>
          <w:rFonts w:hint="default"/>
          <w:lang w:val="en-GB"/>
        </w:rPr>
      </w:pPr>
    </w:p>
    <w:p w14:paraId="25DF12B3">
      <w:pPr>
        <w:rPr>
          <w:rFonts w:hint="default"/>
          <w:lang w:val="en-GB"/>
        </w:rPr>
      </w:pPr>
      <w:r>
        <w:rPr>
          <w:rFonts w:hint="default"/>
          <w:lang w:val="en-GB"/>
        </w:rPr>
        <w:t>MODULE NUMBER:BMSW4014</w:t>
      </w:r>
    </w:p>
    <w:p w14:paraId="6D49B310">
      <w:pPr>
        <w:rPr>
          <w:rFonts w:hint="default"/>
          <w:lang w:val="en-GB"/>
        </w:rPr>
      </w:pPr>
    </w:p>
    <w:p w14:paraId="01B1F34A">
      <w:pPr>
        <w:rPr>
          <w:rFonts w:hint="default"/>
          <w:lang w:val="en-GB"/>
        </w:rPr>
      </w:pPr>
      <w:r>
        <w:rPr>
          <w:rFonts w:hint="default"/>
          <w:lang w:val="en-GB"/>
        </w:rPr>
        <w:t xml:space="preserve">     </w:t>
      </w:r>
    </w:p>
    <w:p w14:paraId="745DC1A6">
      <w:pPr>
        <w:ind w:firstLine="120" w:firstLineChars="50"/>
        <w:rPr>
          <w:rFonts w:hint="default"/>
          <w:lang w:val="en-GB"/>
        </w:rPr>
      </w:pPr>
      <w:r>
        <w:rPr>
          <w:rFonts w:hint="default"/>
          <w:lang w:val="en-GB"/>
        </w:rPr>
        <w:t xml:space="preserve">A Critical Analysis of External Factors  Influencing the uk Electric Vehicle Industry </w:t>
      </w:r>
    </w:p>
    <w:p w14:paraId="349D2E8A">
      <w:r>
        <w:br w:type="column"/>
      </w:r>
    </w:p>
    <w:sdt>
      <w:sdtPr>
        <w:rPr>
          <w:rFonts w:ascii="Times New Roman" w:hAnsi="Times New Roman" w:eastAsiaTheme="minorHAnsi" w:cstheme="minorBidi"/>
          <w:color w:val="auto"/>
          <w:kern w:val="2"/>
          <w:sz w:val="24"/>
          <w:szCs w:val="22"/>
          <w14:ligatures w14:val="standardContextual"/>
        </w:rPr>
        <w:id w:val="-845637932"/>
        <w:docPartObj>
          <w:docPartGallery w:val="Table of Contents"/>
          <w:docPartUnique/>
        </w:docPartObj>
      </w:sdtPr>
      <w:sdtEndPr>
        <w:rPr>
          <w:rFonts w:ascii="Times New Roman" w:hAnsi="Times New Roman" w:eastAsiaTheme="minorHAnsi" w:cstheme="minorBidi"/>
          <w:b/>
          <w:bCs/>
          <w:color w:val="auto"/>
          <w:kern w:val="2"/>
          <w:sz w:val="24"/>
          <w:szCs w:val="22"/>
          <w14:ligatures w14:val="standardContextual"/>
        </w:rPr>
      </w:sdtEndPr>
      <w:sdtContent>
        <w:p w14:paraId="0D0F3642">
          <w:pPr>
            <w:pStyle w:val="38"/>
            <w:spacing w:line="360" w:lineRule="auto"/>
            <w:jc w:val="center"/>
            <w:rPr>
              <w:rFonts w:ascii="Times New Roman" w:hAnsi="Times New Roman" w:cs="Times New Roman"/>
              <w:color w:val="080808"/>
              <w:sz w:val="24"/>
              <w:szCs w:val="24"/>
            </w:rPr>
          </w:pPr>
          <w:r>
            <w:rPr>
              <w:rFonts w:ascii="Times New Roman" w:hAnsi="Times New Roman" w:cs="Times New Roman"/>
              <w:color w:val="080808"/>
              <w:sz w:val="24"/>
              <w:szCs w:val="24"/>
            </w:rPr>
            <w:t>Table of Contents</w:t>
          </w:r>
        </w:p>
        <w:p w14:paraId="51CD4781">
          <w:pPr>
            <w:pStyle w:val="18"/>
            <w:tabs>
              <w:tab w:val="right" w:leader="dot" w:pos="9350"/>
            </w:tabs>
            <w:rPr>
              <w:rFonts w:asciiTheme="minorHAnsi" w:hAnsiTheme="minorHAnsi" w:eastAsiaTheme="minorEastAsia"/>
              <w:szCs w:val="24"/>
            </w:rPr>
          </w:pPr>
          <w:r>
            <w:rPr>
              <w:rFonts w:cs="Times New Roman"/>
              <w:color w:val="080808"/>
              <w:szCs w:val="24"/>
            </w:rPr>
            <w:fldChar w:fldCharType="begin"/>
          </w:r>
          <w:r>
            <w:rPr>
              <w:rFonts w:cs="Times New Roman"/>
              <w:color w:val="080808"/>
              <w:szCs w:val="24"/>
            </w:rPr>
            <w:instrText xml:space="preserve"> TOC \o "1-3" \h \z \u </w:instrText>
          </w:r>
          <w:r>
            <w:rPr>
              <w:rFonts w:cs="Times New Roman"/>
              <w:color w:val="080808"/>
              <w:szCs w:val="24"/>
            </w:rPr>
            <w:fldChar w:fldCharType="separate"/>
          </w:r>
          <w:r>
            <w:fldChar w:fldCharType="begin"/>
          </w:r>
          <w:r>
            <w:instrText xml:space="preserve"> HYPERLINK \l "_Toc212682346" </w:instrText>
          </w:r>
          <w:r>
            <w:fldChar w:fldCharType="separate"/>
          </w:r>
          <w:r>
            <w:rPr>
              <w:rStyle w:val="15"/>
            </w:rPr>
            <w:t>1. Introduction</w:t>
          </w:r>
          <w:r>
            <w:tab/>
          </w:r>
          <w:r>
            <w:fldChar w:fldCharType="begin"/>
          </w:r>
          <w:r>
            <w:instrText xml:space="preserve"> PAGEREF _Toc212682346 \h </w:instrText>
          </w:r>
          <w:r>
            <w:fldChar w:fldCharType="separate"/>
          </w:r>
          <w:r>
            <w:t>3</w:t>
          </w:r>
          <w:r>
            <w:fldChar w:fldCharType="end"/>
          </w:r>
          <w:r>
            <w:fldChar w:fldCharType="end"/>
          </w:r>
        </w:p>
        <w:p w14:paraId="4B3CF834">
          <w:pPr>
            <w:pStyle w:val="18"/>
            <w:tabs>
              <w:tab w:val="right" w:leader="dot" w:pos="9350"/>
            </w:tabs>
            <w:rPr>
              <w:rFonts w:asciiTheme="minorHAnsi" w:hAnsiTheme="minorHAnsi" w:eastAsiaTheme="minorEastAsia"/>
              <w:szCs w:val="24"/>
            </w:rPr>
          </w:pPr>
          <w:r>
            <w:fldChar w:fldCharType="begin"/>
          </w:r>
          <w:r>
            <w:instrText xml:space="preserve"> HYPERLINK \l "_Toc212682347" </w:instrText>
          </w:r>
          <w:r>
            <w:fldChar w:fldCharType="separate"/>
          </w:r>
          <w:r>
            <w:rPr>
              <w:rStyle w:val="15"/>
            </w:rPr>
            <w:t>2. PESTLE Analysis: External Environment</w:t>
          </w:r>
          <w:r>
            <w:tab/>
          </w:r>
          <w:r>
            <w:fldChar w:fldCharType="begin"/>
          </w:r>
          <w:r>
            <w:instrText xml:space="preserve"> PAGEREF _Toc212682347 \h </w:instrText>
          </w:r>
          <w:r>
            <w:fldChar w:fldCharType="separate"/>
          </w:r>
          <w:r>
            <w:t>3</w:t>
          </w:r>
          <w:r>
            <w:fldChar w:fldCharType="end"/>
          </w:r>
          <w:r>
            <w:fldChar w:fldCharType="end"/>
          </w:r>
        </w:p>
        <w:p w14:paraId="7D0AC2A5">
          <w:pPr>
            <w:pStyle w:val="18"/>
            <w:tabs>
              <w:tab w:val="right" w:leader="dot" w:pos="9350"/>
            </w:tabs>
            <w:rPr>
              <w:rFonts w:asciiTheme="minorHAnsi" w:hAnsiTheme="minorHAnsi" w:eastAsiaTheme="minorEastAsia"/>
              <w:szCs w:val="24"/>
            </w:rPr>
          </w:pPr>
          <w:r>
            <w:fldChar w:fldCharType="begin"/>
          </w:r>
          <w:r>
            <w:instrText xml:space="preserve"> HYPERLINK \l "_Toc212682348" </w:instrText>
          </w:r>
          <w:r>
            <w:fldChar w:fldCharType="separate"/>
          </w:r>
          <w:r>
            <w:rPr>
              <w:rStyle w:val="15"/>
            </w:rPr>
            <w:t>3. SWOT Summary</w:t>
          </w:r>
          <w:r>
            <w:tab/>
          </w:r>
          <w:r>
            <w:fldChar w:fldCharType="begin"/>
          </w:r>
          <w:r>
            <w:instrText xml:space="preserve"> PAGEREF _Toc212682348 \h </w:instrText>
          </w:r>
          <w:r>
            <w:fldChar w:fldCharType="separate"/>
          </w:r>
          <w:r>
            <w:t>4</w:t>
          </w:r>
          <w:r>
            <w:fldChar w:fldCharType="end"/>
          </w:r>
          <w:r>
            <w:fldChar w:fldCharType="end"/>
          </w:r>
        </w:p>
        <w:p w14:paraId="20DA3964">
          <w:pPr>
            <w:pStyle w:val="18"/>
            <w:tabs>
              <w:tab w:val="right" w:leader="dot" w:pos="9350"/>
            </w:tabs>
            <w:rPr>
              <w:rFonts w:asciiTheme="minorHAnsi" w:hAnsiTheme="minorHAnsi" w:eastAsiaTheme="minorEastAsia"/>
              <w:szCs w:val="24"/>
            </w:rPr>
          </w:pPr>
          <w:r>
            <w:fldChar w:fldCharType="begin"/>
          </w:r>
          <w:r>
            <w:instrText xml:space="preserve"> HYPERLINK \l "_Toc212682349" </w:instrText>
          </w:r>
          <w:r>
            <w:fldChar w:fldCharType="separate"/>
          </w:r>
          <w:r>
            <w:rPr>
              <w:rStyle w:val="15"/>
            </w:rPr>
            <w:t>4. Innovation and Infrastructure Influence</w:t>
          </w:r>
          <w:r>
            <w:tab/>
          </w:r>
          <w:r>
            <w:fldChar w:fldCharType="begin"/>
          </w:r>
          <w:r>
            <w:instrText xml:space="preserve"> PAGEREF _Toc212682349 \h </w:instrText>
          </w:r>
          <w:r>
            <w:fldChar w:fldCharType="separate"/>
          </w:r>
          <w:r>
            <w:t>5</w:t>
          </w:r>
          <w:r>
            <w:fldChar w:fldCharType="end"/>
          </w:r>
          <w:r>
            <w:fldChar w:fldCharType="end"/>
          </w:r>
        </w:p>
        <w:p w14:paraId="6ED87822">
          <w:pPr>
            <w:pStyle w:val="18"/>
            <w:tabs>
              <w:tab w:val="right" w:leader="dot" w:pos="9350"/>
            </w:tabs>
            <w:rPr>
              <w:rFonts w:asciiTheme="minorHAnsi" w:hAnsiTheme="minorHAnsi" w:eastAsiaTheme="minorEastAsia"/>
              <w:szCs w:val="24"/>
            </w:rPr>
          </w:pPr>
          <w:r>
            <w:fldChar w:fldCharType="begin"/>
          </w:r>
          <w:r>
            <w:instrText xml:space="preserve"> HYPERLINK \l "_Toc212682350" </w:instrText>
          </w:r>
          <w:r>
            <w:fldChar w:fldCharType="separate"/>
          </w:r>
          <w:r>
            <w:rPr>
              <w:rStyle w:val="15"/>
            </w:rPr>
            <w:t>5. Root Cause Analysis (RCA): Volkswagen Greenwashing Case</w:t>
          </w:r>
          <w:r>
            <w:tab/>
          </w:r>
          <w:r>
            <w:fldChar w:fldCharType="begin"/>
          </w:r>
          <w:r>
            <w:instrText xml:space="preserve"> PAGEREF _Toc212682350 \h </w:instrText>
          </w:r>
          <w:r>
            <w:fldChar w:fldCharType="separate"/>
          </w:r>
          <w:r>
            <w:t>5</w:t>
          </w:r>
          <w:r>
            <w:fldChar w:fldCharType="end"/>
          </w:r>
          <w:r>
            <w:fldChar w:fldCharType="end"/>
          </w:r>
        </w:p>
        <w:p w14:paraId="0185A325">
          <w:pPr>
            <w:pStyle w:val="18"/>
            <w:tabs>
              <w:tab w:val="right" w:leader="dot" w:pos="9350"/>
            </w:tabs>
            <w:rPr>
              <w:rFonts w:asciiTheme="minorHAnsi" w:hAnsiTheme="minorHAnsi" w:eastAsiaTheme="minorEastAsia"/>
              <w:szCs w:val="24"/>
            </w:rPr>
          </w:pPr>
          <w:r>
            <w:fldChar w:fldCharType="begin"/>
          </w:r>
          <w:r>
            <w:instrText xml:space="preserve"> HYPERLINK \l "_Toc212682351" </w:instrText>
          </w:r>
          <w:r>
            <w:fldChar w:fldCharType="separate"/>
          </w:r>
          <w:r>
            <w:rPr>
              <w:rStyle w:val="15"/>
            </w:rPr>
            <w:t>6. Conclusion</w:t>
          </w:r>
          <w:r>
            <w:tab/>
          </w:r>
          <w:r>
            <w:fldChar w:fldCharType="begin"/>
          </w:r>
          <w:r>
            <w:instrText xml:space="preserve"> PAGEREF _Toc212682351 \h </w:instrText>
          </w:r>
          <w:r>
            <w:fldChar w:fldCharType="separate"/>
          </w:r>
          <w:r>
            <w:t>6</w:t>
          </w:r>
          <w:r>
            <w:fldChar w:fldCharType="end"/>
          </w:r>
          <w:r>
            <w:fldChar w:fldCharType="end"/>
          </w:r>
        </w:p>
        <w:p w14:paraId="7ED08067">
          <w:pPr>
            <w:pStyle w:val="18"/>
            <w:tabs>
              <w:tab w:val="right" w:leader="dot" w:pos="9350"/>
            </w:tabs>
            <w:rPr>
              <w:rFonts w:asciiTheme="minorHAnsi" w:hAnsiTheme="minorHAnsi" w:eastAsiaTheme="minorEastAsia"/>
              <w:szCs w:val="24"/>
            </w:rPr>
          </w:pPr>
          <w:r>
            <w:fldChar w:fldCharType="begin"/>
          </w:r>
          <w:r>
            <w:instrText xml:space="preserve"> HYPERLINK \l "_Toc212682352" </w:instrText>
          </w:r>
          <w:r>
            <w:fldChar w:fldCharType="separate"/>
          </w:r>
          <w:r>
            <w:rPr>
              <w:rStyle w:val="15"/>
            </w:rPr>
            <w:t>7. Recommendations</w:t>
          </w:r>
          <w:r>
            <w:tab/>
          </w:r>
          <w:r>
            <w:fldChar w:fldCharType="begin"/>
          </w:r>
          <w:r>
            <w:instrText xml:space="preserve"> PAGEREF _Toc212682352 \h </w:instrText>
          </w:r>
          <w:r>
            <w:fldChar w:fldCharType="separate"/>
          </w:r>
          <w:r>
            <w:t>7</w:t>
          </w:r>
          <w:r>
            <w:fldChar w:fldCharType="end"/>
          </w:r>
          <w:r>
            <w:fldChar w:fldCharType="end"/>
          </w:r>
        </w:p>
        <w:p w14:paraId="1FDAF7F1">
          <w:pPr>
            <w:pStyle w:val="18"/>
            <w:tabs>
              <w:tab w:val="right" w:leader="dot" w:pos="9350"/>
            </w:tabs>
            <w:rPr>
              <w:rFonts w:asciiTheme="minorHAnsi" w:hAnsiTheme="minorHAnsi" w:eastAsiaTheme="minorEastAsia"/>
              <w:szCs w:val="24"/>
            </w:rPr>
          </w:pPr>
          <w:r>
            <w:fldChar w:fldCharType="begin"/>
          </w:r>
          <w:r>
            <w:instrText xml:space="preserve"> HYPERLINK \l "_Toc212682353" </w:instrText>
          </w:r>
          <w:r>
            <w:fldChar w:fldCharType="separate"/>
          </w:r>
          <w:r>
            <w:rPr>
              <w:rStyle w:val="15"/>
            </w:rPr>
            <w:t>8. References</w:t>
          </w:r>
          <w:r>
            <w:tab/>
          </w:r>
          <w:r>
            <w:fldChar w:fldCharType="begin"/>
          </w:r>
          <w:r>
            <w:instrText xml:space="preserve"> PAGEREF _Toc212682353 \h </w:instrText>
          </w:r>
          <w:r>
            <w:fldChar w:fldCharType="separate"/>
          </w:r>
          <w:r>
            <w:t>8</w:t>
          </w:r>
          <w:r>
            <w:fldChar w:fldCharType="end"/>
          </w:r>
          <w:r>
            <w:fldChar w:fldCharType="end"/>
          </w:r>
        </w:p>
        <w:p w14:paraId="1BA13874">
          <w:pPr>
            <w:jc w:val="center"/>
          </w:pPr>
          <w:r>
            <w:rPr>
              <w:rFonts w:cs="Times New Roman"/>
              <w:b/>
              <w:bCs/>
              <w:color w:val="080808"/>
              <w:szCs w:val="24"/>
            </w:rPr>
            <w:fldChar w:fldCharType="end"/>
          </w:r>
        </w:p>
      </w:sdtContent>
    </w:sdt>
    <w:p w14:paraId="31AF0CC7"/>
    <w:p w14:paraId="7D701FAC"/>
    <w:p w14:paraId="1E055CB1"/>
    <w:p w14:paraId="77F11D00">
      <w:pPr>
        <w:pStyle w:val="2"/>
      </w:pPr>
      <w:r>
        <w:br w:type="column"/>
      </w:r>
      <w:bookmarkStart w:id="0" w:name="_Toc212682346"/>
      <w:r>
        <w:t>1. Introduction</w:t>
      </w:r>
      <w:bookmarkEnd w:id="0"/>
    </w:p>
    <w:p w14:paraId="2D09125A">
      <w:r>
        <w:t>The electric vehicle (EV) sector in the UK is undergoing an accelerated structural shift because of robust policy support on net zero and growing customer uptake and technological change in batteries, power electronics and vehicle software. Government policies and fleet buying objectives have driven demand, but there are also substantial obstacles: imbalanced recharging networks, high initial expenses and supply-chain risk related to, notably, critical minerals. Such strains produce an opportunity and a threat. The improvement in the reduction of battery costs, second-life options and intelligent charging presents commercial opportunities, as do regulatory complexities and the social awareness of environmental issues. Volkswagen Tiago is employed in the capacity of a focal case to the fact that the strategic electrification move undertaken by Volkswagen has been marred by legacies of past greenwashing scandals, which illustrate the role played by governance and transparency in mediating the benefits of technologies. This report thus utilises the PESTLE and SWOT frameworks to analyse the external pressures critically and offer governance-based innovation-based strategies. It focuses on the practical corporate response in order to enhance competitiveness, sustainability and resilience within the market.</w:t>
      </w:r>
    </w:p>
    <w:p w14:paraId="5011D06D">
      <w:pPr>
        <w:pStyle w:val="2"/>
      </w:pPr>
      <w:bookmarkStart w:id="1" w:name="_Toc212682347"/>
      <w:r>
        <w:t>2. PESTLE Analysis: External Environment</w:t>
      </w:r>
      <w:bookmarkEnd w:id="1"/>
    </w:p>
    <w:p w14:paraId="315A3709">
      <w:r>
        <w:t xml:space="preserve">The strongest external force affecting the UK EV industry is still political and regulatory drivers; the net-zero policies and the series of Zero Emission Vehicle policies in the UK give a clear indication of market demand but impose compliance costs on a scale and vertically integrated supply chains (Dempsey and Hinson, 2024). Diffusion is also restricted by cost in terms of its economy: prices of small batteries are high at the start, payment is sensitive to interest rates, and global resource depletion results in cost and supply risks reducing consumer utilisation despite incentives and subsidies (Pamidimukkala et al., 2023). Social factors amplify these pressures; while consumer acceptance of EVs has risen markedly, persistent range anxiety, limited access to home charging for many households, and heightened scepticism toward corporate environmental claims mean acceptance is uneven and contingent on trust. Technological change is rapid and double-edged: advances in lithium-ion and next-generation battery chemistries, power electronics and vehicle software materially improve range and total cost of ownership, yet these gains introduce new risks in cybersecurity, software governance and rapid obsolescence that firms must manage strategically (Itani and De Bernardinis, 2023). Legally, post-Dieselgate regulatory attention has tightened emissions testing, advertising and corporate disclosure expectations; evolving consumer-protection and data-privacy rules for connected vehicles increase compliance complexity and potential liability (Braun and Van Erp, 2021). From an environmental perspective, the sector’s legitimacy now depends on lifecycle performance, not just tailpipe emissions: battery manufacture, raw-material sourcing, recycling, and second-life uses determine net environmental benefit and shape investor and consumer judgements (Koroma et al., 2022). More importantly, these PESTLE factors interact as opposed to acting separately: policy incentives lead to the rapid implementation of technology, yet they also increase demands on officially verified sustainability; economic pressures can be a temptation to take shortcuts at the expense of trust; social distrust magnifies the reputational consequences of any policy failure (Mehlig et al., 2023). </w:t>
      </w:r>
    </w:p>
    <w:p w14:paraId="6CFE19E0">
      <w:pPr>
        <w:pStyle w:val="2"/>
      </w:pPr>
      <w:bookmarkStart w:id="2" w:name="_Toc212682348"/>
      <w:r>
        <w:t>3. SWOT Summary</w:t>
      </w:r>
      <w:bookmarkEnd w:id="2"/>
      <w:r>
        <w:t xml:space="preserve"> </w:t>
      </w:r>
    </w:p>
    <w:p w14:paraId="61C16B79">
      <w:r>
        <w:t xml:space="preserve">The external opportunities and threats associated with the UK EV sector reveal that the scale of the market is supported by the government and the momentum of R&amp;D, and the public charging accessibility and affordability limitations restrain the diffusion and the market depth, which are offset by the policy-driven market and the high advancement rate in technology (Loder, Rinscheid and Wuestenagen, 2023). Shortcomings that occur in the PESTLE (charging access, consumer range anxiety) can be converted into strategic weaknesses in the SWOT and prevent the ability of the incumbent firms to obtain the late-adopters segments without specific efforts to make the available approaches to charging and pricing consumer-friendly (Sun et al., 2024). The value opportunities are found where there are threats: second-life batteries, V2G services and digitalisation yield new sources of revenue and routes to the circular economy that may turn supply-chain pressure into competitive strength (Akram and Walid Abdul-Kader, 2024). Nonetheless, an external risk like regulatory volatility and greenwashing exposure requires dynamically reconfigurating organisational processes; companies need to ensure the development of sensing, seizing and reconfiguring routines to align innovation with scrutinised sustainability assertions and prevent the reputational and legal backlash (Boiral et al., 2021). </w:t>
      </w:r>
    </w:p>
    <w:p w14:paraId="73FE6650">
      <w:pPr>
        <w:pStyle w:val="2"/>
      </w:pPr>
      <w:bookmarkStart w:id="3" w:name="_Toc212682349"/>
      <w:r>
        <w:t>4. Innovation and Infrastructure Influence</w:t>
      </w:r>
      <w:bookmarkEnd w:id="3"/>
    </w:p>
    <w:p w14:paraId="0FE4F48C">
      <w:r>
        <w:t xml:space="preserve">Technological and infrastructural innovation is the principal mechanism by which UK EV firms convert policy momentum into market advantage, but it must be managed strategically to avoid new forms of vulnerability. Rogers’ Diffusion of Innovation explains how relative advantage, compatibility and trialability drive consumer uptake; charging density and visible pilot projects therefore accelerate adoption by improving observability and reducing perceived complexity (Xia, Wu and Zhang, 2022). Porter’s value-chain lens shows how digital platforms, software services and charging arrangements create upstream and downstream value but also increase interdependence across suppliers, utilities and local authorities (Singh et al., 2024). Rapid expansion of public and private charging networks materially raises EV utility and market reach, yet uneven geographic deployment sustains equity and access gaps that blunt diffusion. Ongoing performance improvements and new revenue streams, but they introduce cybersecurity, regulatory and obsolescence risks that require security-by-design and governance frameworks (Mahmood, Nguyen and Shaikh, 2022). Volkswagen’s recent AI and software strategies illustrate how automakers can use integrated digital architectures to regain technical credibility after reputational crises; however, such integration must be coupled with transparent lifecycle claims and third-party verification to avoid accusations of techno-greenwashing (Mert Erdoğan, Hiziroglu and Hiziroglu, 2024). </w:t>
      </w:r>
    </w:p>
    <w:p w14:paraId="31E0BE47">
      <w:pPr>
        <w:pStyle w:val="2"/>
      </w:pPr>
      <w:bookmarkStart w:id="4" w:name="_Toc212682350"/>
      <w:r>
        <w:t>5. Root Cause Analysis (RCA): Volkswagen Greenwashing Case</w:t>
      </w:r>
      <w:bookmarkEnd w:id="4"/>
    </w:p>
    <w:p w14:paraId="457D5D4E">
      <w:r>
        <w:t xml:space="preserve">The Volkswagen “Dieselgate” episode exposed a systemic failure in governance and incentive structures that incentivised deceptive technical workarounds rather than genuine engineering solutions. The proximate problem was deliberate defeat-device software that produced compliant emissions during tests but far higher NOx in real driving; a Five-Whys RCA shows the sequence: commercial and regulatory pressure to meet tight emissions targets; constrained R&amp;D budgets and timelines that limited engineering alternatives; an embedded compliance culture that tolerated rule-bending; executive and managerial incentives focused on sales and short-term metrics; and weak board oversight and audit controls that failed to detect or deter the behaviour (Jong and van der Linde, 2022). Theoretical interpretation aligns with agency theory (misaligned agent–principal incentives) and corporate governance failure (insufficient independent oversight), while ethical-leadership deficits explain normalisation of deviant practices (Blonz, 2023). Outcomes included heavy fines, remediation costs, long-term reputational damage and sector-wide trust erosion that reduced consumer legitimacy for manufacturer sustainability claims (Barth et al., 2022). For UK EV firms, the lesson is clear: rapid technological transition increases temptation to prioritise market metrics over verified sustainability. Mitigation would encompass aligned R&amp;D, compliance, governance, environmental claims registration by third parties, reporting of lifecycle in an open manner, and rewarding systems which foster substantiated long-term sustainability indicators. Such measures make the RCA operational controls and reduce the risk of greenwashing, and strengthen organisational resiliency (Boiral et al., 2021). </w:t>
      </w:r>
    </w:p>
    <w:p w14:paraId="787A2BD9">
      <w:r>
        <w:t>Moreover, there is corporate governance, corporate culture, and technological accountability interdependence, as the example of Volkswagen shows. Technical deception has not been the only reason why the project failed, although it was a broader organisational culture of conformity and risk avoidance.  Wolkswagen has spent a lot of money on compliance restructuring and ethical leadership programmes post crisis, confirming that cultural reform should work together with regulatory compliance to ensure they do not happen again (Ul-Durar et al., 2023). The scandal also promoted the global regulatory reform, and the EU/UK implemented more restrictive schemes for the verification of emissions and ESG disclosure. The case highlights that for emerging EV companies, particularly in the UK, setting up sustainability audits, transparent data management, and stakeholder relations as part of their strategic innovation is critical. The genuine resilience is supported by the correspondence between the technological innovation and ethical responsibility and the long-term social trust (Awan, Sroufe and Bozan, 2022).</w:t>
      </w:r>
    </w:p>
    <w:p w14:paraId="01F12C81">
      <w:pPr>
        <w:pStyle w:val="2"/>
      </w:pPr>
      <w:bookmarkStart w:id="5" w:name="_Toc212682351"/>
      <w:r>
        <w:t>6. Conclusion</w:t>
      </w:r>
      <w:bookmarkEnd w:id="5"/>
    </w:p>
    <w:p w14:paraId="1C451054">
      <w:r>
        <w:t>The discussion shows that the transformation of the UK EV industry is conditioned by the interdependence of the PESTLE forces, such as the government policy, economic instability, social approval, and the high rate of technological change. Although innovation increases competitiveness via improved batteries and more innovative connectivity, it also brings up the threats of a security breach, obsolescence and the possibility of reputational damage due to fake green claims. The case of Volkswagen Tiego confirms that governance integrity and transparent reporting of ESG should be accompanied by technological advancement. Strict adherence to maintaining the practices, reliable and verifiable environmental loyalty and innovation initiatives that can be pleased with ethical and regulatory provisions are the factors contributing to long-term sustainability and confidence in the consumers of the UK EV market.</w:t>
      </w:r>
    </w:p>
    <w:p w14:paraId="20903A97">
      <w:pPr>
        <w:pStyle w:val="2"/>
      </w:pPr>
      <w:bookmarkStart w:id="6" w:name="_Toc212682352"/>
      <w:r>
        <w:t>7. Recommendations</w:t>
      </w:r>
      <w:bookmarkEnd w:id="6"/>
    </w:p>
    <w:p w14:paraId="7E00800B">
      <w:r>
        <w:t xml:space="preserve">The UK EV manufacturers are to use the frameworks of the integrated compliance and innovation governance that should integrate sustainability throughout technical, ethical, and operational functions. R&amp;D and ESG priorities should be aligned in cross-functional teams, and the executive compensation should be tied to audited environmental KPIs to prevent misbehaviour. Existence checks on sustainability assertions can also improve transparency and confidence for the consumer. At the same time, interoperable charging infrastructure and circular battery systems will increase accessibility and minimise environmental impact. Cooperation with government and industry stakeholders can facilitate scalable recycling and supply-chain traceability. </w:t>
      </w:r>
    </w:p>
    <w:p w14:paraId="693FC0A7"/>
    <w:p w14:paraId="0BE1E20A"/>
    <w:p w14:paraId="40CC3F2C">
      <w:pPr>
        <w:spacing w:line="259" w:lineRule="auto"/>
        <w:jc w:val="left"/>
        <w:rPr>
          <w:rFonts w:eastAsiaTheme="majorEastAsia" w:cstheme="majorBidi"/>
          <w:b/>
          <w:color w:val="000000" w:themeColor="text1"/>
          <w:szCs w:val="40"/>
          <w14:textFill>
            <w14:solidFill>
              <w14:schemeClr w14:val="tx1"/>
            </w14:solidFill>
          </w14:textFill>
        </w:rPr>
      </w:pPr>
      <w:r>
        <w:br w:type="page"/>
      </w:r>
    </w:p>
    <w:p w14:paraId="34520ECF">
      <w:pPr>
        <w:pStyle w:val="2"/>
      </w:pPr>
      <w:bookmarkStart w:id="7" w:name="_Toc212682353"/>
      <w:r>
        <w:t>8. References</w:t>
      </w:r>
      <w:bookmarkEnd w:id="7"/>
    </w:p>
    <w:p w14:paraId="7874EE77">
      <w:pPr>
        <w:ind w:left="720" w:hanging="720"/>
      </w:pPr>
      <w:r>
        <w:t xml:space="preserve">Akram, M.N. and Walid Abdul-Kader (2024). Repurposing Second-Life EV Batteries to Advance Sustainable Development: A Comprehensive Review. </w:t>
      </w:r>
      <w:r>
        <w:rPr>
          <w:i/>
          <w:iCs/>
        </w:rPr>
        <w:t>Batteries</w:t>
      </w:r>
      <w:r>
        <w:t>, 10(12), pp.452–452. doi:https://doi.org/10.3390/batteries10120452.</w:t>
      </w:r>
    </w:p>
    <w:p w14:paraId="38ED4CDB">
      <w:pPr>
        <w:ind w:left="720" w:hanging="720"/>
      </w:pPr>
      <w:r>
        <w:t xml:space="preserve">Barth, F., Eckert, C., Gatzert, N. and Scholz, H. (2022). Spillover Effects from the Volkswagen Emissions Scandal: an Analysis of Stock and Corporate Bond Markets. </w:t>
      </w:r>
      <w:r>
        <w:rPr>
          <w:i/>
          <w:iCs/>
        </w:rPr>
        <w:t>Schmalenbach Journal of Business Research</w:t>
      </w:r>
      <w:r>
        <w:t>, 74(1). doi:https://doi.org/10.1007/s41471-021-00121-9.</w:t>
      </w:r>
    </w:p>
    <w:p w14:paraId="02AA50B1">
      <w:pPr>
        <w:ind w:left="720" w:hanging="720"/>
      </w:pPr>
      <w:r>
        <w:t xml:space="preserve">Blonz, J. (2023). The Costs of Misaligned Incentives: Energy Inefficiency and the Principal-Agent Problem. </w:t>
      </w:r>
      <w:r>
        <w:rPr>
          <w:i/>
          <w:iCs/>
        </w:rPr>
        <w:t>American Economic Journal: Economic Policy</w:t>
      </w:r>
      <w:r>
        <w:t>, 15(3), pp.286–321. doi:https://doi.org/10.1257/pol.20210208.</w:t>
      </w:r>
    </w:p>
    <w:p w14:paraId="5AE655B0">
      <w:pPr>
        <w:ind w:left="720" w:hanging="720"/>
      </w:pPr>
      <w:r>
        <w:t xml:space="preserve">Boiral, O., Brotherton, M.-C., Yuriev, A. and Talbot, D. (2021). Through the Smokescreen of the Dieselgate Disclosure: Neutralising the Impacts of a Major Sustainability Scandal. </w:t>
      </w:r>
      <w:r>
        <w:rPr>
          <w:i/>
          <w:iCs/>
        </w:rPr>
        <w:t>Organisation &amp; Environment</w:t>
      </w:r>
      <w:r>
        <w:t>, 35(2), p.108602662110435. doi:https://doi.org/10.1177/10860266211043561.</w:t>
      </w:r>
    </w:p>
    <w:p w14:paraId="51723467">
      <w:pPr>
        <w:ind w:left="720" w:hanging="720"/>
      </w:pPr>
      <w:r>
        <w:t xml:space="preserve">Braun, C. and Van Erp, J. (2021). International regime complexes and corporate crime: a research agenda based on the Volkswagen diesel fraud case. </w:t>
      </w:r>
      <w:r>
        <w:rPr>
          <w:i/>
          <w:iCs/>
        </w:rPr>
        <w:t>Crime, Law and Social Change</w:t>
      </w:r>
      <w:r>
        <w:t>, 77(2). doi:https://doi.org/10.1007/s10611-021-09980-z.</w:t>
      </w:r>
    </w:p>
    <w:p w14:paraId="255140BE">
      <w:pPr>
        <w:ind w:left="720" w:hanging="720"/>
      </w:pPr>
      <w:r>
        <w:t xml:space="preserve">Dempsey, N. and Hinson, S. (2024). Electric vehicles and infrastructure. </w:t>
      </w:r>
      <w:r>
        <w:rPr>
          <w:i/>
          <w:iCs/>
        </w:rPr>
        <w:t>commonslibrary.parliament.uk</w:t>
      </w:r>
      <w:r>
        <w:t>. [online] Available at: https://commonslibrary.parliament.uk/research-briefings/cbp-7480/.</w:t>
      </w:r>
    </w:p>
    <w:p w14:paraId="392D6D06">
      <w:pPr>
        <w:ind w:left="720" w:hanging="720"/>
      </w:pPr>
      <w:r>
        <w:t xml:space="preserve">Itani, K. and De Bernardinis, A. (2023). Review on New-Generation Batteries Technologies: Trends and Future Directions. </w:t>
      </w:r>
      <w:r>
        <w:rPr>
          <w:i/>
          <w:iCs/>
        </w:rPr>
        <w:t>Energies</w:t>
      </w:r>
      <w:r>
        <w:t>, [online] 16(22), p.7530. doi:https://doi.org/10.3390/en16227530.</w:t>
      </w:r>
    </w:p>
    <w:p w14:paraId="1EBC5B45">
      <w:pPr>
        <w:ind w:left="720" w:hanging="720"/>
      </w:pPr>
      <w:r>
        <w:t xml:space="preserve">Jong, W. and van der Linde, V. (2022). Clean diesel and dirty scandal: The echo of Volkswagen’s dieselgate in an intra-industry setting. </w:t>
      </w:r>
      <w:r>
        <w:rPr>
          <w:i/>
          <w:iCs/>
        </w:rPr>
        <w:t>Public Relations Review</w:t>
      </w:r>
      <w:r>
        <w:t>, 48(1), p.102146. doi:https://doi.org/10.1016/j.pubrev.2022.102146.</w:t>
      </w:r>
    </w:p>
    <w:p w14:paraId="3B06229C">
      <w:pPr>
        <w:ind w:left="720" w:hanging="720"/>
      </w:pPr>
      <w:r>
        <w:t xml:space="preserve">Koroma, M.S., Costa, D., Philippot, M., Cardellini, G., Hosen, M.S., Coosemans, T. and Messagie, M. (2022). Life cycle assessment of battery electric vehicles: Implications of future electricity mix and different battery end-of-life management. </w:t>
      </w:r>
      <w:r>
        <w:rPr>
          <w:i/>
          <w:iCs/>
        </w:rPr>
        <w:t>Science of the Total Environment</w:t>
      </w:r>
      <w:r>
        <w:t>, 831, p.154859. doi:https://doi.org/10.1016/j.scitotenv.2022.154859.</w:t>
      </w:r>
    </w:p>
    <w:p w14:paraId="756A8B84">
      <w:pPr>
        <w:ind w:left="720" w:hanging="720"/>
      </w:pPr>
      <w:r>
        <w:t xml:space="preserve">Loder, J.L., Rinscheid, A. and Wüstenhagen, R. (2023). Why do (some) German car manufacturers go electric? The role of dynamic capabilities and cognitive frames. </w:t>
      </w:r>
      <w:r>
        <w:rPr>
          <w:i/>
          <w:iCs/>
        </w:rPr>
        <w:t>Business Strategy and The Environment</w:t>
      </w:r>
      <w:r>
        <w:t>, 33(2). doi:https://doi.org/10.1002/bse.3538.</w:t>
      </w:r>
    </w:p>
    <w:p w14:paraId="137746C9">
      <w:pPr>
        <w:ind w:left="720" w:hanging="720"/>
      </w:pPr>
      <w:r>
        <w:t xml:space="preserve">Mahmood, S., Nguyen, H.N. and Shaikh, S.A. (2022). Systematic threat assessment and security testing of automotive over-the-air (OTA) updates. </w:t>
      </w:r>
      <w:r>
        <w:rPr>
          <w:i/>
          <w:iCs/>
        </w:rPr>
        <w:t>Vehicular Communications</w:t>
      </w:r>
      <w:r>
        <w:t>, 35, p.100468. doi:https://doi.org/10.1016/j.vehcom.2022.100468.</w:t>
      </w:r>
    </w:p>
    <w:p w14:paraId="61E33BFF">
      <w:pPr>
        <w:ind w:left="720" w:hanging="720"/>
      </w:pPr>
      <w:r>
        <w:t xml:space="preserve">Mehlig, D., Iain Staffell, Stettler, M. and ApSimon, H. (2023). Accelerating electric vehicle uptake favours greenhouse gas over air pollutant emissions. </w:t>
      </w:r>
      <w:r>
        <w:rPr>
          <w:i/>
          <w:iCs/>
        </w:rPr>
        <w:t>Transportation Research Part D: Transport and Environment</w:t>
      </w:r>
      <w:r>
        <w:t>, 124, pp.103954–103954. doi:https://doi.org/10.1016/j.trd.2023.103954.</w:t>
      </w:r>
    </w:p>
    <w:p w14:paraId="6581A191">
      <w:pPr>
        <w:ind w:left="720" w:hanging="720"/>
      </w:pPr>
      <w:r>
        <w:t xml:space="preserve">Mert Erdoğan, A., Hiziroglu, O. and Hiziroglu, A. (2024). </w:t>
      </w:r>
      <w:r>
        <w:rPr>
          <w:i/>
          <w:iCs/>
        </w:rPr>
        <w:t xml:space="preserve">An In-Depth Case Study of Volkswagen’s AI Integration </w:t>
      </w:r>
      <w:r>
        <w:rPr>
          <w:rFonts w:ascii="Cambria Math" w:hAnsi="Cambria Math" w:cs="Cambria Math"/>
          <w:i/>
          <w:iCs/>
        </w:rPr>
        <w:t>⋆</w:t>
      </w:r>
      <w:r>
        <w:rPr>
          <w:i/>
          <w:iCs/>
        </w:rPr>
        <w:t xml:space="preserve"> </w:t>
      </w:r>
      <w:r>
        <w:rPr>
          <w:rFonts w:ascii="Cambria Math" w:hAnsi="Cambria Math" w:cs="Cambria Math"/>
          <w:i/>
          <w:iCs/>
        </w:rPr>
        <w:t>⋆</w:t>
      </w:r>
      <w:r>
        <w:t>. [online] Available at: https://ceur-ws.org/Vol-3698/paper7.pdf.</w:t>
      </w:r>
    </w:p>
    <w:p w14:paraId="39202226">
      <w:pPr>
        <w:ind w:left="720" w:hanging="720"/>
      </w:pPr>
      <w:r>
        <w:t xml:space="preserve">Pamidimukkala, A., Kermanshachi, S., Rosenberger, J.M. and Hladik, G. (2023). Evaluation of barriers to electric vehicle adoption: A study of technological, environmental, financial, and infrastructure factors. </w:t>
      </w:r>
      <w:r>
        <w:rPr>
          <w:i/>
          <w:iCs/>
        </w:rPr>
        <w:t>Transportation Research Interdisciplinary Perspectives</w:t>
      </w:r>
      <w:r>
        <w:t>, [online] 22. doi:https://doi.org/10.1016/j.trip.2023.100962.</w:t>
      </w:r>
    </w:p>
    <w:p w14:paraId="20CAE9EB">
      <w:pPr>
        <w:ind w:left="720" w:hanging="720"/>
      </w:pPr>
      <w:r>
        <w:t xml:space="preserve">Singh, A.R., Vishnuram, P., Alagarsamy, S., Bajaj, M., Blazek, V., Damaj, I., Rathore, R.S., Al-Wesabi, F.N. and Othman, K.M. (2024). Electric vehicle charging technologies, infrastructure expansion, grid integration strategies, and their role in promoting sustainable e-mobility. </w:t>
      </w:r>
      <w:r>
        <w:rPr>
          <w:i/>
          <w:iCs/>
        </w:rPr>
        <w:t>Alexandria Engineering Journal /Alexandria Engineering Journal</w:t>
      </w:r>
      <w:r>
        <w:t>, 105(1), pp.300–330. doi:https://doi.org/10.1016/j.aej.2024.06.093.</w:t>
      </w:r>
    </w:p>
    <w:p w14:paraId="237C953E">
      <w:pPr>
        <w:ind w:left="720" w:hanging="720"/>
      </w:pPr>
      <w:r>
        <w:t xml:space="preserve">Sun, J., Sun, S., Chen, B. and Hu, Y. (2024). Charging change: Analysing the UK’s electric vehicle infrastructure policies and market dynamics. </w:t>
      </w:r>
      <w:r>
        <w:rPr>
          <w:i/>
          <w:iCs/>
        </w:rPr>
        <w:t>Energy policy</w:t>
      </w:r>
      <w:r>
        <w:t>, [online] 191, pp.114178–114178. doi:https://doi.org/10.1016/j.enpol.2024.114178.</w:t>
      </w:r>
    </w:p>
    <w:p w14:paraId="7D764030">
      <w:pPr>
        <w:ind w:left="720" w:hanging="720"/>
      </w:pPr>
      <w:r>
        <w:t xml:space="preserve">Xia, Z., Wu, D. and Zhang, L. (2022). Economic, Functional, and Social Factors Influencing Electric Vehicles’ Adoption: An Empirical Study Based on the Diffusion of Innovation Theory. </w:t>
      </w:r>
      <w:r>
        <w:rPr>
          <w:i/>
          <w:iCs/>
        </w:rPr>
        <w:t>Sustainability</w:t>
      </w:r>
      <w:r>
        <w:t>, 14(10), p.6283. doi:https://doi.org/10.3390/su14106283.</w:t>
      </w:r>
    </w:p>
    <w:sectPr>
      <w:headerReference r:id="rId5"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Cambria Math">
    <w:panose1 w:val="02040503050406030204"/>
    <w:charset w:val="00"/>
    <w:family w:val="roman"/>
    <w:pitch w:val="default"/>
    <w:sig w:usb0="E00006FF" w:usb1="420024FF" w:usb2="02000000" w:usb3="00000000" w:csb0="2000019F"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73312853"/>
      <w:docPartObj>
        <w:docPartGallery w:val="AutoText"/>
      </w:docPartObj>
    </w:sdtPr>
    <w:sdtContent>
      <w:p w14:paraId="54E4D31C">
        <w:pPr>
          <w:pStyle w:val="14"/>
          <w:jc w:val="right"/>
        </w:pPr>
        <w:r>
          <w:fldChar w:fldCharType="begin"/>
        </w:r>
        <w:r>
          <w:instrText xml:space="preserve"> PAGE   \* MERGEFORMAT </w:instrText>
        </w:r>
        <w:r>
          <w:fldChar w:fldCharType="separate"/>
        </w:r>
        <w:r>
          <w:t>2</w:t>
        </w:r>
        <w:r>
          <w:fldChar w:fldCharType="end"/>
        </w:r>
      </w:p>
    </w:sdtContent>
  </w:sdt>
  <w:p w14:paraId="4FA65E16">
    <w:pPr>
      <w:pStyle w:val="14"/>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0DBE"/>
    <w:rsid w:val="00010AEE"/>
    <w:rsid w:val="00072283"/>
    <w:rsid w:val="0009237E"/>
    <w:rsid w:val="000F3E79"/>
    <w:rsid w:val="00124FFB"/>
    <w:rsid w:val="001671AD"/>
    <w:rsid w:val="001954CE"/>
    <w:rsid w:val="001B26E4"/>
    <w:rsid w:val="001B3C93"/>
    <w:rsid w:val="001C0CC8"/>
    <w:rsid w:val="00212ED3"/>
    <w:rsid w:val="00264E71"/>
    <w:rsid w:val="002A3058"/>
    <w:rsid w:val="002B6838"/>
    <w:rsid w:val="00342100"/>
    <w:rsid w:val="00343B3F"/>
    <w:rsid w:val="0039090C"/>
    <w:rsid w:val="00392F28"/>
    <w:rsid w:val="003E0DBE"/>
    <w:rsid w:val="004165DF"/>
    <w:rsid w:val="004179EC"/>
    <w:rsid w:val="004377BF"/>
    <w:rsid w:val="004466E1"/>
    <w:rsid w:val="004A71F3"/>
    <w:rsid w:val="004F7DD7"/>
    <w:rsid w:val="00531EB3"/>
    <w:rsid w:val="00612CD1"/>
    <w:rsid w:val="00631841"/>
    <w:rsid w:val="00651E35"/>
    <w:rsid w:val="00694859"/>
    <w:rsid w:val="006F5DB9"/>
    <w:rsid w:val="00714529"/>
    <w:rsid w:val="0072525C"/>
    <w:rsid w:val="00743697"/>
    <w:rsid w:val="00745783"/>
    <w:rsid w:val="00765197"/>
    <w:rsid w:val="007706E5"/>
    <w:rsid w:val="007841CC"/>
    <w:rsid w:val="00794C0A"/>
    <w:rsid w:val="007B3839"/>
    <w:rsid w:val="007F5B5F"/>
    <w:rsid w:val="008032C9"/>
    <w:rsid w:val="008216CE"/>
    <w:rsid w:val="008569F0"/>
    <w:rsid w:val="00894B1A"/>
    <w:rsid w:val="008A7B6D"/>
    <w:rsid w:val="008D4596"/>
    <w:rsid w:val="008F777B"/>
    <w:rsid w:val="0091676B"/>
    <w:rsid w:val="00927D66"/>
    <w:rsid w:val="009663CF"/>
    <w:rsid w:val="00980F56"/>
    <w:rsid w:val="009C5D4F"/>
    <w:rsid w:val="009D1BC1"/>
    <w:rsid w:val="009D6492"/>
    <w:rsid w:val="009F0C2A"/>
    <w:rsid w:val="00A800E1"/>
    <w:rsid w:val="00AA24E6"/>
    <w:rsid w:val="00AB14B6"/>
    <w:rsid w:val="00AF0324"/>
    <w:rsid w:val="00AF7246"/>
    <w:rsid w:val="00B405F1"/>
    <w:rsid w:val="00B503A0"/>
    <w:rsid w:val="00B55BA1"/>
    <w:rsid w:val="00B841D8"/>
    <w:rsid w:val="00BC3F50"/>
    <w:rsid w:val="00BE0DA6"/>
    <w:rsid w:val="00BE1244"/>
    <w:rsid w:val="00BF1967"/>
    <w:rsid w:val="00C13153"/>
    <w:rsid w:val="00C277E1"/>
    <w:rsid w:val="00CB3A74"/>
    <w:rsid w:val="00CC478B"/>
    <w:rsid w:val="00CF250C"/>
    <w:rsid w:val="00CF3763"/>
    <w:rsid w:val="00D27E69"/>
    <w:rsid w:val="00D3289A"/>
    <w:rsid w:val="00D735D8"/>
    <w:rsid w:val="00DC65AC"/>
    <w:rsid w:val="00E47DEB"/>
    <w:rsid w:val="00E50BF8"/>
    <w:rsid w:val="00E74475"/>
    <w:rsid w:val="00E87908"/>
    <w:rsid w:val="00EA2AE4"/>
    <w:rsid w:val="00EC768E"/>
    <w:rsid w:val="00F171E2"/>
    <w:rsid w:val="00F22327"/>
    <w:rsid w:val="00F3563B"/>
    <w:rsid w:val="00F44349"/>
    <w:rsid w:val="00F47ECF"/>
    <w:rsid w:val="00F51190"/>
    <w:rsid w:val="00F911F2"/>
    <w:rsid w:val="00FA7D77"/>
    <w:rsid w:val="00FD4699"/>
    <w:rsid w:val="00FD6FF6"/>
    <w:rsid w:val="00FE730F"/>
    <w:rsid w:val="5FBD0161"/>
    <w:rsid w:val="60624C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kern w:val="2"/>
      <w:sz w:val="24"/>
      <w:szCs w:val="22"/>
      <w:lang w:val="en-US" w:eastAsia="en-US" w:bidi="ar-SA"/>
      <w14:ligatures w14:val="standardContextual"/>
    </w:rPr>
  </w:style>
  <w:style w:type="paragraph" w:styleId="2">
    <w:name w:val="heading 1"/>
    <w:basedOn w:val="1"/>
    <w:next w:val="1"/>
    <w:link w:val="19"/>
    <w:qFormat/>
    <w:uiPriority w:val="9"/>
    <w:pPr>
      <w:keepNext/>
      <w:keepLines/>
      <w:spacing w:before="360" w:after="80"/>
      <w:outlineLvl w:val="0"/>
    </w:pPr>
    <w:rPr>
      <w:rFonts w:eastAsiaTheme="majorEastAsia" w:cstheme="majorBidi"/>
      <w:b/>
      <w:color w:val="000000" w:themeColor="text1"/>
      <w:szCs w:val="40"/>
      <w14:textFill>
        <w14:solidFill>
          <w14:schemeClr w14:val="tx1"/>
        </w14:solidFill>
      </w14:textFill>
    </w:rPr>
  </w:style>
  <w:style w:type="paragraph" w:styleId="3">
    <w:name w:val="heading 2"/>
    <w:basedOn w:val="1"/>
    <w:next w:val="1"/>
    <w:link w:val="20"/>
    <w:unhideWhenUsed/>
    <w:qFormat/>
    <w:uiPriority w:val="9"/>
    <w:pPr>
      <w:keepNext/>
      <w:keepLines/>
      <w:spacing w:before="40" w:after="0"/>
      <w:ind w:left="176"/>
      <w:outlineLvl w:val="1"/>
    </w:pPr>
    <w:rPr>
      <w:rFonts w:eastAsiaTheme="majorEastAsia" w:cstheme="majorBidi"/>
      <w:b/>
      <w:i/>
      <w:color w:val="000000" w:themeColor="text1"/>
      <w:szCs w:val="26"/>
      <w14:textFill>
        <w14:solidFill>
          <w14:schemeClr w14:val="tx1"/>
        </w14:solidFill>
      </w14:textFill>
    </w:rPr>
  </w:style>
  <w:style w:type="paragraph" w:styleId="4">
    <w:name w:val="heading 3"/>
    <w:basedOn w:val="1"/>
    <w:next w:val="1"/>
    <w:link w:val="21"/>
    <w:unhideWhenUsed/>
    <w:qFormat/>
    <w:uiPriority w:val="9"/>
    <w:pPr>
      <w:keepNext/>
      <w:keepLines/>
      <w:spacing w:before="160" w:after="80"/>
      <w:outlineLvl w:val="2"/>
    </w:pPr>
    <w:rPr>
      <w:rFonts w:eastAsiaTheme="majorEastAsia" w:cstheme="majorBidi"/>
      <w:i/>
      <w:color w:val="000000" w:themeColor="text1"/>
      <w:sz w:val="22"/>
      <w:szCs w:val="28"/>
      <w14:textFill>
        <w14:solidFill>
          <w14:schemeClr w14:val="tx1"/>
        </w14:solidFill>
      </w14:textFill>
    </w:rPr>
  </w:style>
  <w:style w:type="paragraph" w:styleId="5">
    <w:name w:val="heading 4"/>
    <w:basedOn w:val="1"/>
    <w:next w:val="1"/>
    <w:link w:val="23"/>
    <w:semiHidden/>
    <w:unhideWhenUsed/>
    <w:qFormat/>
    <w:uiPriority w:val="9"/>
    <w:pPr>
      <w:keepNext/>
      <w:keepLines/>
      <w:spacing w:before="80" w:after="40"/>
      <w:outlineLvl w:val="3"/>
    </w:pPr>
    <w:rPr>
      <w:rFonts w:asciiTheme="minorHAnsi" w:hAnsiTheme="minorHAnsi" w:eastAsiaTheme="majorEastAsia" w:cstheme="majorBidi"/>
      <w:i/>
      <w:iCs/>
      <w:color w:val="2F5597" w:themeColor="accent1" w:themeShade="BF"/>
    </w:rPr>
  </w:style>
  <w:style w:type="paragraph" w:styleId="6">
    <w:name w:val="heading 5"/>
    <w:basedOn w:val="1"/>
    <w:next w:val="1"/>
    <w:link w:val="24"/>
    <w:semiHidden/>
    <w:unhideWhenUsed/>
    <w:qFormat/>
    <w:uiPriority w:val="9"/>
    <w:pPr>
      <w:keepNext/>
      <w:keepLines/>
      <w:spacing w:before="80" w:after="4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25"/>
    <w:semiHidden/>
    <w:unhideWhenUsed/>
    <w:qFormat/>
    <w:uiPriority w:val="9"/>
    <w:pPr>
      <w:keepNext/>
      <w:keepLines/>
      <w:spacing w:before="40" w:after="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6"/>
    <w:semiHidden/>
    <w:unhideWhenUsed/>
    <w:qFormat/>
    <w:uiPriority w:val="9"/>
    <w:pPr>
      <w:keepNext/>
      <w:keepLines/>
      <w:spacing w:before="40" w:after="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7"/>
    <w:semiHidden/>
    <w:unhideWhenUsed/>
    <w:qFormat/>
    <w:uiPriority w:val="9"/>
    <w:pPr>
      <w:keepNext/>
      <w:keepLines/>
      <w:spacing w:after="0"/>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8"/>
    <w:semiHidden/>
    <w:unhideWhenUsed/>
    <w:qFormat/>
    <w:uiPriority w:val="9"/>
    <w:pPr>
      <w:keepNext/>
      <w:keepLines/>
      <w:spacing w:after="0"/>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40"/>
    <w:unhideWhenUsed/>
    <w:uiPriority w:val="99"/>
    <w:pPr>
      <w:tabs>
        <w:tab w:val="center" w:pos="4680"/>
        <w:tab w:val="right" w:pos="9360"/>
      </w:tabs>
      <w:spacing w:after="0" w:line="240" w:lineRule="auto"/>
    </w:pPr>
  </w:style>
  <w:style w:type="paragraph" w:styleId="14">
    <w:name w:val="header"/>
    <w:basedOn w:val="1"/>
    <w:link w:val="39"/>
    <w:unhideWhenUsed/>
    <w:uiPriority w:val="99"/>
    <w:pPr>
      <w:tabs>
        <w:tab w:val="center" w:pos="4680"/>
        <w:tab w:val="right" w:pos="9360"/>
      </w:tabs>
      <w:spacing w:after="0" w:line="240" w:lineRule="auto"/>
    </w:pPr>
  </w:style>
  <w:style w:type="character" w:styleId="15">
    <w:name w:val="Hyperlink"/>
    <w:basedOn w:val="11"/>
    <w:unhideWhenUsed/>
    <w:uiPriority w:val="99"/>
    <w:rPr>
      <w:color w:val="0563C1" w:themeColor="hyperlink"/>
      <w:u w:val="single"/>
      <w14:textFill>
        <w14:solidFill>
          <w14:schemeClr w14:val="hlink"/>
        </w14:solidFill>
      </w14:textFill>
    </w:rPr>
  </w:style>
  <w:style w:type="paragraph" w:styleId="16">
    <w:name w:val="Subtitle"/>
    <w:basedOn w:val="1"/>
    <w:next w:val="1"/>
    <w:link w:val="30"/>
    <w:qFormat/>
    <w:uiPriority w:val="11"/>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7">
    <w:name w:val="Title"/>
    <w:basedOn w:val="1"/>
    <w:next w:val="1"/>
    <w:link w:val="29"/>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8">
    <w:name w:val="toc 1"/>
    <w:basedOn w:val="1"/>
    <w:next w:val="1"/>
    <w:autoRedefine/>
    <w:unhideWhenUsed/>
    <w:uiPriority w:val="39"/>
    <w:pPr>
      <w:spacing w:after="100"/>
    </w:pPr>
  </w:style>
  <w:style w:type="character" w:customStyle="1" w:styleId="19">
    <w:name w:val="Heading 1 Char"/>
    <w:basedOn w:val="11"/>
    <w:link w:val="2"/>
    <w:uiPriority w:val="9"/>
    <w:rPr>
      <w:rFonts w:ascii="Times New Roman" w:hAnsi="Times New Roman" w:eastAsiaTheme="majorEastAsia" w:cstheme="majorBidi"/>
      <w:b/>
      <w:color w:val="000000" w:themeColor="text1"/>
      <w:sz w:val="24"/>
      <w:szCs w:val="40"/>
      <w14:textFill>
        <w14:solidFill>
          <w14:schemeClr w14:val="tx1"/>
        </w14:solidFill>
      </w14:textFill>
    </w:rPr>
  </w:style>
  <w:style w:type="character" w:customStyle="1" w:styleId="20">
    <w:name w:val="Heading 2 Char"/>
    <w:basedOn w:val="11"/>
    <w:link w:val="3"/>
    <w:uiPriority w:val="9"/>
    <w:rPr>
      <w:rFonts w:ascii="Times New Roman" w:hAnsi="Times New Roman" w:eastAsiaTheme="majorEastAsia" w:cstheme="majorBidi"/>
      <w:b/>
      <w:i/>
      <w:color w:val="000000" w:themeColor="text1"/>
      <w:sz w:val="24"/>
      <w:szCs w:val="26"/>
      <w14:textFill>
        <w14:solidFill>
          <w14:schemeClr w14:val="tx1"/>
        </w14:solidFill>
      </w14:textFill>
    </w:rPr>
  </w:style>
  <w:style w:type="character" w:customStyle="1" w:styleId="21">
    <w:name w:val="Heading 3 Char"/>
    <w:basedOn w:val="11"/>
    <w:link w:val="4"/>
    <w:uiPriority w:val="9"/>
    <w:rPr>
      <w:rFonts w:ascii="Times New Roman" w:hAnsi="Times New Roman" w:eastAsiaTheme="majorEastAsia" w:cstheme="majorBidi"/>
      <w:i/>
      <w:color w:val="000000" w:themeColor="text1"/>
      <w:szCs w:val="28"/>
      <w14:textFill>
        <w14:solidFill>
          <w14:schemeClr w14:val="tx1"/>
        </w14:solidFill>
      </w14:textFill>
    </w:rPr>
  </w:style>
  <w:style w:type="paragraph" w:styleId="22">
    <w:name w:val="No Spacing"/>
    <w:qFormat/>
    <w:uiPriority w:val="1"/>
    <w:pPr>
      <w:spacing w:after="0" w:line="360" w:lineRule="auto"/>
      <w:jc w:val="both"/>
    </w:pPr>
    <w:rPr>
      <w:rFonts w:asciiTheme="minorHAnsi" w:hAnsiTheme="minorHAnsi" w:eastAsiaTheme="minorHAnsi" w:cstheme="minorBidi"/>
      <w:b/>
      <w:kern w:val="2"/>
      <w:sz w:val="22"/>
      <w:szCs w:val="22"/>
      <w:lang w:val="en-US" w:eastAsia="en-US" w:bidi="ar-SA"/>
      <w14:ligatures w14:val="standardContextual"/>
    </w:rPr>
  </w:style>
  <w:style w:type="character" w:customStyle="1" w:styleId="23">
    <w:name w:val="Heading 4 Char"/>
    <w:basedOn w:val="11"/>
    <w:link w:val="5"/>
    <w:semiHidden/>
    <w:uiPriority w:val="9"/>
    <w:rPr>
      <w:rFonts w:eastAsiaTheme="majorEastAsia" w:cstheme="majorBidi"/>
      <w:i/>
      <w:iCs/>
      <w:color w:val="2F5597" w:themeColor="accent1" w:themeShade="BF"/>
      <w:sz w:val="24"/>
    </w:rPr>
  </w:style>
  <w:style w:type="character" w:customStyle="1" w:styleId="24">
    <w:name w:val="Heading 5 Char"/>
    <w:basedOn w:val="11"/>
    <w:link w:val="6"/>
    <w:semiHidden/>
    <w:uiPriority w:val="9"/>
    <w:rPr>
      <w:rFonts w:eastAsiaTheme="majorEastAsia" w:cstheme="majorBidi"/>
      <w:color w:val="2F5597" w:themeColor="accent1" w:themeShade="BF"/>
      <w:sz w:val="24"/>
    </w:rPr>
  </w:style>
  <w:style w:type="character" w:customStyle="1" w:styleId="25">
    <w:name w:val="Heading 6 Char"/>
    <w:basedOn w:val="11"/>
    <w:link w:val="7"/>
    <w:semiHidden/>
    <w:uiPriority w:val="9"/>
    <w:rPr>
      <w:rFonts w:eastAsiaTheme="majorEastAsia" w:cstheme="majorBidi"/>
      <w:i/>
      <w:iCs/>
      <w:color w:val="595959" w:themeColor="text1" w:themeTint="A6"/>
      <w:sz w:val="24"/>
      <w14:textFill>
        <w14:solidFill>
          <w14:schemeClr w14:val="tx1">
            <w14:lumMod w14:val="65000"/>
            <w14:lumOff w14:val="35000"/>
          </w14:schemeClr>
        </w14:solidFill>
      </w14:textFill>
    </w:rPr>
  </w:style>
  <w:style w:type="character" w:customStyle="1" w:styleId="26">
    <w:name w:val="Heading 7 Char"/>
    <w:basedOn w:val="11"/>
    <w:link w:val="8"/>
    <w:semiHidden/>
    <w:uiPriority w:val="9"/>
    <w:rPr>
      <w:rFonts w:eastAsiaTheme="majorEastAsia" w:cstheme="majorBidi"/>
      <w:color w:val="595959" w:themeColor="text1" w:themeTint="A6"/>
      <w:sz w:val="24"/>
      <w14:textFill>
        <w14:solidFill>
          <w14:schemeClr w14:val="tx1">
            <w14:lumMod w14:val="65000"/>
            <w14:lumOff w14:val="35000"/>
          </w14:schemeClr>
        </w14:solidFill>
      </w14:textFill>
    </w:rPr>
  </w:style>
  <w:style w:type="character" w:customStyle="1" w:styleId="27">
    <w:name w:val="Heading 8 Char"/>
    <w:basedOn w:val="11"/>
    <w:link w:val="9"/>
    <w:semiHidden/>
    <w:uiPriority w:val="9"/>
    <w:rPr>
      <w:rFonts w:eastAsiaTheme="majorEastAsia" w:cstheme="majorBidi"/>
      <w:i/>
      <w:iCs/>
      <w:color w:val="262626" w:themeColor="text1" w:themeTint="D9"/>
      <w:sz w:val="24"/>
      <w14:textFill>
        <w14:solidFill>
          <w14:schemeClr w14:val="tx1">
            <w14:lumMod w14:val="85000"/>
            <w14:lumOff w14:val="15000"/>
          </w14:schemeClr>
        </w14:solidFill>
      </w14:textFill>
    </w:rPr>
  </w:style>
  <w:style w:type="character" w:customStyle="1" w:styleId="28">
    <w:name w:val="Heading 9 Char"/>
    <w:basedOn w:val="11"/>
    <w:link w:val="10"/>
    <w:semiHidden/>
    <w:uiPriority w:val="9"/>
    <w:rPr>
      <w:rFonts w:eastAsiaTheme="majorEastAsia" w:cstheme="majorBidi"/>
      <w:color w:val="262626" w:themeColor="text1" w:themeTint="D9"/>
      <w:sz w:val="24"/>
      <w14:textFill>
        <w14:solidFill>
          <w14:schemeClr w14:val="tx1">
            <w14:lumMod w14:val="85000"/>
            <w14:lumOff w14:val="15000"/>
          </w14:schemeClr>
        </w14:solidFill>
      </w14:textFill>
    </w:rPr>
  </w:style>
  <w:style w:type="character" w:customStyle="1" w:styleId="29">
    <w:name w:val="Title Char"/>
    <w:basedOn w:val="11"/>
    <w:link w:val="17"/>
    <w:uiPriority w:val="10"/>
    <w:rPr>
      <w:rFonts w:asciiTheme="majorHAnsi" w:hAnsiTheme="majorHAnsi" w:eastAsiaTheme="majorEastAsia" w:cstheme="majorBidi"/>
      <w:spacing w:val="-10"/>
      <w:kern w:val="28"/>
      <w:sz w:val="56"/>
      <w:szCs w:val="56"/>
    </w:rPr>
  </w:style>
  <w:style w:type="character" w:customStyle="1" w:styleId="30">
    <w:name w:val="Subtitle Char"/>
    <w:basedOn w:val="11"/>
    <w:link w:val="16"/>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1">
    <w:name w:val="Quote"/>
    <w:basedOn w:val="1"/>
    <w:next w:val="1"/>
    <w:link w:val="32"/>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2">
    <w:name w:val="Quote Char"/>
    <w:basedOn w:val="11"/>
    <w:link w:val="31"/>
    <w:uiPriority w:val="29"/>
    <w:rPr>
      <w:rFonts w:ascii="Times New Roman" w:hAnsi="Times New Roman"/>
      <w:i/>
      <w:iCs/>
      <w:color w:val="404040" w:themeColor="text1" w:themeTint="BF"/>
      <w:sz w:val="24"/>
      <w14:textFill>
        <w14:solidFill>
          <w14:schemeClr w14:val="tx1">
            <w14:lumMod w14:val="75000"/>
            <w14:lumOff w14:val="25000"/>
          </w14:schemeClr>
        </w14:solidFill>
      </w14:textFill>
    </w:rPr>
  </w:style>
  <w:style w:type="paragraph" w:styleId="33">
    <w:name w:val="List Paragraph"/>
    <w:basedOn w:val="1"/>
    <w:qFormat/>
    <w:uiPriority w:val="34"/>
    <w:pPr>
      <w:ind w:left="720"/>
      <w:contextualSpacing/>
    </w:pPr>
  </w:style>
  <w:style w:type="character" w:customStyle="1" w:styleId="34">
    <w:name w:val="Intense Emphasis"/>
    <w:basedOn w:val="11"/>
    <w:qFormat/>
    <w:uiPriority w:val="21"/>
    <w:rPr>
      <w:i/>
      <w:iCs/>
      <w:color w:val="2F5597" w:themeColor="accent1" w:themeShade="BF"/>
    </w:rPr>
  </w:style>
  <w:style w:type="paragraph" w:styleId="35">
    <w:name w:val="Intense Quote"/>
    <w:basedOn w:val="1"/>
    <w:next w:val="1"/>
    <w:link w:val="36"/>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6">
    <w:name w:val="Intense Quote Char"/>
    <w:basedOn w:val="11"/>
    <w:link w:val="35"/>
    <w:uiPriority w:val="30"/>
    <w:rPr>
      <w:rFonts w:ascii="Times New Roman" w:hAnsi="Times New Roman"/>
      <w:i/>
      <w:iCs/>
      <w:color w:val="2F5597" w:themeColor="accent1" w:themeShade="BF"/>
      <w:sz w:val="24"/>
    </w:rPr>
  </w:style>
  <w:style w:type="character" w:customStyle="1" w:styleId="37">
    <w:name w:val="Intense Reference"/>
    <w:basedOn w:val="11"/>
    <w:qFormat/>
    <w:uiPriority w:val="32"/>
    <w:rPr>
      <w:b/>
      <w:bCs/>
      <w:smallCaps/>
      <w:color w:val="2F5597" w:themeColor="accent1" w:themeShade="BF"/>
      <w:spacing w:val="5"/>
    </w:rPr>
  </w:style>
  <w:style w:type="paragraph" w:customStyle="1" w:styleId="38">
    <w:name w:val="TOC Heading"/>
    <w:basedOn w:val="2"/>
    <w:next w:val="1"/>
    <w:unhideWhenUsed/>
    <w:qFormat/>
    <w:uiPriority w:val="39"/>
    <w:pPr>
      <w:spacing w:before="240" w:after="0" w:line="259" w:lineRule="auto"/>
      <w:jc w:val="left"/>
      <w:outlineLvl w:val="9"/>
    </w:pPr>
    <w:rPr>
      <w:rFonts w:asciiTheme="majorHAnsi" w:hAnsiTheme="majorHAnsi"/>
      <w:b w:val="0"/>
      <w:color w:val="2F5597" w:themeColor="accent1" w:themeShade="BF"/>
      <w:kern w:val="0"/>
      <w:sz w:val="32"/>
      <w:szCs w:val="32"/>
      <w14:ligatures w14:val="none"/>
    </w:rPr>
  </w:style>
  <w:style w:type="character" w:customStyle="1" w:styleId="39">
    <w:name w:val="Header Char"/>
    <w:basedOn w:val="11"/>
    <w:link w:val="14"/>
    <w:uiPriority w:val="99"/>
    <w:rPr>
      <w:rFonts w:ascii="Times New Roman" w:hAnsi="Times New Roman"/>
      <w:sz w:val="24"/>
    </w:rPr>
  </w:style>
  <w:style w:type="character" w:customStyle="1" w:styleId="40">
    <w:name w:val="Footer Char"/>
    <w:basedOn w:val="11"/>
    <w:link w:val="13"/>
    <w:uiPriority w:val="99"/>
    <w:rPr>
      <w:rFonts w:ascii="Times New Roman" w:hAnsi="Times New Roman"/>
      <w:sz w:val="24"/>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D1A6C-0F5B-417B-BB8D-D74D59E51406}">
  <ds:schemaRefs/>
</ds:datastoreItem>
</file>

<file path=docProps/app.xml><?xml version="1.0" encoding="utf-8"?>
<Properties xmlns="http://schemas.openxmlformats.org/officeDocument/2006/extended-properties" xmlns:vt="http://schemas.openxmlformats.org/officeDocument/2006/docPropsVTypes">
  <Template>Normal</Template>
  <Pages>10</Pages>
  <Words>2135</Words>
  <Characters>14394</Characters>
  <Lines>218</Lines>
  <Paragraphs>51</Paragraphs>
  <TotalTime>34</TotalTime>
  <ScaleCrop>false</ScaleCrop>
  <LinksUpToDate>false</LinksUpToDate>
  <CharactersWithSpaces>16478</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2025-10-28T11:55:00Z</dcterms:created>
  <dc:creator>HAROON TRADERS</dc:creator>
  <cp:lastModifiedBy>Keila Alvarez</cp:lastModifiedBy>
  <dcterms:modified xsi:type="dcterms:W3CDTF">2025-11-30T18:29:46Z</dcterms:modified>
  <cp:revision>21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b49c6512-9a01-4d5e-acc6-cffc9ebe2de7</vt:lpwstr>
  </property>
  <property fmtid="{D5CDD505-2E9C-101B-9397-08002B2CF9AE}" pid="3" name="KSOProductBuildVer">
    <vt:lpwstr>2057-12.2.0.23155</vt:lpwstr>
  </property>
  <property fmtid="{D5CDD505-2E9C-101B-9397-08002B2CF9AE}" pid="4" name="ICV">
    <vt:lpwstr>ED3029EAA2F843E6A74C0D34A0326C3B_13</vt:lpwstr>
  </property>
</Properties>
</file>