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B46EB" w14:textId="77777777" w:rsidR="00342D89" w:rsidRDefault="006D2651" w:rsidP="006D2651">
      <w:pPr>
        <w:rPr>
          <w:b/>
          <w:bCs/>
        </w:rPr>
      </w:pPr>
      <w:r>
        <w:rPr>
          <w:noProof/>
        </w:rPr>
        <w:drawing>
          <wp:anchor distT="0" distB="0" distL="114300" distR="114300" simplePos="0" relativeHeight="251659264" behindDoc="0" locked="0" layoutInCell="1" allowOverlap="0" wp14:anchorId="57505C13" wp14:editId="40E91DD8">
            <wp:simplePos x="0" y="0"/>
            <wp:positionH relativeFrom="column">
              <wp:posOffset>0</wp:posOffset>
            </wp:positionH>
            <wp:positionV relativeFrom="paragraph">
              <wp:posOffset>318135</wp:posOffset>
            </wp:positionV>
            <wp:extent cx="1809750" cy="600075"/>
            <wp:effectExtent l="0" t="0" r="0" b="0"/>
            <wp:wrapSquare wrapText="bothSides"/>
            <wp:docPr id="500" name="Picture 500"/>
            <wp:cNvGraphicFramePr/>
            <a:graphic xmlns:a="http://schemas.openxmlformats.org/drawingml/2006/main">
              <a:graphicData uri="http://schemas.openxmlformats.org/drawingml/2006/picture">
                <pic:pic xmlns:pic="http://schemas.openxmlformats.org/drawingml/2006/picture">
                  <pic:nvPicPr>
                    <pic:cNvPr id="500" name="Picture 500"/>
                    <pic:cNvPicPr/>
                  </pic:nvPicPr>
                  <pic:blipFill>
                    <a:blip r:embed="rId7"/>
                    <a:stretch>
                      <a:fillRect/>
                    </a:stretch>
                  </pic:blipFill>
                  <pic:spPr>
                    <a:xfrm>
                      <a:off x="0" y="0"/>
                      <a:ext cx="1809750" cy="600075"/>
                    </a:xfrm>
                    <a:prstGeom prst="rect">
                      <a:avLst/>
                    </a:prstGeom>
                  </pic:spPr>
                </pic:pic>
              </a:graphicData>
            </a:graphic>
          </wp:anchor>
        </w:drawing>
      </w:r>
    </w:p>
    <w:p w14:paraId="6A15275B" w14:textId="77777777" w:rsidR="00342D89" w:rsidRDefault="00342D89" w:rsidP="006D2651">
      <w:pPr>
        <w:rPr>
          <w:b/>
          <w:bCs/>
        </w:rPr>
      </w:pPr>
    </w:p>
    <w:p w14:paraId="67D2E3BA" w14:textId="77777777" w:rsidR="00342D89" w:rsidRDefault="00342D89" w:rsidP="006D2651">
      <w:pPr>
        <w:rPr>
          <w:b/>
          <w:bCs/>
        </w:rPr>
      </w:pPr>
    </w:p>
    <w:p w14:paraId="0F7B4EDA" w14:textId="1D7A5FEA" w:rsidR="00342D89" w:rsidRDefault="00342D89" w:rsidP="00CB1D73">
      <w:pPr>
        <w:spacing w:line="360" w:lineRule="auto"/>
        <w:rPr>
          <w:b/>
          <w:bCs/>
        </w:rPr>
      </w:pPr>
    </w:p>
    <w:p w14:paraId="3C001B04" w14:textId="77777777" w:rsidR="00FF7A39" w:rsidRDefault="00FF7A39" w:rsidP="00CB1D73">
      <w:pPr>
        <w:spacing w:line="360" w:lineRule="auto"/>
        <w:rPr>
          <w:b/>
          <w:bCs/>
        </w:rPr>
      </w:pPr>
    </w:p>
    <w:p w14:paraId="4095C580" w14:textId="77777777" w:rsidR="00FF7A39" w:rsidRPr="00CB1D73" w:rsidRDefault="00FF7A39" w:rsidP="00CB1D73">
      <w:pPr>
        <w:spacing w:line="360" w:lineRule="auto"/>
        <w:rPr>
          <w:b/>
          <w:bCs/>
          <w:sz w:val="22"/>
          <w:szCs w:val="22"/>
        </w:rPr>
      </w:pPr>
    </w:p>
    <w:p w14:paraId="7C58DA86" w14:textId="77777777" w:rsidR="00342D89" w:rsidRPr="00CB1D73" w:rsidRDefault="00342D89" w:rsidP="00CB1D73">
      <w:pPr>
        <w:spacing w:line="360" w:lineRule="auto"/>
        <w:rPr>
          <w:rFonts w:ascii="Arial" w:hAnsi="Arial" w:cs="Arial"/>
          <w:sz w:val="22"/>
          <w:szCs w:val="22"/>
        </w:rPr>
      </w:pPr>
      <w:r w:rsidRPr="00CB1D73">
        <w:rPr>
          <w:rFonts w:ascii="Arial" w:hAnsi="Arial" w:cs="Arial"/>
          <w:b/>
          <w:bCs/>
          <w:sz w:val="22"/>
          <w:szCs w:val="22"/>
        </w:rPr>
        <w:t xml:space="preserve">Name: </w:t>
      </w:r>
      <w:r w:rsidRPr="00CB1D73">
        <w:rPr>
          <w:rFonts w:ascii="Arial" w:hAnsi="Arial" w:cs="Arial"/>
          <w:sz w:val="22"/>
          <w:szCs w:val="22"/>
        </w:rPr>
        <w:t>Bushra Ayub</w:t>
      </w:r>
    </w:p>
    <w:p w14:paraId="2E2941C7" w14:textId="448ECE1D" w:rsidR="008F206F" w:rsidRDefault="00342D89" w:rsidP="00CB1D73">
      <w:pPr>
        <w:spacing w:line="360" w:lineRule="auto"/>
        <w:rPr>
          <w:rFonts w:ascii="Arial" w:hAnsi="Arial" w:cs="Arial"/>
          <w:sz w:val="22"/>
          <w:szCs w:val="22"/>
        </w:rPr>
      </w:pPr>
      <w:r w:rsidRPr="00CB1D73">
        <w:rPr>
          <w:rFonts w:ascii="Arial" w:hAnsi="Arial" w:cs="Arial"/>
          <w:b/>
          <w:bCs/>
          <w:sz w:val="22"/>
          <w:szCs w:val="22"/>
        </w:rPr>
        <w:t xml:space="preserve">Student ID: </w:t>
      </w:r>
      <w:r w:rsidR="001227EA" w:rsidRPr="00CB1D73">
        <w:rPr>
          <w:rFonts w:ascii="Arial" w:hAnsi="Arial" w:cs="Arial"/>
          <w:sz w:val="22"/>
          <w:szCs w:val="22"/>
        </w:rPr>
        <w:t>2512516</w:t>
      </w:r>
    </w:p>
    <w:p w14:paraId="36A075F5" w14:textId="77777777" w:rsidR="008D4F11" w:rsidRDefault="008D4F11" w:rsidP="008D4F11">
      <w:pPr>
        <w:spacing w:after="120"/>
      </w:pPr>
      <w:r>
        <w:rPr>
          <w:b/>
        </w:rPr>
        <w:t xml:space="preserve">Programme: </w:t>
      </w:r>
      <w:r>
        <w:t>Certificate of Higher Education Skills for the Workplace (Health &amp; Social Care)</w:t>
      </w:r>
    </w:p>
    <w:p w14:paraId="5D481DE8" w14:textId="6951CA81" w:rsidR="008F206F" w:rsidRPr="00CB1D73" w:rsidRDefault="008F206F" w:rsidP="00CB1D73">
      <w:pPr>
        <w:spacing w:line="360" w:lineRule="auto"/>
        <w:rPr>
          <w:rFonts w:ascii="Arial" w:hAnsi="Arial" w:cs="Arial"/>
          <w:sz w:val="22"/>
          <w:szCs w:val="22"/>
        </w:rPr>
      </w:pPr>
      <w:r w:rsidRPr="00CB1D73">
        <w:rPr>
          <w:rFonts w:ascii="Arial" w:hAnsi="Arial" w:cs="Arial"/>
          <w:b/>
          <w:bCs/>
          <w:sz w:val="22"/>
          <w:szCs w:val="22"/>
        </w:rPr>
        <w:t>Module:</w:t>
      </w:r>
      <w:r w:rsidR="001227EA" w:rsidRPr="00CB1D73">
        <w:rPr>
          <w:rFonts w:ascii="Arial" w:hAnsi="Arial" w:cs="Arial"/>
          <w:b/>
          <w:bCs/>
          <w:sz w:val="22"/>
          <w:szCs w:val="22"/>
        </w:rPr>
        <w:t xml:space="preserve"> </w:t>
      </w:r>
      <w:r w:rsidR="00131196" w:rsidRPr="00CB1D73">
        <w:rPr>
          <w:rFonts w:ascii="Arial" w:hAnsi="Arial" w:cs="Arial"/>
          <w:sz w:val="22"/>
          <w:szCs w:val="22"/>
        </w:rPr>
        <w:t>LCH4010 Psychology in Health and Social Care</w:t>
      </w:r>
    </w:p>
    <w:p w14:paraId="51F44C16" w14:textId="77777777" w:rsidR="009F13A8" w:rsidRPr="00CB1D73" w:rsidRDefault="009F13A8" w:rsidP="009F13A8">
      <w:pPr>
        <w:spacing w:line="360" w:lineRule="auto"/>
        <w:rPr>
          <w:rFonts w:ascii="Arial" w:hAnsi="Arial" w:cs="Arial"/>
          <w:sz w:val="22"/>
          <w:szCs w:val="22"/>
        </w:rPr>
      </w:pPr>
      <w:r w:rsidRPr="00CB1D73">
        <w:rPr>
          <w:rFonts w:ascii="Arial" w:hAnsi="Arial" w:cs="Arial"/>
          <w:b/>
          <w:bCs/>
          <w:sz w:val="22"/>
          <w:szCs w:val="22"/>
        </w:rPr>
        <w:t>Lecturer</w:t>
      </w:r>
      <w:r w:rsidRPr="00CB1D73">
        <w:rPr>
          <w:rFonts w:ascii="Arial" w:hAnsi="Arial" w:cs="Arial"/>
          <w:sz w:val="22"/>
          <w:szCs w:val="22"/>
        </w:rPr>
        <w:t>: Lou Well</w:t>
      </w:r>
    </w:p>
    <w:p w14:paraId="70B054B2" w14:textId="566E83C2" w:rsidR="005F7721" w:rsidRPr="00871015" w:rsidRDefault="00175A2C" w:rsidP="00CB1D73">
      <w:pPr>
        <w:spacing w:line="360" w:lineRule="auto"/>
        <w:rPr>
          <w:rFonts w:ascii="Arial" w:hAnsi="Arial" w:cs="Arial"/>
          <w:b/>
          <w:bCs/>
          <w:sz w:val="22"/>
          <w:szCs w:val="22"/>
        </w:rPr>
      </w:pPr>
      <w:r w:rsidRPr="00CB1D73">
        <w:rPr>
          <w:rFonts w:ascii="Arial" w:hAnsi="Arial" w:cs="Arial"/>
          <w:b/>
          <w:bCs/>
          <w:sz w:val="22"/>
          <w:szCs w:val="22"/>
        </w:rPr>
        <w:t>Assessment</w:t>
      </w:r>
      <w:r w:rsidR="00EA7284" w:rsidRPr="00CB1D73">
        <w:rPr>
          <w:rFonts w:ascii="Arial" w:hAnsi="Arial" w:cs="Arial"/>
          <w:b/>
          <w:bCs/>
          <w:sz w:val="22"/>
          <w:szCs w:val="22"/>
        </w:rPr>
        <w:t xml:space="preserve"> title</w:t>
      </w:r>
      <w:r w:rsidRPr="00CB1D73">
        <w:rPr>
          <w:rFonts w:ascii="Arial" w:hAnsi="Arial" w:cs="Arial"/>
          <w:sz w:val="22"/>
          <w:szCs w:val="22"/>
        </w:rPr>
        <w:t xml:space="preserve">: </w:t>
      </w:r>
      <w:r w:rsidR="00EB0D03" w:rsidRPr="00CB1D73">
        <w:rPr>
          <w:rFonts w:ascii="Arial" w:hAnsi="Arial" w:cs="Arial"/>
          <w:sz w:val="22"/>
          <w:szCs w:val="22"/>
        </w:rPr>
        <w:t>C</w:t>
      </w:r>
      <w:r w:rsidR="004D268E" w:rsidRPr="00CB1D73">
        <w:rPr>
          <w:rFonts w:ascii="Arial" w:hAnsi="Arial" w:cs="Arial"/>
          <w:sz w:val="22"/>
          <w:szCs w:val="22"/>
        </w:rPr>
        <w:t xml:space="preserve">omponent 2: </w:t>
      </w:r>
      <w:r w:rsidR="00EB0D03" w:rsidRPr="00CB1D73">
        <w:rPr>
          <w:rFonts w:ascii="Arial" w:hAnsi="Arial" w:cs="Arial"/>
          <w:sz w:val="22"/>
          <w:szCs w:val="22"/>
        </w:rPr>
        <w:t>E</w:t>
      </w:r>
      <w:r w:rsidR="004D268E" w:rsidRPr="00CB1D73">
        <w:rPr>
          <w:rFonts w:ascii="Arial" w:hAnsi="Arial" w:cs="Arial"/>
          <w:sz w:val="22"/>
          <w:szCs w:val="22"/>
        </w:rPr>
        <w:t>ssay</w:t>
      </w:r>
      <w:r w:rsidR="005F7721" w:rsidRPr="00CB1D73">
        <w:rPr>
          <w:rFonts w:ascii="Arial" w:hAnsi="Arial" w:cs="Arial"/>
          <w:sz w:val="22"/>
          <w:szCs w:val="22"/>
        </w:rPr>
        <w:t xml:space="preserve"> Plan -</w:t>
      </w:r>
      <w:r w:rsidR="00EA7284" w:rsidRPr="00CB1D73">
        <w:rPr>
          <w:rFonts w:ascii="Arial" w:hAnsi="Arial" w:cs="Arial"/>
          <w:sz w:val="22"/>
          <w:szCs w:val="22"/>
        </w:rPr>
        <w:t xml:space="preserve"> Discuss the impact of social media on mental health in adolescence</w:t>
      </w:r>
      <w:r w:rsidR="0065053A">
        <w:rPr>
          <w:rFonts w:ascii="Arial" w:hAnsi="Arial" w:cs="Arial"/>
          <w:sz w:val="22"/>
          <w:szCs w:val="22"/>
        </w:rPr>
        <w:t>.</w:t>
      </w:r>
    </w:p>
    <w:p w14:paraId="7E6FD21C" w14:textId="22CA06FD" w:rsidR="00164F1B" w:rsidRDefault="009F13A8" w:rsidP="00CB1D73">
      <w:pPr>
        <w:spacing w:line="360" w:lineRule="auto"/>
        <w:rPr>
          <w:rFonts w:ascii="Arial" w:hAnsi="Arial" w:cs="Arial"/>
          <w:sz w:val="22"/>
          <w:szCs w:val="22"/>
        </w:rPr>
      </w:pPr>
      <w:r>
        <w:rPr>
          <w:rFonts w:ascii="Arial" w:hAnsi="Arial" w:cs="Arial"/>
          <w:b/>
          <w:bCs/>
          <w:sz w:val="22"/>
          <w:szCs w:val="22"/>
        </w:rPr>
        <w:t>Submission deadline</w:t>
      </w:r>
      <w:r w:rsidR="008F206F" w:rsidRPr="00CB1D73">
        <w:rPr>
          <w:rFonts w:ascii="Arial" w:hAnsi="Arial" w:cs="Arial"/>
          <w:b/>
          <w:bCs/>
          <w:sz w:val="22"/>
          <w:szCs w:val="22"/>
        </w:rPr>
        <w:t xml:space="preserve">: </w:t>
      </w:r>
      <w:r w:rsidR="008F206F" w:rsidRPr="00CB1D73">
        <w:rPr>
          <w:rFonts w:ascii="Arial" w:hAnsi="Arial" w:cs="Arial"/>
          <w:sz w:val="22"/>
          <w:szCs w:val="22"/>
        </w:rPr>
        <w:t>18</w:t>
      </w:r>
      <w:r w:rsidR="008F206F" w:rsidRPr="00CB1D73">
        <w:rPr>
          <w:rFonts w:ascii="Arial" w:hAnsi="Arial" w:cs="Arial"/>
          <w:sz w:val="22"/>
          <w:szCs w:val="22"/>
          <w:vertAlign w:val="superscript"/>
        </w:rPr>
        <w:t>th</w:t>
      </w:r>
      <w:r w:rsidR="008F206F" w:rsidRPr="00CB1D73">
        <w:rPr>
          <w:rFonts w:ascii="Arial" w:hAnsi="Arial" w:cs="Arial"/>
          <w:sz w:val="22"/>
          <w:szCs w:val="22"/>
        </w:rPr>
        <w:t xml:space="preserve"> </w:t>
      </w:r>
      <w:r w:rsidR="00C96132" w:rsidRPr="00CB1D73">
        <w:rPr>
          <w:rFonts w:ascii="Arial" w:hAnsi="Arial" w:cs="Arial"/>
          <w:sz w:val="22"/>
          <w:szCs w:val="22"/>
        </w:rPr>
        <w:t>August 2026</w:t>
      </w:r>
    </w:p>
    <w:p w14:paraId="0090958F" w14:textId="37371354" w:rsidR="00202BFF" w:rsidRPr="005334EC" w:rsidRDefault="00164F1B" w:rsidP="005334EC">
      <w:pPr>
        <w:rPr>
          <w:rFonts w:ascii="Arial" w:hAnsi="Arial" w:cs="Arial"/>
          <w:sz w:val="22"/>
          <w:szCs w:val="22"/>
        </w:rPr>
      </w:pPr>
      <w:r>
        <w:rPr>
          <w:rFonts w:ascii="Arial" w:hAnsi="Arial" w:cs="Arial"/>
          <w:sz w:val="22"/>
          <w:szCs w:val="22"/>
        </w:rPr>
        <w:br w:type="page"/>
      </w:r>
    </w:p>
    <w:p w14:paraId="1D254F0F" w14:textId="77777777" w:rsidR="00BA57F5" w:rsidRPr="008575F7" w:rsidRDefault="001459A8" w:rsidP="008575F7">
      <w:pPr>
        <w:pStyle w:val="Title"/>
        <w:rPr>
          <w:rStyle w:val="Strong"/>
          <w:b w:val="0"/>
          <w:bCs w:val="0"/>
          <w:sz w:val="52"/>
          <w:szCs w:val="52"/>
        </w:rPr>
      </w:pPr>
      <w:r w:rsidRPr="008575F7">
        <w:rPr>
          <w:rStyle w:val="Strong"/>
          <w:b w:val="0"/>
          <w:bCs w:val="0"/>
          <w:sz w:val="52"/>
          <w:szCs w:val="52"/>
        </w:rPr>
        <w:lastRenderedPageBreak/>
        <w:t xml:space="preserve">Discuss the impact of social media on mental Health </w:t>
      </w:r>
      <w:r w:rsidR="00BA57F5" w:rsidRPr="008575F7">
        <w:rPr>
          <w:rStyle w:val="Strong"/>
          <w:b w:val="0"/>
          <w:bCs w:val="0"/>
          <w:sz w:val="52"/>
          <w:szCs w:val="52"/>
        </w:rPr>
        <w:t>in adolescence.</w:t>
      </w:r>
    </w:p>
    <w:p w14:paraId="061FA729" w14:textId="77777777" w:rsidR="00BA57F5" w:rsidRDefault="00BA57F5" w:rsidP="00CB1D73">
      <w:pPr>
        <w:spacing w:line="360" w:lineRule="auto"/>
        <w:rPr>
          <w:b/>
          <w:bCs/>
        </w:rPr>
      </w:pPr>
    </w:p>
    <w:p w14:paraId="567C5883" w14:textId="64F2BB1C" w:rsidR="00DF55C0" w:rsidRPr="001B7497" w:rsidRDefault="005573D9" w:rsidP="001B7497">
      <w:pPr>
        <w:spacing w:line="360" w:lineRule="auto"/>
        <w:ind w:firstLine="432"/>
        <w:jc w:val="both"/>
      </w:pPr>
      <w:r>
        <w:rPr>
          <w:rFonts w:ascii="Arial" w:hAnsi="Arial"/>
          <w:sz w:val="22"/>
        </w:rPr>
        <w:t>Social media is a common part of daily life for many young people. It includes platforms like Instagram, Snapchat, TikTok, Facebook, and X, where users can communicate, share images and videos, and interact with other people's content. The World Health Organization (WHO, 2025) defines adolescence as the age range from 10 to 19 years. This stage is important because young people go through rapid changes in their physical, emotional, cognitive, and social development.</w:t>
      </w:r>
      <w:r w:rsidR="005715A3">
        <w:rPr>
          <w:rFonts w:ascii="Arial" w:hAnsi="Arial"/>
          <w:color w:val="FF0000"/>
          <w:sz w:val="22"/>
        </w:rPr>
        <w:t xml:space="preserve"> </w:t>
      </w:r>
      <w:r w:rsidR="004B3677">
        <w:rPr>
          <w:rFonts w:ascii="Arial" w:hAnsi="Arial"/>
          <w:sz w:val="22"/>
        </w:rPr>
        <w:t xml:space="preserve">Social media can </w:t>
      </w:r>
      <w:r w:rsidR="00F80B35">
        <w:rPr>
          <w:rFonts w:ascii="Arial" w:hAnsi="Arial"/>
          <w:sz w:val="22"/>
        </w:rPr>
        <w:t>affect people's development in both positive and negative</w:t>
      </w:r>
      <w:r w:rsidR="004B3677">
        <w:rPr>
          <w:rFonts w:ascii="Arial" w:hAnsi="Arial"/>
          <w:sz w:val="22"/>
        </w:rPr>
        <w:t xml:space="preserve"> ways. Studies show that heavy or problematic social media use is linked to anxiety, depression, sleep issues, loneliness, cyberbullying, low self-esteem, and body image concerns (Kelly et al., 2019; Odgers and Jensen, 2020). However, social media can also help people make friends, find support, access information, and explore their identities. Therefore, it is too simple to say that social media is always harmful.</w:t>
      </w:r>
      <w:r w:rsidR="005715A3">
        <w:rPr>
          <w:rFonts w:ascii="Arial" w:hAnsi="Arial"/>
          <w:color w:val="FF0000"/>
          <w:sz w:val="22"/>
        </w:rPr>
        <w:t xml:space="preserve"> </w:t>
      </w:r>
      <w:r w:rsidR="00585DD6">
        <w:rPr>
          <w:rFonts w:ascii="Arial" w:hAnsi="Arial"/>
          <w:sz w:val="22"/>
        </w:rPr>
        <w:t xml:space="preserve">This essay discusses how social media affects </w:t>
      </w:r>
      <w:r w:rsidR="00F80B35">
        <w:rPr>
          <w:rFonts w:ascii="Arial" w:hAnsi="Arial"/>
          <w:sz w:val="22"/>
        </w:rPr>
        <w:t>young people's mental health</w:t>
      </w:r>
      <w:r w:rsidR="00585DD6">
        <w:rPr>
          <w:rFonts w:ascii="Arial" w:hAnsi="Arial"/>
          <w:sz w:val="22"/>
        </w:rPr>
        <w:t>. It uses Erikson’s Psychosocial Theory and Bowlby’s Attachment Theory to explain these effects. These theories help us understand how online experiences can shape identity, self-esteem, emotional wellbeing, and relationships during adolescence.</w:t>
      </w:r>
      <w:r w:rsidR="001B7497">
        <w:t xml:space="preserve"> </w:t>
      </w:r>
      <w:r w:rsidR="00DF55C0">
        <w:rPr>
          <w:rFonts w:ascii="Arial" w:hAnsi="Arial"/>
          <w:sz w:val="22"/>
        </w:rPr>
        <w:t xml:space="preserve">Research shows a connection between social media use and certain mental health problems, but how strong this connection is can vary for different teenagers. Kelly et al. (2019) used data from the UK Millennium Cohort Study and found that teenagers who use social media heavily often report more symptoms of depression, especially girls. Possible reasons for this include online bullying, lack of sleep, low self-esteem, and worries about body image. </w:t>
      </w:r>
    </w:p>
    <w:p w14:paraId="16EC0036" w14:textId="1676A26D" w:rsidR="006C27C1" w:rsidRDefault="00DF55C0" w:rsidP="00AB4877">
      <w:pPr>
        <w:spacing w:line="360" w:lineRule="auto"/>
        <w:ind w:firstLine="432"/>
        <w:jc w:val="both"/>
      </w:pPr>
      <w:r>
        <w:rPr>
          <w:rFonts w:ascii="Arial" w:hAnsi="Arial"/>
          <w:sz w:val="22"/>
        </w:rPr>
        <w:t xml:space="preserve">Earlier research by Best, Manktelow, and Taylor (2014) found both risks and benefits to social media use. Their review showed that online communication can help young people feel connected and boost self-esteem, but it can also lead to cyberbullying and unhealthy comparisons with </w:t>
      </w:r>
      <w:r w:rsidR="001B7497">
        <w:rPr>
          <w:rFonts w:ascii="Arial" w:hAnsi="Arial"/>
          <w:sz w:val="22"/>
        </w:rPr>
        <w:t>others. Odgers</w:t>
      </w:r>
      <w:r w:rsidR="00925AAF">
        <w:rPr>
          <w:rFonts w:ascii="Arial" w:hAnsi="Arial"/>
          <w:sz w:val="22"/>
        </w:rPr>
        <w:t xml:space="preserve"> and Jensen (2020) point out that many studies are observational and cannot prove that social media directly causes mental health issues. Young people who feel lonely, anxious, or depressed may spend more time online. This </w:t>
      </w:r>
      <w:r w:rsidR="001B7497">
        <w:rPr>
          <w:rFonts w:ascii="Arial" w:hAnsi="Arial"/>
          <w:sz w:val="22"/>
        </w:rPr>
        <w:t xml:space="preserve">matters because it suggests </w:t>
      </w:r>
      <w:r w:rsidR="00925AAF">
        <w:rPr>
          <w:rFonts w:ascii="Arial" w:hAnsi="Arial"/>
          <w:sz w:val="22"/>
        </w:rPr>
        <w:t>the relationship can go both ways. The effect of social media also depends on what adolescents do online, who they interact with, and whether these experiences are supportive or harmful. Therefore, social media should be seen as one influence among many, rather than a single cause of mental health problems in young people.</w:t>
      </w:r>
    </w:p>
    <w:p w14:paraId="22A6C636" w14:textId="078E5E0B" w:rsidR="006311EB" w:rsidRPr="009D3779" w:rsidRDefault="006311EB" w:rsidP="00AB4877">
      <w:pPr>
        <w:spacing w:line="360" w:lineRule="auto"/>
        <w:ind w:firstLine="432"/>
        <w:jc w:val="both"/>
        <w:rPr>
          <w:rFonts w:ascii="Arial" w:hAnsi="Arial"/>
          <w:sz w:val="22"/>
        </w:rPr>
      </w:pPr>
      <w:r w:rsidRPr="009D3779">
        <w:rPr>
          <w:rFonts w:ascii="Arial" w:hAnsi="Arial"/>
          <w:sz w:val="22"/>
        </w:rPr>
        <w:t xml:space="preserve">Erikson’s Psychosocial Theory explains why social media is important for teenagers. Erikson (1968) described adolescence as the stage where young people work on their identity </w:t>
      </w:r>
      <w:r w:rsidRPr="009D3779">
        <w:rPr>
          <w:rFonts w:ascii="Arial" w:hAnsi="Arial"/>
          <w:sz w:val="22"/>
        </w:rPr>
        <w:lastRenderedPageBreak/>
        <w:t xml:space="preserve">versus role confusion. During this time, they explore their values, beliefs, interests, and social roles while trying to understand who they are. Social media can help because it </w:t>
      </w:r>
      <w:r w:rsidR="009D3779">
        <w:rPr>
          <w:rFonts w:ascii="Arial" w:hAnsi="Arial"/>
          <w:sz w:val="22"/>
        </w:rPr>
        <w:t>lets teens connect with others who share</w:t>
      </w:r>
      <w:r w:rsidRPr="009D3779">
        <w:rPr>
          <w:rFonts w:ascii="Arial" w:hAnsi="Arial"/>
          <w:sz w:val="22"/>
        </w:rPr>
        <w:t xml:space="preserve"> similar interests, join communities, and express their identities. For a young person who feels different or alone in their local environment, an online community can provide belonging and support. </w:t>
      </w:r>
    </w:p>
    <w:p w14:paraId="1ADC117C" w14:textId="77777777" w:rsidR="006311EB" w:rsidRPr="009D3779" w:rsidRDefault="006311EB" w:rsidP="00AB4877">
      <w:pPr>
        <w:spacing w:line="360" w:lineRule="auto"/>
        <w:ind w:firstLine="432"/>
        <w:jc w:val="both"/>
        <w:rPr>
          <w:rFonts w:ascii="Arial" w:hAnsi="Arial"/>
          <w:sz w:val="22"/>
        </w:rPr>
      </w:pPr>
    </w:p>
    <w:p w14:paraId="76D0E5C4" w14:textId="01560837" w:rsidR="006C27C1" w:rsidRPr="009D3779" w:rsidRDefault="006311EB" w:rsidP="00AB4877">
      <w:pPr>
        <w:spacing w:line="360" w:lineRule="auto"/>
        <w:ind w:firstLine="432"/>
        <w:jc w:val="both"/>
      </w:pPr>
      <w:r w:rsidRPr="009D3779">
        <w:rPr>
          <w:rFonts w:ascii="Arial" w:hAnsi="Arial"/>
          <w:sz w:val="22"/>
        </w:rPr>
        <w:t>However, developing a sense of identity can be harder if teens base their self-worth on likes, comments, or follower counts. Vogel et al. (2014) found that comparing oneself to others on social media can lower self-esteem. Teens might compare their everyday lives to the carefully chosen images of others who seem attractive, successful, or happy. This comparison is often unfair because online profiles usually do not show the full reality of a person's life. From Erikson’s viewpoint, constant comparison may heighten uncertainty and role confusion if teens feel pressured to create an ideal online identity instead of building a realistic and secure sense of self.</w:t>
      </w:r>
    </w:p>
    <w:p w14:paraId="470B7B5A" w14:textId="299F9529" w:rsidR="006C27C1" w:rsidRPr="009130CA" w:rsidRDefault="009130CA" w:rsidP="00AB4877">
      <w:pPr>
        <w:spacing w:line="360" w:lineRule="auto"/>
        <w:ind w:firstLine="432"/>
        <w:jc w:val="both"/>
      </w:pPr>
      <w:r w:rsidRPr="009130CA">
        <w:rPr>
          <w:rFonts w:ascii="Arial" w:hAnsi="Arial"/>
          <w:sz w:val="22"/>
        </w:rPr>
        <w:t xml:space="preserve">Body image is an important issue that Erikson’s theory helps explain </w:t>
      </w:r>
      <w:r>
        <w:rPr>
          <w:rFonts w:ascii="Arial" w:hAnsi="Arial"/>
          <w:sz w:val="22"/>
        </w:rPr>
        <w:t>in relation to</w:t>
      </w:r>
      <w:r w:rsidRPr="009130CA">
        <w:rPr>
          <w:rFonts w:ascii="Arial" w:hAnsi="Arial"/>
          <w:sz w:val="22"/>
        </w:rPr>
        <w:t xml:space="preserve"> the effects of social media. Platforms that focus on appearance expose young people to edited photos, filters, fitness content, and narrow </w:t>
      </w:r>
      <w:r>
        <w:rPr>
          <w:rFonts w:ascii="Arial" w:hAnsi="Arial"/>
          <w:sz w:val="22"/>
        </w:rPr>
        <w:t>beauty standards</w:t>
      </w:r>
      <w:r w:rsidRPr="009130CA">
        <w:rPr>
          <w:rFonts w:ascii="Arial" w:hAnsi="Arial"/>
          <w:sz w:val="22"/>
        </w:rPr>
        <w:t xml:space="preserve">. Fardouly and Vartanian (2016) found that social media can increase the chances of comparing appearances, which may lead to body dissatisfaction. Holland and Tiggemann (2016) also reviewed studies and found that using social networking sites was linked to concerns about body image and eating disorders, although many studies were cross-sectional. This means the research shows a relationship but cannot always confirm </w:t>
      </w:r>
      <w:r>
        <w:rPr>
          <w:rFonts w:ascii="Arial" w:hAnsi="Arial"/>
          <w:sz w:val="22"/>
        </w:rPr>
        <w:t>cause and effect</w:t>
      </w:r>
      <w:r w:rsidRPr="009130CA">
        <w:rPr>
          <w:rFonts w:ascii="Arial" w:hAnsi="Arial"/>
          <w:sz w:val="22"/>
        </w:rPr>
        <w:t xml:space="preserve">. During adolescence, young people undergo physical changes that can make them more aware of their appearance. These biological changes also affect their emotions, desire for rewards, and sensitivity to peer approval (WHO, 2025). Feedback online can become especially important during this time. Positive comments may boost confidence, while criticism or lack of attention can hurt self-esteem. According to Erikson’s theory, these experiences are significant because adolescents are shaping their identities. Social media can </w:t>
      </w:r>
      <w:r>
        <w:rPr>
          <w:rFonts w:ascii="Arial" w:hAnsi="Arial"/>
          <w:sz w:val="22"/>
        </w:rPr>
        <w:t>support healthy self-expression, but it can also lead a young person to judge their worth mainly by</w:t>
      </w:r>
      <w:r w:rsidRPr="009130CA">
        <w:rPr>
          <w:rFonts w:ascii="Arial" w:hAnsi="Arial"/>
          <w:sz w:val="22"/>
        </w:rPr>
        <w:t xml:space="preserve"> appearance and online approval.</w:t>
      </w:r>
    </w:p>
    <w:p w14:paraId="3FBE3A7A" w14:textId="5D12BCEB" w:rsidR="009F2123" w:rsidRPr="00D06E87" w:rsidRDefault="009F2123" w:rsidP="00AB4877">
      <w:pPr>
        <w:spacing w:line="360" w:lineRule="auto"/>
        <w:ind w:firstLine="432"/>
        <w:jc w:val="both"/>
        <w:rPr>
          <w:rFonts w:ascii="Arial" w:hAnsi="Arial"/>
          <w:sz w:val="22"/>
        </w:rPr>
      </w:pPr>
      <w:r w:rsidRPr="00D06E87">
        <w:rPr>
          <w:rFonts w:ascii="Arial" w:hAnsi="Arial"/>
          <w:sz w:val="22"/>
        </w:rPr>
        <w:t xml:space="preserve">Bowlby’s Attachment Theory </w:t>
      </w:r>
      <w:r w:rsidR="00E7725A" w:rsidRPr="00D06E87">
        <w:rPr>
          <w:rFonts w:ascii="Arial" w:hAnsi="Arial"/>
          <w:sz w:val="22"/>
        </w:rPr>
        <w:t>explains</w:t>
      </w:r>
      <w:r w:rsidRPr="00D06E87">
        <w:rPr>
          <w:rFonts w:ascii="Arial" w:hAnsi="Arial"/>
          <w:sz w:val="22"/>
        </w:rPr>
        <w:t xml:space="preserve"> why teenagers react differently to social media. Bowlby (1969) suggested that early relationships with caregivers shape our expectations about safety, trust, and support. Ainsworth et al. (1978) later built on this by describing different attachment styles. Secure attachment usually leads to more confidence in relationships and a greater ability to seek help when needed. Insecure attachment can lead to anxiety about rejection, a stronger need for reassurance, or difficulty trusting others. </w:t>
      </w:r>
    </w:p>
    <w:p w14:paraId="5936E812" w14:textId="77777777" w:rsidR="009F2123" w:rsidRPr="00D06E87" w:rsidRDefault="009F2123" w:rsidP="00AB4877">
      <w:pPr>
        <w:spacing w:line="360" w:lineRule="auto"/>
        <w:ind w:firstLine="432"/>
        <w:jc w:val="both"/>
        <w:rPr>
          <w:rFonts w:ascii="Arial" w:hAnsi="Arial"/>
          <w:sz w:val="22"/>
        </w:rPr>
      </w:pPr>
    </w:p>
    <w:p w14:paraId="1E87FBF2" w14:textId="2695BB4C" w:rsidR="006C27C1" w:rsidRPr="00D06E87" w:rsidRDefault="00D06E87" w:rsidP="00AB4877">
      <w:pPr>
        <w:spacing w:line="360" w:lineRule="auto"/>
        <w:ind w:firstLine="432"/>
        <w:jc w:val="both"/>
      </w:pPr>
      <w:r>
        <w:rPr>
          <w:rFonts w:ascii="Arial" w:hAnsi="Arial"/>
          <w:sz w:val="22"/>
        </w:rPr>
        <w:lastRenderedPageBreak/>
        <w:t>Early</w:t>
      </w:r>
      <w:r w:rsidR="009F2123" w:rsidRPr="00D06E87">
        <w:rPr>
          <w:rFonts w:ascii="Arial" w:hAnsi="Arial"/>
          <w:sz w:val="22"/>
        </w:rPr>
        <w:t xml:space="preserve"> experiences do not completely determine a person's future. Other factors</w:t>
      </w:r>
      <w:r>
        <w:rPr>
          <w:rFonts w:ascii="Arial" w:hAnsi="Arial"/>
          <w:sz w:val="22"/>
        </w:rPr>
        <w:t>, such as relationships, culture, friendships, and life experiences,</w:t>
      </w:r>
      <w:r w:rsidR="009F2123" w:rsidRPr="00D06E87">
        <w:rPr>
          <w:rFonts w:ascii="Arial" w:hAnsi="Arial"/>
          <w:sz w:val="22"/>
        </w:rPr>
        <w:t xml:space="preserve"> also play a role in development. This limitation is crucial because attachment theory alone cannot explain all teenage </w:t>
      </w:r>
      <w:r>
        <w:rPr>
          <w:rFonts w:ascii="Arial" w:hAnsi="Arial"/>
          <w:sz w:val="22"/>
        </w:rPr>
        <w:t>behaviour</w:t>
      </w:r>
      <w:r w:rsidR="009F2123" w:rsidRPr="00D06E87">
        <w:rPr>
          <w:rFonts w:ascii="Arial" w:hAnsi="Arial"/>
          <w:sz w:val="22"/>
        </w:rPr>
        <w:t>. However, it can help clarify why some young people are more sensitive to online approval or rejection. A review by D’Arienzo, Boursier, and Griffiths (2019) found a link between insecure attachment and problematic or excessive use of the internet and social media. While this does not prove that insecure attachment causes these issues, it suggests that attachment style may affect how social media is used.</w:t>
      </w:r>
    </w:p>
    <w:p w14:paraId="61D93AFE" w14:textId="30BEA428" w:rsidR="006C27C1" w:rsidRPr="00D06E87" w:rsidRDefault="00262186" w:rsidP="00D06E87">
      <w:pPr>
        <w:spacing w:line="360" w:lineRule="auto"/>
        <w:ind w:firstLine="432"/>
        <w:jc w:val="both"/>
        <w:rPr>
          <w:rFonts w:ascii="Arial" w:hAnsi="Arial"/>
          <w:sz w:val="22"/>
        </w:rPr>
      </w:pPr>
      <w:r w:rsidRPr="00D06E87">
        <w:rPr>
          <w:rFonts w:ascii="Arial" w:hAnsi="Arial"/>
          <w:sz w:val="22"/>
        </w:rPr>
        <w:t xml:space="preserve">Applying Bowlby’s theory to social media helps us understand how online </w:t>
      </w:r>
      <w:r w:rsidR="00D06E87">
        <w:rPr>
          <w:rFonts w:ascii="Arial" w:hAnsi="Arial"/>
          <w:sz w:val="22"/>
        </w:rPr>
        <w:t>behaviour</w:t>
      </w:r>
      <w:r w:rsidRPr="00D06E87">
        <w:rPr>
          <w:rFonts w:ascii="Arial" w:hAnsi="Arial"/>
          <w:sz w:val="22"/>
        </w:rPr>
        <w:t xml:space="preserve"> can relate to relationships and the need for reassurance. An adolescent who feels secure in their close relationships may enjoy using social media while </w:t>
      </w:r>
      <w:r w:rsidR="00C81F72" w:rsidRPr="00D06E87">
        <w:rPr>
          <w:rFonts w:ascii="Arial" w:hAnsi="Arial"/>
          <w:sz w:val="22"/>
        </w:rPr>
        <w:t>keeping</w:t>
      </w:r>
      <w:r w:rsidRPr="00D06E87">
        <w:rPr>
          <w:rFonts w:ascii="Arial" w:hAnsi="Arial"/>
          <w:sz w:val="22"/>
        </w:rPr>
        <w:t xml:space="preserve"> their offline friendships. They are also likely to handle situations, like when messages are not answered right away, better. On the other hand, a young person who worries about being rejected might check their messages frequently, feel anxious when someone doesn’t reply, or rely heavily on likes and comments for reassurance. Online communication can benefit adolescents who find face-to-face interactions challenging. It gives them time and space to share their feelings and seek support. The important takeaway is that the same social media platform can impact two young people in different ways. D’Arienzo, Boursier, and Griffiths (2019) suggest that having an insecure attachment can lead to unhealthy patterns of social media use. However, their review also indicates that research varies and does not link online </w:t>
      </w:r>
      <w:r w:rsidR="00D06E87" w:rsidRPr="00D06E87">
        <w:rPr>
          <w:rFonts w:ascii="Arial" w:hAnsi="Arial"/>
          <w:sz w:val="22"/>
        </w:rPr>
        <w:t>behaviour</w:t>
      </w:r>
      <w:r w:rsidRPr="00D06E87">
        <w:rPr>
          <w:rFonts w:ascii="Arial" w:hAnsi="Arial"/>
          <w:sz w:val="22"/>
        </w:rPr>
        <w:t xml:space="preserve"> to just one psychological cause. Bowlby’s theory is best used as a tool to understand vulnerability and coping, rather than as proof that a certain attachment style will cause mental health issues.</w:t>
      </w:r>
    </w:p>
    <w:p w14:paraId="65B9186F" w14:textId="1EC05EEF" w:rsidR="006C27C1" w:rsidRPr="00D06E87" w:rsidRDefault="0020350B" w:rsidP="00D06E87">
      <w:pPr>
        <w:spacing w:line="360" w:lineRule="auto"/>
        <w:ind w:firstLine="432"/>
        <w:jc w:val="both"/>
        <w:rPr>
          <w:rFonts w:ascii="Arial" w:hAnsi="Arial"/>
          <w:sz w:val="22"/>
        </w:rPr>
      </w:pPr>
      <w:r w:rsidRPr="00D06E87">
        <w:rPr>
          <w:rFonts w:ascii="Arial" w:hAnsi="Arial"/>
          <w:sz w:val="22"/>
        </w:rPr>
        <w:t xml:space="preserve">Cyberbullying is a clear example of how social media can harm the wellbeing of teens. Unlike traditional bullying, online harassment can happen at any time and can quickly reach many people. Kowalski et al. (2014) found that being involved in cyberbullying is linked to worse mental health outcomes. Negative comments, exclusion, </w:t>
      </w:r>
      <w:r w:rsidR="00D06E87" w:rsidRPr="00D06E87">
        <w:rPr>
          <w:rFonts w:ascii="Arial" w:hAnsi="Arial"/>
          <w:sz w:val="22"/>
        </w:rPr>
        <w:t>rumours</w:t>
      </w:r>
      <w:r w:rsidRPr="00D06E87">
        <w:rPr>
          <w:rFonts w:ascii="Arial" w:hAnsi="Arial"/>
          <w:sz w:val="22"/>
        </w:rPr>
        <w:t>, and embarrassing images can lead to increased distress, anxiety, and sadness. Two theories help explain these experiences. Erikson’s theory suggests that public criticism can hurt self-esteem during a time when a person’s identity is still forming. Attachment theory points out that teens who are sensitive to rejection may find online exclusion especially upsetting. On a positive note, social media can also offer help after difficult times. Young people can reach out to trusted friends, join supportive communities, or find mental health information online (Best, Manktelow, and Taylor, 2014). This highlights the importance of the quality of online interactions rather than just the amount of time spent online.</w:t>
      </w:r>
      <w:r w:rsidR="00D06E87" w:rsidRPr="00D06E87">
        <w:rPr>
          <w:rFonts w:ascii="Arial" w:hAnsi="Arial"/>
          <w:sz w:val="22"/>
        </w:rPr>
        <w:t xml:space="preserve"> </w:t>
      </w:r>
      <w:r w:rsidRPr="00D06E87">
        <w:rPr>
          <w:rFonts w:ascii="Arial" w:hAnsi="Arial"/>
          <w:sz w:val="22"/>
        </w:rPr>
        <w:t xml:space="preserve">While safety tools, reporting systems, and education can lower some risks, they cannot </w:t>
      </w:r>
      <w:r w:rsidR="00C81F72" w:rsidRPr="00D06E87">
        <w:rPr>
          <w:rFonts w:ascii="Arial" w:hAnsi="Arial"/>
          <w:sz w:val="22"/>
        </w:rPr>
        <w:t>eliminate</w:t>
      </w:r>
      <w:r w:rsidRPr="00D06E87">
        <w:rPr>
          <w:rFonts w:ascii="Arial" w:hAnsi="Arial"/>
          <w:sz w:val="22"/>
        </w:rPr>
        <w:t xml:space="preserve"> harmful </w:t>
      </w:r>
      <w:r w:rsidR="00D06E87" w:rsidRPr="00D06E87">
        <w:rPr>
          <w:rFonts w:ascii="Arial" w:hAnsi="Arial"/>
          <w:sz w:val="22"/>
        </w:rPr>
        <w:t>behaviour</w:t>
      </w:r>
      <w:r w:rsidRPr="00D06E87">
        <w:rPr>
          <w:rFonts w:ascii="Arial" w:hAnsi="Arial"/>
          <w:sz w:val="22"/>
        </w:rPr>
        <w:t>. Therefore, parents, schools, and health professionals need to promote digital literacy, respectful communication, and healthy boundaries.</w:t>
      </w:r>
    </w:p>
    <w:p w14:paraId="51BB712F" w14:textId="77777777" w:rsidR="006C27C1" w:rsidRPr="001B7497" w:rsidRDefault="006C27C1" w:rsidP="00CB1D73">
      <w:pPr>
        <w:spacing w:line="360" w:lineRule="auto"/>
        <w:rPr>
          <w:b/>
          <w:bCs/>
          <w:color w:val="BF4E14" w:themeColor="accent2" w:themeShade="BF"/>
        </w:rPr>
      </w:pPr>
    </w:p>
    <w:p w14:paraId="1BD61B4F" w14:textId="7349B002" w:rsidR="006A7EDB" w:rsidRPr="006A7EDB" w:rsidRDefault="006A7EDB" w:rsidP="00CB1D73">
      <w:pPr>
        <w:spacing w:line="360" w:lineRule="auto"/>
        <w:rPr>
          <w:rFonts w:ascii="Arial" w:hAnsi="Arial"/>
          <w:sz w:val="22"/>
        </w:rPr>
      </w:pPr>
      <w:r w:rsidRPr="006A7EDB">
        <w:rPr>
          <w:rFonts w:ascii="Arial" w:hAnsi="Arial"/>
          <w:sz w:val="22"/>
        </w:rPr>
        <w:t>In conclusion, social media can affect mental health in both good and bad ways during adolescence. Research shows that using social media excessively can lead to problems like depression, anxiety, poor sleep, low self-esteem, body dissatisfaction, and cyberbullying. However, social media does not cause these issues on its own. It can also help young people build friendships, feel a sense of belonging, share information, and explore their identity. Erikson’s theory explains that feedback, comparison, and how teens present themselves online are important as they develop their identity. Bowlby’s theory helps us understand how attachment styles can influence how strongly adolescents seek reassurance or react to online rejection. Overall, social media isn't automatically harmful or helpful. Its effects depend on the individual, the content they consume, the quality of their relationships, and how they use the platforms. A balanced approach encourages teens to develop healthy online habits while also supporting their offline relationships, sleep, education, and opportunities for face-to-face social interaction.</w:t>
      </w:r>
    </w:p>
    <w:p w14:paraId="6CF243F8" w14:textId="77777777" w:rsidR="006A7EDB" w:rsidRDefault="006A7EDB">
      <w:pPr>
        <w:rPr>
          <w:rFonts w:ascii="Arial" w:hAnsi="Arial"/>
          <w:color w:val="BF4E14" w:themeColor="accent2" w:themeShade="BF"/>
          <w:sz w:val="22"/>
        </w:rPr>
      </w:pPr>
      <w:r>
        <w:rPr>
          <w:rFonts w:ascii="Arial" w:hAnsi="Arial"/>
          <w:color w:val="BF4E14" w:themeColor="accent2" w:themeShade="BF"/>
          <w:sz w:val="22"/>
        </w:rPr>
        <w:br w:type="page"/>
      </w:r>
    </w:p>
    <w:p w14:paraId="535358CB" w14:textId="5FA2C207" w:rsidR="00202BFF" w:rsidRPr="00B732E3" w:rsidRDefault="005236B3">
      <w:pPr>
        <w:rPr>
          <w:rFonts w:ascii="Arial" w:hAnsi="Arial" w:cs="Arial"/>
          <w:b/>
          <w:bCs/>
        </w:rPr>
      </w:pPr>
      <w:bookmarkStart w:id="0" w:name="_Toc237807313"/>
      <w:r w:rsidRPr="006A7EDB">
        <w:rPr>
          <w:rFonts w:ascii="Arial" w:hAnsi="Arial" w:cs="Arial"/>
          <w:b/>
          <w:bCs/>
        </w:rPr>
        <w:lastRenderedPageBreak/>
        <w:t>Reference</w:t>
      </w:r>
      <w:r w:rsidR="00202BFF" w:rsidRPr="006A7EDB">
        <w:rPr>
          <w:rFonts w:ascii="Arial" w:hAnsi="Arial" w:cs="Arial"/>
          <w:b/>
          <w:bCs/>
        </w:rPr>
        <w:t>s</w:t>
      </w:r>
      <w:bookmarkEnd w:id="0"/>
    </w:p>
    <w:p w14:paraId="45778E65" w14:textId="77777777" w:rsidR="00202BFF" w:rsidRPr="00202BFF" w:rsidRDefault="00202BFF" w:rsidP="00AB4877">
      <w:pPr>
        <w:spacing w:line="360" w:lineRule="auto"/>
        <w:ind w:left="432" w:hanging="432"/>
      </w:pPr>
      <w:r w:rsidRPr="00202BFF">
        <w:rPr>
          <w:rFonts w:ascii="Arial" w:hAnsi="Arial"/>
          <w:sz w:val="22"/>
        </w:rPr>
        <w:t>Ainsworth, M.D.S., Blehar, M.C., Waters, E. and Wall, S. (1978) Patterns of attachment: A psychological study of the strange situation. Hillsdale, NJ: Lawrence Erlbaum Associates.</w:t>
      </w:r>
    </w:p>
    <w:p w14:paraId="169E8F50" w14:textId="4DDF89D0" w:rsidR="00202BFF" w:rsidRPr="00202BFF" w:rsidRDefault="00202BFF" w:rsidP="00AB4877">
      <w:pPr>
        <w:spacing w:line="360" w:lineRule="auto"/>
        <w:ind w:left="432" w:hanging="432"/>
      </w:pPr>
      <w:r w:rsidRPr="00202BFF">
        <w:rPr>
          <w:rFonts w:ascii="Arial" w:hAnsi="Arial"/>
          <w:sz w:val="22"/>
        </w:rPr>
        <w:t xml:space="preserve">Best, P., Manktelow, R. and Taylor, B. (2014) ‘Online communication, social media and adolescent wellbeing: A systematic narrative review’, Children and Youth Services Review, 41, pp. 27–36. Available at: </w:t>
      </w:r>
      <w:hyperlink r:id="rId8" w:history="1">
        <w:r w:rsidR="0099012A" w:rsidRPr="00D52262">
          <w:rPr>
            <w:rStyle w:val="Hyperlink"/>
            <w:rFonts w:ascii="Arial" w:hAnsi="Arial"/>
            <w:sz w:val="22"/>
          </w:rPr>
          <w:t>https://doi.org/10.1016/j.childyouth.2014.03.001</w:t>
        </w:r>
      </w:hyperlink>
      <w:r w:rsidR="0099012A">
        <w:rPr>
          <w:rFonts w:ascii="Arial" w:hAnsi="Arial"/>
          <w:sz w:val="22"/>
        </w:rPr>
        <w:t xml:space="preserve"> </w:t>
      </w:r>
      <w:r w:rsidRPr="00202BFF">
        <w:rPr>
          <w:rFonts w:ascii="Arial" w:hAnsi="Arial"/>
          <w:sz w:val="22"/>
        </w:rPr>
        <w:t xml:space="preserve"> (Accessed: 1</w:t>
      </w:r>
      <w:r w:rsidR="0099012A">
        <w:rPr>
          <w:rFonts w:ascii="Arial" w:hAnsi="Arial"/>
          <w:sz w:val="22"/>
        </w:rPr>
        <w:t>0</w:t>
      </w:r>
      <w:r w:rsidRPr="00202BFF">
        <w:rPr>
          <w:rFonts w:ascii="Arial" w:hAnsi="Arial"/>
          <w:sz w:val="22"/>
        </w:rPr>
        <w:t xml:space="preserve"> August 2026).</w:t>
      </w:r>
    </w:p>
    <w:p w14:paraId="5BECAE1A" w14:textId="77777777" w:rsidR="00202BFF" w:rsidRPr="00202BFF" w:rsidRDefault="00202BFF" w:rsidP="00AB4877">
      <w:pPr>
        <w:spacing w:line="360" w:lineRule="auto"/>
        <w:ind w:left="432" w:hanging="432"/>
      </w:pPr>
      <w:r w:rsidRPr="00202BFF">
        <w:rPr>
          <w:rFonts w:ascii="Arial" w:hAnsi="Arial"/>
          <w:sz w:val="22"/>
        </w:rPr>
        <w:t>Bowlby, J. (1969) Attachment and loss. Vol. 1: Attachment. London: Hogarth Press.</w:t>
      </w:r>
    </w:p>
    <w:p w14:paraId="21E00492" w14:textId="67431A4B" w:rsidR="00202BFF" w:rsidRPr="00202BFF" w:rsidRDefault="00202BFF" w:rsidP="00AB4877">
      <w:pPr>
        <w:spacing w:line="360" w:lineRule="auto"/>
        <w:ind w:left="432" w:hanging="432"/>
      </w:pPr>
      <w:r w:rsidRPr="00202BFF">
        <w:rPr>
          <w:rFonts w:ascii="Arial" w:hAnsi="Arial"/>
          <w:sz w:val="22"/>
        </w:rPr>
        <w:t xml:space="preserve">D’Arienzo, M.C., Boursier, V. and Griffiths, M.D. (2019) ‘Addiction to social media and attachment styles: A systematic literature review’, International Journal of Mental Health and Addiction, 17(4), pp. 1094–1118. Available at: </w:t>
      </w:r>
      <w:hyperlink r:id="rId9" w:history="1">
        <w:r w:rsidR="0099012A" w:rsidRPr="00D52262">
          <w:rPr>
            <w:rStyle w:val="Hyperlink"/>
            <w:rFonts w:ascii="Arial" w:hAnsi="Arial"/>
            <w:sz w:val="22"/>
          </w:rPr>
          <w:t>https://doi.org/10.1007/s11469-019-00082-5</w:t>
        </w:r>
      </w:hyperlink>
      <w:r w:rsidR="0099012A">
        <w:rPr>
          <w:rFonts w:ascii="Arial" w:hAnsi="Arial"/>
          <w:sz w:val="22"/>
        </w:rPr>
        <w:t xml:space="preserve"> </w:t>
      </w:r>
      <w:r w:rsidRPr="00202BFF">
        <w:rPr>
          <w:rFonts w:ascii="Arial" w:hAnsi="Arial"/>
          <w:sz w:val="22"/>
        </w:rPr>
        <w:t>(Accessed: 1</w:t>
      </w:r>
      <w:r w:rsidR="0099012A">
        <w:rPr>
          <w:rFonts w:ascii="Arial" w:hAnsi="Arial"/>
          <w:sz w:val="22"/>
        </w:rPr>
        <w:t>0</w:t>
      </w:r>
      <w:r w:rsidRPr="00202BFF">
        <w:rPr>
          <w:rFonts w:ascii="Arial" w:hAnsi="Arial"/>
          <w:sz w:val="22"/>
        </w:rPr>
        <w:t xml:space="preserve"> August 2026).</w:t>
      </w:r>
    </w:p>
    <w:p w14:paraId="2A1C28D0" w14:textId="77777777" w:rsidR="00202BFF" w:rsidRPr="00202BFF" w:rsidRDefault="00202BFF" w:rsidP="00AB4877">
      <w:pPr>
        <w:spacing w:line="360" w:lineRule="auto"/>
        <w:ind w:left="432" w:hanging="432"/>
      </w:pPr>
      <w:r w:rsidRPr="00202BFF">
        <w:rPr>
          <w:rFonts w:ascii="Arial" w:hAnsi="Arial"/>
          <w:sz w:val="22"/>
        </w:rPr>
        <w:t>Erikson, E.H. (1968) Identity: Youth and crisis. New York: W.W. Norton &amp; Company.</w:t>
      </w:r>
    </w:p>
    <w:p w14:paraId="155669E3" w14:textId="4F071FBD" w:rsidR="00202BFF" w:rsidRPr="00202BFF" w:rsidRDefault="00202BFF" w:rsidP="00AB4877">
      <w:pPr>
        <w:spacing w:line="360" w:lineRule="auto"/>
        <w:ind w:left="432" w:hanging="432"/>
      </w:pPr>
      <w:r w:rsidRPr="00202BFF">
        <w:rPr>
          <w:rFonts w:ascii="Arial" w:hAnsi="Arial"/>
          <w:sz w:val="22"/>
        </w:rPr>
        <w:t xml:space="preserve">Fardouly, J. and Vartanian, L.R. (2016) ‘Social media and body image concerns: Current research and future directions’, Current Opinion in Psychology, 9, pp. 1–5. Available at: </w:t>
      </w:r>
      <w:hyperlink r:id="rId10" w:history="1">
        <w:r w:rsidR="0099012A" w:rsidRPr="00D52262">
          <w:rPr>
            <w:rStyle w:val="Hyperlink"/>
            <w:rFonts w:ascii="Arial" w:hAnsi="Arial"/>
            <w:sz w:val="22"/>
          </w:rPr>
          <w:t>https://doi.org/10.1016/j.copsyc.2015.09.005</w:t>
        </w:r>
      </w:hyperlink>
      <w:r w:rsidR="0099012A">
        <w:rPr>
          <w:rFonts w:ascii="Arial" w:hAnsi="Arial"/>
          <w:sz w:val="22"/>
        </w:rPr>
        <w:t xml:space="preserve"> </w:t>
      </w:r>
      <w:r w:rsidRPr="00202BFF">
        <w:rPr>
          <w:rFonts w:ascii="Arial" w:hAnsi="Arial"/>
          <w:sz w:val="22"/>
        </w:rPr>
        <w:t>(Accessed: 16 August 2026).</w:t>
      </w:r>
    </w:p>
    <w:p w14:paraId="2F28F764" w14:textId="4CAD7153" w:rsidR="00202BFF" w:rsidRPr="00202BFF" w:rsidRDefault="00202BFF" w:rsidP="00AB4877">
      <w:pPr>
        <w:spacing w:line="360" w:lineRule="auto"/>
        <w:ind w:left="432" w:hanging="432"/>
      </w:pPr>
      <w:r w:rsidRPr="00202BFF">
        <w:rPr>
          <w:rFonts w:ascii="Arial" w:hAnsi="Arial"/>
          <w:sz w:val="22"/>
        </w:rPr>
        <w:t xml:space="preserve">Holland, G. and Tiggemann, M. (2016) ‘A systematic review of the impact of the use of social networking sites on body image and disordered eating outcomes’, Body Image, 17, pp. 100–110. Available at: </w:t>
      </w:r>
      <w:hyperlink r:id="rId11" w:history="1">
        <w:r w:rsidR="0099012A" w:rsidRPr="00D52262">
          <w:rPr>
            <w:rStyle w:val="Hyperlink"/>
            <w:rFonts w:ascii="Arial" w:hAnsi="Arial"/>
            <w:sz w:val="22"/>
          </w:rPr>
          <w:t>https://doi.org/10.1016/j.bodyim.2016.02.008</w:t>
        </w:r>
      </w:hyperlink>
      <w:r w:rsidR="0099012A">
        <w:rPr>
          <w:rFonts w:ascii="Arial" w:hAnsi="Arial"/>
          <w:sz w:val="22"/>
        </w:rPr>
        <w:t xml:space="preserve"> </w:t>
      </w:r>
      <w:r w:rsidRPr="00202BFF">
        <w:rPr>
          <w:rFonts w:ascii="Arial" w:hAnsi="Arial"/>
          <w:sz w:val="22"/>
        </w:rPr>
        <w:t>(Accessed: 16 August 2026).</w:t>
      </w:r>
    </w:p>
    <w:p w14:paraId="51A78D92" w14:textId="416BF266" w:rsidR="00202BFF" w:rsidRPr="00202BFF" w:rsidRDefault="00202BFF" w:rsidP="00AB4877">
      <w:pPr>
        <w:spacing w:line="360" w:lineRule="auto"/>
        <w:ind w:left="432" w:hanging="432"/>
      </w:pPr>
      <w:r w:rsidRPr="00202BFF">
        <w:rPr>
          <w:rFonts w:ascii="Arial" w:hAnsi="Arial"/>
          <w:sz w:val="22"/>
        </w:rPr>
        <w:t xml:space="preserve">Kelly, Y., </w:t>
      </w:r>
      <w:r w:rsidR="00C81F72" w:rsidRPr="00202BFF">
        <w:rPr>
          <w:rFonts w:ascii="Arial" w:hAnsi="Arial"/>
          <w:sz w:val="22"/>
        </w:rPr>
        <w:t>Zilan Awala</w:t>
      </w:r>
      <w:r w:rsidRPr="00202BFF">
        <w:rPr>
          <w:rFonts w:ascii="Arial" w:hAnsi="Arial"/>
          <w:sz w:val="22"/>
        </w:rPr>
        <w:t xml:space="preserve">, A., Booker, C. and Sacker, A. (2019) ‘Social media use and adolescent mental health: Findings from the UK Millennium Cohort Study’, </w:t>
      </w:r>
      <w:r w:rsidR="0099012A">
        <w:rPr>
          <w:rFonts w:ascii="Arial" w:hAnsi="Arial"/>
          <w:sz w:val="22"/>
        </w:rPr>
        <w:t>eClinicalMedicine</w:t>
      </w:r>
      <w:r w:rsidRPr="00202BFF">
        <w:rPr>
          <w:rFonts w:ascii="Arial" w:hAnsi="Arial"/>
          <w:sz w:val="22"/>
        </w:rPr>
        <w:t xml:space="preserve">, 6, pp. 59–68. Available at: </w:t>
      </w:r>
      <w:hyperlink r:id="rId12" w:history="1">
        <w:r w:rsidR="0099012A" w:rsidRPr="00D52262">
          <w:rPr>
            <w:rStyle w:val="Hyperlink"/>
            <w:rFonts w:ascii="Arial" w:hAnsi="Arial"/>
            <w:sz w:val="22"/>
          </w:rPr>
          <w:t>https://doi.org/10.1016/j.eclinm.2018.12.005</w:t>
        </w:r>
      </w:hyperlink>
      <w:r w:rsidR="0099012A">
        <w:rPr>
          <w:rFonts w:ascii="Arial" w:hAnsi="Arial"/>
          <w:sz w:val="22"/>
        </w:rPr>
        <w:t xml:space="preserve"> </w:t>
      </w:r>
      <w:r w:rsidRPr="00202BFF">
        <w:rPr>
          <w:rFonts w:ascii="Arial" w:hAnsi="Arial"/>
          <w:sz w:val="22"/>
        </w:rPr>
        <w:t>(Accessed: 1</w:t>
      </w:r>
      <w:r w:rsidR="0099012A">
        <w:rPr>
          <w:rFonts w:ascii="Arial" w:hAnsi="Arial"/>
          <w:sz w:val="22"/>
        </w:rPr>
        <w:t>4</w:t>
      </w:r>
      <w:r w:rsidRPr="00202BFF">
        <w:rPr>
          <w:rFonts w:ascii="Arial" w:hAnsi="Arial"/>
          <w:sz w:val="22"/>
        </w:rPr>
        <w:t xml:space="preserve"> August 2026).</w:t>
      </w:r>
    </w:p>
    <w:p w14:paraId="23EEF681" w14:textId="5C55931C" w:rsidR="00202BFF" w:rsidRPr="00202BFF" w:rsidRDefault="00202BFF" w:rsidP="00AB4877">
      <w:pPr>
        <w:spacing w:line="360" w:lineRule="auto"/>
        <w:ind w:left="432" w:hanging="432"/>
      </w:pPr>
      <w:r w:rsidRPr="00202BFF">
        <w:rPr>
          <w:rFonts w:ascii="Arial" w:hAnsi="Arial"/>
          <w:sz w:val="22"/>
        </w:rPr>
        <w:t xml:space="preserve">Kowalski, R.M., Giumetti, G.W., Schroeder, A.N. and Lattanner, M.R. (2014) ‘Bullying in the digital age: A critical review and meta-analysis of cyberbullying research among youth’, Psychological Bulletin, 140(4), pp. 1073–1137. Available at: </w:t>
      </w:r>
      <w:hyperlink r:id="rId13" w:history="1">
        <w:r w:rsidR="0099012A" w:rsidRPr="00D52262">
          <w:rPr>
            <w:rStyle w:val="Hyperlink"/>
            <w:rFonts w:ascii="Arial" w:hAnsi="Arial"/>
            <w:sz w:val="22"/>
          </w:rPr>
          <w:t>https://doi.org/10.1037/a0035618</w:t>
        </w:r>
      </w:hyperlink>
      <w:r w:rsidR="0099012A">
        <w:rPr>
          <w:rFonts w:ascii="Arial" w:hAnsi="Arial"/>
          <w:sz w:val="22"/>
        </w:rPr>
        <w:t xml:space="preserve"> </w:t>
      </w:r>
      <w:r w:rsidRPr="00202BFF">
        <w:rPr>
          <w:rFonts w:ascii="Arial" w:hAnsi="Arial"/>
          <w:sz w:val="22"/>
        </w:rPr>
        <w:t xml:space="preserve">(Accessed: </w:t>
      </w:r>
      <w:r w:rsidR="00A84034">
        <w:rPr>
          <w:rFonts w:ascii="Arial" w:hAnsi="Arial"/>
          <w:sz w:val="22"/>
        </w:rPr>
        <w:t>9</w:t>
      </w:r>
      <w:r w:rsidRPr="00202BFF">
        <w:rPr>
          <w:rFonts w:ascii="Arial" w:hAnsi="Arial"/>
          <w:sz w:val="22"/>
        </w:rPr>
        <w:t xml:space="preserve"> August 2026).</w:t>
      </w:r>
    </w:p>
    <w:p w14:paraId="21736BE3" w14:textId="0530AE36" w:rsidR="00202BFF" w:rsidRPr="00202BFF" w:rsidRDefault="00202BFF" w:rsidP="00AB4877">
      <w:pPr>
        <w:spacing w:line="360" w:lineRule="auto"/>
        <w:ind w:left="432" w:hanging="432"/>
      </w:pPr>
      <w:r w:rsidRPr="00202BFF">
        <w:rPr>
          <w:rFonts w:ascii="Arial" w:hAnsi="Arial"/>
          <w:sz w:val="22"/>
        </w:rPr>
        <w:t xml:space="preserve">Odgers, C.L. and Jensen, M.R. (2020) ‘Annual Research Review: Adolescent mental health in the digital age: facts, fears, and future directions’, Journal of Child Psychology and Psychiatry, 61(3), pp. 336–348. Available at: </w:t>
      </w:r>
      <w:hyperlink r:id="rId14" w:history="1">
        <w:r w:rsidR="00A84034" w:rsidRPr="00D52262">
          <w:rPr>
            <w:rStyle w:val="Hyperlink"/>
            <w:rFonts w:ascii="Arial" w:hAnsi="Arial"/>
            <w:sz w:val="22"/>
          </w:rPr>
          <w:t>https://doi.org/10.1111/jcpp.13190</w:t>
        </w:r>
      </w:hyperlink>
      <w:r w:rsidR="00A84034">
        <w:rPr>
          <w:rFonts w:ascii="Arial" w:hAnsi="Arial"/>
          <w:sz w:val="22"/>
        </w:rPr>
        <w:t xml:space="preserve"> </w:t>
      </w:r>
      <w:r w:rsidRPr="00202BFF">
        <w:rPr>
          <w:rFonts w:ascii="Arial" w:hAnsi="Arial"/>
          <w:sz w:val="22"/>
        </w:rPr>
        <w:t>(Accessed: 1</w:t>
      </w:r>
      <w:r w:rsidR="00A84034">
        <w:rPr>
          <w:rFonts w:ascii="Arial" w:hAnsi="Arial"/>
          <w:sz w:val="22"/>
        </w:rPr>
        <w:t>0</w:t>
      </w:r>
      <w:r w:rsidRPr="00202BFF">
        <w:rPr>
          <w:rFonts w:ascii="Arial" w:hAnsi="Arial"/>
          <w:sz w:val="22"/>
        </w:rPr>
        <w:t xml:space="preserve"> August 2026).</w:t>
      </w:r>
    </w:p>
    <w:p w14:paraId="63FE9FB5" w14:textId="4EE80F98" w:rsidR="00202BFF" w:rsidRPr="00202BFF" w:rsidRDefault="00202BFF" w:rsidP="00AB4877">
      <w:pPr>
        <w:spacing w:line="360" w:lineRule="auto"/>
        <w:ind w:left="432" w:hanging="432"/>
      </w:pPr>
      <w:r w:rsidRPr="00202BFF">
        <w:rPr>
          <w:rFonts w:ascii="Arial" w:hAnsi="Arial"/>
          <w:sz w:val="22"/>
        </w:rPr>
        <w:lastRenderedPageBreak/>
        <w:t xml:space="preserve">Vogel, E.A., Rose, J.P., Roberts, L.R. and Eckles, K. (2014) ‘Social comparison, social media, and self-esteem’, Psychology of Popular Media Culture, 3(4), pp. 206–222. Available at: </w:t>
      </w:r>
      <w:hyperlink r:id="rId15" w:history="1">
        <w:r w:rsidR="00A84034" w:rsidRPr="00D52262">
          <w:rPr>
            <w:rStyle w:val="Hyperlink"/>
            <w:rFonts w:ascii="Arial" w:hAnsi="Arial"/>
            <w:sz w:val="22"/>
          </w:rPr>
          <w:t>https://doi.org/10.1037/ppm0000047</w:t>
        </w:r>
      </w:hyperlink>
      <w:r w:rsidR="00A84034">
        <w:rPr>
          <w:rFonts w:ascii="Arial" w:hAnsi="Arial"/>
          <w:sz w:val="22"/>
        </w:rPr>
        <w:t xml:space="preserve"> </w:t>
      </w:r>
      <w:r w:rsidRPr="00202BFF">
        <w:rPr>
          <w:rFonts w:ascii="Arial" w:hAnsi="Arial"/>
          <w:sz w:val="22"/>
        </w:rPr>
        <w:t>(Accessed: 16 August 2026).</w:t>
      </w:r>
    </w:p>
    <w:p w14:paraId="3A41BE18" w14:textId="57AD05DF" w:rsidR="00202BFF" w:rsidRPr="00202BFF" w:rsidRDefault="00202BFF" w:rsidP="00AB4877">
      <w:pPr>
        <w:spacing w:line="360" w:lineRule="auto"/>
        <w:ind w:left="432" w:hanging="432"/>
      </w:pPr>
      <w:r w:rsidRPr="00202BFF">
        <w:rPr>
          <w:rFonts w:ascii="Arial" w:hAnsi="Arial"/>
          <w:sz w:val="22"/>
        </w:rPr>
        <w:t xml:space="preserve">World Health </w:t>
      </w:r>
      <w:r w:rsidR="003A5F31">
        <w:rPr>
          <w:rFonts w:ascii="Arial" w:hAnsi="Arial"/>
          <w:sz w:val="22"/>
        </w:rPr>
        <w:t>Organisation</w:t>
      </w:r>
      <w:r w:rsidRPr="00202BFF">
        <w:rPr>
          <w:rFonts w:ascii="Arial" w:hAnsi="Arial"/>
          <w:sz w:val="22"/>
        </w:rPr>
        <w:t xml:space="preserve"> (WHO) (2025) Mental health of adolescents. Available at: </w:t>
      </w:r>
      <w:hyperlink r:id="rId16" w:history="1">
        <w:r w:rsidR="00A84034" w:rsidRPr="00D52262">
          <w:rPr>
            <w:rStyle w:val="Hyperlink"/>
            <w:rFonts w:ascii="Arial" w:hAnsi="Arial"/>
            <w:sz w:val="22"/>
          </w:rPr>
          <w:t>https://www.who.int/news-room/fact-sheets/detail/adolescent-mental-health</w:t>
        </w:r>
      </w:hyperlink>
      <w:r w:rsidR="00A84034">
        <w:rPr>
          <w:rFonts w:ascii="Arial" w:hAnsi="Arial"/>
          <w:sz w:val="22"/>
        </w:rPr>
        <w:t xml:space="preserve"> </w:t>
      </w:r>
      <w:r w:rsidRPr="00202BFF">
        <w:rPr>
          <w:rFonts w:ascii="Arial" w:hAnsi="Arial"/>
          <w:sz w:val="22"/>
        </w:rPr>
        <w:t>(Accessed: 16 August 2026).</w:t>
      </w:r>
    </w:p>
    <w:p w14:paraId="019B7F84" w14:textId="77777777" w:rsidR="00202BFF" w:rsidRDefault="00202BFF" w:rsidP="00AB4877">
      <w:pPr>
        <w:spacing w:line="360" w:lineRule="auto"/>
      </w:pPr>
    </w:p>
    <w:sectPr w:rsidR="00202BFF" w:rsidSect="00D06E87">
      <w:footerReference w:type="default" r:id="rId17"/>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B488D" w14:textId="77777777" w:rsidR="002A42B2" w:rsidRDefault="002A42B2" w:rsidP="00F70A5C">
      <w:pPr>
        <w:spacing w:after="0" w:line="240" w:lineRule="auto"/>
      </w:pPr>
      <w:r>
        <w:separator/>
      </w:r>
    </w:p>
  </w:endnote>
  <w:endnote w:type="continuationSeparator" w:id="0">
    <w:p w14:paraId="611EC0CB" w14:textId="77777777" w:rsidR="002A42B2" w:rsidRDefault="002A42B2" w:rsidP="00F70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7272489"/>
      <w:docPartObj>
        <w:docPartGallery w:val="Page Numbers (Bottom of Page)"/>
        <w:docPartUnique/>
      </w:docPartObj>
    </w:sdtPr>
    <w:sdtEndPr/>
    <w:sdtContent>
      <w:p w14:paraId="0D06540A" w14:textId="1ECCE791" w:rsidR="00F70A5C" w:rsidRDefault="00F70A5C">
        <w:pPr>
          <w:pStyle w:val="Footer"/>
          <w:jc w:val="right"/>
        </w:pPr>
        <w:r>
          <w:fldChar w:fldCharType="begin"/>
        </w:r>
        <w:r>
          <w:instrText>PAGE   \* MERGEFORMAT</w:instrText>
        </w:r>
        <w:r>
          <w:fldChar w:fldCharType="separate"/>
        </w:r>
        <w:r>
          <w:t>2</w:t>
        </w:r>
        <w:r>
          <w:fldChar w:fldCharType="end"/>
        </w:r>
      </w:p>
    </w:sdtContent>
  </w:sdt>
  <w:p w14:paraId="6288B288" w14:textId="77777777" w:rsidR="00F70A5C" w:rsidRDefault="00F70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C597D" w14:textId="77777777" w:rsidR="002A42B2" w:rsidRDefault="002A42B2" w:rsidP="00F70A5C">
      <w:pPr>
        <w:spacing w:after="0" w:line="240" w:lineRule="auto"/>
      </w:pPr>
      <w:r>
        <w:separator/>
      </w:r>
    </w:p>
  </w:footnote>
  <w:footnote w:type="continuationSeparator" w:id="0">
    <w:p w14:paraId="6B1AF1C2" w14:textId="77777777" w:rsidR="002A42B2" w:rsidRDefault="002A42B2" w:rsidP="00F70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7613C"/>
    <w:multiLevelType w:val="multilevel"/>
    <w:tmpl w:val="0E6458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A1DA5"/>
    <w:multiLevelType w:val="multilevel"/>
    <w:tmpl w:val="F8DA4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D1639"/>
    <w:multiLevelType w:val="multilevel"/>
    <w:tmpl w:val="68A4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304E6C"/>
    <w:multiLevelType w:val="multilevel"/>
    <w:tmpl w:val="B406D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3D1680"/>
    <w:multiLevelType w:val="multilevel"/>
    <w:tmpl w:val="D16CD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C30D2"/>
    <w:multiLevelType w:val="multilevel"/>
    <w:tmpl w:val="2E6AF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F126C3"/>
    <w:multiLevelType w:val="multilevel"/>
    <w:tmpl w:val="67BC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077E29"/>
    <w:multiLevelType w:val="multilevel"/>
    <w:tmpl w:val="8BCE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3C7ABE"/>
    <w:multiLevelType w:val="multilevel"/>
    <w:tmpl w:val="3762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095A1B"/>
    <w:multiLevelType w:val="multilevel"/>
    <w:tmpl w:val="2788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6B7E2D"/>
    <w:multiLevelType w:val="multilevel"/>
    <w:tmpl w:val="A864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FB7150"/>
    <w:multiLevelType w:val="multilevel"/>
    <w:tmpl w:val="BD04E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EC5814"/>
    <w:multiLevelType w:val="multilevel"/>
    <w:tmpl w:val="689EF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667B9C"/>
    <w:multiLevelType w:val="multilevel"/>
    <w:tmpl w:val="D2663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E65195"/>
    <w:multiLevelType w:val="multilevel"/>
    <w:tmpl w:val="F0E2C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1204593">
    <w:abstractNumId w:val="5"/>
  </w:num>
  <w:num w:numId="2" w16cid:durableId="1453405025">
    <w:abstractNumId w:val="3"/>
  </w:num>
  <w:num w:numId="3" w16cid:durableId="680081610">
    <w:abstractNumId w:val="9"/>
  </w:num>
  <w:num w:numId="4" w16cid:durableId="717439832">
    <w:abstractNumId w:val="11"/>
  </w:num>
  <w:num w:numId="5" w16cid:durableId="2001889253">
    <w:abstractNumId w:val="7"/>
  </w:num>
  <w:num w:numId="6" w16cid:durableId="1125541301">
    <w:abstractNumId w:val="2"/>
  </w:num>
  <w:num w:numId="7" w16cid:durableId="405348825">
    <w:abstractNumId w:val="0"/>
  </w:num>
  <w:num w:numId="8" w16cid:durableId="1745640880">
    <w:abstractNumId w:val="6"/>
  </w:num>
  <w:num w:numId="9" w16cid:durableId="346441910">
    <w:abstractNumId w:val="13"/>
  </w:num>
  <w:num w:numId="10" w16cid:durableId="603273028">
    <w:abstractNumId w:val="8"/>
  </w:num>
  <w:num w:numId="11" w16cid:durableId="1645813086">
    <w:abstractNumId w:val="12"/>
  </w:num>
  <w:num w:numId="12" w16cid:durableId="1540585336">
    <w:abstractNumId w:val="10"/>
  </w:num>
  <w:num w:numId="13" w16cid:durableId="1501893490">
    <w:abstractNumId w:val="14"/>
  </w:num>
  <w:num w:numId="14" w16cid:durableId="1568950547">
    <w:abstractNumId w:val="4"/>
  </w:num>
  <w:num w:numId="15" w16cid:durableId="1354652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912"/>
    <w:rsid w:val="000856F6"/>
    <w:rsid w:val="000F24B3"/>
    <w:rsid w:val="001227EA"/>
    <w:rsid w:val="00131196"/>
    <w:rsid w:val="001459A8"/>
    <w:rsid w:val="00164F1B"/>
    <w:rsid w:val="00175A2C"/>
    <w:rsid w:val="001941A0"/>
    <w:rsid w:val="001B7497"/>
    <w:rsid w:val="001F3FB1"/>
    <w:rsid w:val="00202BFF"/>
    <w:rsid w:val="0020350B"/>
    <w:rsid w:val="00262186"/>
    <w:rsid w:val="002A42B2"/>
    <w:rsid w:val="00342D89"/>
    <w:rsid w:val="003A5F31"/>
    <w:rsid w:val="003C2B5F"/>
    <w:rsid w:val="003E7A7F"/>
    <w:rsid w:val="004B3677"/>
    <w:rsid w:val="004D268E"/>
    <w:rsid w:val="004E739B"/>
    <w:rsid w:val="00522AC7"/>
    <w:rsid w:val="005236B3"/>
    <w:rsid w:val="00523912"/>
    <w:rsid w:val="005334EC"/>
    <w:rsid w:val="00535398"/>
    <w:rsid w:val="005573D9"/>
    <w:rsid w:val="005715A3"/>
    <w:rsid w:val="00585DD6"/>
    <w:rsid w:val="005F7721"/>
    <w:rsid w:val="006311EB"/>
    <w:rsid w:val="0065053A"/>
    <w:rsid w:val="006664F0"/>
    <w:rsid w:val="006A7EDB"/>
    <w:rsid w:val="006C27C1"/>
    <w:rsid w:val="006D2651"/>
    <w:rsid w:val="00754887"/>
    <w:rsid w:val="007C3AC9"/>
    <w:rsid w:val="008575F7"/>
    <w:rsid w:val="00871015"/>
    <w:rsid w:val="008D4F11"/>
    <w:rsid w:val="008F206F"/>
    <w:rsid w:val="009130CA"/>
    <w:rsid w:val="00925AAF"/>
    <w:rsid w:val="0099012A"/>
    <w:rsid w:val="009D3779"/>
    <w:rsid w:val="009F13A8"/>
    <w:rsid w:val="009F2123"/>
    <w:rsid w:val="00A84034"/>
    <w:rsid w:val="00AB4877"/>
    <w:rsid w:val="00B3493F"/>
    <w:rsid w:val="00B4461E"/>
    <w:rsid w:val="00B732E3"/>
    <w:rsid w:val="00B91A86"/>
    <w:rsid w:val="00BA57F5"/>
    <w:rsid w:val="00C81F72"/>
    <w:rsid w:val="00C96132"/>
    <w:rsid w:val="00CB1D73"/>
    <w:rsid w:val="00CD5329"/>
    <w:rsid w:val="00CF451B"/>
    <w:rsid w:val="00D06E87"/>
    <w:rsid w:val="00DF55C0"/>
    <w:rsid w:val="00E47A6E"/>
    <w:rsid w:val="00E7725A"/>
    <w:rsid w:val="00EA7284"/>
    <w:rsid w:val="00EB0D03"/>
    <w:rsid w:val="00F70A5C"/>
    <w:rsid w:val="00F80B35"/>
    <w:rsid w:val="00FF7316"/>
    <w:rsid w:val="00FF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C3105"/>
  <w15:chartTrackingRefBased/>
  <w15:docId w15:val="{CF477E00-9F12-4E06-A273-9FE4C4BD1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9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39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9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9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3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912"/>
    <w:rPr>
      <w:rFonts w:eastAsiaTheme="majorEastAsia" w:cstheme="majorBidi"/>
      <w:color w:val="272727" w:themeColor="text1" w:themeTint="D8"/>
    </w:rPr>
  </w:style>
  <w:style w:type="paragraph" w:styleId="Title">
    <w:name w:val="Title"/>
    <w:basedOn w:val="Normal"/>
    <w:next w:val="Normal"/>
    <w:link w:val="TitleChar"/>
    <w:uiPriority w:val="10"/>
    <w:qFormat/>
    <w:rsid w:val="00523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912"/>
    <w:pPr>
      <w:spacing w:before="160"/>
      <w:jc w:val="center"/>
    </w:pPr>
    <w:rPr>
      <w:i/>
      <w:iCs/>
      <w:color w:val="404040" w:themeColor="text1" w:themeTint="BF"/>
    </w:rPr>
  </w:style>
  <w:style w:type="character" w:customStyle="1" w:styleId="QuoteChar">
    <w:name w:val="Quote Char"/>
    <w:basedOn w:val="DefaultParagraphFont"/>
    <w:link w:val="Quote"/>
    <w:uiPriority w:val="29"/>
    <w:rsid w:val="00523912"/>
    <w:rPr>
      <w:i/>
      <w:iCs/>
      <w:color w:val="404040" w:themeColor="text1" w:themeTint="BF"/>
    </w:rPr>
  </w:style>
  <w:style w:type="paragraph" w:styleId="ListParagraph">
    <w:name w:val="List Paragraph"/>
    <w:basedOn w:val="Normal"/>
    <w:uiPriority w:val="34"/>
    <w:qFormat/>
    <w:rsid w:val="00523912"/>
    <w:pPr>
      <w:ind w:left="720"/>
      <w:contextualSpacing/>
    </w:pPr>
  </w:style>
  <w:style w:type="character" w:styleId="IntenseEmphasis">
    <w:name w:val="Intense Emphasis"/>
    <w:basedOn w:val="DefaultParagraphFont"/>
    <w:uiPriority w:val="21"/>
    <w:qFormat/>
    <w:rsid w:val="00523912"/>
    <w:rPr>
      <w:i/>
      <w:iCs/>
      <w:color w:val="0F4761" w:themeColor="accent1" w:themeShade="BF"/>
    </w:rPr>
  </w:style>
  <w:style w:type="paragraph" w:styleId="IntenseQuote">
    <w:name w:val="Intense Quote"/>
    <w:basedOn w:val="Normal"/>
    <w:next w:val="Normal"/>
    <w:link w:val="IntenseQuoteChar"/>
    <w:uiPriority w:val="30"/>
    <w:qFormat/>
    <w:rsid w:val="00523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912"/>
    <w:rPr>
      <w:i/>
      <w:iCs/>
      <w:color w:val="0F4761" w:themeColor="accent1" w:themeShade="BF"/>
    </w:rPr>
  </w:style>
  <w:style w:type="character" w:styleId="IntenseReference">
    <w:name w:val="Intense Reference"/>
    <w:basedOn w:val="DefaultParagraphFont"/>
    <w:uiPriority w:val="32"/>
    <w:qFormat/>
    <w:rsid w:val="00523912"/>
    <w:rPr>
      <w:b/>
      <w:bCs/>
      <w:smallCaps/>
      <w:color w:val="0F4761" w:themeColor="accent1" w:themeShade="BF"/>
      <w:spacing w:val="5"/>
    </w:rPr>
  </w:style>
  <w:style w:type="character" w:styleId="Hyperlink">
    <w:name w:val="Hyperlink"/>
    <w:basedOn w:val="DefaultParagraphFont"/>
    <w:uiPriority w:val="99"/>
    <w:unhideWhenUsed/>
    <w:rsid w:val="00523912"/>
    <w:rPr>
      <w:color w:val="467886" w:themeColor="hyperlink"/>
      <w:u w:val="single"/>
    </w:rPr>
  </w:style>
  <w:style w:type="character" w:styleId="UnresolvedMention">
    <w:name w:val="Unresolved Mention"/>
    <w:basedOn w:val="DefaultParagraphFont"/>
    <w:uiPriority w:val="99"/>
    <w:semiHidden/>
    <w:unhideWhenUsed/>
    <w:rsid w:val="00523912"/>
    <w:rPr>
      <w:color w:val="605E5C"/>
      <w:shd w:val="clear" w:color="auto" w:fill="E1DFDD"/>
    </w:rPr>
  </w:style>
  <w:style w:type="table" w:customStyle="1" w:styleId="TableGrid">
    <w:name w:val="TableGrid"/>
    <w:rsid w:val="004D268E"/>
    <w:pPr>
      <w:spacing w:after="0" w:line="240" w:lineRule="auto"/>
    </w:pPr>
    <w:rPr>
      <w:rFonts w:eastAsiaTheme="minorEastAsia"/>
      <w:lang w:eastAsia="en-GB"/>
    </w:rPr>
    <w:tblPr>
      <w:tblCellMar>
        <w:top w:w="0" w:type="dxa"/>
        <w:left w:w="0" w:type="dxa"/>
        <w:bottom w:w="0" w:type="dxa"/>
        <w:right w:w="0" w:type="dxa"/>
      </w:tblCellMar>
    </w:tblPr>
  </w:style>
  <w:style w:type="character" w:styleId="Strong">
    <w:name w:val="Strong"/>
    <w:basedOn w:val="DefaultParagraphFont"/>
    <w:uiPriority w:val="22"/>
    <w:qFormat/>
    <w:rsid w:val="008575F7"/>
    <w:rPr>
      <w:b/>
      <w:bCs/>
    </w:rPr>
  </w:style>
  <w:style w:type="paragraph" w:styleId="TOCHeading">
    <w:name w:val="TOC Heading"/>
    <w:basedOn w:val="Heading1"/>
    <w:next w:val="Normal"/>
    <w:uiPriority w:val="39"/>
    <w:unhideWhenUsed/>
    <w:qFormat/>
    <w:rsid w:val="00164F1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64F1B"/>
    <w:pPr>
      <w:spacing w:after="100"/>
    </w:pPr>
  </w:style>
  <w:style w:type="paragraph" w:styleId="Header">
    <w:name w:val="header"/>
    <w:basedOn w:val="Normal"/>
    <w:link w:val="HeaderChar"/>
    <w:uiPriority w:val="99"/>
    <w:unhideWhenUsed/>
    <w:rsid w:val="00F70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A5C"/>
  </w:style>
  <w:style w:type="paragraph" w:styleId="Footer">
    <w:name w:val="footer"/>
    <w:basedOn w:val="Normal"/>
    <w:link w:val="FooterChar"/>
    <w:uiPriority w:val="99"/>
    <w:unhideWhenUsed/>
    <w:rsid w:val="00F70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ildyouth.2014.03.001" TargetMode="External"/><Relationship Id="rId13" Type="http://schemas.openxmlformats.org/officeDocument/2006/relationships/hyperlink" Target="https://doi.org/10.1037/a003561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eclinm.2018.12.00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adolescent-mental-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bodyim.2016.02.008" TargetMode="External"/><Relationship Id="rId5" Type="http://schemas.openxmlformats.org/officeDocument/2006/relationships/footnotes" Target="footnotes.xml"/><Relationship Id="rId15" Type="http://schemas.openxmlformats.org/officeDocument/2006/relationships/hyperlink" Target="https://doi.org/10.1037/ppm0000047" TargetMode="External"/><Relationship Id="rId10" Type="http://schemas.openxmlformats.org/officeDocument/2006/relationships/hyperlink" Target="https://doi.org/10.1016/j.copsyc.2015.09.00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7/s11469-019-00082-5" TargetMode="External"/><Relationship Id="rId14" Type="http://schemas.openxmlformats.org/officeDocument/2006/relationships/hyperlink" Target="https://doi.org/10.1111/jcpp.13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c1c05e37-788c-4c59-b50e-5c98323c0a70}" enabled="1" method="Standard" siteId="{8fa217ec-33aa-46fb-ad96-dfe68006bb86}" contentBits="0" removed="0"/>
</clbl:labelList>
</file>

<file path=docProps/app.xml><?xml version="1.0" encoding="utf-8"?>
<Properties xmlns="http://schemas.openxmlformats.org/officeDocument/2006/extended-properties" xmlns:vt="http://schemas.openxmlformats.org/officeDocument/2006/docPropsVTypes">
  <Template>Normal</Template>
  <TotalTime>62</TotalTime>
  <Pages>7</Pages>
  <Words>2066</Words>
  <Characters>11781</Characters>
  <Application>Microsoft Office Word</Application>
  <DocSecurity>0</DocSecurity>
  <Lines>98</Lines>
  <Paragraphs>27</Paragraphs>
  <ScaleCrop>false</ScaleCrop>
  <Company>Cirrus</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ASAD (DBT)</dc:creator>
  <cp:keywords/>
  <dc:description/>
  <cp:lastModifiedBy>Amber Zubair Rana</cp:lastModifiedBy>
  <cp:revision>63</cp:revision>
  <dcterms:created xsi:type="dcterms:W3CDTF">2026-08-16T19:37:00Z</dcterms:created>
  <dcterms:modified xsi:type="dcterms:W3CDTF">2026-08-16T21:04:00Z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663c734c-92a4-4cc4-9ac2-9e650b1d5178</vt:lpwstr>
  </property>
</Properties>
</file>