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16A8396" w14:textId="77777777" w:rsidR="00071FF1" w:rsidRDefault="000F0C0F">
      <w:pPr>
        <w:pBdr>
          <w:top w:val="nil"/>
          <w:left w:val="nil"/>
          <w:bottom w:val="nil"/>
          <w:right w:val="nil"/>
          <w:between w:val="nil"/>
        </w:pBdr>
        <w:tabs>
          <w:tab w:val="center" w:pos="4513"/>
          <w:tab w:val="right" w:pos="9026"/>
        </w:tabs>
        <w:spacing w:line="240" w:lineRule="auto"/>
        <w:jc w:val="right"/>
        <w:rPr>
          <w:b/>
          <w:bCs/>
          <w:color w:val="000000"/>
          <w:sz w:val="28"/>
          <w:szCs w:val="28"/>
        </w:rPr>
      </w:pPr>
      <w:r>
        <w:rPr>
          <w:color w:val="000000"/>
        </w:rPr>
        <w:t xml:space="preserve"> </w:t>
      </w:r>
      <w:r>
        <w:rPr>
          <w:color w:val="000000"/>
        </w:rPr>
        <w:br/>
      </w:r>
      <w:r>
        <w:rPr>
          <w:b/>
          <w:bCs/>
          <w:color w:val="000000"/>
          <w:sz w:val="28"/>
          <w:szCs w:val="28"/>
        </w:rPr>
        <w:t>APPENDIX GA36d</w:t>
      </w:r>
      <w:r>
        <w:rPr>
          <w:noProof/>
        </w:rPr>
        <w:drawing>
          <wp:anchor distT="0" distB="0" distL="114300" distR="114300" simplePos="0" relativeHeight="251658240" behindDoc="0" locked="0" layoutInCell="1" hidden="0" allowOverlap="1" wp14:anchorId="26529AC1" wp14:editId="4A07A72B">
            <wp:simplePos x="0" y="0"/>
            <wp:positionH relativeFrom="column">
              <wp:posOffset>2</wp:posOffset>
            </wp:positionH>
            <wp:positionV relativeFrom="paragraph">
              <wp:posOffset>0</wp:posOffset>
            </wp:positionV>
            <wp:extent cx="1809750" cy="723900"/>
            <wp:effectExtent l="0" t="0" r="0" b="0"/>
            <wp:wrapSquare wrapText="bothSides" distT="0" distB="0" distL="114300" distR="114300"/>
            <wp:docPr id="2" name="image2.png"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0" name="image2.png" descr="Discover University of Wales Trinity Saint David"/>
                    <pic:cNvPicPr preferRelativeResize="0"/>
                  </pic:nvPicPr>
                  <pic:blipFill>
                    <a:blip r:embed="rId6"/>
                    <a:srcRect/>
                    <a:stretch>
                      <a:fillRect/>
                    </a:stretch>
                  </pic:blipFill>
                  <pic:spPr>
                    <a:xfrm>
                      <a:off x="0" y="0"/>
                      <a:ext cx="1809750" cy="723900"/>
                    </a:xfrm>
                    <a:prstGeom prst="rect">
                      <a:avLst/>
                    </a:prstGeom>
                    <a:ln/>
                  </pic:spPr>
                </pic:pic>
              </a:graphicData>
            </a:graphic>
          </wp:anchor>
        </w:drawing>
      </w:r>
    </w:p>
    <w:p w14:paraId="0E46CEB6" w14:textId="77777777" w:rsidR="00071FF1" w:rsidRDefault="00071FF1"/>
    <w:tbl>
      <w:tblPr>
        <w:tblStyle w:val="a"/>
        <w:tblW w:w="8627" w:type="dxa"/>
        <w:tblInd w:w="39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8627"/>
      </w:tblGrid>
      <w:tr w:rsidR="00071FF1" w14:paraId="179A1162" w14:textId="77777777">
        <w:tc>
          <w:tcPr>
            <w:tcW w:w="8627" w:type="dxa"/>
            <w:shd w:val="clear" w:color="auto" w:fill="C0C0C0"/>
          </w:tcPr>
          <w:p w14:paraId="4D74DEF4" w14:textId="77777777" w:rsidR="00071FF1" w:rsidRDefault="000F0C0F">
            <w:pPr>
              <w:pStyle w:val="Heading4"/>
              <w:rPr>
                <w:b/>
                <w:bCs/>
              </w:rPr>
            </w:pPr>
            <w:r>
              <w:rPr>
                <w:b/>
                <w:bCs/>
              </w:rPr>
              <w:t xml:space="preserve">LEVEL 7 ASSESSMENT SPECIFICATION </w:t>
            </w:r>
          </w:p>
        </w:tc>
      </w:tr>
    </w:tbl>
    <w:p w14:paraId="0C998ECF" w14:textId="77777777" w:rsidR="00071FF1" w:rsidRDefault="00071FF1">
      <w:pPr>
        <w:jc w:val="center"/>
        <w:rPr>
          <w:b/>
          <w:bCs/>
          <w:i/>
          <w:iCs/>
          <w:sz w:val="32"/>
          <w:szCs w:val="32"/>
        </w:rPr>
      </w:pPr>
    </w:p>
    <w:tbl>
      <w:tblPr>
        <w:tblStyle w:val="a0"/>
        <w:tblW w:w="9019"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1902"/>
        <w:gridCol w:w="2993"/>
        <w:gridCol w:w="2062"/>
        <w:gridCol w:w="2062"/>
      </w:tblGrid>
      <w:tr w:rsidR="00071FF1" w14:paraId="0022961D" w14:textId="77777777">
        <w:tc>
          <w:tcPr>
            <w:tcW w:w="1902" w:type="dxa"/>
          </w:tcPr>
          <w:p w14:paraId="7A084322" w14:textId="77777777" w:rsidR="00071FF1" w:rsidRDefault="000F0C0F">
            <w:pPr>
              <w:spacing w:before="120" w:after="120"/>
              <w:jc w:val="both"/>
              <w:rPr>
                <w:b/>
                <w:bCs/>
              </w:rPr>
            </w:pPr>
            <w:r>
              <w:rPr>
                <w:b/>
                <w:bCs/>
              </w:rPr>
              <w:t>Student name:</w:t>
            </w:r>
          </w:p>
        </w:tc>
        <w:tc>
          <w:tcPr>
            <w:tcW w:w="2993" w:type="dxa"/>
          </w:tcPr>
          <w:p w14:paraId="2A046870" w14:textId="77777777" w:rsidR="00071FF1" w:rsidRDefault="000F0C0F">
            <w:pPr>
              <w:spacing w:before="120" w:after="120"/>
              <w:jc w:val="both"/>
              <w:rPr>
                <w:b/>
                <w:bCs/>
              </w:rPr>
            </w:pPr>
            <w:r>
              <w:rPr>
                <w:b/>
                <w:bCs/>
              </w:rPr>
              <w:t>     </w:t>
            </w:r>
            <w:r>
              <w:rPr>
                <w:b/>
                <w:bCs/>
              </w:rPr>
              <w:t xml:space="preserve">Kinjalkumari Nareshbhai ahir </w:t>
            </w:r>
          </w:p>
        </w:tc>
        <w:tc>
          <w:tcPr>
            <w:tcW w:w="2062" w:type="dxa"/>
            <w:shd w:val="clear" w:color="auto" w:fill="D9D9D9"/>
          </w:tcPr>
          <w:p w14:paraId="0627588C" w14:textId="77777777" w:rsidR="00071FF1" w:rsidRDefault="000F0C0F">
            <w:pPr>
              <w:spacing w:before="120" w:after="120"/>
              <w:jc w:val="both"/>
              <w:rPr>
                <w:b/>
                <w:bCs/>
              </w:rPr>
            </w:pPr>
            <w:r>
              <w:rPr>
                <w:b/>
                <w:bCs/>
              </w:rPr>
              <w:t>Student ID number:</w:t>
            </w:r>
          </w:p>
        </w:tc>
        <w:tc>
          <w:tcPr>
            <w:tcW w:w="2062" w:type="dxa"/>
          </w:tcPr>
          <w:p w14:paraId="2E7CADC1" w14:textId="77777777" w:rsidR="00071FF1" w:rsidRDefault="000F0C0F">
            <w:pPr>
              <w:spacing w:before="120" w:after="120"/>
              <w:jc w:val="both"/>
              <w:rPr>
                <w:b/>
                <w:bCs/>
              </w:rPr>
            </w:pPr>
            <w:r>
              <w:rPr>
                <w:b/>
                <w:bCs/>
              </w:rPr>
              <w:t>2522437</w:t>
            </w:r>
          </w:p>
        </w:tc>
      </w:tr>
      <w:tr w:rsidR="00071FF1" w14:paraId="50F80CD3" w14:textId="77777777">
        <w:tc>
          <w:tcPr>
            <w:tcW w:w="1902" w:type="dxa"/>
          </w:tcPr>
          <w:p w14:paraId="49E59793" w14:textId="77777777" w:rsidR="00071FF1" w:rsidRDefault="000F0C0F">
            <w:pPr>
              <w:spacing w:before="120" w:after="120"/>
              <w:jc w:val="both"/>
              <w:rPr>
                <w:b/>
                <w:bCs/>
              </w:rPr>
            </w:pPr>
            <w:r>
              <w:rPr>
                <w:b/>
                <w:bCs/>
              </w:rPr>
              <w:t>Programme:</w:t>
            </w:r>
          </w:p>
        </w:tc>
        <w:tc>
          <w:tcPr>
            <w:tcW w:w="7117" w:type="dxa"/>
            <w:gridSpan w:val="3"/>
          </w:tcPr>
          <w:p w14:paraId="07F4AF5C" w14:textId="77777777" w:rsidR="00071FF1" w:rsidRDefault="000F0C0F">
            <w:pPr>
              <w:spacing w:before="120" w:after="120"/>
              <w:jc w:val="both"/>
              <w:rPr>
                <w:b/>
                <w:bCs/>
              </w:rPr>
            </w:pPr>
            <w:r>
              <w:rPr>
                <w:b/>
                <w:bCs/>
              </w:rPr>
              <w:t>MSc Public Health and Social Care in Practice</w:t>
            </w:r>
          </w:p>
        </w:tc>
      </w:tr>
      <w:tr w:rsidR="00071FF1" w14:paraId="12CA62C8" w14:textId="77777777">
        <w:tc>
          <w:tcPr>
            <w:tcW w:w="1902" w:type="dxa"/>
          </w:tcPr>
          <w:p w14:paraId="5710E187" w14:textId="77777777" w:rsidR="00071FF1" w:rsidRDefault="000F0C0F">
            <w:pPr>
              <w:spacing w:before="120" w:after="120"/>
              <w:jc w:val="both"/>
              <w:rPr>
                <w:b/>
                <w:bCs/>
              </w:rPr>
            </w:pPr>
            <w:r>
              <w:rPr>
                <w:b/>
                <w:bCs/>
              </w:rPr>
              <w:t>Module:</w:t>
            </w:r>
          </w:p>
        </w:tc>
        <w:tc>
          <w:tcPr>
            <w:tcW w:w="7117" w:type="dxa"/>
            <w:gridSpan w:val="3"/>
          </w:tcPr>
          <w:p w14:paraId="3DA8E0F1" w14:textId="77777777" w:rsidR="00071FF1" w:rsidRDefault="000F0C0F">
            <w:pPr>
              <w:spacing w:before="120" w:after="120"/>
              <w:jc w:val="both"/>
              <w:rPr>
                <w:b/>
                <w:bCs/>
              </w:rPr>
            </w:pPr>
            <w:r>
              <w:rPr>
                <w:b/>
                <w:bCs/>
              </w:rPr>
              <w:t>Health Care System Organisation and Leadership</w:t>
            </w:r>
          </w:p>
        </w:tc>
      </w:tr>
      <w:tr w:rsidR="00071FF1" w14:paraId="0FD27041" w14:textId="77777777">
        <w:tc>
          <w:tcPr>
            <w:tcW w:w="1902" w:type="dxa"/>
          </w:tcPr>
          <w:p w14:paraId="793C5557" w14:textId="77777777" w:rsidR="00071FF1" w:rsidRDefault="000F0C0F">
            <w:pPr>
              <w:spacing w:before="120" w:after="120"/>
              <w:jc w:val="both"/>
              <w:rPr>
                <w:b/>
                <w:bCs/>
              </w:rPr>
            </w:pPr>
            <w:r>
              <w:rPr>
                <w:b/>
                <w:bCs/>
              </w:rPr>
              <w:t>Module code:</w:t>
            </w:r>
          </w:p>
        </w:tc>
        <w:tc>
          <w:tcPr>
            <w:tcW w:w="2993" w:type="dxa"/>
          </w:tcPr>
          <w:p w14:paraId="1AA2DDC6" w14:textId="77777777" w:rsidR="00071FF1" w:rsidRDefault="000F0C0F">
            <w:pPr>
              <w:spacing w:before="120" w:after="120"/>
              <w:jc w:val="both"/>
              <w:rPr>
                <w:b/>
                <w:bCs/>
              </w:rPr>
            </w:pPr>
            <w:r>
              <w:rPr>
                <w:b/>
                <w:bCs/>
              </w:rPr>
              <w:t>LCHS7002</w:t>
            </w:r>
          </w:p>
        </w:tc>
        <w:tc>
          <w:tcPr>
            <w:tcW w:w="2062" w:type="dxa"/>
            <w:shd w:val="clear" w:color="auto" w:fill="D9D9D9"/>
          </w:tcPr>
          <w:p w14:paraId="7522AF72" w14:textId="77777777" w:rsidR="00071FF1" w:rsidRDefault="00071FF1">
            <w:pPr>
              <w:pStyle w:val="Heading2"/>
              <w:rPr>
                <w:rFonts w:ascii="Arial" w:eastAsia="Arial" w:hAnsi="Arial" w:cs="Arial"/>
                <w:sz w:val="22"/>
                <w:szCs w:val="22"/>
              </w:rPr>
            </w:pPr>
          </w:p>
        </w:tc>
        <w:tc>
          <w:tcPr>
            <w:tcW w:w="2062" w:type="dxa"/>
          </w:tcPr>
          <w:p w14:paraId="4EB1A34C" w14:textId="77777777" w:rsidR="00071FF1" w:rsidRDefault="00071FF1">
            <w:pPr>
              <w:spacing w:before="120" w:after="120"/>
              <w:jc w:val="both"/>
              <w:rPr>
                <w:b/>
                <w:bCs/>
              </w:rPr>
            </w:pPr>
          </w:p>
        </w:tc>
      </w:tr>
      <w:tr w:rsidR="00071FF1" w14:paraId="138194B6" w14:textId="77777777">
        <w:tc>
          <w:tcPr>
            <w:tcW w:w="1902" w:type="dxa"/>
          </w:tcPr>
          <w:p w14:paraId="172938B2" w14:textId="77777777" w:rsidR="00071FF1" w:rsidRDefault="000F0C0F">
            <w:pPr>
              <w:spacing w:before="120" w:after="120"/>
              <w:jc w:val="both"/>
              <w:rPr>
                <w:b/>
                <w:bCs/>
              </w:rPr>
            </w:pPr>
            <w:r>
              <w:rPr>
                <w:b/>
                <w:bCs/>
              </w:rPr>
              <w:t>Lecturer:</w:t>
            </w:r>
          </w:p>
        </w:tc>
        <w:tc>
          <w:tcPr>
            <w:tcW w:w="2993" w:type="dxa"/>
          </w:tcPr>
          <w:p w14:paraId="2370B84B" w14:textId="77777777" w:rsidR="00071FF1" w:rsidRDefault="000F0C0F">
            <w:pPr>
              <w:spacing w:before="120" w:after="120"/>
              <w:jc w:val="both"/>
              <w:rPr>
                <w:b/>
                <w:bCs/>
              </w:rPr>
            </w:pPr>
            <w:r>
              <w:rPr>
                <w:b/>
                <w:bCs/>
              </w:rPr>
              <w:t>Dr Fahad Khan</w:t>
            </w:r>
          </w:p>
        </w:tc>
        <w:tc>
          <w:tcPr>
            <w:tcW w:w="2062" w:type="dxa"/>
            <w:shd w:val="clear" w:color="auto" w:fill="D9D9D9"/>
          </w:tcPr>
          <w:p w14:paraId="365ACE7E" w14:textId="77777777" w:rsidR="00071FF1" w:rsidRDefault="00071FF1">
            <w:pPr>
              <w:spacing w:before="120" w:after="120"/>
              <w:jc w:val="both"/>
              <w:rPr>
                <w:b/>
                <w:bCs/>
              </w:rPr>
            </w:pPr>
          </w:p>
        </w:tc>
        <w:tc>
          <w:tcPr>
            <w:tcW w:w="2062" w:type="dxa"/>
          </w:tcPr>
          <w:p w14:paraId="54B088EB" w14:textId="77777777" w:rsidR="00071FF1" w:rsidRDefault="00071FF1">
            <w:pPr>
              <w:spacing w:before="120" w:after="120"/>
              <w:jc w:val="both"/>
              <w:rPr>
                <w:b/>
                <w:bCs/>
              </w:rPr>
            </w:pPr>
          </w:p>
        </w:tc>
      </w:tr>
      <w:tr w:rsidR="00071FF1" w14:paraId="648ABEA9" w14:textId="77777777">
        <w:tc>
          <w:tcPr>
            <w:tcW w:w="1902" w:type="dxa"/>
          </w:tcPr>
          <w:p w14:paraId="6D32CED3" w14:textId="77777777" w:rsidR="00071FF1" w:rsidRDefault="000F0C0F">
            <w:pPr>
              <w:spacing w:before="120" w:after="120"/>
              <w:jc w:val="both"/>
              <w:rPr>
                <w:b/>
                <w:bCs/>
              </w:rPr>
            </w:pPr>
            <w:r>
              <w:rPr>
                <w:b/>
                <w:bCs/>
              </w:rPr>
              <w:t>Assignment Title:</w:t>
            </w:r>
          </w:p>
        </w:tc>
        <w:tc>
          <w:tcPr>
            <w:tcW w:w="2993" w:type="dxa"/>
          </w:tcPr>
          <w:p w14:paraId="51356425" w14:textId="77777777" w:rsidR="00071FF1" w:rsidRDefault="000F0C0F">
            <w:pPr>
              <w:spacing w:before="120" w:after="120"/>
              <w:rPr>
                <w:b/>
                <w:bCs/>
              </w:rPr>
            </w:pPr>
            <w:r>
              <w:rPr>
                <w:b/>
                <w:bCs/>
              </w:rPr>
              <w:t>Case Study Analysis Report</w:t>
            </w:r>
          </w:p>
        </w:tc>
        <w:tc>
          <w:tcPr>
            <w:tcW w:w="2062" w:type="dxa"/>
          </w:tcPr>
          <w:p w14:paraId="084FC413" w14:textId="77777777" w:rsidR="00071FF1" w:rsidRDefault="00071FF1">
            <w:pPr>
              <w:spacing w:before="120" w:after="120"/>
              <w:jc w:val="both"/>
              <w:rPr>
                <w:b/>
                <w:bCs/>
              </w:rPr>
            </w:pPr>
          </w:p>
        </w:tc>
        <w:tc>
          <w:tcPr>
            <w:tcW w:w="2062" w:type="dxa"/>
          </w:tcPr>
          <w:p w14:paraId="7721BE34" w14:textId="77777777" w:rsidR="00071FF1" w:rsidRDefault="00071FF1">
            <w:pPr>
              <w:spacing w:before="120" w:after="120"/>
              <w:rPr>
                <w:b/>
                <w:bCs/>
              </w:rPr>
            </w:pPr>
          </w:p>
        </w:tc>
      </w:tr>
    </w:tbl>
    <w:p w14:paraId="39C13748" w14:textId="77777777" w:rsidR="00071FF1" w:rsidRDefault="00071FF1">
      <w:pPr>
        <w:spacing w:before="200" w:line="360" w:lineRule="auto"/>
        <w:rPr>
          <w:rFonts w:ascii="Times New Roman" w:eastAsia="Times New Roman" w:hAnsi="Times New Roman" w:cs="Times New Roman"/>
          <w:b/>
          <w:bCs/>
          <w:sz w:val="28"/>
          <w:szCs w:val="28"/>
        </w:rPr>
      </w:pPr>
    </w:p>
    <w:p w14:paraId="44728F7C" w14:textId="77777777" w:rsidR="00071FF1" w:rsidRDefault="00071FF1">
      <w:pPr>
        <w:spacing w:before="200" w:line="360" w:lineRule="auto"/>
        <w:rPr>
          <w:rFonts w:ascii="Times New Roman" w:eastAsia="Times New Roman" w:hAnsi="Times New Roman" w:cs="Times New Roman"/>
          <w:b/>
          <w:bCs/>
          <w:sz w:val="28"/>
          <w:szCs w:val="28"/>
        </w:rPr>
      </w:pPr>
    </w:p>
    <w:p w14:paraId="79F76913" w14:textId="77777777" w:rsidR="00071FF1" w:rsidRDefault="00071FF1">
      <w:pPr>
        <w:spacing w:before="200" w:line="360" w:lineRule="auto"/>
        <w:rPr>
          <w:rFonts w:ascii="Times New Roman" w:eastAsia="Times New Roman" w:hAnsi="Times New Roman" w:cs="Times New Roman"/>
          <w:b/>
          <w:bCs/>
          <w:sz w:val="28"/>
          <w:szCs w:val="28"/>
        </w:rPr>
      </w:pPr>
    </w:p>
    <w:p w14:paraId="238706B9" w14:textId="77777777" w:rsidR="00071FF1" w:rsidRDefault="00071FF1">
      <w:pPr>
        <w:spacing w:before="200" w:line="360" w:lineRule="auto"/>
        <w:rPr>
          <w:rFonts w:ascii="Times New Roman" w:eastAsia="Times New Roman" w:hAnsi="Times New Roman" w:cs="Times New Roman"/>
          <w:b/>
          <w:bCs/>
          <w:sz w:val="28"/>
          <w:szCs w:val="28"/>
        </w:rPr>
      </w:pPr>
    </w:p>
    <w:p w14:paraId="0E19B49D" w14:textId="77777777" w:rsidR="00071FF1" w:rsidRDefault="00071FF1">
      <w:pPr>
        <w:spacing w:before="200" w:line="360" w:lineRule="auto"/>
        <w:rPr>
          <w:rFonts w:ascii="Times New Roman" w:eastAsia="Times New Roman" w:hAnsi="Times New Roman" w:cs="Times New Roman"/>
          <w:b/>
          <w:bCs/>
          <w:sz w:val="28"/>
          <w:szCs w:val="28"/>
        </w:rPr>
      </w:pPr>
    </w:p>
    <w:p w14:paraId="0B329081" w14:textId="77777777" w:rsidR="00071FF1" w:rsidRDefault="00071FF1">
      <w:pPr>
        <w:spacing w:before="200" w:line="360" w:lineRule="auto"/>
        <w:rPr>
          <w:rFonts w:ascii="Times New Roman" w:eastAsia="Times New Roman" w:hAnsi="Times New Roman" w:cs="Times New Roman"/>
          <w:b/>
          <w:bCs/>
          <w:sz w:val="28"/>
          <w:szCs w:val="28"/>
        </w:rPr>
      </w:pPr>
    </w:p>
    <w:p w14:paraId="2DDE5172" w14:textId="77777777" w:rsidR="00071FF1" w:rsidRDefault="00071FF1">
      <w:pPr>
        <w:spacing w:before="200" w:line="360" w:lineRule="auto"/>
        <w:rPr>
          <w:rFonts w:ascii="Times New Roman" w:eastAsia="Times New Roman" w:hAnsi="Times New Roman" w:cs="Times New Roman"/>
          <w:b/>
          <w:bCs/>
          <w:sz w:val="28"/>
          <w:szCs w:val="28"/>
        </w:rPr>
      </w:pPr>
    </w:p>
    <w:p w14:paraId="44E75F2D" w14:textId="77777777" w:rsidR="00071FF1" w:rsidRDefault="00071FF1">
      <w:pPr>
        <w:spacing w:before="200" w:line="360" w:lineRule="auto"/>
        <w:rPr>
          <w:rFonts w:ascii="Times New Roman" w:eastAsia="Times New Roman" w:hAnsi="Times New Roman" w:cs="Times New Roman"/>
          <w:b/>
          <w:bCs/>
          <w:sz w:val="28"/>
          <w:szCs w:val="28"/>
        </w:rPr>
      </w:pPr>
    </w:p>
    <w:p w14:paraId="7B3B163D" w14:textId="77777777" w:rsidR="00071FF1" w:rsidRDefault="00071FF1">
      <w:pPr>
        <w:spacing w:before="200" w:line="360" w:lineRule="auto"/>
        <w:rPr>
          <w:rFonts w:ascii="Times New Roman" w:eastAsia="Times New Roman" w:hAnsi="Times New Roman" w:cs="Times New Roman"/>
          <w:b/>
          <w:bCs/>
          <w:sz w:val="28"/>
          <w:szCs w:val="28"/>
        </w:rPr>
      </w:pPr>
    </w:p>
    <w:p w14:paraId="24D11AA6" w14:textId="77777777" w:rsidR="00071FF1" w:rsidRDefault="00071FF1">
      <w:pPr>
        <w:spacing w:before="200" w:line="360" w:lineRule="auto"/>
        <w:rPr>
          <w:rFonts w:ascii="Times New Roman" w:eastAsia="Times New Roman" w:hAnsi="Times New Roman" w:cs="Times New Roman"/>
          <w:b/>
          <w:bCs/>
          <w:sz w:val="28"/>
          <w:szCs w:val="28"/>
        </w:rPr>
      </w:pPr>
    </w:p>
    <w:p w14:paraId="04F808C8" w14:textId="77777777" w:rsidR="00071FF1" w:rsidRDefault="00071FF1">
      <w:pPr>
        <w:spacing w:before="200" w:line="360" w:lineRule="auto"/>
        <w:rPr>
          <w:rFonts w:ascii="Times New Roman" w:eastAsia="Times New Roman" w:hAnsi="Times New Roman" w:cs="Times New Roman"/>
          <w:b/>
          <w:bCs/>
          <w:sz w:val="28"/>
          <w:szCs w:val="28"/>
        </w:rPr>
      </w:pPr>
    </w:p>
    <w:p w14:paraId="3A759628" w14:textId="77777777" w:rsidR="00071FF1" w:rsidRDefault="000F0C0F">
      <w:pPr>
        <w:keepNext/>
        <w:keepLines/>
        <w:pBdr>
          <w:top w:val="nil"/>
          <w:left w:val="nil"/>
          <w:bottom w:val="nil"/>
          <w:right w:val="nil"/>
          <w:between w:val="nil"/>
        </w:pBdr>
        <w:spacing w:before="240" w:line="360" w:lineRule="auto"/>
        <w:jc w:val="center"/>
        <w:rPr>
          <w:rFonts w:ascii="Times New Roman" w:eastAsia="Times New Roman" w:hAnsi="Times New Roman" w:cs="Times New Roman"/>
          <w:b/>
          <w:bCs/>
          <w:color w:val="000000"/>
          <w:sz w:val="28"/>
          <w:szCs w:val="28"/>
        </w:rPr>
      </w:pPr>
      <w:r>
        <w:rPr>
          <w:rFonts w:ascii="Times New Roman" w:eastAsia="Times New Roman" w:hAnsi="Times New Roman" w:cs="Times New Roman"/>
          <w:b/>
          <w:bCs/>
          <w:color w:val="000000"/>
          <w:sz w:val="28"/>
          <w:szCs w:val="28"/>
        </w:rPr>
        <w:t>Table of Contents</w:t>
      </w:r>
    </w:p>
    <w:sdt>
      <w:sdtPr>
        <w:id w:val="1751033230"/>
        <w:docPartObj>
          <w:docPartGallery w:val="Table of Contents"/>
          <w:docPartUnique/>
        </w:docPartObj>
      </w:sdtPr>
      <w:sdtEndPr/>
      <w:sdtContent>
        <w:p w14:paraId="4C0E4A88" w14:textId="77777777" w:rsidR="00071FF1" w:rsidRDefault="000F0C0F">
          <w:pPr>
            <w:pBdr>
              <w:top w:val="nil"/>
              <w:left w:val="nil"/>
              <w:bottom w:val="nil"/>
              <w:right w:val="nil"/>
              <w:between w:val="nil"/>
            </w:pBdr>
            <w:tabs>
              <w:tab w:val="right" w:pos="9019"/>
            </w:tabs>
            <w:spacing w:after="100" w:line="360" w:lineRule="auto"/>
            <w:jc w:val="both"/>
            <w:rPr>
              <w:rFonts w:ascii="Times New Roman" w:eastAsia="Times New Roman" w:hAnsi="Times New Roman" w:cs="Times New Roman"/>
              <w:color w:val="000000"/>
              <w:sz w:val="24"/>
              <w:szCs w:val="24"/>
            </w:rPr>
          </w:pPr>
          <w:r>
            <w:fldChar w:fldCharType="begin"/>
          </w:r>
          <w:r>
            <w:instrText xml:space="preserve"> TOC \h \u \z \t "Heading 1,1,Heading 2,2,Heading 3,3,"</w:instrText>
          </w:r>
          <w:r>
            <w:fldChar w:fldCharType="separate"/>
          </w:r>
          <w:hyperlink w:anchor="_io1in7nu4yx5">
            <w:r>
              <w:rPr>
                <w:rFonts w:ascii="Times New Roman" w:eastAsia="Times New Roman" w:hAnsi="Times New Roman" w:cs="Times New Roman"/>
                <w:color w:val="000000"/>
                <w:sz w:val="24"/>
                <w:szCs w:val="24"/>
              </w:rPr>
              <w:t>1. Introduction</w:t>
            </w:r>
            <w:r>
              <w:rPr>
                <w:rFonts w:ascii="Times New Roman" w:eastAsia="Times New Roman" w:hAnsi="Times New Roman" w:cs="Times New Roman"/>
                <w:color w:val="000000"/>
                <w:sz w:val="24"/>
                <w:szCs w:val="24"/>
              </w:rPr>
              <w:tab/>
              <w:t>3</w:t>
            </w:r>
          </w:hyperlink>
        </w:p>
        <w:p w14:paraId="5B4E209E" w14:textId="77777777" w:rsidR="00071FF1" w:rsidRDefault="000F0C0F">
          <w:pPr>
            <w:pBdr>
              <w:top w:val="nil"/>
              <w:left w:val="nil"/>
              <w:bottom w:val="nil"/>
              <w:right w:val="nil"/>
              <w:between w:val="nil"/>
            </w:pBdr>
            <w:tabs>
              <w:tab w:val="right" w:pos="9019"/>
            </w:tabs>
            <w:spacing w:after="100" w:line="360" w:lineRule="auto"/>
            <w:ind w:left="220"/>
            <w:jc w:val="both"/>
            <w:rPr>
              <w:rFonts w:ascii="Times New Roman" w:eastAsia="Times New Roman" w:hAnsi="Times New Roman" w:cs="Times New Roman"/>
              <w:color w:val="000000"/>
              <w:sz w:val="24"/>
              <w:szCs w:val="24"/>
            </w:rPr>
          </w:pPr>
          <w:hyperlink w:anchor="_wbygi74vf1vh">
            <w:r>
              <w:rPr>
                <w:rFonts w:ascii="Times New Roman" w:eastAsia="Times New Roman" w:hAnsi="Times New Roman" w:cs="Times New Roman"/>
                <w:color w:val="000000"/>
                <w:sz w:val="24"/>
                <w:szCs w:val="24"/>
              </w:rPr>
              <w:t>1.1 Background</w:t>
            </w:r>
            <w:r>
              <w:rPr>
                <w:rFonts w:ascii="Times New Roman" w:eastAsia="Times New Roman" w:hAnsi="Times New Roman" w:cs="Times New Roman"/>
                <w:color w:val="000000"/>
                <w:sz w:val="24"/>
                <w:szCs w:val="24"/>
              </w:rPr>
              <w:tab/>
              <w:t>3</w:t>
            </w:r>
          </w:hyperlink>
        </w:p>
        <w:p w14:paraId="5F4625BD" w14:textId="77777777" w:rsidR="00071FF1" w:rsidRDefault="000F0C0F">
          <w:pPr>
            <w:pBdr>
              <w:top w:val="nil"/>
              <w:left w:val="nil"/>
              <w:bottom w:val="nil"/>
              <w:right w:val="nil"/>
              <w:between w:val="nil"/>
            </w:pBdr>
            <w:tabs>
              <w:tab w:val="right" w:pos="9019"/>
            </w:tabs>
            <w:spacing w:after="100" w:line="360" w:lineRule="auto"/>
            <w:ind w:left="220"/>
            <w:jc w:val="both"/>
            <w:rPr>
              <w:rFonts w:ascii="Times New Roman" w:eastAsia="Times New Roman" w:hAnsi="Times New Roman" w:cs="Times New Roman"/>
              <w:color w:val="000000"/>
              <w:sz w:val="24"/>
              <w:szCs w:val="24"/>
            </w:rPr>
          </w:pPr>
          <w:hyperlink w:anchor="_qj7lbaiq62k2">
            <w:r>
              <w:rPr>
                <w:rFonts w:ascii="Times New Roman" w:eastAsia="Times New Roman" w:hAnsi="Times New Roman" w:cs="Times New Roman"/>
                <w:color w:val="000000"/>
                <w:sz w:val="24"/>
                <w:szCs w:val="24"/>
              </w:rPr>
              <w:t>1.2 Leadership Definitions</w:t>
            </w:r>
            <w:r>
              <w:rPr>
                <w:rFonts w:ascii="Times New Roman" w:eastAsia="Times New Roman" w:hAnsi="Times New Roman" w:cs="Times New Roman"/>
                <w:color w:val="000000"/>
                <w:sz w:val="24"/>
                <w:szCs w:val="24"/>
              </w:rPr>
              <w:tab/>
              <w:t>3</w:t>
            </w:r>
          </w:hyperlink>
        </w:p>
        <w:p w14:paraId="2122A36C" w14:textId="77777777" w:rsidR="00071FF1" w:rsidRDefault="000F0C0F">
          <w:pPr>
            <w:pBdr>
              <w:top w:val="nil"/>
              <w:left w:val="nil"/>
              <w:bottom w:val="nil"/>
              <w:right w:val="nil"/>
              <w:between w:val="nil"/>
            </w:pBdr>
            <w:tabs>
              <w:tab w:val="right" w:pos="9019"/>
            </w:tabs>
            <w:spacing w:after="100" w:line="360" w:lineRule="auto"/>
            <w:ind w:left="220"/>
            <w:jc w:val="both"/>
            <w:rPr>
              <w:rFonts w:ascii="Times New Roman" w:eastAsia="Times New Roman" w:hAnsi="Times New Roman" w:cs="Times New Roman"/>
              <w:color w:val="000000"/>
              <w:sz w:val="24"/>
              <w:szCs w:val="24"/>
            </w:rPr>
          </w:pPr>
          <w:hyperlink w:anchor="_meno7o93ga0s">
            <w:r>
              <w:rPr>
                <w:rFonts w:ascii="Times New Roman" w:eastAsia="Times New Roman" w:hAnsi="Times New Roman" w:cs="Times New Roman"/>
                <w:color w:val="000000"/>
                <w:sz w:val="24"/>
                <w:szCs w:val="24"/>
              </w:rPr>
              <w:t>1.3 Centralisation and Decentralisation</w:t>
            </w:r>
            <w:r>
              <w:rPr>
                <w:rFonts w:ascii="Times New Roman" w:eastAsia="Times New Roman" w:hAnsi="Times New Roman" w:cs="Times New Roman"/>
                <w:color w:val="000000"/>
                <w:sz w:val="24"/>
                <w:szCs w:val="24"/>
              </w:rPr>
              <w:tab/>
              <w:t>3</w:t>
            </w:r>
          </w:hyperlink>
        </w:p>
        <w:p w14:paraId="48E41EF4" w14:textId="77777777" w:rsidR="00071FF1" w:rsidRDefault="000F0C0F">
          <w:pPr>
            <w:pBdr>
              <w:top w:val="nil"/>
              <w:left w:val="nil"/>
              <w:bottom w:val="nil"/>
              <w:right w:val="nil"/>
              <w:between w:val="nil"/>
            </w:pBdr>
            <w:tabs>
              <w:tab w:val="right" w:pos="9019"/>
            </w:tabs>
            <w:spacing w:after="100" w:line="360" w:lineRule="auto"/>
            <w:ind w:left="220"/>
            <w:jc w:val="both"/>
            <w:rPr>
              <w:rFonts w:ascii="Times New Roman" w:eastAsia="Times New Roman" w:hAnsi="Times New Roman" w:cs="Times New Roman"/>
              <w:color w:val="000000"/>
              <w:sz w:val="24"/>
              <w:szCs w:val="24"/>
            </w:rPr>
          </w:pPr>
          <w:hyperlink w:anchor="_8n5uijvnmtmd">
            <w:r>
              <w:rPr>
                <w:rFonts w:ascii="Times New Roman" w:eastAsia="Times New Roman" w:hAnsi="Times New Roman" w:cs="Times New Roman"/>
                <w:color w:val="000000"/>
                <w:sz w:val="24"/>
                <w:szCs w:val="24"/>
              </w:rPr>
              <w:t>1.4 Relevant Leadership Theories</w:t>
            </w:r>
            <w:r>
              <w:rPr>
                <w:rFonts w:ascii="Times New Roman" w:eastAsia="Times New Roman" w:hAnsi="Times New Roman" w:cs="Times New Roman"/>
                <w:color w:val="000000"/>
                <w:sz w:val="24"/>
                <w:szCs w:val="24"/>
              </w:rPr>
              <w:tab/>
              <w:t>3</w:t>
            </w:r>
          </w:hyperlink>
        </w:p>
        <w:p w14:paraId="728463BC" w14:textId="77777777" w:rsidR="00071FF1" w:rsidRDefault="000F0C0F">
          <w:pPr>
            <w:pBdr>
              <w:top w:val="nil"/>
              <w:left w:val="nil"/>
              <w:bottom w:val="nil"/>
              <w:right w:val="nil"/>
              <w:between w:val="nil"/>
            </w:pBdr>
            <w:tabs>
              <w:tab w:val="right" w:pos="9019"/>
            </w:tabs>
            <w:spacing w:after="100" w:line="360" w:lineRule="auto"/>
            <w:ind w:left="220"/>
            <w:jc w:val="both"/>
            <w:rPr>
              <w:rFonts w:ascii="Times New Roman" w:eastAsia="Times New Roman" w:hAnsi="Times New Roman" w:cs="Times New Roman"/>
              <w:color w:val="000000"/>
              <w:sz w:val="24"/>
              <w:szCs w:val="24"/>
            </w:rPr>
          </w:pPr>
          <w:hyperlink w:anchor="_wl0hnzeqzsvb">
            <w:r>
              <w:rPr>
                <w:rFonts w:ascii="Times New Roman" w:eastAsia="Times New Roman" w:hAnsi="Times New Roman" w:cs="Times New Roman"/>
                <w:color w:val="000000"/>
                <w:sz w:val="24"/>
                <w:szCs w:val="24"/>
              </w:rPr>
              <w:t>1.5 Report Structure</w:t>
            </w:r>
            <w:r>
              <w:rPr>
                <w:rFonts w:ascii="Times New Roman" w:eastAsia="Times New Roman" w:hAnsi="Times New Roman" w:cs="Times New Roman"/>
                <w:color w:val="000000"/>
                <w:sz w:val="24"/>
                <w:szCs w:val="24"/>
              </w:rPr>
              <w:tab/>
              <w:t>4</w:t>
            </w:r>
          </w:hyperlink>
        </w:p>
        <w:p w14:paraId="5BF30F1E" w14:textId="77777777" w:rsidR="00071FF1" w:rsidRDefault="000F0C0F">
          <w:pPr>
            <w:pBdr>
              <w:top w:val="nil"/>
              <w:left w:val="nil"/>
              <w:bottom w:val="nil"/>
              <w:right w:val="nil"/>
              <w:between w:val="nil"/>
            </w:pBdr>
            <w:tabs>
              <w:tab w:val="right" w:pos="9019"/>
            </w:tabs>
            <w:spacing w:after="100" w:line="360" w:lineRule="auto"/>
            <w:jc w:val="both"/>
            <w:rPr>
              <w:rFonts w:ascii="Times New Roman" w:eastAsia="Times New Roman" w:hAnsi="Times New Roman" w:cs="Times New Roman"/>
              <w:color w:val="000000"/>
              <w:sz w:val="24"/>
              <w:szCs w:val="24"/>
            </w:rPr>
          </w:pPr>
          <w:hyperlink w:anchor="_v2b0o1ipzv2z">
            <w:r>
              <w:rPr>
                <w:rFonts w:ascii="Times New Roman" w:eastAsia="Times New Roman" w:hAnsi="Times New Roman" w:cs="Times New Roman"/>
                <w:color w:val="000000"/>
                <w:sz w:val="24"/>
                <w:szCs w:val="24"/>
              </w:rPr>
              <w:t>2. Case Study Analysis</w:t>
            </w:r>
            <w:r>
              <w:rPr>
                <w:rFonts w:ascii="Times New Roman" w:eastAsia="Times New Roman" w:hAnsi="Times New Roman" w:cs="Times New Roman"/>
                <w:color w:val="000000"/>
                <w:sz w:val="24"/>
                <w:szCs w:val="24"/>
              </w:rPr>
              <w:tab/>
              <w:t>4</w:t>
            </w:r>
          </w:hyperlink>
        </w:p>
        <w:p w14:paraId="1697DA6D" w14:textId="77777777" w:rsidR="00071FF1" w:rsidRDefault="000F0C0F">
          <w:pPr>
            <w:pBdr>
              <w:top w:val="nil"/>
              <w:left w:val="nil"/>
              <w:bottom w:val="nil"/>
              <w:right w:val="nil"/>
              <w:between w:val="nil"/>
            </w:pBdr>
            <w:tabs>
              <w:tab w:val="right" w:pos="9019"/>
            </w:tabs>
            <w:spacing w:after="100" w:line="360" w:lineRule="auto"/>
            <w:ind w:left="220"/>
            <w:jc w:val="both"/>
            <w:rPr>
              <w:rFonts w:ascii="Times New Roman" w:eastAsia="Times New Roman" w:hAnsi="Times New Roman" w:cs="Times New Roman"/>
              <w:color w:val="000000"/>
              <w:sz w:val="24"/>
              <w:szCs w:val="24"/>
            </w:rPr>
          </w:pPr>
          <w:hyperlink w:anchor="_4nbfq8opylrw">
            <w:r>
              <w:rPr>
                <w:rFonts w:ascii="Times New Roman" w:eastAsia="Times New Roman" w:hAnsi="Times New Roman" w:cs="Times New Roman"/>
                <w:color w:val="000000"/>
                <w:sz w:val="24"/>
                <w:szCs w:val="24"/>
              </w:rPr>
              <w:t>2.1 Problem Identification</w:t>
            </w:r>
            <w:r>
              <w:rPr>
                <w:rFonts w:ascii="Times New Roman" w:eastAsia="Times New Roman" w:hAnsi="Times New Roman" w:cs="Times New Roman"/>
                <w:color w:val="000000"/>
                <w:sz w:val="24"/>
                <w:szCs w:val="24"/>
              </w:rPr>
              <w:tab/>
              <w:t>4</w:t>
            </w:r>
          </w:hyperlink>
        </w:p>
        <w:p w14:paraId="5AA349FC" w14:textId="77777777" w:rsidR="00071FF1" w:rsidRDefault="000F0C0F">
          <w:pPr>
            <w:pBdr>
              <w:top w:val="nil"/>
              <w:left w:val="nil"/>
              <w:bottom w:val="nil"/>
              <w:right w:val="nil"/>
              <w:between w:val="nil"/>
            </w:pBdr>
            <w:tabs>
              <w:tab w:val="right" w:pos="9019"/>
            </w:tabs>
            <w:spacing w:after="100" w:line="360" w:lineRule="auto"/>
            <w:ind w:left="220"/>
            <w:jc w:val="both"/>
            <w:rPr>
              <w:rFonts w:ascii="Times New Roman" w:eastAsia="Times New Roman" w:hAnsi="Times New Roman" w:cs="Times New Roman"/>
              <w:color w:val="000000"/>
              <w:sz w:val="24"/>
              <w:szCs w:val="24"/>
            </w:rPr>
          </w:pPr>
          <w:hyperlink w:anchor="_1xnl2oujpcw0">
            <w:r>
              <w:rPr>
                <w:rFonts w:ascii="Times New Roman" w:eastAsia="Times New Roman" w:hAnsi="Times New Roman" w:cs="Times New Roman"/>
                <w:color w:val="000000"/>
                <w:sz w:val="24"/>
                <w:szCs w:val="24"/>
              </w:rPr>
              <w:t>2.2 Centralisation vs Decentralisation</w:t>
            </w:r>
            <w:r>
              <w:rPr>
                <w:rFonts w:ascii="Times New Roman" w:eastAsia="Times New Roman" w:hAnsi="Times New Roman" w:cs="Times New Roman"/>
                <w:color w:val="000000"/>
                <w:sz w:val="24"/>
                <w:szCs w:val="24"/>
              </w:rPr>
              <w:tab/>
              <w:t>8</w:t>
            </w:r>
          </w:hyperlink>
        </w:p>
        <w:p w14:paraId="455A1FD7" w14:textId="77777777" w:rsidR="00071FF1" w:rsidRDefault="000F0C0F">
          <w:pPr>
            <w:pBdr>
              <w:top w:val="nil"/>
              <w:left w:val="nil"/>
              <w:bottom w:val="nil"/>
              <w:right w:val="nil"/>
              <w:between w:val="nil"/>
            </w:pBdr>
            <w:tabs>
              <w:tab w:val="right" w:pos="9019"/>
            </w:tabs>
            <w:spacing w:after="100" w:line="360" w:lineRule="auto"/>
            <w:ind w:left="220"/>
            <w:jc w:val="both"/>
            <w:rPr>
              <w:rFonts w:ascii="Times New Roman" w:eastAsia="Times New Roman" w:hAnsi="Times New Roman" w:cs="Times New Roman"/>
              <w:color w:val="000000"/>
              <w:sz w:val="24"/>
              <w:szCs w:val="24"/>
            </w:rPr>
          </w:pPr>
          <w:hyperlink w:anchor="_letve4irhzp0">
            <w:r>
              <w:rPr>
                <w:rFonts w:ascii="Times New Roman" w:eastAsia="Times New Roman" w:hAnsi="Times New Roman" w:cs="Times New Roman"/>
                <w:color w:val="000000"/>
                <w:sz w:val="24"/>
                <w:szCs w:val="24"/>
              </w:rPr>
              <w:t>2.3 Leadership Theoretical Application</w:t>
            </w:r>
            <w:r>
              <w:rPr>
                <w:rFonts w:ascii="Times New Roman" w:eastAsia="Times New Roman" w:hAnsi="Times New Roman" w:cs="Times New Roman"/>
                <w:color w:val="000000"/>
                <w:sz w:val="24"/>
                <w:szCs w:val="24"/>
              </w:rPr>
              <w:tab/>
              <w:t>12</w:t>
            </w:r>
          </w:hyperlink>
        </w:p>
        <w:p w14:paraId="2D844609" w14:textId="77777777" w:rsidR="00071FF1" w:rsidRDefault="000F0C0F">
          <w:pPr>
            <w:pBdr>
              <w:top w:val="nil"/>
              <w:left w:val="nil"/>
              <w:bottom w:val="nil"/>
              <w:right w:val="nil"/>
              <w:between w:val="nil"/>
            </w:pBdr>
            <w:tabs>
              <w:tab w:val="right" w:pos="9019"/>
            </w:tabs>
            <w:spacing w:after="100" w:line="360" w:lineRule="auto"/>
            <w:ind w:left="220"/>
            <w:jc w:val="both"/>
            <w:rPr>
              <w:rFonts w:ascii="Times New Roman" w:eastAsia="Times New Roman" w:hAnsi="Times New Roman" w:cs="Times New Roman"/>
              <w:color w:val="000000"/>
              <w:sz w:val="24"/>
              <w:szCs w:val="24"/>
            </w:rPr>
          </w:pPr>
          <w:hyperlink w:anchor="_ni15i3ddspbf">
            <w:r>
              <w:rPr>
                <w:rFonts w:ascii="Times New Roman" w:eastAsia="Times New Roman" w:hAnsi="Times New Roman" w:cs="Times New Roman"/>
                <w:color w:val="000000"/>
                <w:sz w:val="24"/>
                <w:szCs w:val="24"/>
              </w:rPr>
              <w:t>2.4 Critique, Improvements and Lessons Learned</w:t>
            </w:r>
            <w:r>
              <w:rPr>
                <w:rFonts w:ascii="Times New Roman" w:eastAsia="Times New Roman" w:hAnsi="Times New Roman" w:cs="Times New Roman"/>
                <w:color w:val="000000"/>
                <w:sz w:val="24"/>
                <w:szCs w:val="24"/>
              </w:rPr>
              <w:tab/>
              <w:t>14</w:t>
            </w:r>
          </w:hyperlink>
        </w:p>
        <w:p w14:paraId="467F9352" w14:textId="77777777" w:rsidR="00071FF1" w:rsidRDefault="000F0C0F">
          <w:pPr>
            <w:pBdr>
              <w:top w:val="nil"/>
              <w:left w:val="nil"/>
              <w:bottom w:val="nil"/>
              <w:right w:val="nil"/>
              <w:between w:val="nil"/>
            </w:pBdr>
            <w:tabs>
              <w:tab w:val="right" w:pos="9019"/>
            </w:tabs>
            <w:spacing w:after="100" w:line="360" w:lineRule="auto"/>
            <w:jc w:val="both"/>
            <w:rPr>
              <w:rFonts w:ascii="Times New Roman" w:eastAsia="Times New Roman" w:hAnsi="Times New Roman" w:cs="Times New Roman"/>
              <w:color w:val="000000"/>
              <w:sz w:val="24"/>
              <w:szCs w:val="24"/>
            </w:rPr>
          </w:pPr>
          <w:hyperlink w:anchor="_jfiui75com54">
            <w:r>
              <w:rPr>
                <w:rFonts w:ascii="Times New Roman" w:eastAsia="Times New Roman" w:hAnsi="Times New Roman" w:cs="Times New Roman"/>
                <w:color w:val="000000"/>
                <w:sz w:val="24"/>
                <w:szCs w:val="24"/>
              </w:rPr>
              <w:t>3. Recommendations</w:t>
            </w:r>
            <w:r>
              <w:rPr>
                <w:rFonts w:ascii="Times New Roman" w:eastAsia="Times New Roman" w:hAnsi="Times New Roman" w:cs="Times New Roman"/>
                <w:color w:val="000000"/>
                <w:sz w:val="24"/>
                <w:szCs w:val="24"/>
              </w:rPr>
              <w:tab/>
              <w:t>16</w:t>
            </w:r>
          </w:hyperlink>
        </w:p>
        <w:p w14:paraId="274398A4" w14:textId="77777777" w:rsidR="00071FF1" w:rsidRDefault="000F0C0F">
          <w:pPr>
            <w:pBdr>
              <w:top w:val="nil"/>
              <w:left w:val="nil"/>
              <w:bottom w:val="nil"/>
              <w:right w:val="nil"/>
              <w:between w:val="nil"/>
            </w:pBdr>
            <w:tabs>
              <w:tab w:val="right" w:pos="9019"/>
            </w:tabs>
            <w:spacing w:after="100" w:line="360" w:lineRule="auto"/>
            <w:ind w:left="220"/>
            <w:jc w:val="both"/>
            <w:rPr>
              <w:rFonts w:ascii="Times New Roman" w:eastAsia="Times New Roman" w:hAnsi="Times New Roman" w:cs="Times New Roman"/>
              <w:color w:val="000000"/>
              <w:sz w:val="24"/>
              <w:szCs w:val="24"/>
            </w:rPr>
          </w:pPr>
          <w:hyperlink w:anchor="_b2hqkbdxh5x7">
            <w:r>
              <w:rPr>
                <w:rFonts w:ascii="Times New Roman" w:eastAsia="Times New Roman" w:hAnsi="Times New Roman" w:cs="Times New Roman"/>
                <w:color w:val="000000"/>
                <w:sz w:val="24"/>
                <w:szCs w:val="24"/>
              </w:rPr>
              <w:t>3.1 Next Step</w:t>
            </w:r>
            <w:r>
              <w:rPr>
                <w:rFonts w:ascii="Times New Roman" w:eastAsia="Times New Roman" w:hAnsi="Times New Roman" w:cs="Times New Roman"/>
                <w:color w:val="000000"/>
                <w:sz w:val="24"/>
                <w:szCs w:val="24"/>
              </w:rPr>
              <w:tab/>
              <w:t>16</w:t>
            </w:r>
          </w:hyperlink>
        </w:p>
        <w:p w14:paraId="67439BF9" w14:textId="77777777" w:rsidR="00071FF1" w:rsidRDefault="000F0C0F">
          <w:pPr>
            <w:pBdr>
              <w:top w:val="nil"/>
              <w:left w:val="nil"/>
              <w:bottom w:val="nil"/>
              <w:right w:val="nil"/>
              <w:between w:val="nil"/>
            </w:pBdr>
            <w:tabs>
              <w:tab w:val="right" w:pos="9019"/>
            </w:tabs>
            <w:spacing w:after="100" w:line="360" w:lineRule="auto"/>
            <w:ind w:left="220"/>
            <w:jc w:val="both"/>
            <w:rPr>
              <w:rFonts w:ascii="Times New Roman" w:eastAsia="Times New Roman" w:hAnsi="Times New Roman" w:cs="Times New Roman"/>
              <w:color w:val="000000"/>
              <w:sz w:val="24"/>
              <w:szCs w:val="24"/>
            </w:rPr>
          </w:pPr>
          <w:hyperlink w:anchor="_skzukuvkiy2k">
            <w:r>
              <w:rPr>
                <w:rFonts w:ascii="Times New Roman" w:eastAsia="Times New Roman" w:hAnsi="Times New Roman" w:cs="Times New Roman"/>
                <w:color w:val="000000"/>
                <w:sz w:val="24"/>
                <w:szCs w:val="24"/>
              </w:rPr>
              <w:t>3.2 Leadership Focus</w:t>
            </w:r>
            <w:r>
              <w:rPr>
                <w:rFonts w:ascii="Times New Roman" w:eastAsia="Times New Roman" w:hAnsi="Times New Roman" w:cs="Times New Roman"/>
                <w:color w:val="000000"/>
                <w:sz w:val="24"/>
                <w:szCs w:val="24"/>
              </w:rPr>
              <w:tab/>
              <w:t>17</w:t>
            </w:r>
          </w:hyperlink>
        </w:p>
        <w:p w14:paraId="27C39BD7" w14:textId="77777777" w:rsidR="00071FF1" w:rsidRDefault="000F0C0F">
          <w:pPr>
            <w:pBdr>
              <w:top w:val="nil"/>
              <w:left w:val="nil"/>
              <w:bottom w:val="nil"/>
              <w:right w:val="nil"/>
              <w:between w:val="nil"/>
            </w:pBdr>
            <w:tabs>
              <w:tab w:val="right" w:pos="9019"/>
            </w:tabs>
            <w:spacing w:after="100" w:line="360" w:lineRule="auto"/>
            <w:ind w:left="220"/>
            <w:jc w:val="both"/>
            <w:rPr>
              <w:rFonts w:ascii="Times New Roman" w:eastAsia="Times New Roman" w:hAnsi="Times New Roman" w:cs="Times New Roman"/>
              <w:color w:val="000000"/>
              <w:sz w:val="24"/>
              <w:szCs w:val="24"/>
            </w:rPr>
          </w:pPr>
          <w:hyperlink w:anchor="_l585qadqvu8b">
            <w:r>
              <w:rPr>
                <w:rFonts w:ascii="Times New Roman" w:eastAsia="Times New Roman" w:hAnsi="Times New Roman" w:cs="Times New Roman"/>
                <w:color w:val="000000"/>
                <w:sz w:val="24"/>
                <w:szCs w:val="24"/>
              </w:rPr>
              <w:t>3.3 Governance Strategy</w:t>
            </w:r>
            <w:r>
              <w:rPr>
                <w:rFonts w:ascii="Times New Roman" w:eastAsia="Times New Roman" w:hAnsi="Times New Roman" w:cs="Times New Roman"/>
                <w:color w:val="000000"/>
                <w:sz w:val="24"/>
                <w:szCs w:val="24"/>
              </w:rPr>
              <w:tab/>
              <w:t>17</w:t>
            </w:r>
          </w:hyperlink>
        </w:p>
        <w:p w14:paraId="163E4EAA" w14:textId="77777777" w:rsidR="00071FF1" w:rsidRDefault="000F0C0F">
          <w:pPr>
            <w:pBdr>
              <w:top w:val="nil"/>
              <w:left w:val="nil"/>
              <w:bottom w:val="nil"/>
              <w:right w:val="nil"/>
              <w:between w:val="nil"/>
            </w:pBdr>
            <w:tabs>
              <w:tab w:val="right" w:pos="9019"/>
            </w:tabs>
            <w:spacing w:after="100" w:line="360" w:lineRule="auto"/>
            <w:ind w:left="220"/>
            <w:jc w:val="both"/>
            <w:rPr>
              <w:rFonts w:ascii="Times New Roman" w:eastAsia="Times New Roman" w:hAnsi="Times New Roman" w:cs="Times New Roman"/>
              <w:color w:val="000000"/>
              <w:sz w:val="24"/>
              <w:szCs w:val="24"/>
            </w:rPr>
          </w:pPr>
          <w:hyperlink w:anchor="_jrw69ftzpv9">
            <w:r>
              <w:rPr>
                <w:rFonts w:ascii="Times New Roman" w:eastAsia="Times New Roman" w:hAnsi="Times New Roman" w:cs="Times New Roman"/>
                <w:color w:val="000000"/>
                <w:sz w:val="24"/>
                <w:szCs w:val="24"/>
              </w:rPr>
              <w:t>3.4 Efficiency Improvement</w:t>
            </w:r>
            <w:r>
              <w:rPr>
                <w:rFonts w:ascii="Times New Roman" w:eastAsia="Times New Roman" w:hAnsi="Times New Roman" w:cs="Times New Roman"/>
                <w:color w:val="000000"/>
                <w:sz w:val="24"/>
                <w:szCs w:val="24"/>
              </w:rPr>
              <w:tab/>
              <w:t>18</w:t>
            </w:r>
          </w:hyperlink>
        </w:p>
        <w:p w14:paraId="6F5C9524" w14:textId="77777777" w:rsidR="00071FF1" w:rsidRDefault="000F0C0F">
          <w:pPr>
            <w:pBdr>
              <w:top w:val="nil"/>
              <w:left w:val="nil"/>
              <w:bottom w:val="nil"/>
              <w:right w:val="nil"/>
              <w:between w:val="nil"/>
            </w:pBdr>
            <w:tabs>
              <w:tab w:val="right" w:pos="9019"/>
            </w:tabs>
            <w:spacing w:after="100" w:line="360" w:lineRule="auto"/>
            <w:ind w:left="220"/>
            <w:jc w:val="both"/>
            <w:rPr>
              <w:rFonts w:ascii="Times New Roman" w:eastAsia="Times New Roman" w:hAnsi="Times New Roman" w:cs="Times New Roman"/>
              <w:color w:val="000000"/>
              <w:sz w:val="24"/>
              <w:szCs w:val="24"/>
            </w:rPr>
          </w:pPr>
          <w:hyperlink w:anchor="_nohlcu1p4tq7">
            <w:r>
              <w:rPr>
                <w:rFonts w:ascii="Times New Roman" w:eastAsia="Times New Roman" w:hAnsi="Times New Roman" w:cs="Times New Roman"/>
                <w:color w:val="000000"/>
                <w:sz w:val="24"/>
                <w:szCs w:val="24"/>
              </w:rPr>
              <w:t>3.5 Iterative Improvement</w:t>
            </w:r>
            <w:r>
              <w:rPr>
                <w:rFonts w:ascii="Times New Roman" w:eastAsia="Times New Roman" w:hAnsi="Times New Roman" w:cs="Times New Roman"/>
                <w:color w:val="000000"/>
                <w:sz w:val="24"/>
                <w:szCs w:val="24"/>
              </w:rPr>
              <w:tab/>
              <w:t>18</w:t>
            </w:r>
          </w:hyperlink>
        </w:p>
        <w:p w14:paraId="4DD2678F" w14:textId="77777777" w:rsidR="00071FF1" w:rsidRDefault="000F0C0F">
          <w:pPr>
            <w:pBdr>
              <w:top w:val="nil"/>
              <w:left w:val="nil"/>
              <w:bottom w:val="nil"/>
              <w:right w:val="nil"/>
              <w:between w:val="nil"/>
            </w:pBdr>
            <w:tabs>
              <w:tab w:val="right" w:pos="9019"/>
            </w:tabs>
            <w:spacing w:after="100" w:line="360" w:lineRule="auto"/>
            <w:jc w:val="both"/>
            <w:rPr>
              <w:rFonts w:ascii="Times New Roman" w:eastAsia="Times New Roman" w:hAnsi="Times New Roman" w:cs="Times New Roman"/>
              <w:color w:val="000000"/>
              <w:sz w:val="24"/>
              <w:szCs w:val="24"/>
            </w:rPr>
          </w:pPr>
          <w:hyperlink w:anchor="_yups5c82zbbq">
            <w:r>
              <w:rPr>
                <w:rFonts w:ascii="Times New Roman" w:eastAsia="Times New Roman" w:hAnsi="Times New Roman" w:cs="Times New Roman"/>
                <w:color w:val="000000"/>
                <w:sz w:val="24"/>
                <w:szCs w:val="24"/>
              </w:rPr>
              <w:t>4. Conclusion</w:t>
            </w:r>
            <w:r>
              <w:rPr>
                <w:rFonts w:ascii="Times New Roman" w:eastAsia="Times New Roman" w:hAnsi="Times New Roman" w:cs="Times New Roman"/>
                <w:color w:val="000000"/>
                <w:sz w:val="24"/>
                <w:szCs w:val="24"/>
              </w:rPr>
              <w:tab/>
              <w:t>18</w:t>
            </w:r>
          </w:hyperlink>
        </w:p>
        <w:p w14:paraId="1BDBBEEE" w14:textId="77777777" w:rsidR="00071FF1" w:rsidRDefault="000F0C0F">
          <w:pPr>
            <w:pBdr>
              <w:top w:val="nil"/>
              <w:left w:val="nil"/>
              <w:bottom w:val="nil"/>
              <w:right w:val="nil"/>
              <w:between w:val="nil"/>
            </w:pBdr>
            <w:tabs>
              <w:tab w:val="right" w:pos="9019"/>
            </w:tabs>
            <w:spacing w:after="100" w:line="360" w:lineRule="auto"/>
            <w:jc w:val="both"/>
            <w:rPr>
              <w:rFonts w:ascii="Times New Roman" w:eastAsia="Times New Roman" w:hAnsi="Times New Roman" w:cs="Times New Roman"/>
              <w:color w:val="000000"/>
              <w:sz w:val="24"/>
              <w:szCs w:val="24"/>
            </w:rPr>
          </w:pPr>
          <w:hyperlink w:anchor="_q31tvsyeifqc">
            <w:r>
              <w:rPr>
                <w:rFonts w:ascii="Times New Roman" w:eastAsia="Times New Roman" w:hAnsi="Times New Roman" w:cs="Times New Roman"/>
                <w:color w:val="000000"/>
                <w:sz w:val="24"/>
                <w:szCs w:val="24"/>
              </w:rPr>
              <w:t>References</w:t>
            </w:r>
            <w:r>
              <w:rPr>
                <w:rFonts w:ascii="Times New Roman" w:eastAsia="Times New Roman" w:hAnsi="Times New Roman" w:cs="Times New Roman"/>
                <w:color w:val="000000"/>
                <w:sz w:val="24"/>
                <w:szCs w:val="24"/>
              </w:rPr>
              <w:tab/>
              <w:t>20</w:t>
            </w:r>
          </w:hyperlink>
        </w:p>
        <w:p w14:paraId="58386C1A" w14:textId="77777777" w:rsidR="00071FF1" w:rsidRDefault="000F0C0F">
          <w:pPr>
            <w:spacing w:line="360" w:lineRule="auto"/>
            <w:jc w:val="both"/>
            <w:rPr>
              <w:rFonts w:ascii="Times New Roman" w:eastAsia="Times New Roman" w:hAnsi="Times New Roman" w:cs="Times New Roman"/>
              <w:color w:val="000000"/>
              <w:sz w:val="24"/>
              <w:szCs w:val="24"/>
            </w:rPr>
          </w:pPr>
          <w:r>
            <w:fldChar w:fldCharType="end"/>
          </w:r>
        </w:p>
      </w:sdtContent>
    </w:sdt>
    <w:p w14:paraId="079811C4" w14:textId="77777777" w:rsidR="00071FF1" w:rsidRDefault="000F0C0F">
      <w:r>
        <w:br w:type="page"/>
      </w:r>
    </w:p>
    <w:p w14:paraId="6FEE4A64" w14:textId="77777777" w:rsidR="00071FF1" w:rsidRDefault="000F0C0F">
      <w:pPr>
        <w:pStyle w:val="Heading1"/>
      </w:pPr>
      <w:bookmarkStart w:id="0" w:name="_io1in7nu4yx5" w:colFirst="0" w:colLast="0"/>
      <w:bookmarkEnd w:id="0"/>
      <w:r>
        <w:t>1. Introduction</w:t>
      </w:r>
    </w:p>
    <w:p w14:paraId="23A8D564" w14:textId="77777777" w:rsidR="00071FF1" w:rsidRDefault="000F0C0F">
      <w:pPr>
        <w:pStyle w:val="Heading2"/>
      </w:pPr>
      <w:bookmarkStart w:id="1" w:name="_wbygi74vf1vh" w:colFirst="0" w:colLast="0"/>
      <w:bookmarkEnd w:id="1"/>
      <w:r>
        <w:t>1.1 Background</w:t>
      </w:r>
    </w:p>
    <w:p w14:paraId="1F0F28EF" w14:textId="77777777" w:rsidR="00071FF1" w:rsidRDefault="000F0C0F">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focus of this report is to analyse the case study of the Northeast and Yorkshire NHS, which reported issuing a morphine with a 20 times higher dosage to a 4-week-old infant, leading to concerns of underlying organisational oversights and lacklustre administrative measures in preventing negligence and erroneous care (Northyorkshireccg.nhs.uk, 2023). Despite emergency treatment leading to the infant’s recovery, the case study aims to underline the interaction of administration, leadership and governance i</w:t>
      </w:r>
      <w:r>
        <w:rPr>
          <w:rFonts w:ascii="Times New Roman" w:eastAsia="Times New Roman" w:hAnsi="Times New Roman" w:cs="Times New Roman"/>
          <w:sz w:val="24"/>
          <w:szCs w:val="24"/>
        </w:rPr>
        <w:t>n facilitating or preventing errors of such gravity.</w:t>
      </w:r>
    </w:p>
    <w:p w14:paraId="23A216DE" w14:textId="77777777" w:rsidR="00071FF1" w:rsidRDefault="000F0C0F">
      <w:pPr>
        <w:pStyle w:val="Heading2"/>
      </w:pPr>
      <w:bookmarkStart w:id="2" w:name="_qj7lbaiq62k2" w:colFirst="0" w:colLast="0"/>
      <w:bookmarkEnd w:id="2"/>
      <w:r>
        <w:t>1.2 Leadership Definitions</w:t>
      </w:r>
    </w:p>
    <w:p w14:paraId="1C540569" w14:textId="77777777" w:rsidR="00071FF1" w:rsidRDefault="000F0C0F">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 fundamental role of leadership is strategic guidance and decision-making of a group of individuals operating towards its central goal under an organisation or an institution (Bass, 2019). This particular strategic role also helps define leadership, which is an individual responsibility towards offering direction and support to others. However, the complex nature of responsibilities, coordination and stakeholder expectations in a clinical setting indicates the importance of leadership roles further (West a</w:t>
      </w:r>
      <w:r>
        <w:rPr>
          <w:rFonts w:ascii="Times New Roman" w:eastAsia="Times New Roman" w:hAnsi="Times New Roman" w:cs="Times New Roman"/>
          <w:sz w:val="24"/>
          <w:szCs w:val="24"/>
        </w:rPr>
        <w:t>nd Bailey, 2022).</w:t>
      </w:r>
    </w:p>
    <w:p w14:paraId="5E6060EA" w14:textId="77777777" w:rsidR="00071FF1" w:rsidRDefault="000F0C0F">
      <w:pPr>
        <w:pStyle w:val="Heading2"/>
      </w:pPr>
      <w:bookmarkStart w:id="3" w:name="_meno7o93ga0s" w:colFirst="0" w:colLast="0"/>
      <w:bookmarkEnd w:id="3"/>
      <w:r>
        <w:t>1.3 Centralisation and Decentralisation</w:t>
      </w:r>
    </w:p>
    <w:p w14:paraId="3272CDB2" w14:textId="77777777" w:rsidR="00071FF1" w:rsidRDefault="000F0C0F">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These complex relationships are determined by the level of interaction across organisational departments via centralised or decentralised systems. In the clinical context, centralisation often represents the central degree of decision-making capabilities that authoritative figures in health care organisations offer, often in the form of policies and standardisation (Fulop and Ramsay, 2021). On the other hand, decentralisation represents localised direction for decision making with highly specific purpose-dr</w:t>
      </w:r>
      <w:r>
        <w:rPr>
          <w:rFonts w:ascii="Times New Roman" w:eastAsia="Times New Roman" w:hAnsi="Times New Roman" w:cs="Times New Roman"/>
          <w:sz w:val="24"/>
          <w:szCs w:val="24"/>
        </w:rPr>
        <w:t>iven actions such as the decentralised authorities of medical professionals, nursing staff and leadership towards patient care and so on (Fulop and Ramsay, 2021).</w:t>
      </w:r>
    </w:p>
    <w:p w14:paraId="7949F396" w14:textId="77777777" w:rsidR="00071FF1" w:rsidRDefault="000F0C0F">
      <w:pPr>
        <w:pStyle w:val="Heading2"/>
      </w:pPr>
      <w:bookmarkStart w:id="4" w:name="_8n5uijvnmtmd" w:colFirst="0" w:colLast="0"/>
      <w:bookmarkEnd w:id="4"/>
      <w:r>
        <w:t>1.4 Relevant Leadership Theories</w:t>
      </w:r>
    </w:p>
    <w:p w14:paraId="2512BE1A" w14:textId="77777777" w:rsidR="00071FF1" w:rsidRDefault="000F0C0F">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Frameworks for comprehending these dynamics are offered by leadership theories. Which is</w:t>
      </w:r>
      <w:r>
        <w:rPr>
          <w:rFonts w:ascii="Times New Roman" w:eastAsia="Times New Roman" w:hAnsi="Times New Roman" w:cs="Times New Roman"/>
          <w:color w:val="FF0000"/>
          <w:sz w:val="24"/>
          <w:szCs w:val="24"/>
        </w:rPr>
        <w:t xml:space="preserve"> </w:t>
      </w:r>
      <w:r>
        <w:rPr>
          <w:rFonts w:ascii="Times New Roman" w:eastAsia="Times New Roman" w:hAnsi="Times New Roman" w:cs="Times New Roman"/>
          <w:sz w:val="24"/>
          <w:szCs w:val="24"/>
        </w:rPr>
        <w:t>why theories like the Situational leadership emphasise the need to modify leadership behaviour in accordance with context, workforce capability, and organisational pressures, while transactional leadership emphasises structure, compliance, and performance monitoring; and transformational leadership focuses on motivating change and creating a shared vision (Northouse, 2022).</w:t>
      </w:r>
    </w:p>
    <w:p w14:paraId="5B13A19E" w14:textId="77777777" w:rsidR="00071FF1" w:rsidRDefault="000F0C0F">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Choosing the right leadership style is especially important in times of change or emergency, when patient safety may be directly impacted by inadequate communication, unclear accountability, or delayed decision-making. According to research, during healthcare emergencies, adaptive and collaborative leadership enhances organisational resilience, fosters employee engagement, and fortifies safety culture (Storey and Holti, 2023). As a result, a key factor in determining whether incidents result in organisation</w:t>
      </w:r>
      <w:r>
        <w:rPr>
          <w:rFonts w:ascii="Times New Roman" w:eastAsia="Times New Roman" w:hAnsi="Times New Roman" w:cs="Times New Roman"/>
          <w:sz w:val="24"/>
          <w:szCs w:val="24"/>
        </w:rPr>
        <w:t>al learning or repeated failure is the effectiveness of the leadership.</w:t>
      </w:r>
    </w:p>
    <w:p w14:paraId="1B2C10C1" w14:textId="77777777" w:rsidR="00071FF1" w:rsidRDefault="000F0C0F">
      <w:pPr>
        <w:pStyle w:val="Heading2"/>
      </w:pPr>
      <w:bookmarkStart w:id="5" w:name="_wl0hnzeqzsvb" w:colFirst="0" w:colLast="0"/>
      <w:bookmarkEnd w:id="5"/>
      <w:r>
        <w:t>1.5 Report Structure</w:t>
      </w:r>
    </w:p>
    <w:p w14:paraId="048B743D" w14:textId="77777777" w:rsidR="00071FF1" w:rsidRDefault="000F0C0F">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the following report, the main problem regarding the NHS case study will be identified with both national and international statistics to offer a rich picture, analysing the central relationships facilitating the condition. The case study will also analyse specific points of failure between centralised and decentralised decision-making networks within the organisation before applying leadership theories relevant to the case to offer a critique of the situation. The report will discuss possible improvemen</w:t>
      </w:r>
      <w:r>
        <w:rPr>
          <w:rFonts w:ascii="Times New Roman" w:eastAsia="Times New Roman" w:hAnsi="Times New Roman" w:cs="Times New Roman"/>
          <w:sz w:val="24"/>
          <w:szCs w:val="24"/>
        </w:rPr>
        <w:t>ts and key lessons learned from the case study before offering recommendations on leadership and governance in the healthcare setting.</w:t>
      </w:r>
    </w:p>
    <w:p w14:paraId="74F6FD82" w14:textId="77777777" w:rsidR="00071FF1" w:rsidRDefault="000F0C0F">
      <w:pPr>
        <w:pStyle w:val="Heading1"/>
      </w:pPr>
      <w:bookmarkStart w:id="6" w:name="_v2b0o1ipzv2z" w:colFirst="0" w:colLast="0"/>
      <w:bookmarkEnd w:id="6"/>
      <w:r>
        <w:t>2. Case Study Analysis</w:t>
      </w:r>
    </w:p>
    <w:p w14:paraId="42684AA7" w14:textId="77777777" w:rsidR="00071FF1" w:rsidRDefault="000F0C0F">
      <w:pPr>
        <w:pStyle w:val="Heading2"/>
      </w:pPr>
      <w:bookmarkStart w:id="7" w:name="_4nbfq8opylrw" w:colFirst="0" w:colLast="0"/>
      <w:bookmarkEnd w:id="7"/>
      <w:r>
        <w:t>2.1 Problem Identification</w:t>
      </w:r>
    </w:p>
    <w:p w14:paraId="3604CE32" w14:textId="77777777" w:rsidR="00071FF1" w:rsidRDefault="000F0C0F">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the NHS of the North East and Yorkshire Region, the key problem has been found to be a case of negligence caused by erroneous interpretation and communication of the morphine sulphate solution asked to be administered to a 4-week-old infant (Northyorkshireccg.nhs.uk, 2023). Analysis indicates that at the time of discharge, the hospital communication failed in specifying the special red drug solution of the morphine being made available only via the hospital with the specified strength of 100 micrograms/m</w:t>
      </w:r>
      <w:r>
        <w:rPr>
          <w:rFonts w:ascii="Times New Roman" w:eastAsia="Times New Roman" w:hAnsi="Times New Roman" w:cs="Times New Roman"/>
          <w:sz w:val="24"/>
          <w:szCs w:val="24"/>
        </w:rPr>
        <w:t>l solution and were abbreviated to only be 50 mcg/kg dosage, leading to the general physician and pharmacist being unaware of such solution availability and proceeding to prescribe a stronger solution of 10 mg/5 ml (Northyorkshireccg.nhs.uk, 2023). This also led to the transcription neglecting dose volume for the new, stronger solution and specifying the updated liquid amount adjustments. As a result, the parents of the infant, unaware of the technical differences in dosage calculation procedure, administer</w:t>
      </w:r>
      <w:r>
        <w:rPr>
          <w:rFonts w:ascii="Times New Roman" w:eastAsia="Times New Roman" w:hAnsi="Times New Roman" w:cs="Times New Roman"/>
          <w:sz w:val="24"/>
          <w:szCs w:val="24"/>
        </w:rPr>
        <w:t>ed the much stronger solution at the same strength of 1.9ml liquid amount prescribed in the discharge prescription, originally meant for a much weaker version of the solution (Northyorkshireccg.nhs.uk, 2023).</w:t>
      </w:r>
    </w:p>
    <w:p w14:paraId="716732B9" w14:textId="77777777" w:rsidR="00071FF1" w:rsidRDefault="000F0C0F">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Considering global and national level statistics regarding drug poisoning, drug overdose clinical errors have subsequently impacted both medical complexities and even death. The scope of infant drug overdose indicates a serious underlying issue of poor communication, due diligence, and overarching governance failure towards standardisation in the entire healthcare system.</w:t>
      </w:r>
    </w:p>
    <w:tbl>
      <w:tblPr>
        <w:tblStyle w:val="a1"/>
        <w:tblW w:w="9000" w:type="dxa"/>
        <w:jc w:val="center"/>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380"/>
        <w:gridCol w:w="4215"/>
        <w:gridCol w:w="3405"/>
      </w:tblGrid>
      <w:tr w:rsidR="00071FF1" w14:paraId="218EAEA7" w14:textId="77777777">
        <w:trPr>
          <w:jc w:val="center"/>
        </w:trPr>
        <w:tc>
          <w:tcPr>
            <w:tcW w:w="1380" w:type="dxa"/>
            <w:shd w:val="clear" w:color="auto" w:fill="3D85C6"/>
            <w:tcMar>
              <w:top w:w="100" w:type="dxa"/>
              <w:left w:w="100" w:type="dxa"/>
              <w:bottom w:w="100" w:type="dxa"/>
              <w:right w:w="100" w:type="dxa"/>
            </w:tcMar>
            <w:vAlign w:val="center"/>
          </w:tcPr>
          <w:p w14:paraId="1F11C5E4" w14:textId="77777777" w:rsidR="00071FF1" w:rsidRDefault="000F0C0F">
            <w:pPr>
              <w:widowControl w:val="0"/>
              <w:pBdr>
                <w:top w:val="nil"/>
                <w:left w:val="nil"/>
                <w:bottom w:val="nil"/>
                <w:right w:val="nil"/>
                <w:between w:val="nil"/>
              </w:pBdr>
              <w:spacing w:line="240" w:lineRule="auto"/>
              <w:jc w:val="center"/>
              <w:rPr>
                <w:rFonts w:ascii="Times New Roman" w:eastAsia="Times New Roman" w:hAnsi="Times New Roman" w:cs="Times New Roman"/>
                <w:b/>
                <w:bCs/>
                <w:color w:val="FFFFFF"/>
                <w:sz w:val="24"/>
                <w:szCs w:val="24"/>
              </w:rPr>
            </w:pPr>
            <w:r>
              <w:rPr>
                <w:rFonts w:ascii="Times New Roman" w:eastAsia="Times New Roman" w:hAnsi="Times New Roman" w:cs="Times New Roman"/>
                <w:b/>
                <w:bCs/>
                <w:color w:val="FFFFFF"/>
                <w:sz w:val="24"/>
                <w:szCs w:val="24"/>
              </w:rPr>
              <w:t>Source</w:t>
            </w:r>
          </w:p>
        </w:tc>
        <w:tc>
          <w:tcPr>
            <w:tcW w:w="4215" w:type="dxa"/>
            <w:shd w:val="clear" w:color="auto" w:fill="3D85C6"/>
            <w:tcMar>
              <w:top w:w="100" w:type="dxa"/>
              <w:left w:w="100" w:type="dxa"/>
              <w:bottom w:w="100" w:type="dxa"/>
              <w:right w:w="100" w:type="dxa"/>
            </w:tcMar>
            <w:vAlign w:val="center"/>
          </w:tcPr>
          <w:p w14:paraId="07E177D9" w14:textId="77777777" w:rsidR="00071FF1" w:rsidRDefault="000F0C0F">
            <w:pPr>
              <w:widowControl w:val="0"/>
              <w:pBdr>
                <w:top w:val="nil"/>
                <w:left w:val="nil"/>
                <w:bottom w:val="nil"/>
                <w:right w:val="nil"/>
                <w:between w:val="nil"/>
              </w:pBdr>
              <w:spacing w:line="240" w:lineRule="auto"/>
              <w:jc w:val="center"/>
              <w:rPr>
                <w:rFonts w:ascii="Times New Roman" w:eastAsia="Times New Roman" w:hAnsi="Times New Roman" w:cs="Times New Roman"/>
                <w:b/>
                <w:bCs/>
                <w:color w:val="FFFFFF"/>
                <w:sz w:val="24"/>
                <w:szCs w:val="24"/>
              </w:rPr>
            </w:pPr>
            <w:r>
              <w:rPr>
                <w:rFonts w:ascii="Times New Roman" w:eastAsia="Times New Roman" w:hAnsi="Times New Roman" w:cs="Times New Roman"/>
                <w:b/>
                <w:bCs/>
                <w:color w:val="FFFFFF"/>
                <w:sz w:val="24"/>
                <w:szCs w:val="24"/>
              </w:rPr>
              <w:t>Insights</w:t>
            </w:r>
          </w:p>
        </w:tc>
        <w:tc>
          <w:tcPr>
            <w:tcW w:w="3405" w:type="dxa"/>
            <w:shd w:val="clear" w:color="auto" w:fill="3D85C6"/>
            <w:tcMar>
              <w:top w:w="100" w:type="dxa"/>
              <w:left w:w="100" w:type="dxa"/>
              <w:bottom w:w="100" w:type="dxa"/>
              <w:right w:w="100" w:type="dxa"/>
            </w:tcMar>
            <w:vAlign w:val="center"/>
          </w:tcPr>
          <w:p w14:paraId="6FBF8643" w14:textId="77777777" w:rsidR="00071FF1" w:rsidRDefault="000F0C0F">
            <w:pPr>
              <w:widowControl w:val="0"/>
              <w:pBdr>
                <w:top w:val="nil"/>
                <w:left w:val="nil"/>
                <w:bottom w:val="nil"/>
                <w:right w:val="nil"/>
                <w:between w:val="nil"/>
              </w:pBdr>
              <w:spacing w:line="240" w:lineRule="auto"/>
              <w:jc w:val="center"/>
              <w:rPr>
                <w:rFonts w:ascii="Times New Roman" w:eastAsia="Times New Roman" w:hAnsi="Times New Roman" w:cs="Times New Roman"/>
                <w:b/>
                <w:bCs/>
                <w:color w:val="FFFFFF"/>
                <w:sz w:val="24"/>
                <w:szCs w:val="24"/>
              </w:rPr>
            </w:pPr>
            <w:r>
              <w:rPr>
                <w:rFonts w:ascii="Times New Roman" w:eastAsia="Times New Roman" w:hAnsi="Times New Roman" w:cs="Times New Roman"/>
                <w:b/>
                <w:bCs/>
                <w:color w:val="FFFFFF"/>
                <w:sz w:val="24"/>
                <w:szCs w:val="24"/>
              </w:rPr>
              <w:t>Relevance</w:t>
            </w:r>
          </w:p>
        </w:tc>
      </w:tr>
      <w:tr w:rsidR="00071FF1" w14:paraId="695628AC" w14:textId="77777777">
        <w:trPr>
          <w:jc w:val="center"/>
        </w:trPr>
        <w:tc>
          <w:tcPr>
            <w:tcW w:w="1380" w:type="dxa"/>
            <w:tcMar>
              <w:top w:w="100" w:type="dxa"/>
              <w:left w:w="100" w:type="dxa"/>
              <w:bottom w:w="100" w:type="dxa"/>
              <w:right w:w="100" w:type="dxa"/>
            </w:tcMar>
            <w:vAlign w:val="center"/>
          </w:tcPr>
          <w:p w14:paraId="79CF0F50" w14:textId="77777777" w:rsidR="00071FF1" w:rsidRDefault="000F0C0F">
            <w:pPr>
              <w:widowControl w:val="0"/>
              <w:pBdr>
                <w:top w:val="nil"/>
                <w:left w:val="nil"/>
                <w:bottom w:val="nil"/>
                <w:right w:val="nil"/>
                <w:between w:val="nil"/>
              </w:pBdr>
              <w:spacing w:line="24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ONS Gov, (2025)</w:t>
            </w:r>
          </w:p>
        </w:tc>
        <w:tc>
          <w:tcPr>
            <w:tcW w:w="4215" w:type="dxa"/>
            <w:tcMar>
              <w:top w:w="100" w:type="dxa"/>
              <w:left w:w="100" w:type="dxa"/>
              <w:bottom w:w="100" w:type="dxa"/>
              <w:right w:w="100" w:type="dxa"/>
            </w:tcMar>
            <w:vAlign w:val="center"/>
          </w:tcPr>
          <w:p w14:paraId="178B5751" w14:textId="77777777" w:rsidR="00071FF1" w:rsidRDefault="000F0C0F">
            <w:pPr>
              <w:widowControl w:val="0"/>
              <w:pBdr>
                <w:top w:val="nil"/>
                <w:left w:val="nil"/>
                <w:bottom w:val="nil"/>
                <w:right w:val="nil"/>
                <w:between w:val="nil"/>
              </w:pBdr>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England and Wales reported 5,565 deaths in 2024 caused by drug poisoning, indicating 93.9 deaths per 1 million people in the region. Yet only 1829 cases in 2024 were not due to drug misuse.</w:t>
            </w:r>
          </w:p>
        </w:tc>
        <w:tc>
          <w:tcPr>
            <w:tcW w:w="3405" w:type="dxa"/>
            <w:tcMar>
              <w:top w:w="100" w:type="dxa"/>
              <w:left w:w="100" w:type="dxa"/>
              <w:bottom w:w="100" w:type="dxa"/>
              <w:right w:w="100" w:type="dxa"/>
            </w:tcMar>
            <w:vAlign w:val="center"/>
          </w:tcPr>
          <w:p w14:paraId="57A17D70" w14:textId="77777777" w:rsidR="00071FF1" w:rsidRDefault="000F0C0F">
            <w:pPr>
              <w:widowControl w:val="0"/>
              <w:pBdr>
                <w:top w:val="nil"/>
                <w:left w:val="nil"/>
                <w:bottom w:val="nil"/>
                <w:right w:val="nil"/>
                <w:between w:val="nil"/>
              </w:pBdr>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Indication of local drug poisoning further pressuring the healthcare infrastructure due to pre-existing cases of drug overdose-related cases.</w:t>
            </w:r>
          </w:p>
        </w:tc>
      </w:tr>
      <w:tr w:rsidR="00071FF1" w14:paraId="2CFE4B74" w14:textId="77777777">
        <w:trPr>
          <w:jc w:val="center"/>
        </w:trPr>
        <w:tc>
          <w:tcPr>
            <w:tcW w:w="1380" w:type="dxa"/>
            <w:tcMar>
              <w:top w:w="100" w:type="dxa"/>
              <w:left w:w="100" w:type="dxa"/>
              <w:bottom w:w="100" w:type="dxa"/>
              <w:right w:w="100" w:type="dxa"/>
            </w:tcMar>
            <w:vAlign w:val="center"/>
          </w:tcPr>
          <w:p w14:paraId="29633969" w14:textId="77777777" w:rsidR="00071FF1" w:rsidRDefault="000F0C0F">
            <w:pPr>
              <w:widowControl w:val="0"/>
              <w:pBdr>
                <w:top w:val="nil"/>
                <w:left w:val="nil"/>
                <w:bottom w:val="nil"/>
                <w:right w:val="nil"/>
                <w:between w:val="nil"/>
              </w:pBdr>
              <w:spacing w:line="24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WHO (2023)</w:t>
            </w:r>
          </w:p>
        </w:tc>
        <w:tc>
          <w:tcPr>
            <w:tcW w:w="4215" w:type="dxa"/>
            <w:tcMar>
              <w:top w:w="100" w:type="dxa"/>
              <w:left w:w="100" w:type="dxa"/>
              <w:bottom w:w="100" w:type="dxa"/>
              <w:right w:w="100" w:type="dxa"/>
            </w:tcMar>
            <w:vAlign w:val="center"/>
          </w:tcPr>
          <w:p w14:paraId="5E9E2C56" w14:textId="77777777" w:rsidR="00071FF1" w:rsidRDefault="000F0C0F">
            <w:pPr>
              <w:widowControl w:val="0"/>
              <w:pBdr>
                <w:top w:val="nil"/>
                <w:left w:val="nil"/>
                <w:bottom w:val="nil"/>
                <w:right w:val="nil"/>
                <w:between w:val="nil"/>
              </w:pBdr>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Medication errors at a global scale have caused 1 out of 30 patients to have healthcare complexities.</w:t>
            </w:r>
          </w:p>
        </w:tc>
        <w:tc>
          <w:tcPr>
            <w:tcW w:w="3405" w:type="dxa"/>
            <w:tcMar>
              <w:top w:w="100" w:type="dxa"/>
              <w:left w:w="100" w:type="dxa"/>
              <w:bottom w:w="100" w:type="dxa"/>
              <w:right w:w="100" w:type="dxa"/>
            </w:tcMar>
            <w:vAlign w:val="center"/>
          </w:tcPr>
          <w:p w14:paraId="7517CC1C" w14:textId="77777777" w:rsidR="00071FF1" w:rsidRDefault="000F0C0F">
            <w:pPr>
              <w:widowControl w:val="0"/>
              <w:pBdr>
                <w:top w:val="nil"/>
                <w:left w:val="nil"/>
                <w:bottom w:val="nil"/>
                <w:right w:val="nil"/>
                <w:between w:val="nil"/>
              </w:pBdr>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Indicating negligence in drug administration at the global level.</w:t>
            </w:r>
          </w:p>
        </w:tc>
      </w:tr>
      <w:tr w:rsidR="00071FF1" w14:paraId="26FA1BC2" w14:textId="77777777">
        <w:trPr>
          <w:trHeight w:val="440"/>
          <w:jc w:val="center"/>
        </w:trPr>
        <w:tc>
          <w:tcPr>
            <w:tcW w:w="1380" w:type="dxa"/>
            <w:vMerge w:val="restart"/>
            <w:tcMar>
              <w:top w:w="100" w:type="dxa"/>
              <w:left w:w="100" w:type="dxa"/>
              <w:bottom w:w="100" w:type="dxa"/>
              <w:right w:w="100" w:type="dxa"/>
            </w:tcMar>
            <w:vAlign w:val="center"/>
          </w:tcPr>
          <w:p w14:paraId="32A16F97" w14:textId="77777777" w:rsidR="00071FF1" w:rsidRDefault="000F0C0F">
            <w:pPr>
              <w:widowControl w:val="0"/>
              <w:pBdr>
                <w:top w:val="nil"/>
                <w:left w:val="nil"/>
                <w:bottom w:val="nil"/>
                <w:right w:val="nil"/>
                <w:between w:val="nil"/>
              </w:pBdr>
              <w:spacing w:line="24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BMJ, (2020)</w:t>
            </w:r>
          </w:p>
        </w:tc>
        <w:tc>
          <w:tcPr>
            <w:tcW w:w="4215" w:type="dxa"/>
            <w:tcMar>
              <w:top w:w="100" w:type="dxa"/>
              <w:left w:w="100" w:type="dxa"/>
              <w:bottom w:w="100" w:type="dxa"/>
              <w:right w:w="100" w:type="dxa"/>
            </w:tcMar>
            <w:vAlign w:val="center"/>
          </w:tcPr>
          <w:p w14:paraId="7642D483" w14:textId="77777777" w:rsidR="00071FF1" w:rsidRDefault="000F0C0F">
            <w:pPr>
              <w:widowControl w:val="0"/>
              <w:pBdr>
                <w:top w:val="nil"/>
                <w:left w:val="nil"/>
                <w:bottom w:val="nil"/>
                <w:right w:val="nil"/>
                <w:between w:val="nil"/>
              </w:pBdr>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Around 72% of medication errors are reported to be minor, while 26% have potential risk, and only 2% have implications of serious harm.</w:t>
            </w:r>
          </w:p>
        </w:tc>
        <w:tc>
          <w:tcPr>
            <w:tcW w:w="3405" w:type="dxa"/>
            <w:tcMar>
              <w:top w:w="100" w:type="dxa"/>
              <w:left w:w="100" w:type="dxa"/>
              <w:bottom w:w="100" w:type="dxa"/>
              <w:right w:w="100" w:type="dxa"/>
            </w:tcMar>
            <w:vAlign w:val="center"/>
          </w:tcPr>
          <w:p w14:paraId="7CDF8B90" w14:textId="77777777" w:rsidR="00071FF1" w:rsidRDefault="000F0C0F">
            <w:pPr>
              <w:widowControl w:val="0"/>
              <w:pBdr>
                <w:top w:val="nil"/>
                <w:left w:val="nil"/>
                <w:bottom w:val="nil"/>
                <w:right w:val="nil"/>
                <w:between w:val="nil"/>
              </w:pBdr>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Suggesting errors are small-scale with low rates of discrepancies in administration or prescription.</w:t>
            </w:r>
          </w:p>
        </w:tc>
      </w:tr>
      <w:tr w:rsidR="00071FF1" w14:paraId="7F413441" w14:textId="77777777">
        <w:trPr>
          <w:trHeight w:val="440"/>
          <w:jc w:val="center"/>
        </w:trPr>
        <w:tc>
          <w:tcPr>
            <w:tcW w:w="1380" w:type="dxa"/>
            <w:vMerge/>
            <w:tcMar>
              <w:top w:w="100" w:type="dxa"/>
              <w:left w:w="100" w:type="dxa"/>
              <w:bottom w:w="100" w:type="dxa"/>
              <w:right w:w="100" w:type="dxa"/>
            </w:tcMar>
            <w:vAlign w:val="center"/>
          </w:tcPr>
          <w:p w14:paraId="6407B279" w14:textId="77777777" w:rsidR="00071FF1" w:rsidRDefault="00071FF1">
            <w:pPr>
              <w:widowControl w:val="0"/>
              <w:pBdr>
                <w:top w:val="nil"/>
                <w:left w:val="nil"/>
                <w:bottom w:val="nil"/>
                <w:right w:val="nil"/>
                <w:between w:val="nil"/>
              </w:pBdr>
              <w:rPr>
                <w:rFonts w:ascii="Times New Roman" w:eastAsia="Times New Roman" w:hAnsi="Times New Roman" w:cs="Times New Roman"/>
                <w:sz w:val="24"/>
                <w:szCs w:val="24"/>
              </w:rPr>
            </w:pPr>
          </w:p>
        </w:tc>
        <w:tc>
          <w:tcPr>
            <w:tcW w:w="4215" w:type="dxa"/>
            <w:tcMar>
              <w:top w:w="100" w:type="dxa"/>
              <w:left w:w="100" w:type="dxa"/>
              <w:bottom w:w="100" w:type="dxa"/>
              <w:right w:w="100" w:type="dxa"/>
            </w:tcMar>
            <w:vAlign w:val="center"/>
          </w:tcPr>
          <w:p w14:paraId="1656B35C" w14:textId="77777777" w:rsidR="00071FF1" w:rsidRDefault="000F0C0F">
            <w:pPr>
              <w:widowControl w:val="0"/>
              <w:pBdr>
                <w:top w:val="nil"/>
                <w:left w:val="nil"/>
                <w:bottom w:val="nil"/>
                <w:right w:val="nil"/>
                <w:between w:val="nil"/>
              </w:pBdr>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54% errors are at the drug administration, while only 21% during prescription and 16% during dispensation.</w:t>
            </w:r>
          </w:p>
        </w:tc>
        <w:tc>
          <w:tcPr>
            <w:tcW w:w="3405" w:type="dxa"/>
            <w:tcMar>
              <w:top w:w="100" w:type="dxa"/>
              <w:left w:w="100" w:type="dxa"/>
              <w:bottom w:w="100" w:type="dxa"/>
              <w:right w:w="100" w:type="dxa"/>
            </w:tcMar>
            <w:vAlign w:val="center"/>
          </w:tcPr>
          <w:p w14:paraId="172B9D60" w14:textId="77777777" w:rsidR="00071FF1" w:rsidRDefault="000F0C0F">
            <w:pPr>
              <w:widowControl w:val="0"/>
              <w:pBdr>
                <w:top w:val="nil"/>
                <w:left w:val="nil"/>
                <w:bottom w:val="nil"/>
                <w:right w:val="nil"/>
                <w:between w:val="nil"/>
              </w:pBdr>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Indicating serious gaps in negligence from frontline patient units.</w:t>
            </w:r>
          </w:p>
        </w:tc>
      </w:tr>
      <w:tr w:rsidR="00071FF1" w14:paraId="67ED3F03" w14:textId="77777777">
        <w:trPr>
          <w:trHeight w:val="440"/>
          <w:jc w:val="center"/>
        </w:trPr>
        <w:tc>
          <w:tcPr>
            <w:tcW w:w="1380" w:type="dxa"/>
            <w:tcMar>
              <w:top w:w="100" w:type="dxa"/>
              <w:left w:w="100" w:type="dxa"/>
              <w:bottom w:w="100" w:type="dxa"/>
              <w:right w:w="100" w:type="dxa"/>
            </w:tcMar>
            <w:vAlign w:val="center"/>
          </w:tcPr>
          <w:p w14:paraId="037E8D4A" w14:textId="77777777" w:rsidR="00071FF1" w:rsidRDefault="000F0C0F">
            <w:pPr>
              <w:widowControl w:val="0"/>
              <w:pBdr>
                <w:top w:val="nil"/>
                <w:left w:val="nil"/>
                <w:bottom w:val="nil"/>
                <w:right w:val="nil"/>
                <w:between w:val="nil"/>
              </w:pBdr>
              <w:spacing w:line="24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NHS (2020)</w:t>
            </w:r>
          </w:p>
        </w:tc>
        <w:tc>
          <w:tcPr>
            <w:tcW w:w="4215" w:type="dxa"/>
            <w:tcMar>
              <w:top w:w="100" w:type="dxa"/>
              <w:left w:w="100" w:type="dxa"/>
              <w:bottom w:w="100" w:type="dxa"/>
              <w:right w:w="100" w:type="dxa"/>
            </w:tcMar>
            <w:vAlign w:val="center"/>
          </w:tcPr>
          <w:p w14:paraId="28FF041C" w14:textId="77777777" w:rsidR="00071FF1" w:rsidRDefault="000F0C0F">
            <w:pPr>
              <w:widowControl w:val="0"/>
              <w:pBdr>
                <w:top w:val="nil"/>
                <w:left w:val="nil"/>
                <w:bottom w:val="nil"/>
                <w:right w:val="nil"/>
                <w:between w:val="nil"/>
              </w:pBdr>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Between 2010 and 2020, 193 cases of paediatric medication error in medication have been reported.</w:t>
            </w:r>
          </w:p>
        </w:tc>
        <w:tc>
          <w:tcPr>
            <w:tcW w:w="3405" w:type="dxa"/>
            <w:tcMar>
              <w:top w:w="100" w:type="dxa"/>
              <w:left w:w="100" w:type="dxa"/>
              <w:bottom w:w="100" w:type="dxa"/>
              <w:right w:w="100" w:type="dxa"/>
            </w:tcMar>
            <w:vAlign w:val="center"/>
          </w:tcPr>
          <w:p w14:paraId="5A4D70CD" w14:textId="77777777" w:rsidR="00071FF1" w:rsidRDefault="000F0C0F">
            <w:pPr>
              <w:widowControl w:val="0"/>
              <w:pBdr>
                <w:top w:val="nil"/>
                <w:left w:val="nil"/>
                <w:bottom w:val="nil"/>
                <w:right w:val="nil"/>
                <w:between w:val="nil"/>
              </w:pBdr>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Indicating non-negligible paediatric drug errors in the health system of the UK.</w:t>
            </w:r>
          </w:p>
        </w:tc>
      </w:tr>
    </w:tbl>
    <w:p w14:paraId="13974E6D" w14:textId="77777777" w:rsidR="00071FF1" w:rsidRDefault="000F0C0F">
      <w:pPr>
        <w:spacing w:before="200"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Table 1: Insights Summary of Drug-Related Negligence in National and International Scales</w:t>
      </w:r>
    </w:p>
    <w:p w14:paraId="2EA87A80" w14:textId="77777777" w:rsidR="00071FF1" w:rsidRDefault="000F0C0F">
      <w:pPr>
        <w:spacing w:before="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Self-created in MS Word)</w:t>
      </w:r>
    </w:p>
    <w:p w14:paraId="10703E3F" w14:textId="77777777" w:rsidR="00071FF1" w:rsidRDefault="000F0C0F">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reason for such observation can be found in Table 1, which summarises both national and global statistics on deaths and complications caused by medication errors and drug poisoning. The global statistics indicate that 1 out of 30 patients has complexities in healthcare due to medication error, which indicates that the issues experienced by the North East and Yorkshire region of the NHS are not uniquely isolated incidents (WHO, 2023). Especially since BMJ (2020) reported that at a national scale, drug-re</w:t>
      </w:r>
      <w:r>
        <w:rPr>
          <w:rFonts w:ascii="Times New Roman" w:eastAsia="Times New Roman" w:hAnsi="Times New Roman" w:cs="Times New Roman"/>
          <w:sz w:val="24"/>
          <w:szCs w:val="24"/>
        </w:rPr>
        <w:t>lated errors were mostly stemming from administrative errors (54%), while prescription (21%) and dispensation (16%) had moderate rates of occurrence, the North East and Yorkshire case involves such a situation involving both prescription and dispensation errors. This indicates that the health governance by national entities in the UK is lacking the required standardisation and communication with their peripheral systems, causing assumptions and misinterpretations of recommendations and prescriptions. Consid</w:t>
      </w:r>
      <w:r>
        <w:rPr>
          <w:rFonts w:ascii="Times New Roman" w:eastAsia="Times New Roman" w:hAnsi="Times New Roman" w:cs="Times New Roman"/>
          <w:sz w:val="24"/>
          <w:szCs w:val="24"/>
        </w:rPr>
        <w:t xml:space="preserve">ering research observations by Alrowily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xml:space="preserve"> (2025) show abbreviation in prescriptions, adding further complexity in healthcare communication between specialist units and general physicians, its implication found by Parry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xml:space="preserve"> (2023) further consolidate the root of the drug overdose case study.</w:t>
      </w:r>
    </w:p>
    <w:p w14:paraId="3D109DC6" w14:textId="77777777" w:rsidR="00071FF1" w:rsidRDefault="000F0C0F">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annual deaths caused by drug poisoning (excluding cases of misuse) related cases in England and Wales were around 1829, whereas paediatric administration errors between 2010 and 2020 were found to be at least 193 (ONS Gov, 2025; NHS, 2020). Considering these local and national statistics in response to the global challenges of 1 in 30 patients having complexities with medication error suggests that the UK is facing a serious problem in tackling errors stemming from direct clinical missteps and negligenc</w:t>
      </w:r>
      <w:r>
        <w:rPr>
          <w:rFonts w:ascii="Times New Roman" w:eastAsia="Times New Roman" w:hAnsi="Times New Roman" w:cs="Times New Roman"/>
          <w:sz w:val="24"/>
          <w:szCs w:val="24"/>
        </w:rPr>
        <w:t>e, and not from a systematic lack of infrastructural or resource-specific limitations. This is because the national entities, such as the NHS, responsible for prescribing the dosage for the infant at the time of discharge, have failed to specify the specific red drug available, leading to the second point of failure in pharmacy with the transcribing (Northyorkshireccg.nhs.uk, 2023). This means the governance at the national and local levels of the UK is failing to set a standard on communication, which coul</w:t>
      </w:r>
      <w:r>
        <w:rPr>
          <w:rFonts w:ascii="Times New Roman" w:eastAsia="Times New Roman" w:hAnsi="Times New Roman" w:cs="Times New Roman"/>
          <w:sz w:val="24"/>
          <w:szCs w:val="24"/>
        </w:rPr>
        <w:t>d have prevented the gap in knowledge (about the 100mcg/ml solution) and the misstep in transcription (of adjusted liquid amount for the new solution).</w:t>
      </w:r>
    </w:p>
    <w:p w14:paraId="4181992F" w14:textId="77777777" w:rsidR="00071FF1" w:rsidRDefault="000F0C0F">
      <w:pPr>
        <w:spacing w:before="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22A4FA49" wp14:editId="2E2277F2">
            <wp:extent cx="5731200" cy="5118100"/>
            <wp:effectExtent l="0" t="0" r="0" b="0"/>
            <wp:docPr id="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7"/>
                    <a:srcRect/>
                    <a:stretch>
                      <a:fillRect/>
                    </a:stretch>
                  </pic:blipFill>
                  <pic:spPr>
                    <a:xfrm>
                      <a:off x="0" y="0"/>
                      <a:ext cx="5731200" cy="5118100"/>
                    </a:xfrm>
                    <a:prstGeom prst="rect">
                      <a:avLst/>
                    </a:prstGeom>
                    <a:ln/>
                  </pic:spPr>
                </pic:pic>
              </a:graphicData>
            </a:graphic>
          </wp:inline>
        </w:drawing>
      </w:r>
    </w:p>
    <w:p w14:paraId="23DE7B44" w14:textId="77777777" w:rsidR="00071FF1" w:rsidRDefault="000F0C0F">
      <w:pPr>
        <w:spacing w:before="200"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Figure 1: Rich Picture of the Case</w:t>
      </w:r>
    </w:p>
    <w:p w14:paraId="292B955A" w14:textId="77777777" w:rsidR="00071FF1" w:rsidRDefault="000F0C0F">
      <w:pPr>
        <w:spacing w:before="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Self-created in Canva)</w:t>
      </w:r>
    </w:p>
    <w:p w14:paraId="080D79A3" w14:textId="77777777" w:rsidR="00071FF1" w:rsidRDefault="000F0C0F">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Utilising the rich picture presented in Figure 1, the analysis of the overarching system suggests that the process itself, deployed by the NHS, lacked the required standardisation, which then allowed its actors, such as the general physician or the nursing staff, to make repeated mistakes, failing to communicate the updated liquid amount of the drug. Combined with the structural discrepancies in the health care system, pharmacists and receptionists ignored the changes in the drug quantity and proceeded to t</w:t>
      </w:r>
      <w:r>
        <w:rPr>
          <w:rFonts w:ascii="Times New Roman" w:eastAsia="Times New Roman" w:hAnsi="Times New Roman" w:cs="Times New Roman"/>
          <w:sz w:val="24"/>
          <w:szCs w:val="24"/>
        </w:rPr>
        <w:t>ranscribe the prescription amount without mentioning the adjusted liquid amount and causing the point of failure and severe patient family distress. However, the subsequent feedback loop issued by the NHS in further auditing the discharge process, preventing brand name mentions and clarification on the prescription process suggest continued development (Northyorkshireccg.nhs.uk, 2023).</w:t>
      </w:r>
    </w:p>
    <w:p w14:paraId="080010D3" w14:textId="77777777" w:rsidR="00071FF1" w:rsidRDefault="000F0C0F">
      <w:pPr>
        <w:spacing w:before="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7B6045F1" wp14:editId="3768363F">
            <wp:extent cx="5658574" cy="2862263"/>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5658574" cy="2862263"/>
                    </a:xfrm>
                    <a:prstGeom prst="rect">
                      <a:avLst/>
                    </a:prstGeom>
                    <a:ln/>
                  </pic:spPr>
                </pic:pic>
              </a:graphicData>
            </a:graphic>
          </wp:inline>
        </w:drawing>
      </w:r>
    </w:p>
    <w:p w14:paraId="05922162" w14:textId="77777777" w:rsidR="00071FF1" w:rsidRDefault="000F0C0F">
      <w:pPr>
        <w:spacing w:before="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33F5E6EE" wp14:editId="7BA8FC58">
            <wp:extent cx="5653088" cy="2469704"/>
            <wp:effectExtent l="0" t="0" r="0" b="0"/>
            <wp:docPr id="6"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9"/>
                    <a:srcRect/>
                    <a:stretch>
                      <a:fillRect/>
                    </a:stretch>
                  </pic:blipFill>
                  <pic:spPr>
                    <a:xfrm>
                      <a:off x="0" y="0"/>
                      <a:ext cx="5653088" cy="2469704"/>
                    </a:xfrm>
                    <a:prstGeom prst="rect">
                      <a:avLst/>
                    </a:prstGeom>
                    <a:ln/>
                  </pic:spPr>
                </pic:pic>
              </a:graphicData>
            </a:graphic>
          </wp:inline>
        </w:drawing>
      </w:r>
    </w:p>
    <w:p w14:paraId="52175EF4" w14:textId="77777777" w:rsidR="00071FF1" w:rsidRDefault="000F0C0F">
      <w:pPr>
        <w:spacing w:before="200"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Figure 2: UK Healthcare Staff Engagement and Vacations</w:t>
      </w:r>
    </w:p>
    <w:p w14:paraId="65A292E0" w14:textId="77777777" w:rsidR="00071FF1" w:rsidRDefault="000F0C0F">
      <w:pPr>
        <w:spacing w:before="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Buckingham, 2025)</w:t>
      </w:r>
    </w:p>
    <w:p w14:paraId="28E98C38" w14:textId="77777777" w:rsidR="00071FF1" w:rsidRDefault="000F0C0F">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Especially considering that the root cause of the problem also stems from excessive nursing and healthcare work overload and burnout caused by lower overall staff availability, the scope of in-hospital duties and responsibilities may also reinforce governance and management gaps in the country. As per Osuh (2026), the UK sees a 93% decline in overseas workers in the country, while over 100,000 posts remain vacant and increasing, and 3 out of 10 individuals feel burnt out but satisfied with pay (Buckingham, </w:t>
      </w:r>
      <w:r>
        <w:rPr>
          <w:rFonts w:ascii="Times New Roman" w:eastAsia="Times New Roman" w:hAnsi="Times New Roman" w:cs="Times New Roman"/>
          <w:sz w:val="24"/>
          <w:szCs w:val="24"/>
        </w:rPr>
        <w:t>2025).</w:t>
      </w:r>
    </w:p>
    <w:p w14:paraId="22B508F4" w14:textId="77777777" w:rsidR="00071FF1" w:rsidRDefault="000F0C0F">
      <w:pPr>
        <w:pStyle w:val="Heading2"/>
      </w:pPr>
      <w:bookmarkStart w:id="8" w:name="_1xnl2oujpcw0" w:colFirst="0" w:colLast="0"/>
      <w:bookmarkEnd w:id="8"/>
      <w:r>
        <w:t>2.2 Centralisation vs Decentralisation</w:t>
      </w:r>
    </w:p>
    <w:p w14:paraId="16252C7E" w14:textId="77777777" w:rsidR="00071FF1" w:rsidRDefault="000F0C0F">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Considering the analysis of the case study at the NHS, it appears that the institution in this case mostly utilised a hybrid system mixing both decentralised and centralised decision-making and activities between the primary care centre and the general physicians. The main points of failure emerged due to many of the dominated decentralized decision making during the care transfer process.</w:t>
      </w:r>
    </w:p>
    <w:p w14:paraId="2B28ABED" w14:textId="77777777" w:rsidR="00071FF1" w:rsidRDefault="000F0C0F">
      <w:pPr>
        <w:spacing w:before="200" w:line="360" w:lineRule="auto"/>
        <w:jc w:val="both"/>
        <w:rPr>
          <w:rFonts w:ascii="Times New Roman" w:eastAsia="Times New Roman" w:hAnsi="Times New Roman" w:cs="Times New Roman"/>
          <w:sz w:val="24"/>
          <w:szCs w:val="24"/>
          <w:u w:val="single"/>
        </w:rPr>
      </w:pPr>
      <w:r>
        <w:rPr>
          <w:rFonts w:ascii="Times New Roman" w:eastAsia="Times New Roman" w:hAnsi="Times New Roman" w:cs="Times New Roman"/>
          <w:sz w:val="24"/>
          <w:szCs w:val="24"/>
          <w:u w:val="single"/>
        </w:rPr>
        <w:t>Centralised System Evidence</w:t>
      </w:r>
    </w:p>
    <w:p w14:paraId="525867E2" w14:textId="77777777" w:rsidR="00071FF1" w:rsidRDefault="000F0C0F">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Considering that the case study hospital issued the discharge summary with specified instructions on the special hospital's only drug usage by the neonatal team, the example showcases a centralised decision-making system where the neonatal team’s decision was expected to be carried out with no deviation (Northyorkshireccg.nhs.uk, 2023). This does offer some advantage by reducing decision-making complexities and uncertainties in secondary or peripheral care units (Shishkin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xml:space="preserve"> 2025). Especially considering that research investigation into general physician diagnostic errors suggested 25% misinterpretation, reducing error risk by centralising helps minimise such risks (Manchester, 2021). Additionally, the specific instructions on using the red drug, which is classified as only available within the hospital, suggest that a centralized decision making also has advantages in controlling specialist medications (Luisetto, 2017).</w:t>
      </w:r>
    </w:p>
    <w:p w14:paraId="24961934" w14:textId="77777777" w:rsidR="00071FF1" w:rsidRDefault="000F0C0F">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However disadvantages of such a centralised system are also apparent, as a lack of communication undermines centralisation effectiveness (Atinga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xml:space="preserve"> 2024). This is evident from the GP in the case study proceeding with their own understanding of the dosage and drug variant simply due to not having been communicated about the red drug regulation from the NHS (Northyorkshireccg.nhs.uk, 2023). This not only adds to oversight challenges in primary and secondary care units but also reflects on the discrepancies in standardisation of care. While the direct impact of the communication gap and poor standardization is evident from the case study, more unde</w:t>
      </w:r>
      <w:r>
        <w:rPr>
          <w:rFonts w:ascii="Times New Roman" w:eastAsia="Times New Roman" w:hAnsi="Times New Roman" w:cs="Times New Roman"/>
          <w:sz w:val="24"/>
          <w:szCs w:val="24"/>
        </w:rPr>
        <w:t xml:space="preserve">rlying challenges that were not explored in this case but has rapid and dire consequences as a result of disadvantage can be found in the work of Brunton-Douglas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xml:space="preserve"> (2023) which reported patient delays in care significantly influenced by poor communication at the NHS, where around 8% remained uninformed about critical information, 16% were not waiting on treatment related information 9% had received incorrect information and 14% had referral issues.</w:t>
      </w:r>
    </w:p>
    <w:p w14:paraId="2D519A09" w14:textId="77777777" w:rsidR="00071FF1" w:rsidRDefault="000F0C0F">
      <w:pPr>
        <w:spacing w:before="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1CE5AB8A" wp14:editId="31F29271">
            <wp:extent cx="5731200" cy="3898900"/>
            <wp:effectExtent l="0" t="0" r="0" b="0"/>
            <wp:docPr id="5"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0"/>
                    <a:srcRect/>
                    <a:stretch>
                      <a:fillRect/>
                    </a:stretch>
                  </pic:blipFill>
                  <pic:spPr>
                    <a:xfrm>
                      <a:off x="0" y="0"/>
                      <a:ext cx="5731200" cy="3898900"/>
                    </a:xfrm>
                    <a:prstGeom prst="rect">
                      <a:avLst/>
                    </a:prstGeom>
                    <a:ln/>
                  </pic:spPr>
                </pic:pic>
              </a:graphicData>
            </a:graphic>
          </wp:inline>
        </w:drawing>
      </w:r>
    </w:p>
    <w:p w14:paraId="2E8F2350" w14:textId="77777777" w:rsidR="00071FF1" w:rsidRDefault="000F0C0F">
      <w:pPr>
        <w:spacing w:before="200"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Figure 3: Communication Issues at NHS</w:t>
      </w:r>
    </w:p>
    <w:p w14:paraId="444A77F3" w14:textId="77777777" w:rsidR="00071FF1" w:rsidRDefault="000F0C0F">
      <w:pPr>
        <w:spacing w:before="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Brunton-Douglas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xml:space="preserve"> 2023)</w:t>
      </w:r>
    </w:p>
    <w:p w14:paraId="77E86E7B" w14:textId="77777777" w:rsidR="00071FF1" w:rsidRDefault="000F0C0F">
      <w:pPr>
        <w:spacing w:before="200" w:line="360" w:lineRule="auto"/>
        <w:jc w:val="both"/>
        <w:rPr>
          <w:rFonts w:ascii="Times New Roman" w:eastAsia="Times New Roman" w:hAnsi="Times New Roman" w:cs="Times New Roman"/>
          <w:sz w:val="24"/>
          <w:szCs w:val="24"/>
          <w:u w:val="single"/>
        </w:rPr>
      </w:pPr>
      <w:r>
        <w:rPr>
          <w:rFonts w:ascii="Times New Roman" w:eastAsia="Times New Roman" w:hAnsi="Times New Roman" w:cs="Times New Roman"/>
          <w:sz w:val="24"/>
          <w:szCs w:val="24"/>
          <w:u w:val="single"/>
        </w:rPr>
        <w:t>Decentralised System Evidence</w:t>
      </w:r>
    </w:p>
    <w:p w14:paraId="2AE35048" w14:textId="77777777" w:rsidR="00071FF1" w:rsidRDefault="000F0C0F">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case study also represented a few areas of decentralized decision making systems that required critical appraisal to understand the subsequent gaps that led to complexity in healthcare outcomes. Given that a decentralised system mostly depends on individual and often localised bodies of institutions, subsequently undertaking actions based on information presented to them, the NHS case study showcases that the GP practitioner and the pharmacists both were such decentralised units that took decisions with</w:t>
      </w:r>
      <w:r>
        <w:rPr>
          <w:rFonts w:ascii="Times New Roman" w:eastAsia="Times New Roman" w:hAnsi="Times New Roman" w:cs="Times New Roman"/>
          <w:sz w:val="24"/>
          <w:szCs w:val="24"/>
        </w:rPr>
        <w:t>out consulting or having access to a much more centralised system for reference (Northyorkshireccg.nhs.uk, 2023). In this case, the lack of direct communication informing all healthcare professionals and practitioners about the red drug parades of the morphine dose has likely exacerbated the decentralised system failure, with the general physician independently issuing the prescription for a 10mg/5 ml and the Pharmacy dispensing the medication without liquid amount clarification (Northyorkshireccg.nhs.uk, 2</w:t>
      </w:r>
      <w:r>
        <w:rPr>
          <w:rFonts w:ascii="Times New Roman" w:eastAsia="Times New Roman" w:hAnsi="Times New Roman" w:cs="Times New Roman"/>
          <w:sz w:val="24"/>
          <w:szCs w:val="24"/>
        </w:rPr>
        <w:t>023).</w:t>
      </w:r>
    </w:p>
    <w:p w14:paraId="6D8BADB3" w14:textId="77777777" w:rsidR="00071FF1" w:rsidRDefault="000F0C0F">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a result, the disadvantages of a decentralised system are apparent in this case study example. One of the most stringent underlying challenges in decentralised systems of healthcare is communication discrepancies between the healthcare departments (Rogers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xml:space="preserve"> 2022). This has been found to be the second leading priority at the NHS that the public has acknowledged as an issue (Brunton-Douglas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xml:space="preserve"> 2023).</w:t>
      </w:r>
    </w:p>
    <w:p w14:paraId="22939A2D" w14:textId="77777777" w:rsidR="00071FF1" w:rsidRDefault="000F0C0F">
      <w:pPr>
        <w:spacing w:before="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41E8D390" wp14:editId="1C092557">
            <wp:extent cx="5338763" cy="2651644"/>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1"/>
                    <a:srcRect/>
                    <a:stretch>
                      <a:fillRect/>
                    </a:stretch>
                  </pic:blipFill>
                  <pic:spPr>
                    <a:xfrm>
                      <a:off x="0" y="0"/>
                      <a:ext cx="5338763" cy="2651644"/>
                    </a:xfrm>
                    <a:prstGeom prst="rect">
                      <a:avLst/>
                    </a:prstGeom>
                    <a:ln/>
                  </pic:spPr>
                </pic:pic>
              </a:graphicData>
            </a:graphic>
          </wp:inline>
        </w:drawing>
      </w:r>
    </w:p>
    <w:p w14:paraId="138E6447" w14:textId="77777777" w:rsidR="00071FF1" w:rsidRDefault="000F0C0F">
      <w:pPr>
        <w:spacing w:before="200"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Figure 4: Priorities of Issues at NHS</w:t>
      </w:r>
    </w:p>
    <w:p w14:paraId="58A9A68C" w14:textId="77777777" w:rsidR="00071FF1" w:rsidRDefault="000F0C0F">
      <w:pPr>
        <w:spacing w:before="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Brunton-Douglas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xml:space="preserve"> 2023)</w:t>
      </w:r>
    </w:p>
    <w:p w14:paraId="7F672FE2" w14:textId="77777777" w:rsidR="00071FF1" w:rsidRDefault="000F0C0F">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decentralised system in healthcare infrastructure also seems to have provided further disadvantages in the knowledge transfer, as evidenced by the case study reporting no awareness of both the GP and Pharmacists about the 100 mcg/ml solution (Northyorkshireccg.nhs.uk, 2023). Academic evidence seems to suggest that such hindrances in knowledge sharing are often situationally addressed with decentralised leadership, implying that the disadvantage of knowledge sharing is not inconsistent in the healthcare </w:t>
      </w:r>
      <w:r>
        <w:rPr>
          <w:rFonts w:ascii="Times New Roman" w:eastAsia="Times New Roman" w:hAnsi="Times New Roman" w:cs="Times New Roman"/>
          <w:sz w:val="24"/>
          <w:szCs w:val="24"/>
        </w:rPr>
        <w:t xml:space="preserve">context at all (Scheuer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xml:space="preserve"> 2023).</w:t>
      </w:r>
    </w:p>
    <w:p w14:paraId="34A4E7F0" w14:textId="77777777" w:rsidR="00071FF1" w:rsidRDefault="000F0C0F">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However, the obvious advantages of a decentralised health care system must also be acknowledged since academic explorations inform decentralisation with higher opportunities for cross-departmental professional expertise and higher chances of error correction due to the layer of care transfer that happens in such a system (AbdelRaouf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xml:space="preserve"> 2025; Freund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xml:space="preserve"> 2015). Additionally, academic evidence has also suggested that decentralised healthcare systems also produce individual staff-related burnouts due to appropriate workload distribution (Malik and Shankar, 2025).</w:t>
      </w:r>
    </w:p>
    <w:p w14:paraId="3562BF2D" w14:textId="77777777" w:rsidR="00071FF1" w:rsidRDefault="000F0C0F">
      <w:pPr>
        <w:spacing w:before="200" w:line="360" w:lineRule="auto"/>
        <w:jc w:val="both"/>
        <w:rPr>
          <w:rFonts w:ascii="Times New Roman" w:eastAsia="Times New Roman" w:hAnsi="Times New Roman" w:cs="Times New Roman"/>
          <w:sz w:val="24"/>
          <w:szCs w:val="24"/>
          <w:u w:val="single"/>
        </w:rPr>
      </w:pPr>
      <w:r>
        <w:rPr>
          <w:rFonts w:ascii="Times New Roman" w:eastAsia="Times New Roman" w:hAnsi="Times New Roman" w:cs="Times New Roman"/>
          <w:sz w:val="24"/>
          <w:szCs w:val="24"/>
          <w:u w:val="single"/>
        </w:rPr>
        <w:t>Critical Analysis</w:t>
      </w:r>
    </w:p>
    <w:p w14:paraId="284CE4C9" w14:textId="77777777" w:rsidR="00071FF1" w:rsidRDefault="000F0C0F">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As such, the critical appraisal of the hybrid mix of centralised and decentralised system of health care delivery by the case study organisation appraisal clarifies why the crisis management gap was observed and why individual limitations of the structure combined to exacerbate the case.</w:t>
      </w:r>
    </w:p>
    <w:p w14:paraId="28F1B8C8" w14:textId="77777777" w:rsidR="00071FF1" w:rsidRDefault="000F0C0F">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crisis management failure in question stems from failure in decision-making and communication across multiple points, starting from the healthcare facility discharging with the prescription lacking details regarding the specific drug variation being available (Northyorkshireccg.nhs.uk, 2023).  The NHS statistics suggest a slight increase in vacancies, staff shortages and subsequent pressure on frontline health workers, causing dissatisfaction, likely explaining why such oversight was able to persist dur</w:t>
      </w:r>
      <w:r>
        <w:rPr>
          <w:rFonts w:ascii="Times New Roman" w:eastAsia="Times New Roman" w:hAnsi="Times New Roman" w:cs="Times New Roman"/>
          <w:sz w:val="24"/>
          <w:szCs w:val="24"/>
        </w:rPr>
        <w:t>ing the transport of care (Buckingham, 2025). This led to the second point of failure from the pharmacy transcribing a version of the drug based on standard calculation without also adjusting the liquid amount abbreviation in the prescription to match the new dose, and the 3rd failure point was the lack of counselling provided to parents who continued administering 1.9ml based on the discharge prescription amount. This reinforces the 21% prescription error evidence from BMJ (2020).</w:t>
      </w:r>
    </w:p>
    <w:p w14:paraId="5C4A8840" w14:textId="77777777" w:rsidR="00071FF1" w:rsidRDefault="000F0C0F">
      <w:pPr>
        <w:pStyle w:val="Heading2"/>
      </w:pPr>
      <w:bookmarkStart w:id="9" w:name="_letve4irhzp0" w:colFirst="0" w:colLast="0"/>
      <w:bookmarkEnd w:id="9"/>
      <w:r>
        <w:t>2.3 Leadership Theoretical Application</w:t>
      </w:r>
    </w:p>
    <w:p w14:paraId="3259F6E9" w14:textId="77777777" w:rsidR="00071FF1" w:rsidRDefault="000F0C0F">
      <w:pPr>
        <w:spacing w:before="200" w:line="360" w:lineRule="auto"/>
        <w:jc w:val="both"/>
        <w:rPr>
          <w:rFonts w:ascii="Times New Roman" w:eastAsia="Times New Roman" w:hAnsi="Times New Roman" w:cs="Times New Roman"/>
          <w:sz w:val="24"/>
          <w:szCs w:val="24"/>
          <w:u w:val="single"/>
        </w:rPr>
      </w:pPr>
      <w:r>
        <w:rPr>
          <w:rFonts w:ascii="Times New Roman" w:eastAsia="Times New Roman" w:hAnsi="Times New Roman" w:cs="Times New Roman"/>
          <w:sz w:val="24"/>
          <w:szCs w:val="24"/>
          <w:u w:val="single"/>
        </w:rPr>
        <w:t>Leadership Effectiveness for the Situation</w:t>
      </w:r>
    </w:p>
    <w:p w14:paraId="4062258E" w14:textId="77777777" w:rsidR="00071FF1" w:rsidRDefault="000F0C0F">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Under the circumstances for the case study itself, it has been observed that transactional leadership has been more apparent from the centralised and decentralized decision making system that was observed across the primary and secondary care units. This is because the transactional leadership here mainly showcases behavioural tendencies of leadership attributes, structure, discipline, and clear exchange of performance with reward and failure, and penalty is apparent (Swan, 2023). When the neonatal team dec</w:t>
      </w:r>
      <w:r>
        <w:rPr>
          <w:rFonts w:ascii="Times New Roman" w:eastAsia="Times New Roman" w:hAnsi="Times New Roman" w:cs="Times New Roman"/>
          <w:sz w:val="24"/>
          <w:szCs w:val="24"/>
        </w:rPr>
        <w:t>ided to discharge the 4-week-old baby, the leadership standardization favoring structure and rigidity, led to limited scope for extended communication between the team members and the family of the patient, creating a gap between the nursing staff and prescribing authority (Northyorkshireccg.nhs.uk, 2023). Considering evidence from Buckingham (2025) of the UK healthcare institutions suggest higher risk of burnout and work overload, and academic evidence from Mahmoud (2008) suggests transactional leaders imp</w:t>
      </w:r>
      <w:r>
        <w:rPr>
          <w:rFonts w:ascii="Times New Roman" w:eastAsia="Times New Roman" w:hAnsi="Times New Roman" w:cs="Times New Roman"/>
          <w:sz w:val="24"/>
          <w:szCs w:val="24"/>
        </w:rPr>
        <w:t>act employee engagement severely. The observed leadership appears ineffective in tackling the complex and often dynamic situations in clinical settings.</w:t>
      </w:r>
    </w:p>
    <w:p w14:paraId="10479B6B" w14:textId="77777777" w:rsidR="00071FF1" w:rsidRDefault="000F0C0F">
      <w:pPr>
        <w:spacing w:before="200" w:line="360" w:lineRule="auto"/>
        <w:jc w:val="both"/>
        <w:rPr>
          <w:rFonts w:ascii="Times New Roman" w:eastAsia="Times New Roman" w:hAnsi="Times New Roman" w:cs="Times New Roman"/>
          <w:sz w:val="24"/>
          <w:szCs w:val="24"/>
          <w:u w:val="single"/>
        </w:rPr>
      </w:pPr>
      <w:r>
        <w:rPr>
          <w:rFonts w:ascii="Times New Roman" w:eastAsia="Times New Roman" w:hAnsi="Times New Roman" w:cs="Times New Roman"/>
          <w:sz w:val="24"/>
          <w:szCs w:val="24"/>
          <w:u w:val="single"/>
        </w:rPr>
        <w:t>Balance of Reactive and Proactive Approach</w:t>
      </w:r>
    </w:p>
    <w:p w14:paraId="262221C1" w14:textId="77777777" w:rsidR="00071FF1" w:rsidRDefault="000F0C0F">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Further support reinforcing transactional leadership style being observed stems from the fact that the NHS showcased limited proactivism in their communication in their perspective regarding the availability of the drug. The Neonatal team pre-emptively recommended a highly personalised dosage for the infant, due to their awareness regarding the availability of the drug at the hospital dispensary yet the subsequent communication leading up to the discharge process acknowledged no such clarification through t</w:t>
      </w:r>
      <w:r>
        <w:rPr>
          <w:rFonts w:ascii="Times New Roman" w:eastAsia="Times New Roman" w:hAnsi="Times New Roman" w:cs="Times New Roman"/>
          <w:sz w:val="24"/>
          <w:szCs w:val="24"/>
        </w:rPr>
        <w:t>he case study, implying that the leadership responsible for handling transfer of care and patient discharge lacked sufficient proactivism (Waldman and Terzic, 2019). Evidence comparing transactional and transformational leaders has suggested that transactional leaders tend to be more reactive in their approach to decision making and activities (Bans-Akutey and Tiimub, 2021). This corroborated the observations of the transactional leadership being adopted in the case study organisation and subsequently being</w:t>
      </w:r>
      <w:r>
        <w:rPr>
          <w:rFonts w:ascii="Times New Roman" w:eastAsia="Times New Roman" w:hAnsi="Times New Roman" w:cs="Times New Roman"/>
          <w:sz w:val="24"/>
          <w:szCs w:val="24"/>
        </w:rPr>
        <w:t xml:space="preserve"> ineffective in tackling the situation due to its inherent requirement for a much more reactive approach.</w:t>
      </w:r>
    </w:p>
    <w:p w14:paraId="0675A057" w14:textId="77777777" w:rsidR="00071FF1" w:rsidRDefault="000F0C0F">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Additionally, following the rehospitalisation of the infant following the first incorrect dosage, the NHS issued advice in the form of its Seven Action Strategic Plan involving the solution specifically available within the hospital premises (Northyorkshireccg.nhs.uk, 2023). These seven actions involved strategic actions like auditing of the discharging process and prescription preparation, as well as underlying communication methods and their existing gaps, which showcase significant reactive leadership st</w:t>
      </w:r>
      <w:r>
        <w:rPr>
          <w:rFonts w:ascii="Times New Roman" w:eastAsia="Times New Roman" w:hAnsi="Times New Roman" w:cs="Times New Roman"/>
          <w:sz w:val="24"/>
          <w:szCs w:val="24"/>
        </w:rPr>
        <w:t xml:space="preserve">rategies instead of a proactive one involving pre-emptive audit and quality assessment of patient care systems. Similar to healthcare information and technology, specific security risks and incidents have revealed proactive response strategies requirements, opportunities for proactive decision making and strategies in care quality and delivery must also be managed (He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xml:space="preserve"> 2022).</w:t>
      </w:r>
    </w:p>
    <w:p w14:paraId="6994D80F" w14:textId="77777777" w:rsidR="00071FF1" w:rsidRDefault="000F0C0F">
      <w:pPr>
        <w:spacing w:before="200" w:line="360" w:lineRule="auto"/>
        <w:jc w:val="both"/>
        <w:rPr>
          <w:rFonts w:ascii="Times New Roman" w:eastAsia="Times New Roman" w:hAnsi="Times New Roman" w:cs="Times New Roman"/>
          <w:sz w:val="24"/>
          <w:szCs w:val="24"/>
          <w:u w:val="single"/>
        </w:rPr>
      </w:pPr>
      <w:r>
        <w:rPr>
          <w:rFonts w:ascii="Times New Roman" w:eastAsia="Times New Roman" w:hAnsi="Times New Roman" w:cs="Times New Roman"/>
          <w:sz w:val="24"/>
          <w:szCs w:val="24"/>
          <w:u w:val="single"/>
        </w:rPr>
        <w:t>Evidence of Leadership Outcome</w:t>
      </w:r>
    </w:p>
    <w:p w14:paraId="0E31A8F8" w14:textId="77777777" w:rsidR="00071FF1" w:rsidRDefault="000F0C0F">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Institution-wide reports from the NHS in the UK have suggested a massive underlying challenge in leadership, given that out of the 10,542 NHS staff members who have participated in the report, around 50% have pay-related dissatisfaction (Woolf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xml:space="preserve"> 2025). More precise identification of staff challenges suggested that 52% of new staff members have a high intention to quit, whereas more senior doctors, while still representing around 45% with the same issue (Woolf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xml:space="preserve"> 2025). Combined with the academic evidence of Akinyemi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xml:space="preserve"> (2022) suggesting a lack of employee engagement from materialistic reward further risks organisational commitment, the subsequent lack of proactive engagement among individual employees likely explains the disadvantage</w:t>
      </w:r>
      <w:r>
        <w:rPr>
          <w:rFonts w:ascii="Times New Roman" w:eastAsia="Times New Roman" w:hAnsi="Times New Roman" w:cs="Times New Roman"/>
          <w:sz w:val="24"/>
          <w:szCs w:val="24"/>
        </w:rPr>
        <w:t xml:space="preserve"> of the transactional leadership.</w:t>
      </w:r>
    </w:p>
    <w:p w14:paraId="222BECB1" w14:textId="77777777" w:rsidR="00071FF1" w:rsidRDefault="000F0C0F">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Additional evidence from NHS staff surveys has also revealed that 41% are unwell and experience signs of burnout due to work-related stress, while the number of people believing there are sufficient staff at the NHS has only been 34% (Nash, 2025). This evidence directly interlinks the cyclical challenge of staff shortage at the NHS, causing further workload pressure on employees, which then leads to further burnout and dissatisfaction, causing staff shortage. A transactional leader prioritising hierarchy an</w:t>
      </w:r>
      <w:r>
        <w:rPr>
          <w:rFonts w:ascii="Times New Roman" w:eastAsia="Times New Roman" w:hAnsi="Times New Roman" w:cs="Times New Roman"/>
          <w:sz w:val="24"/>
          <w:szCs w:val="24"/>
        </w:rPr>
        <w:t>d structure for the sake of a rigid governance system likely exacerbates these symptoms of staff disengagement and creates opportunities for oversight and gaps in care and communication (Anno, 2025).</w:t>
      </w:r>
    </w:p>
    <w:p w14:paraId="0A23F76E" w14:textId="77777777" w:rsidR="00071FF1" w:rsidRDefault="000F0C0F">
      <w:pPr>
        <w:spacing w:before="200" w:line="360" w:lineRule="auto"/>
        <w:jc w:val="both"/>
        <w:rPr>
          <w:rFonts w:ascii="Times New Roman" w:eastAsia="Times New Roman" w:hAnsi="Times New Roman" w:cs="Times New Roman"/>
          <w:sz w:val="24"/>
          <w:szCs w:val="24"/>
          <w:u w:val="single"/>
        </w:rPr>
      </w:pPr>
      <w:r>
        <w:rPr>
          <w:rFonts w:ascii="Times New Roman" w:eastAsia="Times New Roman" w:hAnsi="Times New Roman" w:cs="Times New Roman"/>
          <w:sz w:val="24"/>
          <w:szCs w:val="24"/>
          <w:u w:val="single"/>
        </w:rPr>
        <w:t>Alternatives</w:t>
      </w:r>
    </w:p>
    <w:p w14:paraId="20D7E21F" w14:textId="77777777" w:rsidR="00071FF1" w:rsidRDefault="000F0C0F">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Clearly, this critical analysis seems to suggest that staff motivation and engagement are already facing significant challenges in the NHS, and the inclusion of a transactional leadership style with traditional hierarchy and structure is not favouring the current conditions. As such, a much more emotionally connected approach to leadership, such as transformational leaders or even more dynamic leadership, such as situational leadership, might help avoid the identified challenges. On one hand, transformation</w:t>
      </w:r>
      <w:r>
        <w:rPr>
          <w:rFonts w:ascii="Times New Roman" w:eastAsia="Times New Roman" w:hAnsi="Times New Roman" w:cs="Times New Roman"/>
          <w:sz w:val="24"/>
          <w:szCs w:val="24"/>
        </w:rPr>
        <w:t xml:space="preserve">al leaders have been found to be emotionally and intellectually engaged with their team members to improve personal motivation and commitment towards organisations through psychological empowerment (Huang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xml:space="preserve"> 2025). On the other hand, situational leaders are capable of offering the required amount of flexibility or guidance towards teams based on their competencies, making it less likely for errors to occur at either end of the employee competency spectrum (Wang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xml:space="preserve"> 2024). This way, the leadership's a</w:t>
      </w:r>
      <w:r>
        <w:rPr>
          <w:rFonts w:ascii="Times New Roman" w:eastAsia="Times New Roman" w:hAnsi="Times New Roman" w:cs="Times New Roman"/>
          <w:sz w:val="24"/>
          <w:szCs w:val="24"/>
        </w:rPr>
        <w:t>pproach would have minimised potential for staff disengagement and commitment issues in the first place, making it possible for proactivism in communication to eliminate the risk of the communication gap that the infant drug overdose case in the first place.</w:t>
      </w:r>
    </w:p>
    <w:p w14:paraId="150A8AB8" w14:textId="77777777" w:rsidR="00071FF1" w:rsidRDefault="000F0C0F">
      <w:pPr>
        <w:pStyle w:val="Heading2"/>
      </w:pPr>
      <w:bookmarkStart w:id="10" w:name="_ni15i3ddspbf" w:colFirst="0" w:colLast="0"/>
      <w:bookmarkEnd w:id="10"/>
      <w:r>
        <w:t>2.4 Critique, Improvements and Lessons Learned</w:t>
      </w:r>
    </w:p>
    <w:p w14:paraId="507864F2" w14:textId="77777777" w:rsidR="00071FF1" w:rsidRDefault="000F0C0F">
      <w:pPr>
        <w:spacing w:before="200" w:line="360" w:lineRule="auto"/>
        <w:jc w:val="both"/>
        <w:rPr>
          <w:rFonts w:ascii="Times New Roman" w:eastAsia="Times New Roman" w:hAnsi="Times New Roman" w:cs="Times New Roman"/>
          <w:sz w:val="24"/>
          <w:szCs w:val="24"/>
          <w:u w:val="single"/>
        </w:rPr>
      </w:pPr>
      <w:r>
        <w:rPr>
          <w:rFonts w:ascii="Times New Roman" w:eastAsia="Times New Roman" w:hAnsi="Times New Roman" w:cs="Times New Roman"/>
          <w:sz w:val="24"/>
          <w:szCs w:val="24"/>
          <w:u w:val="single"/>
        </w:rPr>
        <w:t>Critique of the Problem</w:t>
      </w:r>
    </w:p>
    <w:p w14:paraId="35C58948" w14:textId="77777777" w:rsidR="00071FF1" w:rsidRDefault="000F0C0F">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Lack of communication has emerged as a foundational problem that affects the images in the North East and Yorkshire region and subsequently the morphine to the 4-week-old infant (Northyorkshireccg.nhs.uk, 2023). This particular communication challenge has been observed to be deeply rooted in systemic discrepancies in the hybrid (centralised and decentralised) health care delivery approach that the NHS and the public health care infrastructure have used in the UK so far (NHS, 2024). Moreover, the systemic ch</w:t>
      </w:r>
      <w:r>
        <w:rPr>
          <w:rFonts w:ascii="Times New Roman" w:eastAsia="Times New Roman" w:hAnsi="Times New Roman" w:cs="Times New Roman"/>
          <w:sz w:val="24"/>
          <w:szCs w:val="24"/>
        </w:rPr>
        <w:t>allenges have broader trends of workforce engagement issues arising from the vicious cycle of workload-induced burnout and turnover intention (Buckingham, 2025). Combined with strategic discrepancies in communication delays within the NHS, the healthcare staff members responsible for handling the documentation and activities for patient transfer of care during the discharge process failed to notice the special red drug mentioned by the neonatal teams (Northyorkshireccg.nhs.uk, 2023). The problem exacerbated</w:t>
      </w:r>
      <w:r>
        <w:rPr>
          <w:rFonts w:ascii="Times New Roman" w:eastAsia="Times New Roman" w:hAnsi="Times New Roman" w:cs="Times New Roman"/>
          <w:sz w:val="24"/>
          <w:szCs w:val="24"/>
        </w:rPr>
        <w:t xml:space="preserve"> subsequently when lack of oversight from the pharmacy due to the decentralized decision making mechanism of the institution itself made it incorrectly present and transcribe the adjusted formula from the general physician with the original neonatal team's prescription details, essentially recommending a stronger morphine dilution in larger quantity instead of a weaker dilution in the same quantity (Northyorkshireccg.nhs.uk, 2023). The primary care centres' subsequent response following infants' treatment i</w:t>
      </w:r>
      <w:r>
        <w:rPr>
          <w:rFonts w:ascii="Times New Roman" w:eastAsia="Times New Roman" w:hAnsi="Times New Roman" w:cs="Times New Roman"/>
          <w:sz w:val="24"/>
          <w:szCs w:val="24"/>
        </w:rPr>
        <w:t>n adopting subsequent preventative measures reflected reactive strategies of the leadership, which further reinforces the assessment that the NHS has been subsequently facing limited staff level engagement, which has allowed the oversight to fester.</w:t>
      </w:r>
    </w:p>
    <w:p w14:paraId="7630622C" w14:textId="77777777" w:rsidR="00071FF1" w:rsidRDefault="000F0C0F">
      <w:pPr>
        <w:spacing w:before="200" w:line="360" w:lineRule="auto"/>
        <w:jc w:val="both"/>
        <w:rPr>
          <w:rFonts w:ascii="Times New Roman" w:eastAsia="Times New Roman" w:hAnsi="Times New Roman" w:cs="Times New Roman"/>
          <w:sz w:val="24"/>
          <w:szCs w:val="24"/>
          <w:u w:val="single"/>
        </w:rPr>
      </w:pPr>
      <w:r>
        <w:rPr>
          <w:rFonts w:ascii="Times New Roman" w:eastAsia="Times New Roman" w:hAnsi="Times New Roman" w:cs="Times New Roman"/>
          <w:sz w:val="24"/>
          <w:szCs w:val="24"/>
          <w:u w:val="single"/>
        </w:rPr>
        <w:t>Supporting and Contextual Evidence</w:t>
      </w:r>
    </w:p>
    <w:p w14:paraId="39333C14" w14:textId="77777777" w:rsidR="00071FF1" w:rsidRDefault="000F0C0F">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Supporting evidence from the NHS has suggested that specialist rules, mental health positions, as well as community, acute and ambulance positions total in around 100k positions remaining unfilled (Buckingham, 2025). This is also corroborated by additional investigation, revealing that 32% of the NHS remain dissatisfied with their pay, and 30% feeling burnt out (Buckingham, 2025). This reinforces the contextual analysis of the challenge of employee oversight that led to failure in communication of the red d</w:t>
      </w:r>
      <w:r>
        <w:rPr>
          <w:rFonts w:ascii="Times New Roman" w:eastAsia="Times New Roman" w:hAnsi="Times New Roman" w:cs="Times New Roman"/>
          <w:sz w:val="24"/>
          <w:szCs w:val="24"/>
        </w:rPr>
        <w:t>rug. The underlying evaluation of the case study, suggesting communication gap as a central issue, has also been reinforced with statistical evidence from Brunton-Douglas et al. (2023), which suggested that communication issues have remained consistently prevalent towards affect the overall experience of patients, adding to uncertainties of consultation and doctor visits, as well as delaying care due to referral requirements. Patient reviews have also suggested that poor communication remains 41% of the rep</w:t>
      </w:r>
      <w:r>
        <w:rPr>
          <w:rFonts w:ascii="Times New Roman" w:eastAsia="Times New Roman" w:hAnsi="Times New Roman" w:cs="Times New Roman"/>
          <w:sz w:val="24"/>
          <w:szCs w:val="24"/>
        </w:rPr>
        <w:t xml:space="preserve">orted challenge for them, closely followed by staff shortages, which represented 58% priority (Brunton-Douglas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2023). Both of these statistical pieces of evidence reinforce the overarching relationship between governance and workforce management strategies that the NHS has experienced. As such, the supporting context confirms that the communication issue interlinked with poor strategic management of resources by the NHS is at the centre of the case study challenge.</w:t>
      </w:r>
    </w:p>
    <w:p w14:paraId="7D949C1C" w14:textId="77777777" w:rsidR="00071FF1" w:rsidRDefault="000F0C0F">
      <w:pPr>
        <w:spacing w:before="200" w:line="360" w:lineRule="auto"/>
        <w:jc w:val="both"/>
        <w:rPr>
          <w:rFonts w:ascii="Times New Roman" w:eastAsia="Times New Roman" w:hAnsi="Times New Roman" w:cs="Times New Roman"/>
          <w:sz w:val="24"/>
          <w:szCs w:val="24"/>
          <w:u w:val="single"/>
        </w:rPr>
      </w:pPr>
      <w:r>
        <w:rPr>
          <w:rFonts w:ascii="Times New Roman" w:eastAsia="Times New Roman" w:hAnsi="Times New Roman" w:cs="Times New Roman"/>
          <w:sz w:val="24"/>
          <w:szCs w:val="24"/>
          <w:u w:val="single"/>
        </w:rPr>
        <w:t>Improvements</w:t>
      </w:r>
    </w:p>
    <w:p w14:paraId="4935DE00" w14:textId="77777777" w:rsidR="00071FF1" w:rsidRDefault="000F0C0F">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Based on contextual evidence and the critique of the challenge, it can be stated that improvements begin with the central policies on handling patient communication but must also be supported with systemic shifts in workload distribution and staff engagement strategies. Academic evidence analysed in the report has suggested that transformational leadership can effectively improve psychological safety and motivation of staff members in health care settings (Huang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xml:space="preserve"> 2025). This contextualises the need for effective change in leadership within the NHS to advocate for more proactive healthcare communication and engagement by participants, reducing systemic discrepancies in staff dissatisfaction, such as pay or workload-related pressure, to reduce the risk of oversight caused by stress. Additionally, improvements may also be achieved through situational leadership in organisational policy design prospect, ensuring that leadership adopts the required degree of instr</w:t>
      </w:r>
      <w:r>
        <w:rPr>
          <w:rFonts w:ascii="Times New Roman" w:eastAsia="Times New Roman" w:hAnsi="Times New Roman" w:cs="Times New Roman"/>
          <w:sz w:val="24"/>
          <w:szCs w:val="24"/>
        </w:rPr>
        <w:t>uctive and supportive methods when new policies are implemented, so as to avoid the risk of uninformed staff members handling patient care. This particular improvement is aimed towards strategic oversight-related concerns that gave rise to the case study challenge, as the prescription issuing authority was aware of the specialised drug variant, but the remaining staff members did not re-check the same.</w:t>
      </w:r>
    </w:p>
    <w:p w14:paraId="32927B32" w14:textId="77777777" w:rsidR="00071FF1" w:rsidRDefault="000F0C0F">
      <w:pPr>
        <w:spacing w:before="200" w:line="360" w:lineRule="auto"/>
        <w:jc w:val="both"/>
        <w:rPr>
          <w:rFonts w:ascii="Times New Roman" w:eastAsia="Times New Roman" w:hAnsi="Times New Roman" w:cs="Times New Roman"/>
          <w:sz w:val="24"/>
          <w:szCs w:val="24"/>
          <w:u w:val="single"/>
        </w:rPr>
      </w:pPr>
      <w:r>
        <w:rPr>
          <w:rFonts w:ascii="Times New Roman" w:eastAsia="Times New Roman" w:hAnsi="Times New Roman" w:cs="Times New Roman"/>
          <w:sz w:val="24"/>
          <w:szCs w:val="24"/>
          <w:u w:val="single"/>
        </w:rPr>
        <w:t>Lessons Learned</w:t>
      </w:r>
    </w:p>
    <w:p w14:paraId="388CF4CC" w14:textId="77777777" w:rsidR="00071FF1" w:rsidRDefault="000F0C0F">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key lessons learned from the evaluation can be stated that healthcare institutions must not communicate technical details regarding patient care to be common knowledge, and to take additional steps towards ensuring that the patient party understands everything regarding the healthcare outcomes and their subsequent decision-making for the patient. Another lesson learned from this evaluation is the importance of staff satisfaction and psychological well-being. The absence of which in critical and complex </w:t>
      </w:r>
      <w:r>
        <w:rPr>
          <w:rFonts w:ascii="Times New Roman" w:eastAsia="Times New Roman" w:hAnsi="Times New Roman" w:cs="Times New Roman"/>
          <w:sz w:val="24"/>
          <w:szCs w:val="24"/>
        </w:rPr>
        <w:t>scenarios like the clinical setting can subsequently cause significant damage to patients.</w:t>
      </w:r>
    </w:p>
    <w:p w14:paraId="12980277" w14:textId="77777777" w:rsidR="00071FF1" w:rsidRDefault="000F0C0F">
      <w:pPr>
        <w:pStyle w:val="Heading1"/>
      </w:pPr>
      <w:bookmarkStart w:id="11" w:name="_jfiui75com54" w:colFirst="0" w:colLast="0"/>
      <w:bookmarkEnd w:id="11"/>
      <w:r>
        <w:t>3. Recommendations</w:t>
      </w:r>
    </w:p>
    <w:p w14:paraId="6CA3463A" w14:textId="77777777" w:rsidR="00071FF1" w:rsidRDefault="000F0C0F">
      <w:pPr>
        <w:pStyle w:val="Heading2"/>
      </w:pPr>
      <w:bookmarkStart w:id="12" w:name="_b2hqkbdxh5x7" w:colFirst="0" w:colLast="0"/>
      <w:bookmarkEnd w:id="12"/>
      <w:r>
        <w:t>3.1 Next Step</w:t>
      </w:r>
    </w:p>
    <w:p w14:paraId="4ECA0559" w14:textId="77777777" w:rsidR="00071FF1" w:rsidRDefault="000F0C0F">
      <w:pPr>
        <w:pBdr>
          <w:top w:val="nil"/>
          <w:left w:val="nil"/>
          <w:bottom w:val="nil"/>
          <w:right w:val="nil"/>
          <w:between w:val="nil"/>
        </w:pBdr>
        <w:spacing w:before="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Based on the evaluation conducted so far, it is clear that the Northeast and Yorkshire department of the NHS needs to consolidate how its auditing process has allowed such oversight to persist, especially with regard to the lack of communication repeatedly emerging from the case study evaluation. Considering the importance of one unknown conversation and proactive behaviour management, the NHS must augment its subsequent discharge process and prescription writing-related audit process with a semi-autonomous</w:t>
      </w:r>
      <w:r>
        <w:rPr>
          <w:rFonts w:ascii="Times New Roman" w:eastAsia="Times New Roman" w:hAnsi="Times New Roman" w:cs="Times New Roman"/>
          <w:color w:val="000000"/>
          <w:sz w:val="24"/>
          <w:szCs w:val="24"/>
        </w:rPr>
        <w:t xml:space="preserve"> review process on a quarterly basis to identify possible discrepancies and breaches of mandated policies (Haas and Orstad, 2025). Ideally, the long-term next step for energy should be to digitalise prescription and discharge processing, completely eliminating the for human error occurring in prescription and dosage writing (Watson and Smith, 2019). However, an immediate one-on-one semi-autonomous communication review will help to bridge the gap between isolated cases, employee dissatisfaction and engagemen</w:t>
      </w:r>
      <w:r>
        <w:rPr>
          <w:rFonts w:ascii="Times New Roman" w:eastAsia="Times New Roman" w:hAnsi="Times New Roman" w:cs="Times New Roman"/>
          <w:color w:val="000000"/>
          <w:sz w:val="24"/>
          <w:szCs w:val="24"/>
        </w:rPr>
        <w:t>t issues more quickly and address any possible risk of oversight despite an active auditing process in place.</w:t>
      </w:r>
    </w:p>
    <w:p w14:paraId="373BFEED" w14:textId="77777777" w:rsidR="00071FF1" w:rsidRDefault="000F0C0F">
      <w:pPr>
        <w:pStyle w:val="Heading2"/>
      </w:pPr>
      <w:bookmarkStart w:id="13" w:name="_skzukuvkiy2k" w:colFirst="0" w:colLast="0"/>
      <w:bookmarkEnd w:id="13"/>
      <w:r>
        <w:t>3.2 Leadership Focus</w:t>
      </w:r>
    </w:p>
    <w:p w14:paraId="13AF8A8A" w14:textId="77777777" w:rsidR="00071FF1" w:rsidRDefault="000F0C0F">
      <w:pPr>
        <w:pBdr>
          <w:top w:val="nil"/>
          <w:left w:val="nil"/>
          <w:bottom w:val="nil"/>
          <w:right w:val="nil"/>
          <w:between w:val="nil"/>
        </w:pBdr>
        <w:spacing w:before="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It is essential that, out of the various leadership styles relevant for NHS requirements, a situational leadership approach is adopted to address the dynamic complexity of health care centres effectively. The analysis of the case study seems to imply that although staff motivation, communication-related challenges and bureaucratic complexity have prevailed to cause such errors to recur, staff autonomy may help to ease leadership focus and support on all departments all the time and allow dynamic attention s</w:t>
      </w:r>
      <w:r>
        <w:rPr>
          <w:rFonts w:ascii="Times New Roman" w:eastAsia="Times New Roman" w:hAnsi="Times New Roman" w:cs="Times New Roman"/>
          <w:color w:val="000000"/>
          <w:sz w:val="24"/>
          <w:szCs w:val="24"/>
        </w:rPr>
        <w:t xml:space="preserve">hift to those who need it the most (Wang </w:t>
      </w:r>
      <w:r>
        <w:rPr>
          <w:rFonts w:ascii="Times New Roman" w:eastAsia="Times New Roman" w:hAnsi="Times New Roman" w:cs="Times New Roman"/>
          <w:i/>
          <w:iCs/>
          <w:color w:val="000000"/>
          <w:sz w:val="24"/>
          <w:szCs w:val="24"/>
        </w:rPr>
        <w:t>et al.</w:t>
      </w:r>
      <w:r>
        <w:rPr>
          <w:rFonts w:ascii="Times New Roman" w:eastAsia="Times New Roman" w:hAnsi="Times New Roman" w:cs="Times New Roman"/>
          <w:color w:val="000000"/>
          <w:sz w:val="24"/>
          <w:szCs w:val="24"/>
        </w:rPr>
        <w:t xml:space="preserve"> 2024). This way, weekly and daily timetables for hospital activities such as discharge times, outpatient visiting hours and admitted patient consultation hours can all have distinct levels of support from managers without overwhelming the system and its resources.</w:t>
      </w:r>
    </w:p>
    <w:p w14:paraId="50628BB3" w14:textId="77777777" w:rsidR="00071FF1" w:rsidRDefault="000F0C0F">
      <w:pPr>
        <w:pStyle w:val="Heading2"/>
      </w:pPr>
      <w:bookmarkStart w:id="14" w:name="_l585qadqvu8b" w:colFirst="0" w:colLast="0"/>
      <w:bookmarkEnd w:id="14"/>
      <w:r>
        <w:t>3.3 Governance Strategy</w:t>
      </w:r>
    </w:p>
    <w:p w14:paraId="6F963B60" w14:textId="77777777" w:rsidR="00071FF1" w:rsidRDefault="000F0C0F">
      <w:pPr>
        <w:pBdr>
          <w:top w:val="nil"/>
          <w:left w:val="nil"/>
          <w:bottom w:val="nil"/>
          <w:right w:val="nil"/>
          <w:between w:val="nil"/>
        </w:pBdr>
        <w:spacing w:before="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 situational leadership may also help release pressure from existing governance and oversight committees within the hospital departments and help to simplify the communication structure by adopting digital infrastructures for better system integration. The governance system can be strengthened via minimum oversight responsibilities in the quarterly auditing process only, while digital integration of patient records can automate entries and update to flag errors and thus lessen daily or even monthly revie</w:t>
      </w:r>
      <w:r>
        <w:rPr>
          <w:rFonts w:ascii="Times New Roman" w:eastAsia="Times New Roman" w:hAnsi="Times New Roman" w:cs="Times New Roman"/>
          <w:color w:val="000000"/>
          <w:sz w:val="24"/>
          <w:szCs w:val="24"/>
        </w:rPr>
        <w:t xml:space="preserve">w needs (Kawu </w:t>
      </w:r>
      <w:r>
        <w:rPr>
          <w:rFonts w:ascii="Times New Roman" w:eastAsia="Times New Roman" w:hAnsi="Times New Roman" w:cs="Times New Roman"/>
          <w:i/>
          <w:iCs/>
          <w:color w:val="000000"/>
          <w:sz w:val="24"/>
          <w:szCs w:val="24"/>
        </w:rPr>
        <w:t>et al.</w:t>
      </w:r>
      <w:r>
        <w:rPr>
          <w:rFonts w:ascii="Times New Roman" w:eastAsia="Times New Roman" w:hAnsi="Times New Roman" w:cs="Times New Roman"/>
          <w:color w:val="000000"/>
          <w:sz w:val="24"/>
          <w:szCs w:val="24"/>
        </w:rPr>
        <w:t xml:space="preserve"> 2023; Jindal and Raziuddin, 2018). The digital integration system would ideally also allow automated communication of patient records, preventing human errors in filing, submission or omissions of details.</w:t>
      </w:r>
    </w:p>
    <w:p w14:paraId="7170BA8C" w14:textId="77777777" w:rsidR="00071FF1" w:rsidRDefault="000F0C0F">
      <w:pPr>
        <w:pStyle w:val="Heading2"/>
      </w:pPr>
      <w:bookmarkStart w:id="15" w:name="_jrw69ftzpv9" w:colFirst="0" w:colLast="0"/>
      <w:bookmarkEnd w:id="15"/>
      <w:r>
        <w:t>3.4 Efficiency Improvement</w:t>
      </w:r>
    </w:p>
    <w:p w14:paraId="0CB183A0" w14:textId="77777777" w:rsidR="00071FF1" w:rsidRDefault="000F0C0F">
      <w:pPr>
        <w:pBdr>
          <w:top w:val="nil"/>
          <w:left w:val="nil"/>
          <w:bottom w:val="nil"/>
          <w:right w:val="nil"/>
          <w:between w:val="nil"/>
        </w:pBdr>
        <w:spacing w:before="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Besides the reduction of human errors in filing through digital patient record management systems, it is also recommended that decision-making models incorporated within the patient databases help to highlight and clarify patient insights and histories with transparent algorithmic clarity (Akbar </w:t>
      </w:r>
      <w:r>
        <w:rPr>
          <w:rFonts w:ascii="Times New Roman" w:eastAsia="Times New Roman" w:hAnsi="Times New Roman" w:cs="Times New Roman"/>
          <w:i/>
          <w:iCs/>
          <w:color w:val="000000"/>
          <w:sz w:val="24"/>
          <w:szCs w:val="24"/>
        </w:rPr>
        <w:t>et al.</w:t>
      </w:r>
      <w:r>
        <w:rPr>
          <w:rFonts w:ascii="Times New Roman" w:eastAsia="Times New Roman" w:hAnsi="Times New Roman" w:cs="Times New Roman"/>
          <w:color w:val="000000"/>
          <w:sz w:val="24"/>
          <w:szCs w:val="24"/>
        </w:rPr>
        <w:t xml:space="preserve"> 2021). This is essential for not only improving efficiency but also reducing the burden on governance that may arise from algorithmic risks of digital tools in electronic health records (Gilbert </w:t>
      </w:r>
      <w:r>
        <w:rPr>
          <w:rFonts w:ascii="Times New Roman" w:eastAsia="Times New Roman" w:hAnsi="Times New Roman" w:cs="Times New Roman"/>
          <w:i/>
          <w:iCs/>
          <w:color w:val="000000"/>
          <w:sz w:val="24"/>
          <w:szCs w:val="24"/>
        </w:rPr>
        <w:t>et al.</w:t>
      </w:r>
      <w:r>
        <w:rPr>
          <w:rFonts w:ascii="Times New Roman" w:eastAsia="Times New Roman" w:hAnsi="Times New Roman" w:cs="Times New Roman"/>
          <w:color w:val="000000"/>
          <w:sz w:val="24"/>
          <w:szCs w:val="24"/>
        </w:rPr>
        <w:t xml:space="preserve"> 2023). However, the summary and patient history access can not only improve clinical assessment of patients in a timely manner but also reduce dedicated resource allocation for referral and patient care transition systems, which has been the centre of the issue of the case study (Wilberforce </w:t>
      </w:r>
      <w:r>
        <w:rPr>
          <w:rFonts w:ascii="Times New Roman" w:eastAsia="Times New Roman" w:hAnsi="Times New Roman" w:cs="Times New Roman"/>
          <w:i/>
          <w:iCs/>
          <w:color w:val="000000"/>
          <w:sz w:val="24"/>
          <w:szCs w:val="24"/>
        </w:rPr>
        <w:t>et al.</w:t>
      </w:r>
      <w:r>
        <w:rPr>
          <w:rFonts w:ascii="Times New Roman" w:eastAsia="Times New Roman" w:hAnsi="Times New Roman" w:cs="Times New Roman"/>
          <w:color w:val="000000"/>
          <w:sz w:val="24"/>
          <w:szCs w:val="24"/>
        </w:rPr>
        <w:t xml:space="preserve"> 201</w:t>
      </w:r>
      <w:r>
        <w:rPr>
          <w:rFonts w:ascii="Times New Roman" w:eastAsia="Times New Roman" w:hAnsi="Times New Roman" w:cs="Times New Roman"/>
          <w:color w:val="000000"/>
          <w:sz w:val="24"/>
          <w:szCs w:val="24"/>
        </w:rPr>
        <w:t>7). It is therefore recommended that the NHS consider deploying an explainable AI within their electronic medical health records to facilitate easier access for patient information and clinical diagnosis, but utilize human assisted digital patient referral and care system models to reduce complete autonomy in case of technical glitches.</w:t>
      </w:r>
    </w:p>
    <w:p w14:paraId="111340DC" w14:textId="77777777" w:rsidR="00071FF1" w:rsidRDefault="000F0C0F">
      <w:pPr>
        <w:pStyle w:val="Heading2"/>
      </w:pPr>
      <w:bookmarkStart w:id="16" w:name="_nohlcu1p4tq7" w:colFirst="0" w:colLast="0"/>
      <w:bookmarkEnd w:id="16"/>
      <w:r>
        <w:t>3.5 Iterative Improvement</w:t>
      </w:r>
    </w:p>
    <w:p w14:paraId="2AABE016" w14:textId="77777777" w:rsidR="00071FF1" w:rsidRDefault="000F0C0F">
      <w:pPr>
        <w:pBdr>
          <w:top w:val="nil"/>
          <w:left w:val="nil"/>
          <w:bottom w:val="nil"/>
          <w:right w:val="nil"/>
          <w:between w:val="nil"/>
        </w:pBdr>
        <w:spacing w:before="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This digital patient records and care management recommended in conjunction with the situational leadership style helps with the NHS’s ability to maintain stakeholder engagement long term and open up avenues for value co-creation and continuous development and improvement of its care. This is possible if the NHS reports on their digital patient records system transparently to all of their patients, local and national government bodies. Additionally, the NHS must also remain open to suggestions from all invo</w:t>
      </w:r>
      <w:r>
        <w:rPr>
          <w:rFonts w:ascii="Times New Roman" w:eastAsia="Times New Roman" w:hAnsi="Times New Roman" w:cs="Times New Roman"/>
          <w:color w:val="000000"/>
          <w:sz w:val="24"/>
          <w:szCs w:val="24"/>
        </w:rPr>
        <w:t>lved participants, ranging from internal staff, external suppliers, legislative authorities, as well as the government and patients. These iterative improvements within the NHS digital health care infrastructure could be possible as the findings of the case study have repeatedly observed how communication gaps and referral system complexities have impacted patient experiences, implying that there are limited scope improvements adopted by the NHS directly through patient communication of concern.</w:t>
      </w:r>
    </w:p>
    <w:p w14:paraId="1EC06D42" w14:textId="77777777" w:rsidR="00071FF1" w:rsidRDefault="000F0C0F">
      <w:pPr>
        <w:pStyle w:val="Heading1"/>
      </w:pPr>
      <w:bookmarkStart w:id="17" w:name="_yups5c82zbbq" w:colFirst="0" w:colLast="0"/>
      <w:bookmarkEnd w:id="17"/>
      <w:r>
        <w:t>4. Conclusion</w:t>
      </w:r>
    </w:p>
    <w:p w14:paraId="572C3878" w14:textId="77777777" w:rsidR="00071FF1" w:rsidRDefault="000F0C0F">
      <w:pPr>
        <w:pBdr>
          <w:top w:val="nil"/>
          <w:left w:val="nil"/>
          <w:bottom w:val="nil"/>
          <w:right w:val="nil"/>
          <w:between w:val="nil"/>
        </w:pBdr>
        <w:spacing w:before="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In conclusion, this case study analysis seems to highlight the main findings to be in the approach to management of patient information that has been tackled in the pharmacy and primary health care. The case suggesting the overdose of morphine to infinite not only originally stemmed from the lack of communication from the NHS to warn the patient and the general physician about an existing solution specialized for the hospital use only that the neonatal team has prescribed, But the pharmacists lack of commun</w:t>
      </w:r>
      <w:r>
        <w:rPr>
          <w:rFonts w:ascii="Times New Roman" w:eastAsia="Times New Roman" w:hAnsi="Times New Roman" w:cs="Times New Roman"/>
          <w:color w:val="000000"/>
          <w:sz w:val="24"/>
          <w:szCs w:val="24"/>
        </w:rPr>
        <w:t>ication to validate and cross the liquid accuracy inclusion of the adjusted liquid amount on the transcription further ensured continuation of the error. This has been corroborated by qualitative and quantitative evidence from the NHS, suggesting organisational discrepancies in communication management and poor overall staff satisfaction and engagement that have perpetuated this vicious cycle of disengagement and work pressure-induced attrition. As a result, the leaders' approach to managing effective trans</w:t>
      </w:r>
      <w:r>
        <w:rPr>
          <w:rFonts w:ascii="Times New Roman" w:eastAsia="Times New Roman" w:hAnsi="Times New Roman" w:cs="Times New Roman"/>
          <w:color w:val="000000"/>
          <w:sz w:val="24"/>
          <w:szCs w:val="24"/>
        </w:rPr>
        <w:t>fer of and handling patient information efficiently has required careful consideration of digital imperatives that could minimize humans without introducing legal risks associated with current healthcare technologies.</w:t>
      </w:r>
    </w:p>
    <w:p w14:paraId="567F35F9" w14:textId="77777777" w:rsidR="00071FF1" w:rsidRDefault="000F0C0F">
      <w:pPr>
        <w:pBdr>
          <w:top w:val="nil"/>
          <w:left w:val="nil"/>
          <w:bottom w:val="nil"/>
          <w:right w:val="nil"/>
          <w:between w:val="nil"/>
        </w:pBdr>
        <w:spacing w:before="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Throughout this case study evaluation it has been observed how important the role of leadership and good governance is to transparent and accountable health care infrastructure PDF whether it is the exploration of transformational leaders and situational leadership having intricately unique organizational outcomes for the NHS or the strategic development discussion accountability and governance framework structures to validate or crosscheck clinical negligence contexts, case study analysis has maintained a </w:t>
      </w:r>
      <w:r>
        <w:rPr>
          <w:rFonts w:ascii="Times New Roman" w:eastAsia="Times New Roman" w:hAnsi="Times New Roman" w:cs="Times New Roman"/>
          <w:color w:val="000000"/>
          <w:sz w:val="24"/>
          <w:szCs w:val="24"/>
        </w:rPr>
        <w:t>consistent view on addressing the presented issue and offer long term strategies for retroactive change. This has been made possible due to a systems thinking perspective continuously underlining how leadership, technical infrastructure and governance can all contribute to improved communication, reduced error and higher quality patient care system.</w:t>
      </w:r>
      <w:r>
        <w:br w:type="page"/>
      </w:r>
    </w:p>
    <w:p w14:paraId="69467E40" w14:textId="77777777" w:rsidR="00071FF1" w:rsidRDefault="000F0C0F">
      <w:pPr>
        <w:pStyle w:val="Heading1"/>
        <w:rPr>
          <w:color w:val="222222"/>
          <w:sz w:val="20"/>
          <w:szCs w:val="20"/>
          <w:highlight w:val="white"/>
        </w:rPr>
      </w:pPr>
      <w:bookmarkStart w:id="18" w:name="_q31tvsyeifqc" w:colFirst="0" w:colLast="0"/>
      <w:bookmarkEnd w:id="18"/>
      <w:r>
        <w:t>References</w:t>
      </w:r>
    </w:p>
    <w:p w14:paraId="50665390" w14:textId="77777777" w:rsidR="00071FF1" w:rsidRDefault="000F0C0F">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AbdelRaouf, H., Abouyoussef, M., Fouda, M.M., Fadlullah, Z.M. and Ibrahem, M.I., 2025, June. Towards decentralized, secure, and efficient adaptive learning for robust healthcare monitoring. In </w:t>
      </w:r>
      <w:r>
        <w:rPr>
          <w:rFonts w:ascii="Times New Roman" w:eastAsia="Times New Roman" w:hAnsi="Times New Roman" w:cs="Times New Roman"/>
          <w:i/>
          <w:iCs/>
          <w:color w:val="222222"/>
          <w:sz w:val="24"/>
          <w:szCs w:val="24"/>
          <w:highlight w:val="white"/>
        </w:rPr>
        <w:t>ICC 2025-IEEE International Conference on Communications</w:t>
      </w:r>
      <w:r>
        <w:rPr>
          <w:rFonts w:ascii="Times New Roman" w:eastAsia="Times New Roman" w:hAnsi="Times New Roman" w:cs="Times New Roman"/>
          <w:color w:val="222222"/>
          <w:sz w:val="24"/>
          <w:szCs w:val="24"/>
          <w:highlight w:val="white"/>
        </w:rPr>
        <w:t xml:space="preserve"> (pp. 5469-5474). IEEE. </w:t>
      </w:r>
      <w:hyperlink r:id="rId12">
        <w:r>
          <w:rPr>
            <w:rFonts w:ascii="Times New Roman" w:eastAsia="Times New Roman" w:hAnsi="Times New Roman" w:cs="Times New Roman"/>
            <w:color w:val="1155CC"/>
            <w:sz w:val="24"/>
            <w:szCs w:val="24"/>
            <w:highlight w:val="white"/>
            <w:u w:val="single"/>
          </w:rPr>
          <w:t>https://doi.org/10.1109/ICC52391.2025.11161996</w:t>
        </w:r>
      </w:hyperlink>
    </w:p>
    <w:p w14:paraId="00A08DE3" w14:textId="77777777" w:rsidR="00071FF1" w:rsidRDefault="000F0C0F">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222222"/>
          <w:sz w:val="24"/>
          <w:szCs w:val="24"/>
          <w:highlight w:val="white"/>
        </w:rPr>
        <w:t xml:space="preserve">Akbar, S., Lyell, D. and Magrabi, F., 2021. Automation in nursing decision support systems: a systematic review of effects on decision making, care delivery, and patient outcomes. </w:t>
      </w:r>
      <w:r>
        <w:rPr>
          <w:rFonts w:ascii="Times New Roman" w:eastAsia="Times New Roman" w:hAnsi="Times New Roman" w:cs="Times New Roman"/>
          <w:i/>
          <w:iCs/>
          <w:color w:val="222222"/>
          <w:sz w:val="24"/>
          <w:szCs w:val="24"/>
          <w:highlight w:val="white"/>
        </w:rPr>
        <w:t>Journal of the American Medical Informatics Association</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28</w:t>
      </w:r>
      <w:r>
        <w:rPr>
          <w:rFonts w:ascii="Times New Roman" w:eastAsia="Times New Roman" w:hAnsi="Times New Roman" w:cs="Times New Roman"/>
          <w:color w:val="222222"/>
          <w:sz w:val="24"/>
          <w:szCs w:val="24"/>
          <w:highlight w:val="white"/>
        </w:rPr>
        <w:t xml:space="preserve">(11), pp.2502-2513. </w:t>
      </w:r>
      <w:hyperlink r:id="rId13">
        <w:r>
          <w:rPr>
            <w:rFonts w:ascii="Times New Roman" w:eastAsia="Times New Roman" w:hAnsi="Times New Roman" w:cs="Times New Roman"/>
            <w:color w:val="1155CC"/>
            <w:sz w:val="24"/>
            <w:szCs w:val="24"/>
            <w:highlight w:val="white"/>
            <w:u w:val="single"/>
          </w:rPr>
          <w:t>https://doi.org/10.1093/jamia/ocab123</w:t>
        </w:r>
      </w:hyperlink>
    </w:p>
    <w:p w14:paraId="2A6FF763" w14:textId="77777777" w:rsidR="00071FF1" w:rsidRDefault="000F0C0F">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Akinyemi, B., George, B. and Ogundele, A., 2022. Relationship between job satisfaction, pay, affective commitment and turnover intention among registered nurses in Nigeria. </w:t>
      </w:r>
      <w:r>
        <w:rPr>
          <w:rFonts w:ascii="Times New Roman" w:eastAsia="Times New Roman" w:hAnsi="Times New Roman" w:cs="Times New Roman"/>
          <w:i/>
          <w:iCs/>
          <w:color w:val="222222"/>
          <w:sz w:val="24"/>
          <w:szCs w:val="24"/>
          <w:highlight w:val="white"/>
        </w:rPr>
        <w:t>Global Journal of Health Science</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14</w:t>
      </w:r>
      <w:r>
        <w:rPr>
          <w:rFonts w:ascii="Times New Roman" w:eastAsia="Times New Roman" w:hAnsi="Times New Roman" w:cs="Times New Roman"/>
          <w:color w:val="222222"/>
          <w:sz w:val="24"/>
          <w:szCs w:val="24"/>
          <w:highlight w:val="white"/>
        </w:rPr>
        <w:t xml:space="preserve">(2), p.37. </w:t>
      </w:r>
      <w:hyperlink r:id="rId14">
        <w:r>
          <w:rPr>
            <w:rFonts w:ascii="Times New Roman" w:eastAsia="Times New Roman" w:hAnsi="Times New Roman" w:cs="Times New Roman"/>
            <w:color w:val="1155CC"/>
            <w:sz w:val="24"/>
            <w:szCs w:val="24"/>
            <w:highlight w:val="white"/>
            <w:u w:val="single"/>
          </w:rPr>
          <w:t>https://doi.org/10.5539/gjhs.v14n2p37</w:t>
        </w:r>
      </w:hyperlink>
    </w:p>
    <w:p w14:paraId="2472541B" w14:textId="77777777" w:rsidR="00071FF1" w:rsidRDefault="000F0C0F">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Alrowily, A., Alfaraidy, K., Almutairi, S., Alamri, A., Alrowily, W., Abutaleb, M., Zaitoun, M., Sarawi, W. and Aljead, M., 2025. High-risk medication errors: Insight from the UK National Reporting and learning system. </w:t>
      </w:r>
      <w:r>
        <w:rPr>
          <w:rFonts w:ascii="Times New Roman" w:eastAsia="Times New Roman" w:hAnsi="Times New Roman" w:cs="Times New Roman"/>
          <w:i/>
          <w:iCs/>
          <w:color w:val="222222"/>
          <w:sz w:val="24"/>
          <w:szCs w:val="24"/>
          <w:highlight w:val="white"/>
        </w:rPr>
        <w:t>Exploratory Research in Clinical and Social Pharmacy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17</w:t>
      </w:r>
      <w:r>
        <w:rPr>
          <w:rFonts w:ascii="Times New Roman" w:eastAsia="Times New Roman" w:hAnsi="Times New Roman" w:cs="Times New Roman"/>
          <w:color w:val="222222"/>
          <w:sz w:val="24"/>
          <w:szCs w:val="24"/>
          <w:highlight w:val="white"/>
        </w:rPr>
        <w:t xml:space="preserve">, p.100531. </w:t>
      </w:r>
      <w:hyperlink r:id="rId15">
        <w:r>
          <w:rPr>
            <w:rFonts w:ascii="Times New Roman" w:eastAsia="Times New Roman" w:hAnsi="Times New Roman" w:cs="Times New Roman"/>
            <w:color w:val="1155CC"/>
            <w:sz w:val="24"/>
            <w:szCs w:val="24"/>
            <w:highlight w:val="white"/>
            <w:u w:val="single"/>
          </w:rPr>
          <w:t>https://doi.org/10.1016/j.rcsop.2024.100531</w:t>
        </w:r>
      </w:hyperlink>
    </w:p>
    <w:p w14:paraId="51114532" w14:textId="77777777" w:rsidR="00071FF1" w:rsidRDefault="000F0C0F">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Anno, E.F., 2025. Effect of Leadership and Management Inefficiencies on Employee Motivation and Engagement in Community-Based Organizations in Turkana, Kenya. </w:t>
      </w:r>
      <w:r>
        <w:rPr>
          <w:rFonts w:ascii="Times New Roman" w:eastAsia="Times New Roman" w:hAnsi="Times New Roman" w:cs="Times New Roman"/>
          <w:i/>
          <w:iCs/>
          <w:color w:val="222222"/>
          <w:sz w:val="24"/>
          <w:szCs w:val="24"/>
          <w:highlight w:val="white"/>
        </w:rPr>
        <w:t>IRASS Journal of Arts, Humanities and Social Sciences Abbriviate Title-IRASS J Arts Humanit Soc Sci ISSN</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2</w:t>
      </w:r>
      <w:r>
        <w:rPr>
          <w:rFonts w:ascii="Times New Roman" w:eastAsia="Times New Roman" w:hAnsi="Times New Roman" w:cs="Times New Roman"/>
          <w:color w:val="222222"/>
          <w:sz w:val="24"/>
          <w:szCs w:val="24"/>
          <w:highlight w:val="white"/>
        </w:rPr>
        <w:t xml:space="preserve">(5). </w:t>
      </w:r>
      <w:hyperlink r:id="rId16">
        <w:r>
          <w:rPr>
            <w:rFonts w:ascii="Times New Roman" w:eastAsia="Times New Roman" w:hAnsi="Times New Roman" w:cs="Times New Roman"/>
            <w:color w:val="1155CC"/>
            <w:sz w:val="24"/>
            <w:szCs w:val="24"/>
            <w:highlight w:val="white"/>
            <w:u w:val="single"/>
          </w:rPr>
          <w:t>https://scholarworks.calstate.edu/downloads/44558m06c</w:t>
        </w:r>
      </w:hyperlink>
    </w:p>
    <w:p w14:paraId="1E9865E5" w14:textId="77777777" w:rsidR="00071FF1" w:rsidRDefault="000F0C0F">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Atinga, R.A., Gmaligan, M.N., Ayawine, A. and Yambah, J.K., 2024. “It's the patient that suffers from poor communication”: Analyzing communication gaps and associated consequences in handover events from nurses’ experiences. </w:t>
      </w:r>
      <w:r>
        <w:rPr>
          <w:rFonts w:ascii="Times New Roman" w:eastAsia="Times New Roman" w:hAnsi="Times New Roman" w:cs="Times New Roman"/>
          <w:i/>
          <w:iCs/>
          <w:color w:val="222222"/>
          <w:sz w:val="24"/>
          <w:szCs w:val="24"/>
          <w:highlight w:val="white"/>
        </w:rPr>
        <w:t>SSM-Qualitative Research in Health</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6</w:t>
      </w:r>
      <w:r>
        <w:rPr>
          <w:rFonts w:ascii="Times New Roman" w:eastAsia="Times New Roman" w:hAnsi="Times New Roman" w:cs="Times New Roman"/>
          <w:color w:val="222222"/>
          <w:sz w:val="24"/>
          <w:szCs w:val="24"/>
          <w:highlight w:val="white"/>
        </w:rPr>
        <w:t xml:space="preserve">, p.100482. </w:t>
      </w:r>
      <w:hyperlink r:id="rId17">
        <w:r>
          <w:rPr>
            <w:rFonts w:ascii="Times New Roman" w:eastAsia="Times New Roman" w:hAnsi="Times New Roman" w:cs="Times New Roman"/>
            <w:color w:val="1155CC"/>
            <w:sz w:val="24"/>
            <w:szCs w:val="24"/>
            <w:highlight w:val="white"/>
            <w:u w:val="single"/>
          </w:rPr>
          <w:t>https://doi.org/10.1016/j.ssmqr.2024.100482</w:t>
        </w:r>
      </w:hyperlink>
    </w:p>
    <w:p w14:paraId="5789D270" w14:textId="77777777" w:rsidR="00071FF1" w:rsidRDefault="000F0C0F">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Bans-Akutey, A. and Tiimub, B.M., 2021. Assessing transactional and transformational leadership on workgroup behaviour. </w:t>
      </w:r>
      <w:r>
        <w:rPr>
          <w:rFonts w:ascii="Times New Roman" w:eastAsia="Times New Roman" w:hAnsi="Times New Roman" w:cs="Times New Roman"/>
          <w:i/>
          <w:iCs/>
          <w:color w:val="222222"/>
          <w:sz w:val="24"/>
          <w:szCs w:val="24"/>
          <w:highlight w:val="white"/>
        </w:rPr>
        <w:t>Academia Letters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2</w:t>
      </w:r>
      <w:r>
        <w:rPr>
          <w:rFonts w:ascii="Times New Roman" w:eastAsia="Times New Roman" w:hAnsi="Times New Roman" w:cs="Times New Roman"/>
          <w:color w:val="222222"/>
          <w:sz w:val="24"/>
          <w:szCs w:val="24"/>
          <w:highlight w:val="white"/>
        </w:rPr>
        <w:t xml:space="preserve">. </w:t>
      </w:r>
      <w:hyperlink r:id="rId18">
        <w:r>
          <w:rPr>
            <w:rFonts w:ascii="Times New Roman" w:eastAsia="Times New Roman" w:hAnsi="Times New Roman" w:cs="Times New Roman"/>
            <w:color w:val="1155CC"/>
            <w:sz w:val="24"/>
            <w:szCs w:val="24"/>
            <w:highlight w:val="white"/>
            <w:u w:val="single"/>
          </w:rPr>
          <w:t>https://doi.org/10.20935/AL3044</w:t>
        </w:r>
      </w:hyperlink>
    </w:p>
    <w:p w14:paraId="5D5B0121" w14:textId="77777777" w:rsidR="00071FF1" w:rsidRDefault="000F0C0F">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Bass, B.L., 2019. What is leadership?. In </w:t>
      </w:r>
      <w:r>
        <w:rPr>
          <w:rFonts w:ascii="Times New Roman" w:eastAsia="Times New Roman" w:hAnsi="Times New Roman" w:cs="Times New Roman"/>
          <w:i/>
          <w:iCs/>
          <w:color w:val="222222"/>
          <w:sz w:val="24"/>
          <w:szCs w:val="24"/>
          <w:highlight w:val="white"/>
        </w:rPr>
        <w:t>Leadership in surgery</w:t>
      </w:r>
      <w:r>
        <w:rPr>
          <w:rFonts w:ascii="Times New Roman" w:eastAsia="Times New Roman" w:hAnsi="Times New Roman" w:cs="Times New Roman"/>
          <w:color w:val="222222"/>
          <w:sz w:val="24"/>
          <w:szCs w:val="24"/>
          <w:highlight w:val="white"/>
        </w:rPr>
        <w:t xml:space="preserve"> (pp. 1-10). Cham: Springer International Publishing. </w:t>
      </w:r>
      <w:hyperlink r:id="rId19">
        <w:r>
          <w:rPr>
            <w:rFonts w:ascii="Times New Roman" w:eastAsia="Times New Roman" w:hAnsi="Times New Roman" w:cs="Times New Roman"/>
            <w:color w:val="1155CC"/>
            <w:sz w:val="24"/>
            <w:szCs w:val="24"/>
            <w:highlight w:val="white"/>
            <w:u w:val="single"/>
          </w:rPr>
          <w:t>https://doi.org/10.1007/978-3-030-19854-1_1</w:t>
        </w:r>
      </w:hyperlink>
    </w:p>
    <w:p w14:paraId="07474527" w14:textId="77777777" w:rsidR="00071FF1" w:rsidRDefault="000F0C0F">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BMJ, 2020. 237+ million medication errors made every year in England. Available at: </w:t>
      </w:r>
      <w:hyperlink r:id="rId20" w:anchor=":~:text=born%20in%20Canada-,237+%20million%20medication%20errors%20made%20every%20year%20in%20England,linked%20to%20heightened%20death%20risk">
        <w:r>
          <w:rPr>
            <w:rFonts w:ascii="Times New Roman" w:eastAsia="Times New Roman" w:hAnsi="Times New Roman" w:cs="Times New Roman"/>
            <w:color w:val="1155CC"/>
            <w:sz w:val="24"/>
            <w:szCs w:val="24"/>
            <w:highlight w:val="white"/>
            <w:u w:val="single"/>
          </w:rPr>
          <w:t>https://www.bmj.com/company/%20newsroom/237-million-medication-errors-made-every-year-in-england/#:~:text=born%20in%20Canada-,237+%20million%20medication%20errors%20made%20every%20year%20in%20England,linked%20to%20heightened%20death%20risk</w:t>
        </w:r>
      </w:hyperlink>
      <w:r>
        <w:rPr>
          <w:rFonts w:ascii="Times New Roman" w:eastAsia="Times New Roman" w:hAnsi="Times New Roman" w:cs="Times New Roman"/>
          <w:color w:val="222222"/>
          <w:sz w:val="24"/>
          <w:szCs w:val="24"/>
          <w:highlight w:val="white"/>
        </w:rPr>
        <w:t xml:space="preserve"> (Accessed: March 6, 2026).</w:t>
      </w:r>
    </w:p>
    <w:p w14:paraId="5434ADCD" w14:textId="77777777" w:rsidR="00071FF1" w:rsidRDefault="000F0C0F">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Brunton-Douglas. T., De Costa. A., Gomez. P. G., Brightwell. A., And Levin. M., 2023. “I L VE THE NHS, BUT…” PREVENTING NEEDLESS HARMS CAUSED BY POOR COMMUNICATIONS IN THE NHS. Available at: </w:t>
      </w:r>
      <w:hyperlink r:id="rId21">
        <w:r>
          <w:rPr>
            <w:rFonts w:ascii="Times New Roman" w:eastAsia="Times New Roman" w:hAnsi="Times New Roman" w:cs="Times New Roman"/>
            <w:color w:val="1155CC"/>
            <w:sz w:val="24"/>
            <w:szCs w:val="24"/>
            <w:highlight w:val="white"/>
            <w:u w:val="single"/>
          </w:rPr>
          <w:t>https://demos.co.uk/wp-content/uploads/2023/11/Preventing-needless-harms-caused-by-poor-comms-in-the-NHS-1.pdf</w:t>
        </w:r>
      </w:hyperlink>
      <w:r>
        <w:rPr>
          <w:rFonts w:ascii="Times New Roman" w:eastAsia="Times New Roman" w:hAnsi="Times New Roman" w:cs="Times New Roman"/>
          <w:color w:val="222222"/>
          <w:sz w:val="24"/>
          <w:szCs w:val="24"/>
          <w:highlight w:val="white"/>
        </w:rPr>
        <w:t xml:space="preserve"> (Accessed: March 6, 2026).</w:t>
      </w:r>
    </w:p>
    <w:p w14:paraId="03FC7A00" w14:textId="77777777" w:rsidR="00071FF1" w:rsidRDefault="000F0C0F">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Buckingham. N., 2025. NHS workforce in a nutshell. Available at: </w:t>
      </w:r>
      <w:hyperlink r:id="rId22">
        <w:r>
          <w:rPr>
            <w:rFonts w:ascii="Times New Roman" w:eastAsia="Times New Roman" w:hAnsi="Times New Roman" w:cs="Times New Roman"/>
            <w:color w:val="1155CC"/>
            <w:sz w:val="24"/>
            <w:szCs w:val="24"/>
            <w:highlight w:val="white"/>
            <w:u w:val="single"/>
          </w:rPr>
          <w:t>https://www.kingsfund.org.uk/insight-and-analysis/data-and-charts/nhs-workforce-nutshell</w:t>
        </w:r>
      </w:hyperlink>
      <w:r>
        <w:rPr>
          <w:rFonts w:ascii="Times New Roman" w:eastAsia="Times New Roman" w:hAnsi="Times New Roman" w:cs="Times New Roman"/>
          <w:color w:val="222222"/>
          <w:sz w:val="24"/>
          <w:szCs w:val="24"/>
          <w:highlight w:val="white"/>
        </w:rPr>
        <w:t xml:space="preserve"> (Accessed: March 6, 2026).</w:t>
      </w:r>
    </w:p>
    <w:p w14:paraId="07E11464" w14:textId="77777777" w:rsidR="00071FF1" w:rsidRDefault="000F0C0F">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Freund, Y., Rousseau, A., Berard, L., Goulet, H., Ray, P., Bloom, B., Simon, T. and Riou, B., 2015. Cross-checking to reduce adverse events resulting from medical errors in the emergency department: study protocol of the CHARMED cluster randomized study. </w:t>
      </w:r>
      <w:r>
        <w:rPr>
          <w:rFonts w:ascii="Times New Roman" w:eastAsia="Times New Roman" w:hAnsi="Times New Roman" w:cs="Times New Roman"/>
          <w:i/>
          <w:iCs/>
          <w:color w:val="222222"/>
          <w:sz w:val="24"/>
          <w:szCs w:val="24"/>
          <w:highlight w:val="white"/>
        </w:rPr>
        <w:t>BMC Emergency Medicine</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15</w:t>
      </w:r>
      <w:r>
        <w:rPr>
          <w:rFonts w:ascii="Times New Roman" w:eastAsia="Times New Roman" w:hAnsi="Times New Roman" w:cs="Times New Roman"/>
          <w:color w:val="222222"/>
          <w:sz w:val="24"/>
          <w:szCs w:val="24"/>
          <w:highlight w:val="white"/>
        </w:rPr>
        <w:t xml:space="preserve">(1), p.21. </w:t>
      </w:r>
      <w:hyperlink r:id="rId23">
        <w:r>
          <w:rPr>
            <w:rFonts w:ascii="Times New Roman" w:eastAsia="Times New Roman" w:hAnsi="Times New Roman" w:cs="Times New Roman"/>
            <w:color w:val="1155CC"/>
            <w:sz w:val="24"/>
            <w:szCs w:val="24"/>
            <w:highlight w:val="white"/>
            <w:u w:val="single"/>
          </w:rPr>
          <w:t>https://doi.org/10.1186/s12873-015-0046-1</w:t>
        </w:r>
      </w:hyperlink>
    </w:p>
    <w:p w14:paraId="60D7F141" w14:textId="77777777" w:rsidR="00071FF1" w:rsidRDefault="000F0C0F">
      <w:pPr>
        <w:spacing w:before="240" w:after="240" w:line="360" w:lineRule="auto"/>
        <w:jc w:val="both"/>
        <w:rPr>
          <w:rFonts w:ascii="Times New Roman" w:eastAsia="Times New Roman" w:hAnsi="Times New Roman" w:cs="Times New Roman"/>
          <w:color w:val="FF0000"/>
          <w:sz w:val="24"/>
          <w:szCs w:val="24"/>
          <w:highlight w:val="white"/>
        </w:rPr>
      </w:pPr>
      <w:r>
        <w:rPr>
          <w:rFonts w:ascii="Times New Roman" w:eastAsia="Times New Roman" w:hAnsi="Times New Roman" w:cs="Times New Roman"/>
          <w:sz w:val="24"/>
          <w:szCs w:val="24"/>
          <w:highlight w:val="white"/>
        </w:rPr>
        <w:t>Fulop, N. and Ramsay, A., 2021. How organisations contribute to improving healthcare quality. BMJ Leader, 5(4), pp.278–283.</w:t>
      </w:r>
      <w:r>
        <w:rPr>
          <w:rFonts w:ascii="Times New Roman" w:eastAsia="Times New Roman" w:hAnsi="Times New Roman" w:cs="Times New Roman"/>
          <w:color w:val="FF0000"/>
          <w:sz w:val="24"/>
          <w:szCs w:val="24"/>
          <w:highlight w:val="white"/>
        </w:rPr>
        <w:t xml:space="preserve"> </w:t>
      </w:r>
      <w:hyperlink r:id="rId24">
        <w:r>
          <w:rPr>
            <w:rFonts w:ascii="Times New Roman" w:eastAsia="Times New Roman" w:hAnsi="Times New Roman" w:cs="Times New Roman"/>
            <w:color w:val="1155CC"/>
            <w:sz w:val="24"/>
            <w:szCs w:val="24"/>
            <w:highlight w:val="white"/>
            <w:u w:val="single"/>
          </w:rPr>
          <w:t>https://doi.org/10.1136/leader-2020-000323</w:t>
        </w:r>
      </w:hyperlink>
      <w:r>
        <w:rPr>
          <w:rFonts w:ascii="Times New Roman" w:eastAsia="Times New Roman" w:hAnsi="Times New Roman" w:cs="Times New Roman"/>
          <w:color w:val="FF0000"/>
          <w:sz w:val="24"/>
          <w:szCs w:val="24"/>
          <w:highlight w:val="white"/>
        </w:rPr>
        <w:t>.</w:t>
      </w:r>
    </w:p>
    <w:p w14:paraId="574F3BE7" w14:textId="77777777" w:rsidR="00071FF1" w:rsidRDefault="000F0C0F">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222222"/>
          <w:sz w:val="24"/>
          <w:szCs w:val="24"/>
          <w:highlight w:val="white"/>
        </w:rPr>
        <w:t xml:space="preserve">Gilbert, S., Anderson, S., Daumer, M., Li, P., Melvin, T. and Williams, R., 2023. Learning from experience and finding the right balance in the governance of artificial intelligence and digital health technologies. </w:t>
      </w:r>
      <w:r>
        <w:rPr>
          <w:rFonts w:ascii="Times New Roman" w:eastAsia="Times New Roman" w:hAnsi="Times New Roman" w:cs="Times New Roman"/>
          <w:i/>
          <w:iCs/>
          <w:color w:val="222222"/>
          <w:sz w:val="24"/>
          <w:szCs w:val="24"/>
          <w:highlight w:val="white"/>
        </w:rPr>
        <w:t>Journal of medical Internet research</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25</w:t>
      </w:r>
      <w:r>
        <w:rPr>
          <w:rFonts w:ascii="Times New Roman" w:eastAsia="Times New Roman" w:hAnsi="Times New Roman" w:cs="Times New Roman"/>
          <w:color w:val="222222"/>
          <w:sz w:val="24"/>
          <w:szCs w:val="24"/>
          <w:highlight w:val="white"/>
        </w:rPr>
        <w:t xml:space="preserve">(1), p.e43682. </w:t>
      </w:r>
      <w:hyperlink r:id="rId25">
        <w:r>
          <w:rPr>
            <w:rFonts w:ascii="Times New Roman" w:eastAsia="Times New Roman" w:hAnsi="Times New Roman" w:cs="Times New Roman"/>
            <w:color w:val="1155CC"/>
            <w:sz w:val="24"/>
            <w:szCs w:val="24"/>
            <w:highlight w:val="white"/>
            <w:u w:val="single"/>
          </w:rPr>
          <w:t>https://doi.org/10.2196/43682</w:t>
        </w:r>
      </w:hyperlink>
    </w:p>
    <w:p w14:paraId="15B9FF56" w14:textId="77777777" w:rsidR="00071FF1" w:rsidRDefault="000F0C0F">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222222"/>
          <w:sz w:val="24"/>
          <w:szCs w:val="24"/>
          <w:highlight w:val="white"/>
        </w:rPr>
        <w:t xml:space="preserve">Haas, E.J. and Orstad, S.L., 2025. Communication practices to support frontline workers during public health threats. </w:t>
      </w:r>
      <w:r>
        <w:rPr>
          <w:rFonts w:ascii="Times New Roman" w:eastAsia="Times New Roman" w:hAnsi="Times New Roman" w:cs="Times New Roman"/>
          <w:i/>
          <w:iCs/>
          <w:color w:val="222222"/>
          <w:sz w:val="24"/>
          <w:szCs w:val="24"/>
          <w:highlight w:val="white"/>
        </w:rPr>
        <w:t>Workplace health &amp; safety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73</w:t>
      </w:r>
      <w:r>
        <w:rPr>
          <w:rFonts w:ascii="Times New Roman" w:eastAsia="Times New Roman" w:hAnsi="Times New Roman" w:cs="Times New Roman"/>
          <w:color w:val="222222"/>
          <w:sz w:val="24"/>
          <w:szCs w:val="24"/>
          <w:highlight w:val="white"/>
        </w:rPr>
        <w:t xml:space="preserve">(9), pp.477-488. </w:t>
      </w:r>
      <w:hyperlink r:id="rId26">
        <w:r>
          <w:rPr>
            <w:rFonts w:ascii="Times New Roman" w:eastAsia="Times New Roman" w:hAnsi="Times New Roman" w:cs="Times New Roman"/>
            <w:color w:val="1155CC"/>
            <w:sz w:val="24"/>
            <w:szCs w:val="24"/>
            <w:highlight w:val="white"/>
            <w:u w:val="single"/>
          </w:rPr>
          <w:t>https://doi.org/10.1177/21650799251334146</w:t>
        </w:r>
      </w:hyperlink>
    </w:p>
    <w:p w14:paraId="1B8547BB" w14:textId="77777777" w:rsidR="00071FF1" w:rsidRDefault="000F0C0F">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He, Y., Maglaras, L., Aliyu, A. and Luo, C., 2022. Healthcare Security Incident Response Strategy‐A Proactive Incident Response (IR) Procedure. </w:t>
      </w:r>
      <w:r>
        <w:rPr>
          <w:rFonts w:ascii="Times New Roman" w:eastAsia="Times New Roman" w:hAnsi="Times New Roman" w:cs="Times New Roman"/>
          <w:i/>
          <w:iCs/>
          <w:color w:val="222222"/>
          <w:sz w:val="24"/>
          <w:szCs w:val="24"/>
          <w:highlight w:val="white"/>
        </w:rPr>
        <w:t>Security and Communication Networks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2022</w:t>
      </w:r>
      <w:r>
        <w:rPr>
          <w:rFonts w:ascii="Times New Roman" w:eastAsia="Times New Roman" w:hAnsi="Times New Roman" w:cs="Times New Roman"/>
          <w:color w:val="222222"/>
          <w:sz w:val="24"/>
          <w:szCs w:val="24"/>
          <w:highlight w:val="white"/>
        </w:rPr>
        <w:t xml:space="preserve">(1), p.2775249. </w:t>
      </w:r>
      <w:hyperlink r:id="rId27">
        <w:r>
          <w:rPr>
            <w:rFonts w:ascii="Times New Roman" w:eastAsia="Times New Roman" w:hAnsi="Times New Roman" w:cs="Times New Roman"/>
            <w:color w:val="1155CC"/>
            <w:sz w:val="24"/>
            <w:szCs w:val="24"/>
            <w:highlight w:val="white"/>
            <w:u w:val="single"/>
          </w:rPr>
          <w:t>https://doi.org/10.1155/2022/2775249</w:t>
        </w:r>
      </w:hyperlink>
    </w:p>
    <w:p w14:paraId="631DA154" w14:textId="77777777" w:rsidR="00071FF1" w:rsidRDefault="000F0C0F">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Huang, Q., Wang, L., Huang, H., Tang, H., Liu, J. and Chen, C., 2025. Transformational leadership, psychological empowerment, work engagement and intensive care nurses’ job performance: A cross-sectional study using structural equation modeling. </w:t>
      </w:r>
      <w:r>
        <w:rPr>
          <w:rFonts w:ascii="Times New Roman" w:eastAsia="Times New Roman" w:hAnsi="Times New Roman" w:cs="Times New Roman"/>
          <w:i/>
          <w:iCs/>
          <w:color w:val="222222"/>
          <w:sz w:val="24"/>
          <w:szCs w:val="24"/>
          <w:highlight w:val="white"/>
        </w:rPr>
        <w:t>BMC nursing</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24</w:t>
      </w:r>
      <w:r>
        <w:rPr>
          <w:rFonts w:ascii="Times New Roman" w:eastAsia="Times New Roman" w:hAnsi="Times New Roman" w:cs="Times New Roman"/>
          <w:color w:val="222222"/>
          <w:sz w:val="24"/>
          <w:szCs w:val="24"/>
          <w:highlight w:val="white"/>
        </w:rPr>
        <w:t xml:space="preserve">(1), p.1025. </w:t>
      </w:r>
      <w:hyperlink r:id="rId28">
        <w:r>
          <w:rPr>
            <w:rFonts w:ascii="Times New Roman" w:eastAsia="Times New Roman" w:hAnsi="Times New Roman" w:cs="Times New Roman"/>
            <w:color w:val="1155CC"/>
            <w:sz w:val="24"/>
            <w:szCs w:val="24"/>
            <w:highlight w:val="white"/>
            <w:u w:val="single"/>
          </w:rPr>
          <w:t>https://doi.org/10.1186/s12912-025-03685-7</w:t>
        </w:r>
      </w:hyperlink>
    </w:p>
    <w:p w14:paraId="02C30FE7" w14:textId="77777777" w:rsidR="00071FF1" w:rsidRDefault="000F0C0F">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222222"/>
          <w:sz w:val="24"/>
          <w:szCs w:val="24"/>
          <w:highlight w:val="white"/>
        </w:rPr>
        <w:t xml:space="preserve">Jindal, S.K. and Raziuddin, F., 2018. Electronic medical record use and perceived medical error reduction. </w:t>
      </w:r>
      <w:r>
        <w:rPr>
          <w:rFonts w:ascii="Times New Roman" w:eastAsia="Times New Roman" w:hAnsi="Times New Roman" w:cs="Times New Roman"/>
          <w:i/>
          <w:iCs/>
          <w:color w:val="222222"/>
          <w:sz w:val="24"/>
          <w:szCs w:val="24"/>
          <w:highlight w:val="white"/>
        </w:rPr>
        <w:t>International Journal of Quality and Service Sciences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10</w:t>
      </w:r>
      <w:r>
        <w:rPr>
          <w:rFonts w:ascii="Times New Roman" w:eastAsia="Times New Roman" w:hAnsi="Times New Roman" w:cs="Times New Roman"/>
          <w:color w:val="222222"/>
          <w:sz w:val="24"/>
          <w:szCs w:val="24"/>
          <w:highlight w:val="white"/>
        </w:rPr>
        <w:t xml:space="preserve">(1), pp.84-95. </w:t>
      </w:r>
      <w:hyperlink r:id="rId29">
        <w:r>
          <w:rPr>
            <w:rFonts w:ascii="Times New Roman" w:eastAsia="Times New Roman" w:hAnsi="Times New Roman" w:cs="Times New Roman"/>
            <w:color w:val="1155CC"/>
            <w:sz w:val="24"/>
            <w:szCs w:val="24"/>
            <w:highlight w:val="white"/>
            <w:u w:val="single"/>
          </w:rPr>
          <w:t>https://doi.org/10.1108/IJQSS-12-2016-0081</w:t>
        </w:r>
      </w:hyperlink>
    </w:p>
    <w:p w14:paraId="1045B21D" w14:textId="77777777" w:rsidR="00071FF1" w:rsidRDefault="000F0C0F">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222222"/>
          <w:sz w:val="24"/>
          <w:szCs w:val="24"/>
          <w:highlight w:val="white"/>
        </w:rPr>
        <w:t xml:space="preserve">Kawu, A.A., Hederman, L., Doyle, J. and O'Sullivan, D., 2023. Patient generated health data and electronic health record integration, governance and socio-technical issues: a narrative review. </w:t>
      </w:r>
      <w:r>
        <w:rPr>
          <w:rFonts w:ascii="Times New Roman" w:eastAsia="Times New Roman" w:hAnsi="Times New Roman" w:cs="Times New Roman"/>
          <w:i/>
          <w:iCs/>
          <w:color w:val="222222"/>
          <w:sz w:val="24"/>
          <w:szCs w:val="24"/>
          <w:highlight w:val="white"/>
        </w:rPr>
        <w:t>Informatics in Medicine Unlocked</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37</w:t>
      </w:r>
      <w:r>
        <w:rPr>
          <w:rFonts w:ascii="Times New Roman" w:eastAsia="Times New Roman" w:hAnsi="Times New Roman" w:cs="Times New Roman"/>
          <w:color w:val="222222"/>
          <w:sz w:val="24"/>
          <w:szCs w:val="24"/>
          <w:highlight w:val="white"/>
        </w:rPr>
        <w:t xml:space="preserve">, p.101153. </w:t>
      </w:r>
      <w:hyperlink r:id="rId30">
        <w:r>
          <w:rPr>
            <w:rFonts w:ascii="Times New Roman" w:eastAsia="Times New Roman" w:hAnsi="Times New Roman" w:cs="Times New Roman"/>
            <w:color w:val="1155CC"/>
            <w:sz w:val="24"/>
            <w:szCs w:val="24"/>
            <w:highlight w:val="white"/>
            <w:u w:val="single"/>
          </w:rPr>
          <w:t>https://doi.org/10.1016/j.imu.2022.101153</w:t>
        </w:r>
      </w:hyperlink>
    </w:p>
    <w:p w14:paraId="5CCEC7EB" w14:textId="77777777" w:rsidR="00071FF1" w:rsidRDefault="000F0C0F">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Luisetto, M., 2017. Rethinking the Hospital Pharmacist Service: Centralized Logistics–Ict Systems and Clinical Pharmaceutical Care Strategies as a Management Opportunity for Public and Private Institutions. </w:t>
      </w:r>
      <w:r>
        <w:rPr>
          <w:rFonts w:ascii="Times New Roman" w:eastAsia="Times New Roman" w:hAnsi="Times New Roman" w:cs="Times New Roman"/>
          <w:i/>
          <w:iCs/>
          <w:color w:val="222222"/>
          <w:sz w:val="24"/>
          <w:szCs w:val="24"/>
          <w:highlight w:val="white"/>
        </w:rPr>
        <w:t>JOJ Pub Health</w:t>
      </w:r>
      <w:r>
        <w:rPr>
          <w:rFonts w:ascii="Times New Roman" w:eastAsia="Times New Roman" w:hAnsi="Times New Roman" w:cs="Times New Roman"/>
          <w:color w:val="222222"/>
          <w:sz w:val="24"/>
          <w:szCs w:val="24"/>
          <w:highlight w:val="white"/>
        </w:rPr>
        <w:t xml:space="preserve">. </w:t>
      </w:r>
      <w:hyperlink r:id="rId31">
        <w:r>
          <w:rPr>
            <w:rFonts w:ascii="Times New Roman" w:eastAsia="Times New Roman" w:hAnsi="Times New Roman" w:cs="Times New Roman"/>
            <w:color w:val="1155CC"/>
            <w:sz w:val="24"/>
            <w:szCs w:val="24"/>
            <w:highlight w:val="white"/>
            <w:u w:val="single"/>
          </w:rPr>
          <w:t>https://www.researchgate.net/profile/Mauro-Luisetto/publication/324942955_RESEARCH_ARTICLE_JOJ_Pub_Health_Rethinking_the_Hospital_Pharmacist_Service_Centralized_Logistics-ICT_Systems_and_Clinical_Pharmaceutical_Care_Strategies_as_a_Management_Opportunity_for_Public_and_Priv/links/5aedc019a6fdcc8508b805cb/RESEARCH-ARTICLE-JOJ-Pub-Health-Rethinking-the-Hospital-Pharmacist-Service-Centralized-Logistics-ICT-Systems-and-Clinical-Pharmaceutical-Care-Strategies-as-a-Management-Opportunity-for-Public-and-Priv.pdf</w:t>
        </w:r>
      </w:hyperlink>
    </w:p>
    <w:p w14:paraId="03D87ADC" w14:textId="77777777" w:rsidR="00071FF1" w:rsidRDefault="000F0C0F">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Mahmoud, A.H., 2008. A study of nurses' job satisfaction: the relationship to organizational commitment, perceived organizational support, transactional leadership, transformational leadership, and level of education. </w:t>
      </w:r>
      <w:r>
        <w:rPr>
          <w:rFonts w:ascii="Times New Roman" w:eastAsia="Times New Roman" w:hAnsi="Times New Roman" w:cs="Times New Roman"/>
          <w:i/>
          <w:iCs/>
          <w:color w:val="222222"/>
          <w:sz w:val="24"/>
          <w:szCs w:val="24"/>
          <w:highlight w:val="white"/>
        </w:rPr>
        <w:t>European journal of scientific research</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22</w:t>
      </w:r>
      <w:r>
        <w:rPr>
          <w:rFonts w:ascii="Times New Roman" w:eastAsia="Times New Roman" w:hAnsi="Times New Roman" w:cs="Times New Roman"/>
          <w:color w:val="222222"/>
          <w:sz w:val="24"/>
          <w:szCs w:val="24"/>
          <w:highlight w:val="white"/>
        </w:rPr>
        <w:t>(2), pp.286-295.</w:t>
      </w:r>
    </w:p>
    <w:p w14:paraId="22EE0066" w14:textId="77777777" w:rsidR="00071FF1" w:rsidRDefault="000F0C0F">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Malik, E. and Shankar, S., 2025. Exploring the potential of self-managed organizational structure in enhancing home-based healthcare services in India. </w:t>
      </w:r>
      <w:r>
        <w:rPr>
          <w:rFonts w:ascii="Times New Roman" w:eastAsia="Times New Roman" w:hAnsi="Times New Roman" w:cs="Times New Roman"/>
          <w:i/>
          <w:iCs/>
          <w:color w:val="222222"/>
          <w:sz w:val="24"/>
          <w:szCs w:val="24"/>
          <w:highlight w:val="white"/>
        </w:rPr>
        <w:t>Discover Health Systems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4</w:t>
      </w:r>
      <w:r>
        <w:rPr>
          <w:rFonts w:ascii="Times New Roman" w:eastAsia="Times New Roman" w:hAnsi="Times New Roman" w:cs="Times New Roman"/>
          <w:color w:val="222222"/>
          <w:sz w:val="24"/>
          <w:szCs w:val="24"/>
          <w:highlight w:val="white"/>
        </w:rPr>
        <w:t xml:space="preserve">(1), pp.1-16. </w:t>
      </w:r>
      <w:hyperlink r:id="rId32">
        <w:r>
          <w:rPr>
            <w:rFonts w:ascii="Times New Roman" w:eastAsia="Times New Roman" w:hAnsi="Times New Roman" w:cs="Times New Roman"/>
            <w:color w:val="1155CC"/>
            <w:sz w:val="24"/>
            <w:szCs w:val="24"/>
            <w:highlight w:val="white"/>
            <w:u w:val="single"/>
          </w:rPr>
          <w:t>https://doi.org/10.1007/s44250-025-00309-4</w:t>
        </w:r>
      </w:hyperlink>
    </w:p>
    <w:p w14:paraId="1F91FE8E" w14:textId="77777777" w:rsidR="00071FF1" w:rsidRDefault="000F0C0F">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Manchester, (2021). New study investigates diagnostic errors in English general practice. Available at: </w:t>
      </w:r>
      <w:hyperlink r:id="rId33">
        <w:r>
          <w:rPr>
            <w:rFonts w:ascii="Times New Roman" w:eastAsia="Times New Roman" w:hAnsi="Times New Roman" w:cs="Times New Roman"/>
            <w:color w:val="1155CC"/>
            <w:sz w:val="24"/>
            <w:szCs w:val="24"/>
            <w:highlight w:val="white"/>
            <w:u w:val="single"/>
          </w:rPr>
          <w:t>https://www.manchester.ac.uk/about/news/new-study-investigates-diagnostic-errors-in-english-general-practice/</w:t>
        </w:r>
      </w:hyperlink>
      <w:r>
        <w:rPr>
          <w:rFonts w:ascii="Times New Roman" w:eastAsia="Times New Roman" w:hAnsi="Times New Roman" w:cs="Times New Roman"/>
          <w:color w:val="222222"/>
          <w:sz w:val="24"/>
          <w:szCs w:val="24"/>
          <w:highlight w:val="white"/>
        </w:rPr>
        <w:t xml:space="preserve"> (Accessed: March 6, 2026).</w:t>
      </w:r>
    </w:p>
    <w:p w14:paraId="3EDF5B96" w14:textId="77777777" w:rsidR="00071FF1" w:rsidRDefault="000F0C0F">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Nash. S., (2025). From burnout to belief: reflections on reforming the NHS from within. Available at: </w:t>
      </w:r>
      <w:hyperlink r:id="rId34">
        <w:r>
          <w:rPr>
            <w:rFonts w:ascii="Times New Roman" w:eastAsia="Times New Roman" w:hAnsi="Times New Roman" w:cs="Times New Roman"/>
            <w:color w:val="1155CC"/>
            <w:sz w:val="24"/>
            <w:szCs w:val="24"/>
            <w:highlight w:val="white"/>
            <w:u w:val="single"/>
          </w:rPr>
          <w:t>https://www.kingsfund.org.uk/insight-and-analysis/long-reads/burnout-belief-reforming-the-nhs</w:t>
        </w:r>
      </w:hyperlink>
      <w:r>
        <w:rPr>
          <w:rFonts w:ascii="Times New Roman" w:eastAsia="Times New Roman" w:hAnsi="Times New Roman" w:cs="Times New Roman"/>
          <w:color w:val="222222"/>
          <w:sz w:val="24"/>
          <w:szCs w:val="24"/>
          <w:highlight w:val="white"/>
        </w:rPr>
        <w:t xml:space="preserve"> (Accessed: March 6, 2026).</w:t>
      </w:r>
    </w:p>
    <w:p w14:paraId="19C966B5" w14:textId="77777777" w:rsidR="00071FF1" w:rsidRDefault="000F0C0F">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NHS, 2020. Did you know? Paediatric medication errors. Available at: </w:t>
      </w:r>
      <w:hyperlink r:id="rId35">
        <w:r>
          <w:rPr>
            <w:rFonts w:ascii="Times New Roman" w:eastAsia="Times New Roman" w:hAnsi="Times New Roman" w:cs="Times New Roman"/>
            <w:color w:val="1155CC"/>
            <w:sz w:val="24"/>
            <w:szCs w:val="24"/>
            <w:highlight w:val="white"/>
            <w:u w:val="single"/>
          </w:rPr>
          <w:t>https://resolution.nhs.uk/wp-content/uploads/2023/03/Did-You-Know-Paediatric-Medication-Errors.pdf</w:t>
        </w:r>
      </w:hyperlink>
      <w:r>
        <w:rPr>
          <w:rFonts w:ascii="Times New Roman" w:eastAsia="Times New Roman" w:hAnsi="Times New Roman" w:cs="Times New Roman"/>
          <w:color w:val="222222"/>
          <w:sz w:val="24"/>
          <w:szCs w:val="24"/>
          <w:highlight w:val="white"/>
        </w:rPr>
        <w:t xml:space="preserve"> (Accessed: March 6, 2026).</w:t>
      </w:r>
    </w:p>
    <w:p w14:paraId="5E75DFBB" w14:textId="77777777" w:rsidR="00071FF1" w:rsidRDefault="000F0C0F">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NHS, 2024. Structure of the NHS. Available at: </w:t>
      </w:r>
      <w:hyperlink r:id="rId36">
        <w:r>
          <w:rPr>
            <w:rFonts w:ascii="Times New Roman" w:eastAsia="Times New Roman" w:hAnsi="Times New Roman" w:cs="Times New Roman"/>
            <w:color w:val="1155CC"/>
            <w:sz w:val="24"/>
            <w:szCs w:val="24"/>
            <w:highlight w:val="white"/>
            <w:u w:val="single"/>
          </w:rPr>
          <w:t>https://www.england.nhs.uk/long-read/structure-of-the-nhs/</w:t>
        </w:r>
      </w:hyperlink>
      <w:r>
        <w:rPr>
          <w:rFonts w:ascii="Times New Roman" w:eastAsia="Times New Roman" w:hAnsi="Times New Roman" w:cs="Times New Roman"/>
          <w:color w:val="222222"/>
          <w:sz w:val="24"/>
          <w:szCs w:val="24"/>
          <w:highlight w:val="white"/>
        </w:rPr>
        <w:t xml:space="preserve"> (Accessed: March 6, 2026).</w:t>
      </w:r>
    </w:p>
    <w:p w14:paraId="6B14E8B1" w14:textId="77777777" w:rsidR="00071FF1" w:rsidRDefault="000F0C0F">
      <w:pPr>
        <w:spacing w:before="240"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Northouse, P.G., 2022. </w:t>
      </w:r>
      <w:r>
        <w:rPr>
          <w:rFonts w:ascii="Times New Roman" w:eastAsia="Times New Roman" w:hAnsi="Times New Roman" w:cs="Times New Roman"/>
          <w:i/>
          <w:iCs/>
          <w:sz w:val="24"/>
          <w:szCs w:val="24"/>
          <w:highlight w:val="white"/>
        </w:rPr>
        <w:t>Leadership: Theory and Practice</w:t>
      </w:r>
      <w:r>
        <w:rPr>
          <w:rFonts w:ascii="Times New Roman" w:eastAsia="Times New Roman" w:hAnsi="Times New Roman" w:cs="Times New Roman"/>
          <w:sz w:val="24"/>
          <w:szCs w:val="24"/>
          <w:highlight w:val="white"/>
        </w:rPr>
        <w:t>. 9th ed. London: Sage.</w:t>
      </w:r>
    </w:p>
    <w:p w14:paraId="1C2FAD63" w14:textId="77777777" w:rsidR="00071FF1" w:rsidRDefault="000F0C0F">
      <w:pPr>
        <w:spacing w:before="240" w:after="240" w:line="360" w:lineRule="auto"/>
        <w:jc w:val="both"/>
        <w:rPr>
          <w:rFonts w:ascii="Times New Roman" w:eastAsia="Times New Roman" w:hAnsi="Times New Roman" w:cs="Times New Roman"/>
          <w:color w:val="0B5394"/>
          <w:sz w:val="24"/>
          <w:szCs w:val="24"/>
        </w:rPr>
      </w:pPr>
      <w:r>
        <w:rPr>
          <w:rFonts w:ascii="Times New Roman" w:eastAsia="Times New Roman" w:hAnsi="Times New Roman" w:cs="Times New Roman"/>
          <w:sz w:val="24"/>
          <w:szCs w:val="24"/>
          <w:highlight w:val="white"/>
        </w:rPr>
        <w:t>Northyorkshireccg.nhs.uk, 2023. Serious Incident Case Study: Infant Morphine Overdose Investigation Summary and Learning. Available at:</w:t>
      </w:r>
      <w:r>
        <w:rPr>
          <w:rFonts w:ascii="Times New Roman" w:eastAsia="Times New Roman" w:hAnsi="Times New Roman" w:cs="Times New Roman"/>
          <w:color w:val="FF0000"/>
          <w:sz w:val="24"/>
          <w:szCs w:val="24"/>
          <w:highlight w:val="white"/>
        </w:rPr>
        <w:t xml:space="preserve"> </w:t>
      </w:r>
      <w:hyperlink r:id="rId37">
        <w:r>
          <w:rPr>
            <w:rFonts w:ascii="Times New Roman" w:eastAsia="Times New Roman" w:hAnsi="Times New Roman" w:cs="Times New Roman"/>
            <w:color w:val="0B5394"/>
            <w:sz w:val="24"/>
            <w:szCs w:val="24"/>
            <w:u w:val="single"/>
          </w:rPr>
          <w:t>https://northyorkshireccg.nhs.uk/wp-content/uploads/2023/09/11.07.23-NHS-NEY-INFANT-MORPHINE-OVERDOSE-CASE-STUDY.pdf</w:t>
        </w:r>
      </w:hyperlink>
      <w:r>
        <w:rPr>
          <w:rFonts w:ascii="Times New Roman" w:eastAsia="Times New Roman" w:hAnsi="Times New Roman" w:cs="Times New Roman"/>
          <w:color w:val="0B5394"/>
          <w:sz w:val="24"/>
          <w:szCs w:val="24"/>
        </w:rPr>
        <w:t xml:space="preserve"> (Accessed: 3 March 2026).</w:t>
      </w:r>
    </w:p>
    <w:p w14:paraId="6C1B75C5" w14:textId="77777777" w:rsidR="00071FF1" w:rsidRDefault="000F0C0F">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ONS Gov, 2025. Deaths related to drug poisoning in England and Wales: 2024 registrations. Available at: </w:t>
      </w:r>
      <w:hyperlink r:id="rId38">
        <w:r>
          <w:rPr>
            <w:rFonts w:ascii="Times New Roman" w:eastAsia="Times New Roman" w:hAnsi="Times New Roman" w:cs="Times New Roman"/>
            <w:color w:val="1155CC"/>
            <w:sz w:val="24"/>
            <w:szCs w:val="24"/>
            <w:highlight w:val="white"/>
            <w:u w:val="single"/>
          </w:rPr>
          <w:t>https://www.ons.gov.uk/peoplepopulationandcommunity/birthsdeathsandmarriages/deaths/bulletins/deathsrelatedtodrugpoisoninginenglandandwales/2024registrations</w:t>
        </w:r>
      </w:hyperlink>
      <w:r>
        <w:rPr>
          <w:rFonts w:ascii="Times New Roman" w:eastAsia="Times New Roman" w:hAnsi="Times New Roman" w:cs="Times New Roman"/>
          <w:color w:val="222222"/>
          <w:sz w:val="24"/>
          <w:szCs w:val="24"/>
          <w:highlight w:val="white"/>
        </w:rPr>
        <w:t xml:space="preserve"> (Accessed: March 6, 2026).</w:t>
      </w:r>
    </w:p>
    <w:p w14:paraId="7481F95B" w14:textId="77777777" w:rsidR="00071FF1" w:rsidRDefault="000F0C0F">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Osuh, C. (2026) “Drop in overseas workers is ‘car crash’ for UK hospitals and care homes, say experts,” The Guardian, 26 February. Available at: </w:t>
      </w:r>
      <w:hyperlink r:id="rId39">
        <w:r>
          <w:rPr>
            <w:rFonts w:ascii="Times New Roman" w:eastAsia="Times New Roman" w:hAnsi="Times New Roman" w:cs="Times New Roman"/>
            <w:color w:val="1155CC"/>
            <w:sz w:val="24"/>
            <w:szCs w:val="24"/>
            <w:highlight w:val="white"/>
            <w:u w:val="single"/>
          </w:rPr>
          <w:t>https://www.theguardian.com/society/2026/feb/26/drop-in-overseas-workers-uk-hospitals-and-care-homes</w:t>
        </w:r>
      </w:hyperlink>
      <w:r>
        <w:rPr>
          <w:rFonts w:ascii="Times New Roman" w:eastAsia="Times New Roman" w:hAnsi="Times New Roman" w:cs="Times New Roman"/>
          <w:color w:val="222222"/>
          <w:sz w:val="24"/>
          <w:szCs w:val="24"/>
          <w:highlight w:val="white"/>
        </w:rPr>
        <w:t xml:space="preserve"> (Accessed: March 6, 2026).</w:t>
      </w:r>
    </w:p>
    <w:p w14:paraId="3947FC63" w14:textId="77777777" w:rsidR="00071FF1" w:rsidRDefault="000F0C0F">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Parry, D., Odedra, A., Fagbohun, M., Oeppen, R.S., Davidson, M. and Brennan, P.A., 2023. Abbreviation use decreases effective clinical communication and can compromise patient safety. </w:t>
      </w:r>
      <w:r>
        <w:rPr>
          <w:rFonts w:ascii="Times New Roman" w:eastAsia="Times New Roman" w:hAnsi="Times New Roman" w:cs="Times New Roman"/>
          <w:i/>
          <w:iCs/>
          <w:color w:val="222222"/>
          <w:sz w:val="24"/>
          <w:szCs w:val="24"/>
          <w:highlight w:val="white"/>
        </w:rPr>
        <w:t>British Journal of Oral and Maxillofacial Surgery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61</w:t>
      </w:r>
      <w:r>
        <w:rPr>
          <w:rFonts w:ascii="Times New Roman" w:eastAsia="Times New Roman" w:hAnsi="Times New Roman" w:cs="Times New Roman"/>
          <w:color w:val="222222"/>
          <w:sz w:val="24"/>
          <w:szCs w:val="24"/>
          <w:highlight w:val="white"/>
        </w:rPr>
        <w:t xml:space="preserve">(8), pp.509-513. </w:t>
      </w:r>
      <w:hyperlink r:id="rId40">
        <w:r>
          <w:rPr>
            <w:rFonts w:ascii="Times New Roman" w:eastAsia="Times New Roman" w:hAnsi="Times New Roman" w:cs="Times New Roman"/>
            <w:color w:val="1155CC"/>
            <w:sz w:val="24"/>
            <w:szCs w:val="24"/>
            <w:highlight w:val="white"/>
            <w:u w:val="single"/>
          </w:rPr>
          <w:t>https://doi.org/10.1016/j.bjoms.2023.07.004</w:t>
        </w:r>
      </w:hyperlink>
    </w:p>
    <w:p w14:paraId="19AA4433" w14:textId="77777777" w:rsidR="00071FF1" w:rsidRDefault="000F0C0F">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Rogers, A., De Paoli, G., Subbarayan, S., Copland, R., Harwood, K., Coyle, J., Mitchell, L., MacDonald, T.M., Mackenzie, I.S. and Trials@ Home Consortium, 2022. A systematic review of methods used to conduct decentralised clinical trials. </w:t>
      </w:r>
      <w:r>
        <w:rPr>
          <w:rFonts w:ascii="Times New Roman" w:eastAsia="Times New Roman" w:hAnsi="Times New Roman" w:cs="Times New Roman"/>
          <w:i/>
          <w:iCs/>
          <w:color w:val="222222"/>
          <w:sz w:val="24"/>
          <w:szCs w:val="24"/>
          <w:highlight w:val="white"/>
        </w:rPr>
        <w:t>British Journal of Clinical Pharmacology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88</w:t>
      </w:r>
      <w:r>
        <w:rPr>
          <w:rFonts w:ascii="Times New Roman" w:eastAsia="Times New Roman" w:hAnsi="Times New Roman" w:cs="Times New Roman"/>
          <w:color w:val="222222"/>
          <w:sz w:val="24"/>
          <w:szCs w:val="24"/>
          <w:highlight w:val="white"/>
        </w:rPr>
        <w:t xml:space="preserve">(6), pp.2843-2862. </w:t>
      </w:r>
      <w:hyperlink r:id="rId41">
        <w:r>
          <w:rPr>
            <w:rFonts w:ascii="Times New Roman" w:eastAsia="Times New Roman" w:hAnsi="Times New Roman" w:cs="Times New Roman"/>
            <w:color w:val="1155CC"/>
            <w:sz w:val="24"/>
            <w:szCs w:val="24"/>
            <w:highlight w:val="white"/>
            <w:u w:val="single"/>
          </w:rPr>
          <w:t>https://doi.org/10.1111/bcp.15205</w:t>
        </w:r>
      </w:hyperlink>
    </w:p>
    <w:p w14:paraId="34071106" w14:textId="77777777" w:rsidR="00071FF1" w:rsidRDefault="000F0C0F">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Scheuer, C.L., Voltan, A., Kumanan, K. and Chakraborty, S., 2023. Exploring the impact of decentralized leadership on knowledge sharing and work hindrance networks in healthcare teams. </w:t>
      </w:r>
      <w:r>
        <w:rPr>
          <w:rFonts w:ascii="Times New Roman" w:eastAsia="Times New Roman" w:hAnsi="Times New Roman" w:cs="Times New Roman"/>
          <w:i/>
          <w:iCs/>
          <w:color w:val="222222"/>
          <w:sz w:val="24"/>
          <w:szCs w:val="24"/>
          <w:highlight w:val="white"/>
        </w:rPr>
        <w:t>Journal of Management &amp; Organization</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29</w:t>
      </w:r>
      <w:r>
        <w:rPr>
          <w:rFonts w:ascii="Times New Roman" w:eastAsia="Times New Roman" w:hAnsi="Times New Roman" w:cs="Times New Roman"/>
          <w:color w:val="222222"/>
          <w:sz w:val="24"/>
          <w:szCs w:val="24"/>
          <w:highlight w:val="white"/>
        </w:rPr>
        <w:t xml:space="preserve">(1), pp.139-158. </w:t>
      </w:r>
      <w:hyperlink r:id="rId42">
        <w:r>
          <w:rPr>
            <w:rFonts w:ascii="Times New Roman" w:eastAsia="Times New Roman" w:hAnsi="Times New Roman" w:cs="Times New Roman"/>
            <w:color w:val="1155CC"/>
            <w:sz w:val="24"/>
            <w:szCs w:val="24"/>
            <w:highlight w:val="white"/>
            <w:u w:val="single"/>
          </w:rPr>
          <w:t>https://doi.org/10.1017/jmo.2020.37</w:t>
        </w:r>
      </w:hyperlink>
    </w:p>
    <w:p w14:paraId="0E24EB60" w14:textId="77777777" w:rsidR="00071FF1" w:rsidRDefault="000F0C0F">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Shishkin, S., Sheiman, I., Potapchik, E., Vlassov, V. and Sazhina, S., 2025. The impact of centralization on structural changes in healthcare: when it works. </w:t>
      </w:r>
      <w:r>
        <w:rPr>
          <w:rFonts w:ascii="Times New Roman" w:eastAsia="Times New Roman" w:hAnsi="Times New Roman" w:cs="Times New Roman"/>
          <w:i/>
          <w:iCs/>
          <w:color w:val="222222"/>
          <w:sz w:val="24"/>
          <w:szCs w:val="24"/>
          <w:highlight w:val="white"/>
        </w:rPr>
        <w:t>Frontiers in Health Services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5</w:t>
      </w:r>
      <w:r>
        <w:rPr>
          <w:rFonts w:ascii="Times New Roman" w:eastAsia="Times New Roman" w:hAnsi="Times New Roman" w:cs="Times New Roman"/>
          <w:color w:val="222222"/>
          <w:sz w:val="24"/>
          <w:szCs w:val="24"/>
          <w:highlight w:val="white"/>
        </w:rPr>
        <w:t xml:space="preserve">, p.1484225. </w:t>
      </w:r>
      <w:hyperlink r:id="rId43">
        <w:r>
          <w:rPr>
            <w:rFonts w:ascii="Times New Roman" w:eastAsia="Times New Roman" w:hAnsi="Times New Roman" w:cs="Times New Roman"/>
            <w:color w:val="1155CC"/>
            <w:sz w:val="24"/>
            <w:szCs w:val="24"/>
            <w:highlight w:val="white"/>
            <w:u w:val="single"/>
          </w:rPr>
          <w:t>https://doi.org/10.3389/frhs.2025.1484225</w:t>
        </w:r>
      </w:hyperlink>
    </w:p>
    <w:p w14:paraId="39666D56" w14:textId="77777777" w:rsidR="00071FF1" w:rsidRDefault="000F0C0F">
      <w:pPr>
        <w:spacing w:before="240" w:after="240" w:line="360" w:lineRule="auto"/>
        <w:jc w:val="both"/>
        <w:rPr>
          <w:rFonts w:ascii="Times New Roman" w:eastAsia="Times New Roman" w:hAnsi="Times New Roman" w:cs="Times New Roman"/>
          <w:color w:val="FF0000"/>
          <w:sz w:val="24"/>
          <w:szCs w:val="24"/>
          <w:highlight w:val="white"/>
        </w:rPr>
      </w:pPr>
      <w:r>
        <w:rPr>
          <w:rFonts w:ascii="Times New Roman" w:eastAsia="Times New Roman" w:hAnsi="Times New Roman" w:cs="Times New Roman"/>
          <w:sz w:val="24"/>
          <w:szCs w:val="24"/>
          <w:highlight w:val="white"/>
        </w:rPr>
        <w:t xml:space="preserve">Storey, J. and Holti, R., 2023. Leadership in healthcare: developing collective and adaptive capability. </w:t>
      </w:r>
      <w:r>
        <w:rPr>
          <w:rFonts w:ascii="Times New Roman" w:eastAsia="Times New Roman" w:hAnsi="Times New Roman" w:cs="Times New Roman"/>
          <w:i/>
          <w:iCs/>
          <w:sz w:val="24"/>
          <w:szCs w:val="24"/>
          <w:highlight w:val="white"/>
        </w:rPr>
        <w:t>Journal of Health Organization and Management, 37</w:t>
      </w:r>
      <w:r>
        <w:rPr>
          <w:rFonts w:ascii="Times New Roman" w:eastAsia="Times New Roman" w:hAnsi="Times New Roman" w:cs="Times New Roman"/>
          <w:sz w:val="24"/>
          <w:szCs w:val="24"/>
          <w:highlight w:val="white"/>
        </w:rPr>
        <w:t>(2), pp.145–160.</w:t>
      </w:r>
      <w:r>
        <w:rPr>
          <w:rFonts w:ascii="Times New Roman" w:eastAsia="Times New Roman" w:hAnsi="Times New Roman" w:cs="Times New Roman"/>
          <w:color w:val="FF0000"/>
          <w:sz w:val="24"/>
          <w:szCs w:val="24"/>
          <w:highlight w:val="white"/>
        </w:rPr>
        <w:t xml:space="preserve"> </w:t>
      </w:r>
      <w:hyperlink r:id="rId44">
        <w:r>
          <w:rPr>
            <w:rFonts w:ascii="Times New Roman" w:eastAsia="Times New Roman" w:hAnsi="Times New Roman" w:cs="Times New Roman"/>
            <w:color w:val="1155CC"/>
            <w:sz w:val="24"/>
            <w:szCs w:val="24"/>
            <w:highlight w:val="white"/>
            <w:u w:val="single"/>
          </w:rPr>
          <w:t>https://doi.org/10.1108/JHOM-06-2022-0175</w:t>
        </w:r>
      </w:hyperlink>
      <w:r>
        <w:rPr>
          <w:rFonts w:ascii="Times New Roman" w:eastAsia="Times New Roman" w:hAnsi="Times New Roman" w:cs="Times New Roman"/>
          <w:color w:val="FF0000"/>
          <w:sz w:val="24"/>
          <w:szCs w:val="24"/>
          <w:highlight w:val="white"/>
        </w:rPr>
        <w:t>.</w:t>
      </w:r>
    </w:p>
    <w:p w14:paraId="297D3D35" w14:textId="77777777" w:rsidR="00071FF1" w:rsidRDefault="000F0C0F">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Swan, W., 2023. Transactional leadership. In </w:t>
      </w:r>
      <w:r>
        <w:rPr>
          <w:rFonts w:ascii="Times New Roman" w:eastAsia="Times New Roman" w:hAnsi="Times New Roman" w:cs="Times New Roman"/>
          <w:i/>
          <w:iCs/>
          <w:color w:val="222222"/>
          <w:sz w:val="24"/>
          <w:szCs w:val="24"/>
          <w:highlight w:val="white"/>
        </w:rPr>
        <w:t>Global encyclopedia of public administration, public policy, and governance</w:t>
      </w:r>
      <w:r>
        <w:rPr>
          <w:rFonts w:ascii="Times New Roman" w:eastAsia="Times New Roman" w:hAnsi="Times New Roman" w:cs="Times New Roman"/>
          <w:color w:val="222222"/>
          <w:sz w:val="24"/>
          <w:szCs w:val="24"/>
          <w:highlight w:val="white"/>
        </w:rPr>
        <w:t xml:space="preserve"> (pp. 12834-12837). Cham: Springer International Publishing. </w:t>
      </w:r>
      <w:hyperlink r:id="rId45">
        <w:r>
          <w:rPr>
            <w:rFonts w:ascii="Times New Roman" w:eastAsia="Times New Roman" w:hAnsi="Times New Roman" w:cs="Times New Roman"/>
            <w:color w:val="1155CC"/>
            <w:sz w:val="24"/>
            <w:szCs w:val="24"/>
            <w:highlight w:val="white"/>
            <w:u w:val="single"/>
          </w:rPr>
          <w:t>https://doi.org/10.1007/978-3-030-66252-3_1893</w:t>
        </w:r>
      </w:hyperlink>
    </w:p>
    <w:p w14:paraId="44A1E03D" w14:textId="77777777" w:rsidR="00071FF1" w:rsidRDefault="000F0C0F">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Waldman, S.A. and Terzic, A., 2019. Healthcare evolves from reactive to proactive. </w:t>
      </w:r>
      <w:r>
        <w:rPr>
          <w:rFonts w:ascii="Times New Roman" w:eastAsia="Times New Roman" w:hAnsi="Times New Roman" w:cs="Times New Roman"/>
          <w:i/>
          <w:iCs/>
          <w:color w:val="222222"/>
          <w:sz w:val="24"/>
          <w:szCs w:val="24"/>
          <w:highlight w:val="white"/>
        </w:rPr>
        <w:t>Clinical pharmacology and therapeutics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105</w:t>
      </w:r>
      <w:r>
        <w:rPr>
          <w:rFonts w:ascii="Times New Roman" w:eastAsia="Times New Roman" w:hAnsi="Times New Roman" w:cs="Times New Roman"/>
          <w:color w:val="222222"/>
          <w:sz w:val="24"/>
          <w:szCs w:val="24"/>
          <w:highlight w:val="white"/>
        </w:rPr>
        <w:t xml:space="preserve">(1), p.10. </w:t>
      </w:r>
      <w:hyperlink r:id="rId46">
        <w:r>
          <w:rPr>
            <w:rFonts w:ascii="Times New Roman" w:eastAsia="Times New Roman" w:hAnsi="Times New Roman" w:cs="Times New Roman"/>
            <w:color w:val="1155CC"/>
            <w:sz w:val="24"/>
            <w:szCs w:val="24"/>
            <w:highlight w:val="white"/>
            <w:u w:val="single"/>
          </w:rPr>
          <w:t>https://doi.org/10.1002/cpt.1295</w:t>
        </w:r>
      </w:hyperlink>
    </w:p>
    <w:p w14:paraId="112450AA" w14:textId="77777777" w:rsidR="00071FF1" w:rsidRDefault="000F0C0F">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Wang, X., Liu, Y., Peng, Z., Li, B., Liang, Q., Liao, S. and Liu, M., 2024. Situational leadership theory in nursing management: a scoping review. </w:t>
      </w:r>
      <w:r>
        <w:rPr>
          <w:rFonts w:ascii="Times New Roman" w:eastAsia="Times New Roman" w:hAnsi="Times New Roman" w:cs="Times New Roman"/>
          <w:i/>
          <w:iCs/>
          <w:color w:val="222222"/>
          <w:sz w:val="24"/>
          <w:szCs w:val="24"/>
          <w:highlight w:val="white"/>
        </w:rPr>
        <w:t>BMC nursing</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23</w:t>
      </w:r>
      <w:r>
        <w:rPr>
          <w:rFonts w:ascii="Times New Roman" w:eastAsia="Times New Roman" w:hAnsi="Times New Roman" w:cs="Times New Roman"/>
          <w:color w:val="222222"/>
          <w:sz w:val="24"/>
          <w:szCs w:val="24"/>
          <w:highlight w:val="white"/>
        </w:rPr>
        <w:t xml:space="preserve">(1), p.930. </w:t>
      </w:r>
      <w:hyperlink r:id="rId47">
        <w:r>
          <w:rPr>
            <w:rFonts w:ascii="Times New Roman" w:eastAsia="Times New Roman" w:hAnsi="Times New Roman" w:cs="Times New Roman"/>
            <w:color w:val="1155CC"/>
            <w:sz w:val="24"/>
            <w:szCs w:val="24"/>
            <w:highlight w:val="white"/>
            <w:u w:val="single"/>
          </w:rPr>
          <w:t>https://doi.org/10.1186/s12912-024-02582-9</w:t>
        </w:r>
      </w:hyperlink>
    </w:p>
    <w:p w14:paraId="39374EB1" w14:textId="77777777" w:rsidR="00071FF1" w:rsidRDefault="000F0C0F">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222222"/>
          <w:sz w:val="24"/>
          <w:szCs w:val="24"/>
          <w:highlight w:val="white"/>
        </w:rPr>
        <w:t xml:space="preserve">Watson, K. and Smith, J., 2019, September. A digital approach to making a step change in reducing human error in procedures. In </w:t>
      </w:r>
      <w:r>
        <w:rPr>
          <w:rFonts w:ascii="Times New Roman" w:eastAsia="Times New Roman" w:hAnsi="Times New Roman" w:cs="Times New Roman"/>
          <w:i/>
          <w:iCs/>
          <w:color w:val="222222"/>
          <w:sz w:val="24"/>
          <w:szCs w:val="24"/>
          <w:highlight w:val="white"/>
        </w:rPr>
        <w:t>SPE Offshore Europe Conference and Exhibition</w:t>
      </w:r>
      <w:r>
        <w:rPr>
          <w:rFonts w:ascii="Times New Roman" w:eastAsia="Times New Roman" w:hAnsi="Times New Roman" w:cs="Times New Roman"/>
          <w:color w:val="222222"/>
          <w:sz w:val="24"/>
          <w:szCs w:val="24"/>
          <w:highlight w:val="white"/>
        </w:rPr>
        <w:t xml:space="preserve"> (p. D011S001R007). SPE. </w:t>
      </w:r>
      <w:hyperlink r:id="rId48">
        <w:r>
          <w:rPr>
            <w:rFonts w:ascii="Times New Roman" w:eastAsia="Times New Roman" w:hAnsi="Times New Roman" w:cs="Times New Roman"/>
            <w:color w:val="1155CC"/>
            <w:sz w:val="24"/>
            <w:szCs w:val="24"/>
            <w:highlight w:val="white"/>
            <w:u w:val="single"/>
          </w:rPr>
          <w:t>https://doi.org/10.2118/195753-MS</w:t>
        </w:r>
      </w:hyperlink>
    </w:p>
    <w:p w14:paraId="19D2BA57" w14:textId="77777777" w:rsidR="00071FF1" w:rsidRDefault="000F0C0F">
      <w:pPr>
        <w:spacing w:before="240" w:after="240" w:line="360" w:lineRule="auto"/>
        <w:jc w:val="both"/>
        <w:rPr>
          <w:rFonts w:ascii="Times New Roman" w:eastAsia="Times New Roman" w:hAnsi="Times New Roman" w:cs="Times New Roman"/>
          <w:color w:val="FF0000"/>
          <w:sz w:val="24"/>
          <w:szCs w:val="24"/>
          <w:highlight w:val="white"/>
        </w:rPr>
      </w:pPr>
      <w:r>
        <w:rPr>
          <w:rFonts w:ascii="Times New Roman" w:eastAsia="Times New Roman" w:hAnsi="Times New Roman" w:cs="Times New Roman"/>
          <w:sz w:val="24"/>
          <w:szCs w:val="24"/>
          <w:highlight w:val="white"/>
        </w:rPr>
        <w:t xml:space="preserve">West, M. and Bailey, S., 2022. Collective leadership for cultures of high quality healthcare. The </w:t>
      </w:r>
      <w:r>
        <w:rPr>
          <w:rFonts w:ascii="Times New Roman" w:eastAsia="Times New Roman" w:hAnsi="Times New Roman" w:cs="Times New Roman"/>
          <w:i/>
          <w:iCs/>
          <w:sz w:val="24"/>
          <w:szCs w:val="24"/>
          <w:highlight w:val="white"/>
        </w:rPr>
        <w:t>Leadership Quarterly, 33</w:t>
      </w:r>
      <w:r>
        <w:rPr>
          <w:rFonts w:ascii="Times New Roman" w:eastAsia="Times New Roman" w:hAnsi="Times New Roman" w:cs="Times New Roman"/>
          <w:sz w:val="24"/>
          <w:szCs w:val="24"/>
          <w:highlight w:val="white"/>
        </w:rPr>
        <w:t>(5), 101614.</w:t>
      </w:r>
      <w:r>
        <w:rPr>
          <w:rFonts w:ascii="Times New Roman" w:eastAsia="Times New Roman" w:hAnsi="Times New Roman" w:cs="Times New Roman"/>
          <w:color w:val="FF0000"/>
          <w:sz w:val="24"/>
          <w:szCs w:val="24"/>
          <w:highlight w:val="white"/>
        </w:rPr>
        <w:t xml:space="preserve"> </w:t>
      </w:r>
      <w:hyperlink r:id="rId49">
        <w:r>
          <w:rPr>
            <w:rFonts w:ascii="Times New Roman" w:eastAsia="Times New Roman" w:hAnsi="Times New Roman" w:cs="Times New Roman"/>
            <w:color w:val="1155CC"/>
            <w:sz w:val="24"/>
            <w:szCs w:val="24"/>
            <w:highlight w:val="white"/>
            <w:u w:val="single"/>
          </w:rPr>
          <w:t>https://doi.org/10.1016/j.leaqua.2021.101614</w:t>
        </w:r>
      </w:hyperlink>
      <w:r>
        <w:rPr>
          <w:rFonts w:ascii="Times New Roman" w:eastAsia="Times New Roman" w:hAnsi="Times New Roman" w:cs="Times New Roman"/>
          <w:color w:val="FF0000"/>
          <w:sz w:val="24"/>
          <w:szCs w:val="24"/>
          <w:highlight w:val="white"/>
        </w:rPr>
        <w:t>.</w:t>
      </w:r>
    </w:p>
    <w:p w14:paraId="44434D82" w14:textId="77777777" w:rsidR="00071FF1" w:rsidRDefault="000F0C0F">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WHO, 2023. Patient safety. Available at: </w:t>
      </w:r>
      <w:hyperlink r:id="rId50" w:anchor=":~:text=Medication%20errors.%20Medication%2Drelated%20harm%20affects%201%20out%20of%20every%2030%20patients%20in%20health%20care%2C%20with%20more%20than%20a%20quarter%20of%20this%20harm%20regarded%20as%20severe%20or%20life%20threatening.%20Half%20of%20the%20avoidable%20harm%20in%20health%20care%20is%20related%20to%20medications">
        <w:r>
          <w:rPr>
            <w:rFonts w:ascii="Times New Roman" w:eastAsia="Times New Roman" w:hAnsi="Times New Roman" w:cs="Times New Roman"/>
            <w:color w:val="1155CC"/>
            <w:sz w:val="24"/>
            <w:szCs w:val="24"/>
            <w:highlight w:val="white"/>
            <w:u w:val="single"/>
          </w:rPr>
          <w:t>https://www.who.int/news-room/fact-sheets/detail/patient-safety#:~:text=Medication%20errors.%20Medication%2Drelated%20harm%20affects%201%20out%20of%20every%2030%20patients%20in%20health%20care%2C%20with%20more%20than%20a%20quarter%20of%20this%20harm%20regarded%20as%20severe%20or%20life%20threatening.%20Half%20of%20the%20avoidable%20harm%20in%20health%20care%20is%20related%20to%20medications</w:t>
        </w:r>
      </w:hyperlink>
      <w:r>
        <w:rPr>
          <w:rFonts w:ascii="Times New Roman" w:eastAsia="Times New Roman" w:hAnsi="Times New Roman" w:cs="Times New Roman"/>
          <w:color w:val="222222"/>
          <w:sz w:val="24"/>
          <w:szCs w:val="24"/>
          <w:highlight w:val="white"/>
        </w:rPr>
        <w:t xml:space="preserve"> (Accessed: March 6, 2026).</w:t>
      </w:r>
    </w:p>
    <w:p w14:paraId="65014D04" w14:textId="77777777" w:rsidR="00071FF1" w:rsidRDefault="000F0C0F">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Wilberforce, M., Hughes, J., Clarkson, P., Whyte, D., Chester, H., Davies, S. and Challis, D., 2017. An electronic referral system supporting integrated hospital discharge. </w:t>
      </w:r>
      <w:r>
        <w:rPr>
          <w:rFonts w:ascii="Times New Roman" w:eastAsia="Times New Roman" w:hAnsi="Times New Roman" w:cs="Times New Roman"/>
          <w:i/>
          <w:iCs/>
          <w:color w:val="222222"/>
          <w:sz w:val="24"/>
          <w:szCs w:val="24"/>
          <w:highlight w:val="white"/>
        </w:rPr>
        <w:t>Journal of Integrated Care</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25</w:t>
      </w:r>
      <w:r>
        <w:rPr>
          <w:rFonts w:ascii="Times New Roman" w:eastAsia="Times New Roman" w:hAnsi="Times New Roman" w:cs="Times New Roman"/>
          <w:color w:val="222222"/>
          <w:sz w:val="24"/>
          <w:szCs w:val="24"/>
          <w:highlight w:val="white"/>
        </w:rPr>
        <w:t xml:space="preserve">(2), pp.99-109. </w:t>
      </w:r>
      <w:hyperlink r:id="rId51">
        <w:r>
          <w:rPr>
            <w:rFonts w:ascii="Times New Roman" w:eastAsia="Times New Roman" w:hAnsi="Times New Roman" w:cs="Times New Roman"/>
            <w:color w:val="1155CC"/>
            <w:sz w:val="24"/>
            <w:szCs w:val="24"/>
            <w:highlight w:val="white"/>
            <w:u w:val="single"/>
          </w:rPr>
          <w:t>https://doi.org/10.1108/JICA-09-2016-0034</w:t>
        </w:r>
      </w:hyperlink>
    </w:p>
    <w:p w14:paraId="7DF475A8" w14:textId="77777777" w:rsidR="00071FF1" w:rsidRDefault="000F0C0F">
      <w:pPr>
        <w:spacing w:before="240" w:after="240" w:line="360" w:lineRule="auto"/>
        <w:jc w:val="both"/>
        <w:rPr>
          <w:rFonts w:ascii="Times New Roman" w:eastAsia="Times New Roman" w:hAnsi="Times New Roman" w:cs="Times New Roman"/>
          <w:color w:val="1155CC"/>
          <w:sz w:val="24"/>
          <w:szCs w:val="24"/>
          <w:highlight w:val="white"/>
          <w:u w:val="single"/>
        </w:rPr>
      </w:pPr>
      <w:r>
        <w:rPr>
          <w:rFonts w:ascii="Times New Roman" w:eastAsia="Times New Roman" w:hAnsi="Times New Roman" w:cs="Times New Roman"/>
          <w:color w:val="222222"/>
          <w:sz w:val="24"/>
          <w:szCs w:val="24"/>
          <w:highlight w:val="white"/>
        </w:rPr>
        <w:t xml:space="preserve">Woolf, K., Mishra, R., Guyatt, A.L., Medisauskaite, A., Martin, C.A., Masood, A., Modhwadia, V., Bryant, L., Reilly, H., Katikireddi, S.V. and Pareek, M., 2025. Pay satisfaction and intentions to leave the NHS: a UK-based cohort study. </w:t>
      </w:r>
      <w:r>
        <w:rPr>
          <w:rFonts w:ascii="Times New Roman" w:eastAsia="Times New Roman" w:hAnsi="Times New Roman" w:cs="Times New Roman"/>
          <w:i/>
          <w:iCs/>
          <w:color w:val="222222"/>
          <w:sz w:val="24"/>
          <w:szCs w:val="24"/>
          <w:highlight w:val="white"/>
        </w:rPr>
        <w:t>The Lancet Regional Health. Europe</w:t>
      </w:r>
      <w:r>
        <w:rPr>
          <w:rFonts w:ascii="Times New Roman" w:eastAsia="Times New Roman" w:hAnsi="Times New Roman" w:cs="Times New Roman"/>
          <w:color w:val="222222"/>
          <w:sz w:val="24"/>
          <w:szCs w:val="24"/>
          <w:highlight w:val="white"/>
        </w:rPr>
        <w:t xml:space="preserve">. </w:t>
      </w:r>
      <w:hyperlink r:id="rId52">
        <w:r>
          <w:rPr>
            <w:rFonts w:ascii="Times New Roman" w:eastAsia="Times New Roman" w:hAnsi="Times New Roman" w:cs="Times New Roman"/>
            <w:color w:val="1155CC"/>
            <w:sz w:val="24"/>
            <w:szCs w:val="24"/>
            <w:highlight w:val="white"/>
            <w:u w:val="single"/>
          </w:rPr>
          <w:t>https://doi.org/10.1016/j.lanepe.2025.101454</w:t>
        </w:r>
      </w:hyperlink>
    </w:p>
    <w:sectPr w:rsidR="00071FF1">
      <w:headerReference w:type="default" r:id="rId53"/>
      <w:footerReference w:type="default" r:id="rId54"/>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BEFD9FF" w14:textId="77777777" w:rsidR="000F0C0F" w:rsidRDefault="000F0C0F">
      <w:pPr>
        <w:spacing w:line="240" w:lineRule="auto"/>
      </w:pPr>
      <w:r>
        <w:separator/>
      </w:r>
    </w:p>
  </w:endnote>
  <w:endnote w:type="continuationSeparator" w:id="0">
    <w:p w14:paraId="797E5767" w14:textId="77777777" w:rsidR="000F0C0F" w:rsidRDefault="000F0C0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modern"/>
    <w:pitch w:val="variable"/>
    <w:sig w:usb0="00000003" w:usb1="00000000" w:usb2="00000000" w:usb3="00000000" w:csb0="00000001" w:csb1="00000000"/>
  </w:font>
  <w:font w:name="Cambria">
    <w:panose1 w:val="0204050305040603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85431B1" w14:textId="77777777" w:rsidR="00071FF1" w:rsidRDefault="000F0C0F">
    <w:pPr>
      <w:pBdr>
        <w:top w:val="nil"/>
        <w:left w:val="nil"/>
        <w:bottom w:val="nil"/>
        <w:right w:val="nil"/>
        <w:between w:val="nil"/>
      </w:pBdr>
      <w:tabs>
        <w:tab w:val="center" w:pos="4513"/>
        <w:tab w:val="right" w:pos="9026"/>
      </w:tabs>
      <w:spacing w:line="240" w:lineRule="auto"/>
      <w:jc w:val="right"/>
      <w:rPr>
        <w:rFonts w:ascii="Times New Roman" w:eastAsia="Times New Roman" w:hAnsi="Times New Roman" w:cs="Times New Roman"/>
        <w:color w:val="000000"/>
        <w:sz w:val="20"/>
        <w:szCs w:val="20"/>
      </w:rPr>
    </w:pPr>
    <w:r>
      <w:rPr>
        <w:rFonts w:ascii="Times New Roman" w:eastAsia="Times New Roman" w:hAnsi="Times New Roman" w:cs="Times New Roman"/>
        <w:color w:val="000000"/>
        <w:sz w:val="20"/>
        <w:szCs w:val="20"/>
      </w:rPr>
      <w:fldChar w:fldCharType="begin"/>
    </w:r>
    <w:r>
      <w:rPr>
        <w:rFonts w:ascii="Times New Roman" w:eastAsia="Times New Roman" w:hAnsi="Times New Roman" w:cs="Times New Roman"/>
        <w:color w:val="000000"/>
        <w:sz w:val="20"/>
        <w:szCs w:val="20"/>
      </w:rPr>
      <w:instrText>PAGE</w:instrText>
    </w:r>
    <w:r>
      <w:rPr>
        <w:rFonts w:ascii="Times New Roman" w:eastAsia="Times New Roman" w:hAnsi="Times New Roman" w:cs="Times New Roman"/>
        <w:color w:val="000000"/>
        <w:sz w:val="20"/>
        <w:szCs w:val="20"/>
      </w:rPr>
      <w:fldChar w:fldCharType="separate"/>
    </w:r>
    <w:r>
      <w:rPr>
        <w:rFonts w:ascii="Times New Roman" w:eastAsia="Times New Roman" w:hAnsi="Times New Roman" w:cs="Times New Roman"/>
        <w:color w:val="000000"/>
        <w:sz w:val="20"/>
        <w:szCs w:val="20"/>
      </w:rPr>
      <w:fldChar w:fldCharType="end"/>
    </w:r>
  </w:p>
  <w:p w14:paraId="31033C6D" w14:textId="77777777" w:rsidR="00071FF1" w:rsidRDefault="00071FF1">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669C92A" w14:textId="77777777" w:rsidR="000F0C0F" w:rsidRDefault="000F0C0F">
      <w:pPr>
        <w:spacing w:line="240" w:lineRule="auto"/>
      </w:pPr>
      <w:r>
        <w:separator/>
      </w:r>
    </w:p>
  </w:footnote>
  <w:footnote w:type="continuationSeparator" w:id="0">
    <w:p w14:paraId="5B17A1E6" w14:textId="77777777" w:rsidR="000F0C0F" w:rsidRDefault="000F0C0F">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21AF398" w14:textId="77777777" w:rsidR="00071FF1" w:rsidRDefault="00071FF1"/>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embedTrueTypeFonts/>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71FF1"/>
    <w:rsid w:val="00071FF1"/>
    <w:rsid w:val="000F0C0F"/>
    <w:rsid w:val="009665A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420CD045"/>
  <w15:docId w15:val="{8995A365-5D04-7E41-9F41-644A2D1A6C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spacing w:before="200" w:line="360" w:lineRule="auto"/>
      <w:jc w:val="both"/>
      <w:outlineLvl w:val="0"/>
    </w:pPr>
    <w:rPr>
      <w:rFonts w:ascii="Times New Roman" w:eastAsia="Times New Roman" w:hAnsi="Times New Roman" w:cs="Times New Roman"/>
      <w:b/>
      <w:bCs/>
      <w:sz w:val="28"/>
      <w:szCs w:val="28"/>
    </w:rPr>
  </w:style>
  <w:style w:type="paragraph" w:styleId="Heading2">
    <w:name w:val="heading 2"/>
    <w:basedOn w:val="Normal"/>
    <w:next w:val="Normal"/>
    <w:uiPriority w:val="9"/>
    <w:unhideWhenUsed/>
    <w:qFormat/>
    <w:pPr>
      <w:spacing w:before="200" w:line="360" w:lineRule="auto"/>
      <w:jc w:val="both"/>
      <w:outlineLvl w:val="1"/>
    </w:pPr>
    <w:rPr>
      <w:rFonts w:ascii="Times New Roman" w:eastAsia="Times New Roman" w:hAnsi="Times New Roman" w:cs="Times New Roman"/>
      <w:b/>
      <w:bCs/>
      <w:sz w:val="24"/>
      <w:szCs w:val="24"/>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0"/>
    <w:tblPr>
      <w:tblStyleRowBandSize w:val="1"/>
      <w:tblStyleColBandSize w:val="1"/>
      <w:tblCellMar>
        <w:top w:w="0" w:type="dxa"/>
        <w:left w:w="115" w:type="dxa"/>
        <w:bottom w:w="0" w:type="dxa"/>
        <w:right w:w="115" w:type="dxa"/>
      </w:tblCellMar>
    </w:tblPr>
  </w:style>
  <w:style w:type="table" w:customStyle="1" w:styleId="a0">
    <w:basedOn w:val="TableNormal0"/>
    <w:tblPr>
      <w:tblStyleRowBandSize w:val="1"/>
      <w:tblStyleColBandSize w:val="1"/>
      <w:tblCellMar>
        <w:top w:w="0" w:type="dxa"/>
        <w:left w:w="115" w:type="dxa"/>
        <w:bottom w:w="0" w:type="dxa"/>
        <w:right w:w="115" w:type="dxa"/>
      </w:tblCellMar>
    </w:tblPr>
  </w:style>
  <w:style w:type="table" w:customStyle="1" w:styleId="a1">
    <w:basedOn w:val="TableNormal0"/>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yperlink" Target="https://doi.org/10.1093/jamia/ocab123" TargetMode="External" /><Relationship Id="rId18" Type="http://schemas.openxmlformats.org/officeDocument/2006/relationships/hyperlink" Target="https://doi.org/10.20935/AL3044" TargetMode="External" /><Relationship Id="rId26" Type="http://schemas.openxmlformats.org/officeDocument/2006/relationships/hyperlink" Target="https://doi.org/10.1177/21650799251334146" TargetMode="External" /><Relationship Id="rId39" Type="http://schemas.openxmlformats.org/officeDocument/2006/relationships/hyperlink" Target="https://www.theguardian.com/society/2026/feb/26/drop-in-overseas-workers-uk-hospitals-and-care-homes" TargetMode="External" /><Relationship Id="rId21" Type="http://schemas.openxmlformats.org/officeDocument/2006/relationships/hyperlink" Target="https://demos.co.uk/wp-content/uploads/2023/11/Preventing-needless-harms-caused-by-poor-comms-in-the-NHS-1.pdf" TargetMode="External" /><Relationship Id="rId34" Type="http://schemas.openxmlformats.org/officeDocument/2006/relationships/hyperlink" Target="https://www.kingsfund.org.uk/insight-and-analysis/long-reads/burnout-belief-reforming-the-nhs" TargetMode="External" /><Relationship Id="rId42" Type="http://schemas.openxmlformats.org/officeDocument/2006/relationships/hyperlink" Target="https://doi.org/10.1017/jmo.2020.37" TargetMode="External" /><Relationship Id="rId47" Type="http://schemas.openxmlformats.org/officeDocument/2006/relationships/hyperlink" Target="https://doi.org/10.1186/s12912-024-02582-9" TargetMode="External" /><Relationship Id="rId50" Type="http://schemas.openxmlformats.org/officeDocument/2006/relationships/hyperlink" Target="https://www.who.int/news-room/fact-sheets/detail/patient-safety" TargetMode="External" /><Relationship Id="rId55" Type="http://schemas.openxmlformats.org/officeDocument/2006/relationships/fontTable" Target="fontTable.xml" /><Relationship Id="rId7" Type="http://schemas.openxmlformats.org/officeDocument/2006/relationships/image" Target="media/image2.png" /><Relationship Id="rId12" Type="http://schemas.openxmlformats.org/officeDocument/2006/relationships/hyperlink" Target="https://doi.org/10.1109/ICC52391.2025.11161996" TargetMode="External" /><Relationship Id="rId17" Type="http://schemas.openxmlformats.org/officeDocument/2006/relationships/hyperlink" Target="https://doi.org/10.1016/j.ssmqr.2024.100482" TargetMode="External" /><Relationship Id="rId25" Type="http://schemas.openxmlformats.org/officeDocument/2006/relationships/hyperlink" Target="https://doi.org/10.2196/43682" TargetMode="External" /><Relationship Id="rId33" Type="http://schemas.openxmlformats.org/officeDocument/2006/relationships/hyperlink" Target="https://www.manchester.ac.uk/about/news/new-study-investigates-diagnostic-errors-in-english-general-practice/" TargetMode="External" /><Relationship Id="rId38" Type="http://schemas.openxmlformats.org/officeDocument/2006/relationships/hyperlink" Target="https://www.ons.gov.uk/peoplepopulationandcommunity/birthsdeathsandmarriages/deaths/bulletins/deathsrelatedtodrugpoisoninginenglandandwales/2024registrations" TargetMode="External" /><Relationship Id="rId46" Type="http://schemas.openxmlformats.org/officeDocument/2006/relationships/hyperlink" Target="https://doi.org/10.1002/cpt.1295" TargetMode="External" /><Relationship Id="rId2" Type="http://schemas.openxmlformats.org/officeDocument/2006/relationships/settings" Target="settings.xml" /><Relationship Id="rId16" Type="http://schemas.openxmlformats.org/officeDocument/2006/relationships/hyperlink" Target="https://scholarworks.calstate.edu/downloads/44558m06c" TargetMode="External" /><Relationship Id="rId20" Type="http://schemas.openxmlformats.org/officeDocument/2006/relationships/hyperlink" Target="https://www.bmj.com/company/%20newsroom/237-million-medication-errors-made-every-year-in-england/" TargetMode="External" /><Relationship Id="rId29" Type="http://schemas.openxmlformats.org/officeDocument/2006/relationships/hyperlink" Target="https://doi.org/10.1108/IJQSS-12-2016-0081" TargetMode="External" /><Relationship Id="rId41" Type="http://schemas.openxmlformats.org/officeDocument/2006/relationships/hyperlink" Target="https://doi.org/10.1111/bcp.15205" TargetMode="External" /><Relationship Id="rId54" Type="http://schemas.openxmlformats.org/officeDocument/2006/relationships/footer" Target="footer1.xml" /><Relationship Id="rId1" Type="http://schemas.openxmlformats.org/officeDocument/2006/relationships/styles" Target="styles.xml" /><Relationship Id="rId6" Type="http://schemas.openxmlformats.org/officeDocument/2006/relationships/image" Target="media/image1.png" /><Relationship Id="rId11" Type="http://schemas.openxmlformats.org/officeDocument/2006/relationships/image" Target="media/image6.png" /><Relationship Id="rId24" Type="http://schemas.openxmlformats.org/officeDocument/2006/relationships/hyperlink" Target="https://doi.org/10.1136/leader-2020-000323" TargetMode="External" /><Relationship Id="rId32" Type="http://schemas.openxmlformats.org/officeDocument/2006/relationships/hyperlink" Target="https://doi.org/10.1007/s44250-025-00309-4" TargetMode="External" /><Relationship Id="rId37" Type="http://schemas.openxmlformats.org/officeDocument/2006/relationships/hyperlink" Target="https://northyorkshireccg.nhs.uk/wp-content/uploads/2023/09/11.07.23-NHS-NEY-INFANT-MORPHINE-OVERDOSE-CASE-STUDY.pdf" TargetMode="External" /><Relationship Id="rId40" Type="http://schemas.openxmlformats.org/officeDocument/2006/relationships/hyperlink" Target="https://doi.org/10.1016/j.bjoms.2023.07.004" TargetMode="External" /><Relationship Id="rId45" Type="http://schemas.openxmlformats.org/officeDocument/2006/relationships/hyperlink" Target="https://doi.org/10.1007/978-3-030-66252-3_1893" TargetMode="External" /><Relationship Id="rId53" Type="http://schemas.openxmlformats.org/officeDocument/2006/relationships/header" Target="header1.xml" /><Relationship Id="rId5" Type="http://schemas.openxmlformats.org/officeDocument/2006/relationships/endnotes" Target="endnotes.xml" /><Relationship Id="rId15" Type="http://schemas.openxmlformats.org/officeDocument/2006/relationships/hyperlink" Target="https://doi.org/10.1016/j.rcsop.2024.100531" TargetMode="External" /><Relationship Id="rId23" Type="http://schemas.openxmlformats.org/officeDocument/2006/relationships/hyperlink" Target="https://doi.org/10.1186/s12873-015-0046-1" TargetMode="External" /><Relationship Id="rId28" Type="http://schemas.openxmlformats.org/officeDocument/2006/relationships/hyperlink" Target="https://doi.org/10.1186/s12912-025-03685-7" TargetMode="External" /><Relationship Id="rId36" Type="http://schemas.openxmlformats.org/officeDocument/2006/relationships/hyperlink" Target="https://www.england.nhs.uk/long-read/structure-of-the-nhs/" TargetMode="External" /><Relationship Id="rId49" Type="http://schemas.openxmlformats.org/officeDocument/2006/relationships/hyperlink" Target="https://doi.org/10.1016/j.leaqua.2021.101614" TargetMode="External" /><Relationship Id="rId10" Type="http://schemas.openxmlformats.org/officeDocument/2006/relationships/image" Target="media/image5.png" /><Relationship Id="rId19" Type="http://schemas.openxmlformats.org/officeDocument/2006/relationships/hyperlink" Target="https://doi.org/10.1007/978-3-030-19854-1_1" TargetMode="External" /><Relationship Id="rId31" Type="http://schemas.openxmlformats.org/officeDocument/2006/relationships/hyperlink" Target="https://www.researchgate.net/profile/Mauro-Luisetto/publication/324942955_RESEARCH_ARTICLE_JOJ_Pub_Health_Rethinking_the_Hospital_Pharmacist_Service_Centralized_Logistics-ICT_Systems_and_Clinical_Pharmaceutical_Care_Strategies_as_a_Management_Opportunity_for_Public_and_Priv/links/5aedc019a6fdcc8508b805cb/RESEARCH-ARTICLE-JOJ-Pub-Health-Rethinking-the-Hospital-Pharmacist-Service-Centralized-Logistics-ICT-Systems-and-Clinical-Pharmaceutical-Care-Strategies-as-a-Management-Opportunity-for-Public-and-Priv.pdf" TargetMode="External" /><Relationship Id="rId44" Type="http://schemas.openxmlformats.org/officeDocument/2006/relationships/hyperlink" Target="https://doi.org/10.1108/JHOM-06-2022-0175" TargetMode="External" /><Relationship Id="rId52" Type="http://schemas.openxmlformats.org/officeDocument/2006/relationships/hyperlink" Target="https://doi.org/10.1016/j.lanepe.2025.101454" TargetMode="External" /><Relationship Id="rId4" Type="http://schemas.openxmlformats.org/officeDocument/2006/relationships/footnotes" Target="footnotes.xml" /><Relationship Id="rId9" Type="http://schemas.openxmlformats.org/officeDocument/2006/relationships/image" Target="media/image4.png" /><Relationship Id="rId14" Type="http://schemas.openxmlformats.org/officeDocument/2006/relationships/hyperlink" Target="https://doi.org/10.5539/gjhs.v14n2p37" TargetMode="External" /><Relationship Id="rId22" Type="http://schemas.openxmlformats.org/officeDocument/2006/relationships/hyperlink" Target="https://www.kingsfund.org.uk/insight-and-analysis/data-and-charts/nhs-workforce-nutshell" TargetMode="External" /><Relationship Id="rId27" Type="http://schemas.openxmlformats.org/officeDocument/2006/relationships/hyperlink" Target="https://doi.org/10.1155/2022/2775249" TargetMode="External" /><Relationship Id="rId30" Type="http://schemas.openxmlformats.org/officeDocument/2006/relationships/hyperlink" Target="https://doi.org/10.1016/j.imu.2022.101153" TargetMode="External" /><Relationship Id="rId35" Type="http://schemas.openxmlformats.org/officeDocument/2006/relationships/hyperlink" Target="https://resolution.nhs.uk/wp-content/uploads/2023/03/Did-You-Know-Paediatric-Medication-Errors.pdf" TargetMode="External" /><Relationship Id="rId43" Type="http://schemas.openxmlformats.org/officeDocument/2006/relationships/hyperlink" Target="https://doi.org/10.3389/frhs.2025.1484225" TargetMode="External" /><Relationship Id="rId48" Type="http://schemas.openxmlformats.org/officeDocument/2006/relationships/hyperlink" Target="https://doi.org/10.2118/195753-MS" TargetMode="External" /><Relationship Id="rId56" Type="http://schemas.openxmlformats.org/officeDocument/2006/relationships/theme" Target="theme/theme1.xml" /><Relationship Id="rId8" Type="http://schemas.openxmlformats.org/officeDocument/2006/relationships/image" Target="media/image3.png" /><Relationship Id="rId51" Type="http://schemas.openxmlformats.org/officeDocument/2006/relationships/hyperlink" Target="https://doi.org/10.1108/JICA-09-2016-0034" TargetMode="External" /><Relationship Id="rId3"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Pages>
  <Words>7922</Words>
  <Characters>45156</Characters>
  <Application>Microsoft Office Word</Application>
  <DocSecurity>0</DocSecurity>
  <Lines>376</Lines>
  <Paragraphs>105</Paragraphs>
  <ScaleCrop>false</ScaleCrop>
  <Company/>
  <LinksUpToDate>false</LinksUpToDate>
  <CharactersWithSpaces>52973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Ahir kinjal Nareshbhai</cp:lastModifiedBy>
  <cp:revision>2</cp:revision>
  <dcterms:created xsi:type="dcterms:W3CDTF">2026-03-25T21:38:00Z</dcterms:created>
  <dcterms:modified xsi:type="dcterms:W3CDTF">2026-03-25T21:38:00Z</dcterms:modified>
</cp:coreProperties>
</file>