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F306B" w:rsidRPr="00E034E5" w:rsidRDefault="006F306B" w:rsidP="006F306B">
      <w:pPr>
        <w:rPr>
          <w:b/>
        </w:rPr>
      </w:pPr>
    </w:p>
    <w:p w:rsidR="006F306B" w:rsidRPr="00A57EA5" w:rsidRDefault="00A57EA5" w:rsidP="006F306B">
      <w:pPr>
        <w:rPr>
          <w:rFonts w:cs="Arial"/>
          <w:b/>
        </w:rPr>
      </w:pPr>
      <w:r w:rsidRPr="00A57EA5">
        <w:rPr>
          <w:rFonts w:cs="Arial"/>
          <w:b/>
        </w:rPr>
        <w:t>Student N</w:t>
      </w:r>
      <w:r w:rsidR="006F306B" w:rsidRPr="00A57EA5">
        <w:rPr>
          <w:rFonts w:cs="Arial"/>
          <w:b/>
        </w:rPr>
        <w:t>ame: Vaishali K. Nai</w:t>
      </w:r>
    </w:p>
    <w:p w:rsidR="006F306B" w:rsidRPr="00A57EA5" w:rsidRDefault="006F306B" w:rsidP="006F306B">
      <w:pPr>
        <w:rPr>
          <w:rFonts w:cs="Arial"/>
          <w:b/>
        </w:rPr>
      </w:pPr>
      <w:r w:rsidRPr="00A57EA5">
        <w:rPr>
          <w:rFonts w:cs="Arial"/>
          <w:b/>
        </w:rPr>
        <w:t>Student ID: 2243293</w:t>
      </w:r>
    </w:p>
    <w:p w:rsidR="006F306B" w:rsidRPr="00A57EA5" w:rsidRDefault="00EB1BEC" w:rsidP="006F306B">
      <w:pPr>
        <w:rPr>
          <w:rFonts w:cs="Arial"/>
          <w:b/>
        </w:rPr>
      </w:pPr>
      <w:r>
        <w:rPr>
          <w:rFonts w:cs="Arial"/>
          <w:b/>
        </w:rPr>
        <w:t>Module Name: Practice-</w:t>
      </w:r>
      <w:r w:rsidR="006F306B" w:rsidRPr="00A57EA5">
        <w:rPr>
          <w:rFonts w:cs="Arial"/>
          <w:b/>
        </w:rPr>
        <w:t>Based Research</w:t>
      </w:r>
    </w:p>
    <w:p w:rsidR="006F306B" w:rsidRPr="00A57EA5" w:rsidRDefault="006F306B" w:rsidP="006F306B">
      <w:pPr>
        <w:rPr>
          <w:rFonts w:cs="Arial"/>
          <w:b/>
        </w:rPr>
      </w:pPr>
      <w:r w:rsidRPr="00A57EA5">
        <w:rPr>
          <w:rFonts w:cs="Arial"/>
          <w:b/>
        </w:rPr>
        <w:t>Module Code: LCHS7001</w:t>
      </w:r>
    </w:p>
    <w:p w:rsidR="00A57EA5" w:rsidRPr="00A57EA5" w:rsidRDefault="00A57EA5" w:rsidP="006F306B">
      <w:pPr>
        <w:rPr>
          <w:rFonts w:cs="Arial"/>
          <w:b/>
        </w:rPr>
      </w:pPr>
      <w:r w:rsidRPr="00A57EA5">
        <w:rPr>
          <w:rFonts w:cs="Arial"/>
          <w:b/>
        </w:rPr>
        <w:t>Lecturer’s Name: Dr Zeno Leung</w:t>
      </w:r>
    </w:p>
    <w:p w:rsidR="00A57EA5" w:rsidRPr="00A57EA5" w:rsidRDefault="00A57EA5" w:rsidP="006F306B">
      <w:pPr>
        <w:rPr>
          <w:rFonts w:cs="Arial"/>
          <w:b/>
        </w:rPr>
      </w:pPr>
      <w:r w:rsidRPr="00A57EA5">
        <w:rPr>
          <w:rFonts w:cs="Arial"/>
          <w:b/>
        </w:rPr>
        <w:t>Assignment Title: Written Report</w:t>
      </w:r>
    </w:p>
    <w:p w:rsidR="00A57EA5" w:rsidRPr="00A57EA5" w:rsidRDefault="00A57EA5" w:rsidP="006F306B">
      <w:pPr>
        <w:rPr>
          <w:rFonts w:cs="Arial"/>
          <w:b/>
        </w:rPr>
      </w:pPr>
    </w:p>
    <w:p w:rsidR="00A57EA5" w:rsidRPr="00A57EA5" w:rsidRDefault="00A57EA5" w:rsidP="006F306B">
      <w:pPr>
        <w:rPr>
          <w:rFonts w:cs="Arial"/>
          <w:b/>
        </w:rPr>
      </w:pPr>
    </w:p>
    <w:p w:rsidR="00A57EA5" w:rsidRPr="00A57EA5" w:rsidRDefault="00A57EA5" w:rsidP="006F306B">
      <w:pPr>
        <w:rPr>
          <w:rFonts w:cs="Arial"/>
          <w:b/>
        </w:rPr>
      </w:pPr>
    </w:p>
    <w:p w:rsidR="006F306B" w:rsidRPr="00A57EA5" w:rsidRDefault="006F306B" w:rsidP="006F306B">
      <w:pPr>
        <w:rPr>
          <w:rFonts w:cs="Arial"/>
          <w:b/>
          <w:lang w:val="en-GB"/>
        </w:rPr>
      </w:pPr>
      <w:r w:rsidRPr="00A57EA5">
        <w:rPr>
          <w:rFonts w:cs="Arial"/>
          <w:b/>
        </w:rPr>
        <w:t>Title:</w:t>
      </w:r>
      <w:r w:rsidRPr="00A57EA5">
        <w:rPr>
          <w:rFonts w:cs="Arial"/>
        </w:rPr>
        <w:t xml:space="preserve"> </w:t>
      </w:r>
      <w:r w:rsidRPr="00A57EA5">
        <w:rPr>
          <w:rFonts w:cs="Arial"/>
          <w:b/>
          <w:lang w:val="en-GB"/>
        </w:rPr>
        <w:t>Exploring the factors that influence eating behaviour among p</w:t>
      </w:r>
      <w:r w:rsidR="00A57EA5" w:rsidRPr="00A57EA5">
        <w:rPr>
          <w:rFonts w:cs="Arial"/>
          <w:b/>
          <w:lang w:val="en-GB"/>
        </w:rPr>
        <w:t>ostgraduate students in a UWTSD Birmingham</w:t>
      </w:r>
      <w:r w:rsidRPr="00A57EA5">
        <w:rPr>
          <w:rFonts w:cs="Arial"/>
          <w:b/>
          <w:lang w:val="en-GB"/>
        </w:rPr>
        <w:t xml:space="preserve">: a focus group discussion. </w:t>
      </w:r>
    </w:p>
    <w:p w:rsidR="00703126" w:rsidRPr="00A57EA5" w:rsidRDefault="00703126">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sdt>
      <w:sdtPr>
        <w:rPr>
          <w:rFonts w:ascii="Arial" w:eastAsiaTheme="minorHAnsi" w:hAnsi="Arial" w:cs="Arial"/>
          <w:color w:val="auto"/>
          <w:sz w:val="22"/>
          <w:szCs w:val="22"/>
        </w:rPr>
        <w:id w:val="-845022413"/>
        <w:docPartObj>
          <w:docPartGallery w:val="Table of Contents"/>
          <w:docPartUnique/>
        </w:docPartObj>
      </w:sdtPr>
      <w:sdtEndPr>
        <w:rPr>
          <w:b/>
          <w:bCs/>
          <w:noProof/>
        </w:rPr>
      </w:sdtEndPr>
      <w:sdtContent>
        <w:p w:rsidR="006F306B" w:rsidRPr="00A57EA5" w:rsidRDefault="006F306B" w:rsidP="006F306B">
          <w:pPr>
            <w:pStyle w:val="TOCHeading"/>
            <w:rPr>
              <w:rFonts w:ascii="Arial" w:hAnsi="Arial" w:cs="Arial"/>
              <w:sz w:val="22"/>
              <w:szCs w:val="22"/>
            </w:rPr>
          </w:pPr>
          <w:r w:rsidRPr="00A57EA5">
            <w:rPr>
              <w:rFonts w:ascii="Arial" w:hAnsi="Arial" w:cs="Arial"/>
              <w:sz w:val="22"/>
              <w:szCs w:val="22"/>
            </w:rPr>
            <w:t>Table of Contents</w:t>
          </w:r>
        </w:p>
        <w:p w:rsidR="006F306B" w:rsidRPr="00A57EA5" w:rsidRDefault="006F306B" w:rsidP="006F306B">
          <w:pPr>
            <w:pStyle w:val="TOC1"/>
            <w:tabs>
              <w:tab w:val="right" w:leader="dot" w:pos="9350"/>
            </w:tabs>
            <w:rPr>
              <w:rFonts w:eastAsiaTheme="minorEastAsia" w:cs="Arial"/>
              <w:noProof/>
              <w:lang w:val="en-IN" w:eastAsia="en-IN"/>
            </w:rPr>
          </w:pPr>
          <w:r w:rsidRPr="00A57EA5">
            <w:rPr>
              <w:rFonts w:cs="Arial"/>
            </w:rPr>
            <w:fldChar w:fldCharType="begin"/>
          </w:r>
          <w:r w:rsidRPr="00A57EA5">
            <w:rPr>
              <w:rFonts w:cs="Arial"/>
            </w:rPr>
            <w:instrText xml:space="preserve"> TOC \o "1-3" \h \z \u </w:instrText>
          </w:r>
          <w:r w:rsidRPr="00A57EA5">
            <w:rPr>
              <w:rFonts w:cs="Arial"/>
            </w:rPr>
            <w:fldChar w:fldCharType="separate"/>
          </w:r>
          <w:hyperlink w:anchor="_Toc161762673" w:history="1">
            <w:r w:rsidRPr="00A57EA5">
              <w:rPr>
                <w:rStyle w:val="Hyperlink"/>
                <w:rFonts w:cs="Arial"/>
                <w:noProof/>
              </w:rPr>
              <w:t>Introduction/Literature-Based Background to the Study</w:t>
            </w:r>
            <w:r w:rsidRPr="00A57EA5">
              <w:rPr>
                <w:rFonts w:cs="Arial"/>
                <w:noProof/>
                <w:webHidden/>
              </w:rPr>
              <w:tab/>
            </w:r>
            <w:r w:rsidRPr="00A57EA5">
              <w:rPr>
                <w:rFonts w:cs="Arial"/>
                <w:noProof/>
                <w:webHidden/>
              </w:rPr>
              <w:fldChar w:fldCharType="begin"/>
            </w:r>
            <w:r w:rsidRPr="00A57EA5">
              <w:rPr>
                <w:rFonts w:cs="Arial"/>
                <w:noProof/>
                <w:webHidden/>
              </w:rPr>
              <w:instrText xml:space="preserve"> PAGEREF _Toc161762673 \h </w:instrText>
            </w:r>
            <w:r w:rsidRPr="00A57EA5">
              <w:rPr>
                <w:rFonts w:cs="Arial"/>
                <w:noProof/>
                <w:webHidden/>
              </w:rPr>
            </w:r>
            <w:r w:rsidRPr="00A57EA5">
              <w:rPr>
                <w:rFonts w:cs="Arial"/>
                <w:noProof/>
                <w:webHidden/>
              </w:rPr>
              <w:fldChar w:fldCharType="separate"/>
            </w:r>
            <w:r w:rsidRPr="00A57EA5">
              <w:rPr>
                <w:rFonts w:cs="Arial"/>
                <w:noProof/>
                <w:webHidden/>
              </w:rPr>
              <w:t>3</w:t>
            </w:r>
            <w:r w:rsidRPr="00A57EA5">
              <w:rPr>
                <w:rFonts w:cs="Arial"/>
                <w:noProof/>
                <w:webHidden/>
              </w:rPr>
              <w:fldChar w:fldCharType="end"/>
            </w:r>
          </w:hyperlink>
        </w:p>
        <w:p w:rsidR="006F306B" w:rsidRPr="00A57EA5" w:rsidRDefault="00EB1BEC" w:rsidP="006F306B">
          <w:pPr>
            <w:pStyle w:val="TOC1"/>
            <w:tabs>
              <w:tab w:val="right" w:leader="dot" w:pos="9350"/>
            </w:tabs>
            <w:rPr>
              <w:rFonts w:eastAsiaTheme="minorEastAsia" w:cs="Arial"/>
              <w:noProof/>
              <w:lang w:val="en-IN" w:eastAsia="en-IN"/>
            </w:rPr>
          </w:pPr>
          <w:hyperlink w:anchor="_Toc161762674" w:history="1">
            <w:r w:rsidR="006F306B" w:rsidRPr="00A57EA5">
              <w:rPr>
                <w:rStyle w:val="Hyperlink"/>
                <w:rFonts w:cs="Arial"/>
                <w:noProof/>
              </w:rPr>
              <w:t>Rationale of the Study:</w:t>
            </w:r>
            <w:r w:rsidR="006F306B" w:rsidRPr="00A57EA5">
              <w:rPr>
                <w:rFonts w:cs="Arial"/>
                <w:noProof/>
                <w:webHidden/>
              </w:rPr>
              <w:tab/>
            </w:r>
            <w:r w:rsidR="006F306B" w:rsidRPr="00A57EA5">
              <w:rPr>
                <w:rFonts w:cs="Arial"/>
                <w:noProof/>
                <w:webHidden/>
              </w:rPr>
              <w:fldChar w:fldCharType="begin"/>
            </w:r>
            <w:r w:rsidR="006F306B" w:rsidRPr="00A57EA5">
              <w:rPr>
                <w:rFonts w:cs="Arial"/>
                <w:noProof/>
                <w:webHidden/>
              </w:rPr>
              <w:instrText xml:space="preserve"> PAGEREF _Toc161762674 \h </w:instrText>
            </w:r>
            <w:r w:rsidR="006F306B" w:rsidRPr="00A57EA5">
              <w:rPr>
                <w:rFonts w:cs="Arial"/>
                <w:noProof/>
                <w:webHidden/>
              </w:rPr>
            </w:r>
            <w:r w:rsidR="006F306B" w:rsidRPr="00A57EA5">
              <w:rPr>
                <w:rFonts w:cs="Arial"/>
                <w:noProof/>
                <w:webHidden/>
              </w:rPr>
              <w:fldChar w:fldCharType="separate"/>
            </w:r>
            <w:r w:rsidR="006F306B" w:rsidRPr="00A57EA5">
              <w:rPr>
                <w:rFonts w:cs="Arial"/>
                <w:noProof/>
                <w:webHidden/>
              </w:rPr>
              <w:t>4</w:t>
            </w:r>
            <w:r w:rsidR="006F306B" w:rsidRPr="00A57EA5">
              <w:rPr>
                <w:rFonts w:cs="Arial"/>
                <w:noProof/>
                <w:webHidden/>
              </w:rPr>
              <w:fldChar w:fldCharType="end"/>
            </w:r>
          </w:hyperlink>
        </w:p>
        <w:p w:rsidR="006F306B" w:rsidRPr="00A57EA5" w:rsidRDefault="00EB1BEC" w:rsidP="006F306B">
          <w:pPr>
            <w:pStyle w:val="TOC1"/>
            <w:tabs>
              <w:tab w:val="right" w:leader="dot" w:pos="9350"/>
            </w:tabs>
            <w:rPr>
              <w:rFonts w:eastAsiaTheme="minorEastAsia" w:cs="Arial"/>
              <w:noProof/>
              <w:lang w:val="en-IN" w:eastAsia="en-IN"/>
            </w:rPr>
          </w:pPr>
          <w:hyperlink w:anchor="_Toc161762675" w:history="1">
            <w:r w:rsidR="006F306B" w:rsidRPr="00A57EA5">
              <w:rPr>
                <w:rStyle w:val="Hyperlink"/>
                <w:rFonts w:eastAsia="Times New Roman" w:cs="Arial"/>
                <w:noProof/>
              </w:rPr>
              <w:t>Research Methodology:</w:t>
            </w:r>
            <w:r w:rsidR="006F306B" w:rsidRPr="00A57EA5">
              <w:rPr>
                <w:rFonts w:cs="Arial"/>
                <w:noProof/>
                <w:webHidden/>
              </w:rPr>
              <w:tab/>
            </w:r>
            <w:r w:rsidR="006F306B" w:rsidRPr="00A57EA5">
              <w:rPr>
                <w:rFonts w:cs="Arial"/>
                <w:noProof/>
                <w:webHidden/>
              </w:rPr>
              <w:fldChar w:fldCharType="begin"/>
            </w:r>
            <w:r w:rsidR="006F306B" w:rsidRPr="00A57EA5">
              <w:rPr>
                <w:rFonts w:cs="Arial"/>
                <w:noProof/>
                <w:webHidden/>
              </w:rPr>
              <w:instrText xml:space="preserve"> PAGEREF _Toc161762675 \h </w:instrText>
            </w:r>
            <w:r w:rsidR="006F306B" w:rsidRPr="00A57EA5">
              <w:rPr>
                <w:rFonts w:cs="Arial"/>
                <w:noProof/>
                <w:webHidden/>
              </w:rPr>
            </w:r>
            <w:r w:rsidR="006F306B" w:rsidRPr="00A57EA5">
              <w:rPr>
                <w:rFonts w:cs="Arial"/>
                <w:noProof/>
                <w:webHidden/>
              </w:rPr>
              <w:fldChar w:fldCharType="separate"/>
            </w:r>
            <w:r w:rsidR="006F306B" w:rsidRPr="00A57EA5">
              <w:rPr>
                <w:rFonts w:cs="Arial"/>
                <w:noProof/>
                <w:webHidden/>
              </w:rPr>
              <w:t>5</w:t>
            </w:r>
            <w:r w:rsidR="006F306B" w:rsidRPr="00A57EA5">
              <w:rPr>
                <w:rFonts w:cs="Arial"/>
                <w:noProof/>
                <w:webHidden/>
              </w:rPr>
              <w:fldChar w:fldCharType="end"/>
            </w:r>
          </w:hyperlink>
        </w:p>
        <w:p w:rsidR="006F306B" w:rsidRPr="00A57EA5" w:rsidRDefault="00EB1BEC" w:rsidP="006F306B">
          <w:pPr>
            <w:pStyle w:val="TOC1"/>
            <w:tabs>
              <w:tab w:val="right" w:leader="dot" w:pos="9350"/>
            </w:tabs>
            <w:rPr>
              <w:rFonts w:eastAsiaTheme="minorEastAsia" w:cs="Arial"/>
              <w:noProof/>
              <w:lang w:val="en-IN" w:eastAsia="en-IN"/>
            </w:rPr>
          </w:pPr>
          <w:hyperlink w:anchor="_Toc161762676" w:history="1">
            <w:r w:rsidR="006F306B" w:rsidRPr="00A57EA5">
              <w:rPr>
                <w:rStyle w:val="Hyperlink"/>
                <w:rFonts w:cs="Arial"/>
                <w:noProof/>
              </w:rPr>
              <w:t>Materials/Data Collection Method(s)/Procedure:</w:t>
            </w:r>
            <w:r w:rsidR="006F306B" w:rsidRPr="00A57EA5">
              <w:rPr>
                <w:rFonts w:cs="Arial"/>
                <w:noProof/>
                <w:webHidden/>
              </w:rPr>
              <w:tab/>
            </w:r>
            <w:r w:rsidR="006F306B" w:rsidRPr="00A57EA5">
              <w:rPr>
                <w:rFonts w:cs="Arial"/>
                <w:noProof/>
                <w:webHidden/>
              </w:rPr>
              <w:fldChar w:fldCharType="begin"/>
            </w:r>
            <w:r w:rsidR="006F306B" w:rsidRPr="00A57EA5">
              <w:rPr>
                <w:rFonts w:cs="Arial"/>
                <w:noProof/>
                <w:webHidden/>
              </w:rPr>
              <w:instrText xml:space="preserve"> PAGEREF _Toc161762676 \h </w:instrText>
            </w:r>
            <w:r w:rsidR="006F306B" w:rsidRPr="00A57EA5">
              <w:rPr>
                <w:rFonts w:cs="Arial"/>
                <w:noProof/>
                <w:webHidden/>
              </w:rPr>
            </w:r>
            <w:r w:rsidR="006F306B" w:rsidRPr="00A57EA5">
              <w:rPr>
                <w:rFonts w:cs="Arial"/>
                <w:noProof/>
                <w:webHidden/>
              </w:rPr>
              <w:fldChar w:fldCharType="separate"/>
            </w:r>
            <w:r w:rsidR="006F306B" w:rsidRPr="00A57EA5">
              <w:rPr>
                <w:rFonts w:cs="Arial"/>
                <w:noProof/>
                <w:webHidden/>
              </w:rPr>
              <w:t>6</w:t>
            </w:r>
            <w:r w:rsidR="006F306B" w:rsidRPr="00A57EA5">
              <w:rPr>
                <w:rFonts w:cs="Arial"/>
                <w:noProof/>
                <w:webHidden/>
              </w:rPr>
              <w:fldChar w:fldCharType="end"/>
            </w:r>
          </w:hyperlink>
        </w:p>
        <w:p w:rsidR="006F306B" w:rsidRPr="00A57EA5" w:rsidRDefault="00EB1BEC" w:rsidP="006F306B">
          <w:pPr>
            <w:pStyle w:val="TOC1"/>
            <w:tabs>
              <w:tab w:val="right" w:leader="dot" w:pos="9350"/>
            </w:tabs>
            <w:rPr>
              <w:rFonts w:eastAsiaTheme="minorEastAsia" w:cs="Arial"/>
              <w:noProof/>
              <w:lang w:val="en-IN" w:eastAsia="en-IN"/>
            </w:rPr>
          </w:pPr>
          <w:hyperlink w:anchor="_Toc161762677" w:history="1">
            <w:r w:rsidR="006F306B" w:rsidRPr="00A57EA5">
              <w:rPr>
                <w:rStyle w:val="Hyperlink"/>
                <w:rFonts w:cs="Arial"/>
                <w:noProof/>
              </w:rPr>
              <w:t>Ethical Considerations:</w:t>
            </w:r>
            <w:r w:rsidR="006F306B" w:rsidRPr="00A57EA5">
              <w:rPr>
                <w:rFonts w:cs="Arial"/>
                <w:noProof/>
                <w:webHidden/>
              </w:rPr>
              <w:tab/>
            </w:r>
            <w:r w:rsidR="006F306B" w:rsidRPr="00A57EA5">
              <w:rPr>
                <w:rFonts w:cs="Arial"/>
                <w:noProof/>
                <w:webHidden/>
              </w:rPr>
              <w:fldChar w:fldCharType="begin"/>
            </w:r>
            <w:r w:rsidR="006F306B" w:rsidRPr="00A57EA5">
              <w:rPr>
                <w:rFonts w:cs="Arial"/>
                <w:noProof/>
                <w:webHidden/>
              </w:rPr>
              <w:instrText xml:space="preserve"> PAGEREF _Toc161762677 \h </w:instrText>
            </w:r>
            <w:r w:rsidR="006F306B" w:rsidRPr="00A57EA5">
              <w:rPr>
                <w:rFonts w:cs="Arial"/>
                <w:noProof/>
                <w:webHidden/>
              </w:rPr>
            </w:r>
            <w:r w:rsidR="006F306B" w:rsidRPr="00A57EA5">
              <w:rPr>
                <w:rFonts w:cs="Arial"/>
                <w:noProof/>
                <w:webHidden/>
              </w:rPr>
              <w:fldChar w:fldCharType="separate"/>
            </w:r>
            <w:r w:rsidR="006F306B" w:rsidRPr="00A57EA5">
              <w:rPr>
                <w:rFonts w:cs="Arial"/>
                <w:noProof/>
                <w:webHidden/>
              </w:rPr>
              <w:t>8</w:t>
            </w:r>
            <w:r w:rsidR="006F306B" w:rsidRPr="00A57EA5">
              <w:rPr>
                <w:rFonts w:cs="Arial"/>
                <w:noProof/>
                <w:webHidden/>
              </w:rPr>
              <w:fldChar w:fldCharType="end"/>
            </w:r>
          </w:hyperlink>
        </w:p>
        <w:p w:rsidR="006F306B" w:rsidRPr="00A57EA5" w:rsidRDefault="00EB1BEC" w:rsidP="006F306B">
          <w:pPr>
            <w:pStyle w:val="TOC1"/>
            <w:tabs>
              <w:tab w:val="right" w:leader="dot" w:pos="9350"/>
            </w:tabs>
            <w:rPr>
              <w:rFonts w:eastAsiaTheme="minorEastAsia" w:cs="Arial"/>
              <w:noProof/>
              <w:lang w:val="en-IN" w:eastAsia="en-IN"/>
            </w:rPr>
          </w:pPr>
          <w:hyperlink w:anchor="_Toc161762678" w:history="1">
            <w:r w:rsidR="006F306B" w:rsidRPr="00A57EA5">
              <w:rPr>
                <w:rStyle w:val="Hyperlink"/>
                <w:rFonts w:cs="Arial"/>
                <w:noProof/>
              </w:rPr>
              <w:t>Results:</w:t>
            </w:r>
            <w:r w:rsidR="006F306B" w:rsidRPr="00A57EA5">
              <w:rPr>
                <w:rFonts w:cs="Arial"/>
                <w:noProof/>
                <w:webHidden/>
              </w:rPr>
              <w:tab/>
            </w:r>
            <w:r w:rsidR="006F306B" w:rsidRPr="00A57EA5">
              <w:rPr>
                <w:rFonts w:cs="Arial"/>
                <w:noProof/>
                <w:webHidden/>
              </w:rPr>
              <w:fldChar w:fldCharType="begin"/>
            </w:r>
            <w:r w:rsidR="006F306B" w:rsidRPr="00A57EA5">
              <w:rPr>
                <w:rFonts w:cs="Arial"/>
                <w:noProof/>
                <w:webHidden/>
              </w:rPr>
              <w:instrText xml:space="preserve"> PAGEREF _Toc161762678 \h </w:instrText>
            </w:r>
            <w:r w:rsidR="006F306B" w:rsidRPr="00A57EA5">
              <w:rPr>
                <w:rFonts w:cs="Arial"/>
                <w:noProof/>
                <w:webHidden/>
              </w:rPr>
            </w:r>
            <w:r w:rsidR="006F306B" w:rsidRPr="00A57EA5">
              <w:rPr>
                <w:rFonts w:cs="Arial"/>
                <w:noProof/>
                <w:webHidden/>
              </w:rPr>
              <w:fldChar w:fldCharType="separate"/>
            </w:r>
            <w:r w:rsidR="006F306B" w:rsidRPr="00A57EA5">
              <w:rPr>
                <w:rFonts w:cs="Arial"/>
                <w:noProof/>
                <w:webHidden/>
              </w:rPr>
              <w:t>9</w:t>
            </w:r>
            <w:r w:rsidR="006F306B" w:rsidRPr="00A57EA5">
              <w:rPr>
                <w:rFonts w:cs="Arial"/>
                <w:noProof/>
                <w:webHidden/>
              </w:rPr>
              <w:fldChar w:fldCharType="end"/>
            </w:r>
          </w:hyperlink>
        </w:p>
        <w:p w:rsidR="006F306B" w:rsidRPr="00A57EA5" w:rsidRDefault="00EB1BEC" w:rsidP="006F306B">
          <w:pPr>
            <w:pStyle w:val="TOC1"/>
            <w:tabs>
              <w:tab w:val="right" w:leader="dot" w:pos="9350"/>
            </w:tabs>
            <w:rPr>
              <w:rFonts w:eastAsiaTheme="minorEastAsia" w:cs="Arial"/>
              <w:noProof/>
              <w:lang w:val="en-IN" w:eastAsia="en-IN"/>
            </w:rPr>
          </w:pPr>
          <w:hyperlink w:anchor="_Toc161762679" w:history="1">
            <w:r w:rsidR="006F306B" w:rsidRPr="00A57EA5">
              <w:rPr>
                <w:rStyle w:val="Hyperlink"/>
                <w:rFonts w:cs="Arial"/>
                <w:noProof/>
              </w:rPr>
              <w:t>Discussion:</w:t>
            </w:r>
            <w:r w:rsidR="006F306B" w:rsidRPr="00A57EA5">
              <w:rPr>
                <w:rFonts w:cs="Arial"/>
                <w:noProof/>
                <w:webHidden/>
              </w:rPr>
              <w:tab/>
            </w:r>
            <w:r w:rsidR="006F306B" w:rsidRPr="00A57EA5">
              <w:rPr>
                <w:rFonts w:cs="Arial"/>
                <w:noProof/>
                <w:webHidden/>
              </w:rPr>
              <w:fldChar w:fldCharType="begin"/>
            </w:r>
            <w:r w:rsidR="006F306B" w:rsidRPr="00A57EA5">
              <w:rPr>
                <w:rFonts w:cs="Arial"/>
                <w:noProof/>
                <w:webHidden/>
              </w:rPr>
              <w:instrText xml:space="preserve"> PAGEREF _Toc161762679 \h </w:instrText>
            </w:r>
            <w:r w:rsidR="006F306B" w:rsidRPr="00A57EA5">
              <w:rPr>
                <w:rFonts w:cs="Arial"/>
                <w:noProof/>
                <w:webHidden/>
              </w:rPr>
            </w:r>
            <w:r w:rsidR="006F306B" w:rsidRPr="00A57EA5">
              <w:rPr>
                <w:rFonts w:cs="Arial"/>
                <w:noProof/>
                <w:webHidden/>
              </w:rPr>
              <w:fldChar w:fldCharType="separate"/>
            </w:r>
            <w:r w:rsidR="006F306B" w:rsidRPr="00A57EA5">
              <w:rPr>
                <w:rFonts w:cs="Arial"/>
                <w:noProof/>
                <w:webHidden/>
              </w:rPr>
              <w:t>10</w:t>
            </w:r>
            <w:r w:rsidR="006F306B" w:rsidRPr="00A57EA5">
              <w:rPr>
                <w:rFonts w:cs="Arial"/>
                <w:noProof/>
                <w:webHidden/>
              </w:rPr>
              <w:fldChar w:fldCharType="end"/>
            </w:r>
          </w:hyperlink>
        </w:p>
        <w:p w:rsidR="006F306B" w:rsidRPr="00A57EA5" w:rsidRDefault="00EB1BEC" w:rsidP="006F306B">
          <w:pPr>
            <w:pStyle w:val="TOC1"/>
            <w:tabs>
              <w:tab w:val="right" w:leader="dot" w:pos="9350"/>
            </w:tabs>
            <w:rPr>
              <w:rFonts w:eastAsiaTheme="minorEastAsia" w:cs="Arial"/>
              <w:noProof/>
              <w:lang w:val="en-IN" w:eastAsia="en-IN"/>
            </w:rPr>
          </w:pPr>
          <w:hyperlink w:anchor="_Toc161762680" w:history="1">
            <w:r w:rsidR="006F306B" w:rsidRPr="00A57EA5">
              <w:rPr>
                <w:rStyle w:val="Hyperlink"/>
                <w:rFonts w:cs="Arial"/>
                <w:noProof/>
              </w:rPr>
              <w:t>Conclusion and Recommendations:</w:t>
            </w:r>
            <w:r w:rsidR="006F306B" w:rsidRPr="00A57EA5">
              <w:rPr>
                <w:rFonts w:cs="Arial"/>
                <w:noProof/>
                <w:webHidden/>
              </w:rPr>
              <w:tab/>
            </w:r>
            <w:r w:rsidR="006F306B" w:rsidRPr="00A57EA5">
              <w:rPr>
                <w:rFonts w:cs="Arial"/>
                <w:noProof/>
                <w:webHidden/>
              </w:rPr>
              <w:fldChar w:fldCharType="begin"/>
            </w:r>
            <w:r w:rsidR="006F306B" w:rsidRPr="00A57EA5">
              <w:rPr>
                <w:rFonts w:cs="Arial"/>
                <w:noProof/>
                <w:webHidden/>
              </w:rPr>
              <w:instrText xml:space="preserve"> PAGEREF _Toc161762680 \h </w:instrText>
            </w:r>
            <w:r w:rsidR="006F306B" w:rsidRPr="00A57EA5">
              <w:rPr>
                <w:rFonts w:cs="Arial"/>
                <w:noProof/>
                <w:webHidden/>
              </w:rPr>
            </w:r>
            <w:r w:rsidR="006F306B" w:rsidRPr="00A57EA5">
              <w:rPr>
                <w:rFonts w:cs="Arial"/>
                <w:noProof/>
                <w:webHidden/>
              </w:rPr>
              <w:fldChar w:fldCharType="separate"/>
            </w:r>
            <w:r w:rsidR="006F306B" w:rsidRPr="00A57EA5">
              <w:rPr>
                <w:rFonts w:cs="Arial"/>
                <w:noProof/>
                <w:webHidden/>
              </w:rPr>
              <w:t>11</w:t>
            </w:r>
            <w:r w:rsidR="006F306B" w:rsidRPr="00A57EA5">
              <w:rPr>
                <w:rFonts w:cs="Arial"/>
                <w:noProof/>
                <w:webHidden/>
              </w:rPr>
              <w:fldChar w:fldCharType="end"/>
            </w:r>
          </w:hyperlink>
        </w:p>
        <w:p w:rsidR="006F306B" w:rsidRPr="00A57EA5" w:rsidRDefault="00EB1BEC" w:rsidP="006F306B">
          <w:pPr>
            <w:pStyle w:val="TOC1"/>
            <w:tabs>
              <w:tab w:val="right" w:leader="dot" w:pos="9350"/>
            </w:tabs>
            <w:rPr>
              <w:rFonts w:eastAsiaTheme="minorEastAsia" w:cs="Arial"/>
              <w:noProof/>
              <w:lang w:val="en-IN" w:eastAsia="en-IN"/>
            </w:rPr>
          </w:pPr>
          <w:hyperlink w:anchor="_Toc161762681" w:history="1">
            <w:r w:rsidR="006F306B" w:rsidRPr="00A57EA5">
              <w:rPr>
                <w:rStyle w:val="Hyperlink"/>
                <w:rFonts w:cs="Arial"/>
                <w:noProof/>
              </w:rPr>
              <w:t>Reference list</w:t>
            </w:r>
            <w:r w:rsidR="006F306B" w:rsidRPr="00A57EA5">
              <w:rPr>
                <w:rFonts w:cs="Arial"/>
                <w:noProof/>
                <w:webHidden/>
              </w:rPr>
              <w:tab/>
            </w:r>
            <w:r w:rsidR="006F306B" w:rsidRPr="00A57EA5">
              <w:rPr>
                <w:rFonts w:cs="Arial"/>
                <w:noProof/>
                <w:webHidden/>
              </w:rPr>
              <w:fldChar w:fldCharType="begin"/>
            </w:r>
            <w:r w:rsidR="006F306B" w:rsidRPr="00A57EA5">
              <w:rPr>
                <w:rFonts w:cs="Arial"/>
                <w:noProof/>
                <w:webHidden/>
              </w:rPr>
              <w:instrText xml:space="preserve"> PAGEREF _Toc161762681 \h </w:instrText>
            </w:r>
            <w:r w:rsidR="006F306B" w:rsidRPr="00A57EA5">
              <w:rPr>
                <w:rFonts w:cs="Arial"/>
                <w:noProof/>
                <w:webHidden/>
              </w:rPr>
            </w:r>
            <w:r w:rsidR="006F306B" w:rsidRPr="00A57EA5">
              <w:rPr>
                <w:rFonts w:cs="Arial"/>
                <w:noProof/>
                <w:webHidden/>
              </w:rPr>
              <w:fldChar w:fldCharType="separate"/>
            </w:r>
            <w:r w:rsidR="006F306B" w:rsidRPr="00A57EA5">
              <w:rPr>
                <w:rFonts w:cs="Arial"/>
                <w:noProof/>
                <w:webHidden/>
              </w:rPr>
              <w:t>13</w:t>
            </w:r>
            <w:r w:rsidR="006F306B" w:rsidRPr="00A57EA5">
              <w:rPr>
                <w:rFonts w:cs="Arial"/>
                <w:noProof/>
                <w:webHidden/>
              </w:rPr>
              <w:fldChar w:fldCharType="end"/>
            </w:r>
          </w:hyperlink>
        </w:p>
        <w:p w:rsidR="006F306B" w:rsidRPr="00A57EA5" w:rsidRDefault="006F306B" w:rsidP="006F306B">
          <w:pPr>
            <w:rPr>
              <w:rFonts w:cs="Arial"/>
            </w:rPr>
          </w:pPr>
          <w:r w:rsidRPr="00A57EA5">
            <w:rPr>
              <w:rFonts w:cs="Arial"/>
              <w:b/>
              <w:bCs/>
              <w:noProof/>
            </w:rPr>
            <w:fldChar w:fldCharType="end"/>
          </w:r>
        </w:p>
      </w:sdtContent>
    </w:sdt>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6F306B" w:rsidRPr="00A57EA5" w:rsidRDefault="006F306B">
      <w:pPr>
        <w:rPr>
          <w:rFonts w:cs="Arial"/>
        </w:rPr>
      </w:pPr>
    </w:p>
    <w:p w:rsidR="001E0108" w:rsidRDefault="001E0108" w:rsidP="006F306B">
      <w:pPr>
        <w:pStyle w:val="Heading1"/>
        <w:rPr>
          <w:rFonts w:ascii="Arial" w:eastAsiaTheme="minorHAnsi" w:hAnsi="Arial" w:cs="Arial"/>
          <w:color w:val="auto"/>
          <w:sz w:val="22"/>
          <w:szCs w:val="22"/>
        </w:rPr>
      </w:pPr>
      <w:bookmarkStart w:id="0" w:name="_Toc161762673"/>
    </w:p>
    <w:p w:rsidR="00EB1BEC" w:rsidRDefault="00EB1BEC" w:rsidP="006F306B">
      <w:pPr>
        <w:pStyle w:val="Heading1"/>
        <w:rPr>
          <w:rFonts w:ascii="Arial" w:hAnsi="Arial" w:cs="Arial"/>
          <w:sz w:val="22"/>
          <w:szCs w:val="22"/>
        </w:rPr>
      </w:pPr>
    </w:p>
    <w:p w:rsidR="006F306B" w:rsidRPr="00A57EA5" w:rsidRDefault="006F306B" w:rsidP="006F306B">
      <w:pPr>
        <w:pStyle w:val="Heading1"/>
        <w:rPr>
          <w:rFonts w:ascii="Arial" w:hAnsi="Arial" w:cs="Arial"/>
          <w:sz w:val="22"/>
          <w:szCs w:val="22"/>
        </w:rPr>
      </w:pPr>
      <w:r w:rsidRPr="00A57EA5">
        <w:rPr>
          <w:rFonts w:ascii="Arial" w:hAnsi="Arial" w:cs="Arial"/>
          <w:sz w:val="22"/>
          <w:szCs w:val="22"/>
        </w:rPr>
        <w:t>Introduction/Literature-Based Background to the Study</w:t>
      </w:r>
      <w:bookmarkEnd w:id="0"/>
    </w:p>
    <w:p w:rsidR="006F306B" w:rsidRPr="00A57EA5" w:rsidRDefault="006F306B" w:rsidP="006F306B">
      <w:pPr>
        <w:rPr>
          <w:rFonts w:cs="Arial"/>
        </w:rPr>
      </w:pPr>
      <w:r w:rsidRPr="00A57EA5">
        <w:rPr>
          <w:rFonts w:cs="Arial"/>
        </w:rPr>
        <w:t>Considering the critical effects for in everyday prosperity and achievement in school, understanding the intricacies of dietary choices inside postgraduate understudies is fundamental. Higher sensations of nervousness, more critical reasonability, and serious informational essentials are indications of the advancement to postgraduate survey, and these factors could all by and large influence the way one eats (Nash and Whittle, 2020). In academic schools, this area is every now and again disregarded regardless of its importance.</w:t>
      </w:r>
    </w:p>
    <w:p w:rsidR="006F306B" w:rsidRPr="00A57EA5" w:rsidRDefault="006F306B" w:rsidP="006F306B">
      <w:pPr>
        <w:rPr>
          <w:rFonts w:cs="Arial"/>
        </w:rPr>
      </w:pPr>
      <w:r w:rsidRPr="00A57EA5">
        <w:rPr>
          <w:rFonts w:cs="Arial"/>
        </w:rPr>
        <w:t>The composing by and by in circulation recognizes large number variables impacting postgraduate students' dietary examples. For example, educational tension is being found to have been an essential variable that as frequently as potential results in fretful eating, clashing dietary examples, or a dependence on supportive anyway unfortunate food judgments. Dietary decisions are also uncommonly influenced by cordial thinks about that exist school conditions, for instance, peer pressure, bundle eating experiences, and social shows.</w:t>
      </w:r>
    </w:p>
    <w:p w:rsidR="006F306B" w:rsidRPr="00A57EA5" w:rsidRDefault="006F306B" w:rsidP="006F306B">
      <w:pPr>
        <w:rPr>
          <w:rFonts w:cs="Arial"/>
        </w:rPr>
      </w:pPr>
      <w:r w:rsidRPr="00A57EA5">
        <w:rPr>
          <w:rFonts w:cs="Arial"/>
        </w:rPr>
        <w:t>Propelling great consuming less calories approaches to acting inside graduate students at a school partakes in the two advantages and hindrances. Grounds dining experiences and wellbeing courses could differentiate, yet there are additionally striking changes in food accessibility, assessing, and calorie content. In addition, understudies could fight with giving tendency to nutritious meals inferable from plans, time goals, and meager resources.</w:t>
      </w:r>
    </w:p>
    <w:p w:rsidR="006F306B" w:rsidRPr="00A57EA5" w:rsidRDefault="006F306B" w:rsidP="006F306B">
      <w:pPr>
        <w:rPr>
          <w:rFonts w:cs="Arial"/>
        </w:rPr>
      </w:pPr>
      <w:r w:rsidRPr="00A57EA5">
        <w:rPr>
          <w:rFonts w:cs="Arial"/>
        </w:rPr>
        <w:t>Graduate students' dietary examples are affected by culture and individual choices (Chen and Antonelli, 2020). Social care is pressing for fulfilling dietary requirements, as food choices and use plans are affected by customs, family establishments, and individual tendencies.</w:t>
      </w:r>
    </w:p>
    <w:p w:rsidR="006F306B" w:rsidRPr="00A57EA5" w:rsidRDefault="006F306B" w:rsidP="006F306B">
      <w:pPr>
        <w:rPr>
          <w:rFonts w:cs="Arial"/>
        </w:rPr>
      </w:pPr>
      <w:r w:rsidRPr="00A57EA5">
        <w:rPr>
          <w:rFonts w:cs="Arial"/>
        </w:rPr>
        <w:t>Despite the worth of good eating fewer carbs has actually turned into even more extensively seen, individuals really miss the mark on thorough perception of unequivocal troubles and reasons that impact graduate students' dietary examples, particularly in open associations. This survey, which uses a focus group discussion (FGD) approach, plans to restrict this blunder by portraying all of the elements that impact food decisions and offering brief on unambiguous methodologies for enabling alumni students to begin nutritious eating regimens (TÜMEN AKYILDIZ, 2021). This errand's dynamic responsibility with its objective gathering hopes to give understanding that is both sensible and socially pertinent, subsequently further fostering the learning results and by and large of graduate understudies at public foundations.</w:t>
      </w:r>
    </w:p>
    <w:p w:rsidR="006F306B" w:rsidRPr="00A57EA5" w:rsidRDefault="006F306B">
      <w:pPr>
        <w:rPr>
          <w:rFonts w:cs="Arial"/>
        </w:rPr>
      </w:pPr>
    </w:p>
    <w:p w:rsidR="006F306B" w:rsidRPr="00A57EA5" w:rsidRDefault="006F306B">
      <w:pPr>
        <w:rPr>
          <w:rFonts w:cs="Arial"/>
        </w:rPr>
      </w:pPr>
    </w:p>
    <w:p w:rsidR="006F306B" w:rsidRPr="00A57EA5" w:rsidRDefault="006F306B" w:rsidP="006F306B">
      <w:pPr>
        <w:pStyle w:val="Heading1"/>
        <w:rPr>
          <w:rFonts w:ascii="Arial" w:hAnsi="Arial" w:cs="Arial"/>
          <w:sz w:val="22"/>
          <w:szCs w:val="22"/>
        </w:rPr>
      </w:pPr>
      <w:bookmarkStart w:id="1" w:name="_Toc161762674"/>
      <w:r w:rsidRPr="00A57EA5">
        <w:rPr>
          <w:rFonts w:ascii="Arial" w:hAnsi="Arial" w:cs="Arial"/>
          <w:sz w:val="22"/>
          <w:szCs w:val="22"/>
        </w:rPr>
        <w:t>Rationale of the Study:</w:t>
      </w:r>
      <w:bookmarkEnd w:id="1"/>
    </w:p>
    <w:p w:rsidR="006F306B" w:rsidRPr="00A57EA5" w:rsidRDefault="006F306B" w:rsidP="006F306B">
      <w:pPr>
        <w:rPr>
          <w:rFonts w:cs="Arial"/>
        </w:rPr>
      </w:pPr>
      <w:r w:rsidRPr="00A57EA5">
        <w:rPr>
          <w:rFonts w:cs="Arial"/>
        </w:rPr>
        <w:t>The study of eating behavior amo</w:t>
      </w:r>
      <w:bookmarkStart w:id="2" w:name="_GoBack"/>
      <w:bookmarkEnd w:id="2"/>
      <w:r w:rsidRPr="00A57EA5">
        <w:rPr>
          <w:rFonts w:cs="Arial"/>
        </w:rPr>
        <w:t>ng graduate learners in public university settings is extremely important owing to the consequences for personal well-being and academic achievement. Considering the current corpus of study on this issue, there is still a need for additional studies in the historical setting of the public sector that addresses the unique challenges of possibilities that those settings bring.</w:t>
      </w:r>
    </w:p>
    <w:p w:rsidR="006F306B" w:rsidRPr="00A57EA5" w:rsidRDefault="006F306B" w:rsidP="006F306B">
      <w:pPr>
        <w:rPr>
          <w:rFonts w:cs="Arial"/>
        </w:rPr>
      </w:pPr>
      <w:r w:rsidRPr="00A57EA5">
        <w:rPr>
          <w:rFonts w:cs="Arial"/>
        </w:rPr>
        <w:t>It is critical to understand the factors that influence postgraduate students' diets for a variety of objectives. Advocates for improved eating habits may notice a significant increase in students' mental and physical health. Postgraduate studies are usually characterized by increasing scholastic commitments and strain, and both of which, if unchecked, can lead to poor dietary choices (Alzahrani et al., 2020). Interventions to help students adopt healthier coping methods and food habits may be devised by recognizing the fundamental forces that drive those behaviors.</w:t>
      </w:r>
    </w:p>
    <w:p w:rsidR="006F306B" w:rsidRPr="00A57EA5" w:rsidRDefault="006F306B" w:rsidP="006F306B">
      <w:pPr>
        <w:rPr>
          <w:rFonts w:cs="Arial"/>
        </w:rPr>
      </w:pPr>
      <w:r w:rsidRPr="00A57EA5">
        <w:rPr>
          <w:rFonts w:cs="Arial"/>
        </w:rPr>
        <w:t>School culture has a substantial impact on adolescents' eating preferences. Public colleges represent a diverse spectrum of cultural origins, nationalities, and lifestyle habits, all of which impact their food choices. If these viewpoints are seen in the framework of the government as a whole, distinct issues as well as possibilities to encourage nutritious food on campus emerge.</w:t>
      </w:r>
    </w:p>
    <w:p w:rsidR="006F306B" w:rsidRPr="00A57EA5" w:rsidRDefault="00EB1BEC" w:rsidP="006F306B">
      <w:pPr>
        <w:rPr>
          <w:rFonts w:cs="Arial"/>
        </w:rPr>
      </w:pPr>
      <w:r w:rsidRPr="00A57EA5">
        <w:rPr>
          <w:rFonts w:cs="Arial"/>
        </w:rPr>
        <w:t>Likewise</w:t>
      </w:r>
      <w:r w:rsidR="006F306B" w:rsidRPr="00A57EA5">
        <w:rPr>
          <w:rFonts w:cs="Arial"/>
        </w:rPr>
        <w:t>, tending to the nutritional needs of graduate students aligns with larger goals related to public wellness and education. A well-rounded meal plan boosts productivity at work, income, and psychological wellness in alongside improving overall health (S and Aithal, 2023). Establishing a school culture that prioritizes health and fitness might help educational institutions support children's overall development.</w:t>
      </w:r>
    </w:p>
    <w:p w:rsidR="006F306B" w:rsidRPr="00A57EA5" w:rsidRDefault="006F306B" w:rsidP="006F306B">
      <w:pPr>
        <w:rPr>
          <w:rFonts w:cs="Arial"/>
        </w:rPr>
      </w:pPr>
      <w:r w:rsidRPr="00A57EA5">
        <w:rPr>
          <w:rFonts w:cs="Arial"/>
        </w:rPr>
        <w:t xml:space="preserve">The current research addresses an absence in the literature by utilising the qualitative method through focus group discussions (FGDs). Qualitative approaches offer a deeper examination of people's viewpoints, dietary patterns, and motivations (Li, 2022). Regularly conversing openly and honestly with graduate students may supply scientists with confidential data which falls outside the purview of quantitative research. </w:t>
      </w:r>
    </w:p>
    <w:p w:rsidR="006F306B" w:rsidRPr="00A57EA5" w:rsidRDefault="006F306B">
      <w:pPr>
        <w:rPr>
          <w:rFonts w:cs="Arial"/>
        </w:rPr>
      </w:pPr>
      <w:r w:rsidRPr="00A57EA5">
        <w:rPr>
          <w:rFonts w:cs="Arial"/>
        </w:rPr>
        <w:t xml:space="preserve">Research is essential as it may be employed to reinforce specific initiatives and regulations, such those that encourage graduate pupils at public universities to eat healthily (Malan et al., 2020). By dealing with the various factors which impact the dietary choices of the postgraduate </w:t>
      </w:r>
      <w:r w:rsidRPr="00A57EA5">
        <w:rPr>
          <w:rFonts w:cs="Arial"/>
        </w:rPr>
        <w:lastRenderedPageBreak/>
        <w:t>students’ in this specific context, my goal is to improve their academic performance and psychological health while also making a better impact on the campus community and culture.</w:t>
      </w:r>
    </w:p>
    <w:p w:rsidR="006F306B" w:rsidRPr="00A57EA5" w:rsidRDefault="006F306B" w:rsidP="006F306B">
      <w:pPr>
        <w:pStyle w:val="Heading1"/>
        <w:rPr>
          <w:rFonts w:ascii="Arial" w:eastAsia="Times New Roman" w:hAnsi="Arial" w:cs="Arial"/>
          <w:sz w:val="22"/>
          <w:szCs w:val="22"/>
        </w:rPr>
      </w:pPr>
      <w:bookmarkStart w:id="3" w:name="_Toc161762675"/>
      <w:r w:rsidRPr="00A57EA5">
        <w:rPr>
          <w:rFonts w:ascii="Arial" w:eastAsia="Times New Roman" w:hAnsi="Arial" w:cs="Arial"/>
          <w:sz w:val="22"/>
          <w:szCs w:val="22"/>
        </w:rPr>
        <w:t>Research Methodology:</w:t>
      </w:r>
      <w:bookmarkEnd w:id="3"/>
    </w:p>
    <w:p w:rsidR="006F306B" w:rsidRPr="00A57EA5" w:rsidRDefault="006F306B" w:rsidP="006F306B">
      <w:pPr>
        <w:rPr>
          <w:rFonts w:cs="Arial"/>
        </w:rPr>
      </w:pPr>
      <w:r w:rsidRPr="00A57EA5">
        <w:rPr>
          <w:rFonts w:cs="Arial"/>
          <w:b/>
          <w:bCs/>
        </w:rPr>
        <w:t>Research Design/Approach:</w:t>
      </w:r>
      <w:r w:rsidRPr="00A57EA5">
        <w:rPr>
          <w:rFonts w:cs="Arial"/>
        </w:rPr>
        <w:t xml:space="preserve"> A primary method of data collection in this study is focus group discussions (FGDs), conducted using a qualitative research methodology (Nduna, 2020). Qualitative research is decided because it can delve into confounds like nutrition and create rich and nuanced perspectives based on members' opinions. The use of focus group discussions (FGD) is ideal for this review because it works with intuitive discussion between participants, thus allowing alternative perspectives to be evaluated and common ideas and trends to be discovered.</w:t>
      </w:r>
    </w:p>
    <w:p w:rsidR="006F306B" w:rsidRPr="00A57EA5" w:rsidRDefault="006F306B" w:rsidP="006F306B">
      <w:pPr>
        <w:rPr>
          <w:rFonts w:cs="Arial"/>
        </w:rPr>
      </w:pPr>
      <w:r w:rsidRPr="00A57EA5">
        <w:rPr>
          <w:rFonts w:cs="Arial"/>
          <w:b/>
          <w:bCs/>
        </w:rPr>
        <w:t>Recruitment, Sampling &amp; Study Participants:</w:t>
      </w:r>
      <w:r w:rsidRPr="00A57EA5">
        <w:rPr>
          <w:rFonts w:cs="Arial"/>
        </w:rPr>
        <w:t xml:space="preserve"> Purposive sampling is utilized for the determination of participants, which centers around postgraduate students from various branches of the university. Purposive sampling can be utilized to choose individuals who have significant qualities important to accomplish the goals of the review (Campbell et al., 2020). To consider the different viewpoints on eating conduct, the point is to guarantee variety as indicated by age, gender and cultural background.</w:t>
      </w:r>
    </w:p>
    <w:p w:rsidR="006F306B" w:rsidRPr="00A57EA5" w:rsidRDefault="006F306B" w:rsidP="006F306B">
      <w:pPr>
        <w:rPr>
          <w:rFonts w:cs="Arial"/>
        </w:rPr>
      </w:pPr>
      <w:r w:rsidRPr="00A57EA5">
        <w:rPr>
          <w:rFonts w:cs="Arial"/>
        </w:rPr>
        <w:t>Prospective applicants are notified during the recruiting process through department messages, social media, and university email lists (Colom, 2021). After receiving the details of the research, interested parties are asked to voluntarily participate in theresearhc. It is stated that engaging in the investigation is entirely optional, and there will be no repercussions if respondents choose to withdraw at any time.</w:t>
      </w:r>
    </w:p>
    <w:p w:rsidR="006F306B" w:rsidRPr="00A57EA5" w:rsidRDefault="006F306B" w:rsidP="006F306B">
      <w:pPr>
        <w:rPr>
          <w:rFonts w:cs="Arial"/>
        </w:rPr>
      </w:pPr>
      <w:r w:rsidRPr="00A57EA5">
        <w:rPr>
          <w:rFonts w:cs="Arial"/>
        </w:rPr>
        <w:t>The selection of participants is contingent on their willingness to participate in an interactive chat on their eating habits or their present status as undergraduates in the course of study. The intention is to draw a participant pool that is representative of the demographics of graduate students.</w:t>
      </w:r>
    </w:p>
    <w:p w:rsidR="006F306B" w:rsidRPr="00A57EA5" w:rsidRDefault="006F306B" w:rsidP="006F306B">
      <w:pPr>
        <w:rPr>
          <w:rFonts w:cs="Arial"/>
        </w:rPr>
      </w:pPr>
      <w:r w:rsidRPr="00A57EA5">
        <w:rPr>
          <w:rFonts w:cs="Arial"/>
          <w:b/>
          <w:bCs/>
        </w:rPr>
        <w:t>Study Participants:</w:t>
      </w:r>
      <w:r w:rsidRPr="00A57EA5">
        <w:rPr>
          <w:rFonts w:cs="Arial"/>
        </w:rPr>
        <w:t xml:space="preserve"> The project involves master's students from a variety of academic subjects at a public institution (Gill, 2020). Participants are chosen based on their willingness to engage in discussions within focus groups. To accommodate for different views on how students eat, researchers strive for equal representation across the spectrum of age, gender, and ethnicity, while certain demographic variables may vary amongst participants.</w:t>
      </w:r>
    </w:p>
    <w:p w:rsidR="006F306B" w:rsidRPr="00A57EA5" w:rsidRDefault="006F306B" w:rsidP="006F306B">
      <w:pPr>
        <w:rPr>
          <w:rFonts w:cs="Arial"/>
        </w:rPr>
      </w:pPr>
      <w:r w:rsidRPr="00A57EA5">
        <w:rPr>
          <w:rFonts w:cs="Arial"/>
        </w:rPr>
        <w:t xml:space="preserve">The research strategy won't think twice about the personality or confidence of the participants, and their contribution to the study is completely voluntary (Xu et al., 2020). It ought to be </w:t>
      </w:r>
      <w:r w:rsidRPr="00A57EA5">
        <w:rPr>
          <w:rFonts w:cs="Arial"/>
        </w:rPr>
        <w:lastRenderedPageBreak/>
        <w:t>clarified that all ideas are acknowledged and there is no right or erroneous reaction. The aim is to foster a candid, honest discussions among the participants.</w:t>
      </w:r>
    </w:p>
    <w:p w:rsidR="006F306B" w:rsidRPr="00A57EA5" w:rsidRDefault="006F306B" w:rsidP="006F306B">
      <w:pPr>
        <w:rPr>
          <w:rFonts w:cs="Arial"/>
        </w:rPr>
      </w:pPr>
    </w:p>
    <w:p w:rsidR="006F306B" w:rsidRPr="00A57EA5" w:rsidRDefault="006F306B" w:rsidP="006F306B">
      <w:pPr>
        <w:pStyle w:val="Heading1"/>
        <w:rPr>
          <w:rFonts w:ascii="Arial" w:hAnsi="Arial" w:cs="Arial"/>
          <w:sz w:val="22"/>
          <w:szCs w:val="22"/>
        </w:rPr>
      </w:pPr>
      <w:bookmarkStart w:id="4" w:name="_Toc161762676"/>
      <w:r w:rsidRPr="00A57EA5">
        <w:rPr>
          <w:rFonts w:ascii="Arial" w:hAnsi="Arial" w:cs="Arial"/>
          <w:sz w:val="22"/>
          <w:szCs w:val="22"/>
        </w:rPr>
        <w:t>Materials/Data Collection Method(s)/Procedure:</w:t>
      </w:r>
      <w:bookmarkEnd w:id="4"/>
    </w:p>
    <w:p w:rsidR="006F306B" w:rsidRPr="00A57EA5" w:rsidRDefault="006F306B" w:rsidP="006F306B">
      <w:pPr>
        <w:rPr>
          <w:rFonts w:cs="Arial"/>
        </w:rPr>
      </w:pPr>
      <w:r w:rsidRPr="00A57EA5">
        <w:rPr>
          <w:rFonts w:cs="Arial"/>
          <w:b/>
          <w:bCs/>
        </w:rPr>
        <w:t>Resources Used:</w:t>
      </w:r>
      <w:r w:rsidRPr="00A57EA5">
        <w:rPr>
          <w:rFonts w:cs="Arial"/>
        </w:rPr>
        <w:t xml:space="preserve"> During this research to ensure the collections of comprehensives and accurate data and information’s were utilized various tools:</w:t>
      </w:r>
    </w:p>
    <w:p w:rsidR="006F306B" w:rsidRPr="00A57EA5" w:rsidRDefault="006F306B" w:rsidP="006F306B">
      <w:pPr>
        <w:rPr>
          <w:rFonts w:cs="Arial"/>
        </w:rPr>
      </w:pPr>
      <w:r w:rsidRPr="00A57EA5">
        <w:rPr>
          <w:rFonts w:cs="Arial"/>
          <w:b/>
          <w:bCs/>
        </w:rPr>
        <w:t>Audio-Recording Equipment:</w:t>
      </w:r>
      <w:r w:rsidRPr="00A57EA5">
        <w:rPr>
          <w:rFonts w:cs="Arial"/>
        </w:rPr>
        <w:t xml:space="preserve"> </w:t>
      </w:r>
      <w:r w:rsidRPr="00A57EA5">
        <w:rPr>
          <w:rFonts w:cs="Arial"/>
          <w:b/>
          <w:bCs/>
        </w:rPr>
        <w:t xml:space="preserve"> </w:t>
      </w:r>
      <w:r w:rsidRPr="00A57EA5">
        <w:rPr>
          <w:rFonts w:cs="Arial"/>
        </w:rPr>
        <w:t>To protect the dependability of the focus group discussion (FGD), analysts used web based recording hardware (Rutakumwa et al., 2020). The hardware that was used, guaranteed that the conversations were obviously and precisely recorded, which empowered a point by point investigation of the different ideas and sentiments introduced by the participants of the discussions.</w:t>
      </w:r>
    </w:p>
    <w:p w:rsidR="006F306B" w:rsidRPr="00A57EA5" w:rsidRDefault="006F306B" w:rsidP="006F306B">
      <w:pPr>
        <w:rPr>
          <w:rFonts w:cs="Arial"/>
        </w:rPr>
      </w:pPr>
      <w:r w:rsidRPr="00A57EA5">
        <w:rPr>
          <w:rFonts w:cs="Arial"/>
          <w:b/>
          <w:bCs/>
        </w:rPr>
        <w:t>Note-Taking Materials:</w:t>
      </w:r>
      <w:r w:rsidRPr="00A57EA5">
        <w:rPr>
          <w:rFonts w:cs="Arial"/>
        </w:rPr>
        <w:t xml:space="preserve"> The entire focus group discussion was recording by utilizing advanced screens. The referenced gear guaranteed that conversations were appropriately and unequivocally record, empowering a thorough assessment of the viewpoints and thoughts of the participants.</w:t>
      </w:r>
    </w:p>
    <w:p w:rsidR="006F306B" w:rsidRPr="00A57EA5" w:rsidRDefault="006F306B" w:rsidP="006F306B">
      <w:pPr>
        <w:rPr>
          <w:rFonts w:cs="Arial"/>
        </w:rPr>
      </w:pPr>
      <w:r w:rsidRPr="00A57EA5">
        <w:rPr>
          <w:rFonts w:cs="Arial"/>
          <w:b/>
          <w:bCs/>
        </w:rPr>
        <w:t xml:space="preserve">Informed Consent Forms:  </w:t>
      </w:r>
      <w:r w:rsidRPr="00A57EA5">
        <w:rPr>
          <w:rFonts w:cs="Arial"/>
        </w:rPr>
        <w:t xml:space="preserve">Detailed consent forms, which give the data about the objectives, systems, and the right of the members of the FGDs were given and endorsed before the discussions (Bazzano, Durant and Brantley, 2021).To sustain the moral principles during the entire research process, it is important to obtain informed contest forms from the participants. </w:t>
      </w:r>
    </w:p>
    <w:p w:rsidR="006F306B" w:rsidRPr="00A57EA5" w:rsidRDefault="006F306B" w:rsidP="006F306B">
      <w:pPr>
        <w:numPr>
          <w:ilvl w:val="0"/>
          <w:numId w:val="2"/>
        </w:numPr>
        <w:rPr>
          <w:rFonts w:cs="Arial"/>
        </w:rPr>
      </w:pPr>
      <w:r w:rsidRPr="00A57EA5">
        <w:rPr>
          <w:rFonts w:cs="Arial"/>
          <w:b/>
          <w:bCs/>
        </w:rPr>
        <w:t>Data Collection Procedure:</w:t>
      </w:r>
      <w:r w:rsidRPr="00A57EA5">
        <w:rPr>
          <w:rFonts w:cs="Arial"/>
        </w:rPr>
        <w:t xml:space="preserve"> </w:t>
      </w:r>
    </w:p>
    <w:p w:rsidR="006F306B" w:rsidRPr="00A57EA5" w:rsidRDefault="006F306B" w:rsidP="006F306B">
      <w:pPr>
        <w:rPr>
          <w:rFonts w:cs="Arial"/>
        </w:rPr>
      </w:pPr>
      <w:r w:rsidRPr="00A57EA5">
        <w:rPr>
          <w:rFonts w:cs="Arial"/>
        </w:rPr>
        <w:t>The data collection procedure was meticulously designed to deal with a comprehensive analysis of the dietary choices in the students at postgraduate levels:</w:t>
      </w:r>
    </w:p>
    <w:p w:rsidR="006F306B" w:rsidRPr="00A57EA5" w:rsidRDefault="006F306B" w:rsidP="006F306B">
      <w:pPr>
        <w:numPr>
          <w:ilvl w:val="0"/>
          <w:numId w:val="3"/>
        </w:numPr>
        <w:rPr>
          <w:rFonts w:cs="Arial"/>
        </w:rPr>
      </w:pPr>
      <w:r w:rsidRPr="00A57EA5">
        <w:rPr>
          <w:rFonts w:cs="Arial"/>
          <w:b/>
          <w:bCs/>
        </w:rPr>
        <w:t>Selection of Venue:</w:t>
      </w:r>
      <w:r w:rsidRPr="00A57EA5">
        <w:rPr>
          <w:rFonts w:cs="Arial"/>
        </w:rPr>
        <w:t xml:space="preserve"> The group sessions were held in cozy, quit spot on the university campus to protect participant privacy and foster free, honest and accurate conversations.</w:t>
      </w:r>
    </w:p>
    <w:p w:rsidR="006F306B" w:rsidRPr="00A57EA5" w:rsidRDefault="006F306B" w:rsidP="006F306B">
      <w:pPr>
        <w:numPr>
          <w:ilvl w:val="0"/>
          <w:numId w:val="3"/>
        </w:numPr>
        <w:rPr>
          <w:rFonts w:cs="Arial"/>
        </w:rPr>
      </w:pPr>
      <w:r w:rsidRPr="00A57EA5">
        <w:rPr>
          <w:rFonts w:cs="Arial"/>
          <w:b/>
          <w:bCs/>
        </w:rPr>
        <w:t>Participant Recruitment:</w:t>
      </w:r>
      <w:r w:rsidRPr="00A57EA5">
        <w:rPr>
          <w:rFonts w:cs="Arial"/>
        </w:rPr>
        <w:t xml:space="preserve"> Students pursing the postgraduate degree in a broad range of academic degree were selected with the selective sampling method (Taherdoost, 2021). Adequate effort was taken to assure diversity and equality in accordance to gender, age and socioeconomic status, in order to take into consideration diverse perspectives and factors affecting the dietary choices.</w:t>
      </w:r>
    </w:p>
    <w:p w:rsidR="006F306B" w:rsidRPr="00A57EA5" w:rsidRDefault="006F306B" w:rsidP="006F306B">
      <w:pPr>
        <w:numPr>
          <w:ilvl w:val="0"/>
          <w:numId w:val="3"/>
        </w:numPr>
        <w:rPr>
          <w:rFonts w:cs="Arial"/>
        </w:rPr>
      </w:pPr>
      <w:r w:rsidRPr="00A57EA5">
        <w:rPr>
          <w:rFonts w:cs="Arial"/>
          <w:b/>
          <w:bCs/>
        </w:rPr>
        <w:lastRenderedPageBreak/>
        <w:t>Moderated Discussions:</w:t>
      </w:r>
      <w:r w:rsidRPr="00A57EA5">
        <w:rPr>
          <w:rFonts w:cs="Arial"/>
        </w:rPr>
        <w:t xml:space="preserve"> A semi-structed method were used in the presence of a moderator, to conduct the focus group discussion (Taherdoost, 2021). The respondents were provided the chance to discuss their experiences and viewpoints on the different eating habits, while a moderator led the discussions with a series of open-ended questions which were already formed.</w:t>
      </w:r>
    </w:p>
    <w:p w:rsidR="006F306B" w:rsidRPr="00A57EA5" w:rsidRDefault="006F306B" w:rsidP="006F306B">
      <w:pPr>
        <w:numPr>
          <w:ilvl w:val="0"/>
          <w:numId w:val="3"/>
        </w:numPr>
        <w:rPr>
          <w:rFonts w:cs="Arial"/>
        </w:rPr>
      </w:pPr>
      <w:r w:rsidRPr="00A57EA5">
        <w:rPr>
          <w:rFonts w:cs="Arial"/>
          <w:b/>
          <w:bCs/>
        </w:rPr>
        <w:t>Audio Recording:</w:t>
      </w:r>
      <w:r w:rsidRPr="00A57EA5">
        <w:rPr>
          <w:rFonts w:cs="Arial"/>
        </w:rPr>
        <w:t xml:space="preserve"> Various advanced voice recorders were used to record the group discussions with the consent of the participants. This strategy guaranteed the precise catch, everything being equal, empowering itemized examination during the information handling stage.</w:t>
      </w:r>
    </w:p>
    <w:p w:rsidR="006F306B" w:rsidRPr="00A57EA5" w:rsidRDefault="006F306B" w:rsidP="006F306B">
      <w:pPr>
        <w:numPr>
          <w:ilvl w:val="0"/>
          <w:numId w:val="3"/>
        </w:numPr>
        <w:rPr>
          <w:rFonts w:cs="Arial"/>
        </w:rPr>
      </w:pPr>
      <w:r w:rsidRPr="00A57EA5">
        <w:rPr>
          <w:rFonts w:cs="Arial"/>
          <w:b/>
          <w:bCs/>
        </w:rPr>
        <w:t>Note-Taking:</w:t>
      </w:r>
      <w:r w:rsidRPr="00A57EA5">
        <w:rPr>
          <w:rFonts w:cs="Arial"/>
        </w:rPr>
        <w:t xml:space="preserve"> Analysts took thorough notes during the FGDs to enhance the sound accounts. These notes gave extra setting and bits of knowledge into the conversations, upgrading the lavishness of the information gathered.</w:t>
      </w:r>
    </w:p>
    <w:p w:rsidR="006F306B" w:rsidRPr="00A57EA5" w:rsidRDefault="006F306B" w:rsidP="006F306B">
      <w:pPr>
        <w:numPr>
          <w:ilvl w:val="0"/>
          <w:numId w:val="3"/>
        </w:numPr>
        <w:rPr>
          <w:rFonts w:cs="Arial"/>
        </w:rPr>
      </w:pPr>
      <w:r w:rsidRPr="00A57EA5">
        <w:rPr>
          <w:rFonts w:cs="Arial"/>
          <w:b/>
          <w:bCs/>
        </w:rPr>
        <w:t>Duration and Participation:</w:t>
      </w:r>
      <w:r w:rsidRPr="00A57EA5">
        <w:rPr>
          <w:rFonts w:cs="Arial"/>
        </w:rPr>
        <w:t xml:space="preserve"> Each FGD endured roughly 60 to an hour and a half, giving more than adequate chance to exhaustive investigation of the subject. The cooperation of 6 to 8 postgraduate understudies in each FGD guaranteed assorted viewpoints and vigorous conversation.</w:t>
      </w:r>
    </w:p>
    <w:p w:rsidR="006F306B" w:rsidRPr="00A57EA5" w:rsidRDefault="006F306B" w:rsidP="006F306B">
      <w:pPr>
        <w:rPr>
          <w:rFonts w:cs="Arial"/>
        </w:rPr>
      </w:pPr>
      <w:r w:rsidRPr="00A57EA5">
        <w:rPr>
          <w:rFonts w:cs="Arial"/>
          <w:b/>
          <w:bCs/>
        </w:rPr>
        <w:t>Data Analysis Technique:</w:t>
      </w:r>
    </w:p>
    <w:p w:rsidR="006F306B" w:rsidRPr="00A57EA5" w:rsidRDefault="006F306B" w:rsidP="006F306B">
      <w:pPr>
        <w:rPr>
          <w:rFonts w:cs="Arial"/>
        </w:rPr>
      </w:pPr>
      <w:r w:rsidRPr="00A57EA5">
        <w:rPr>
          <w:rFonts w:cs="Arial"/>
        </w:rPr>
        <w:t>The qualitative data collected from the focus group discussions (FGDs) will undergo thematic analysis to identify patterns, themes, and insights related to eating behavior among postgraduate students in the public university setting (Çelik, Baykal and Memur, 2020). Thematic analysis is a widely used method for analyzing qualitative data, allowing researchers to systematically organize and interpret textual data to uncover underlying themes and meanings (Løvaas, Sirris and Waeraas, 2022).</w:t>
      </w:r>
    </w:p>
    <w:p w:rsidR="006F306B" w:rsidRPr="00A57EA5" w:rsidRDefault="006F306B" w:rsidP="006F306B">
      <w:pPr>
        <w:rPr>
          <w:rFonts w:cs="Arial"/>
        </w:rPr>
      </w:pPr>
    </w:p>
    <w:p w:rsidR="006F306B" w:rsidRPr="00A57EA5" w:rsidRDefault="006F306B" w:rsidP="006F306B">
      <w:pPr>
        <w:rPr>
          <w:rFonts w:cs="Arial"/>
        </w:rPr>
      </w:pPr>
      <w:r w:rsidRPr="00A57EA5">
        <w:rPr>
          <w:rFonts w:cs="Arial"/>
        </w:rPr>
        <w:t>The following steps will be employed in the thematic analysis process:</w:t>
      </w:r>
    </w:p>
    <w:p w:rsidR="006F306B" w:rsidRPr="00A57EA5" w:rsidRDefault="006F306B" w:rsidP="006F306B">
      <w:pPr>
        <w:numPr>
          <w:ilvl w:val="0"/>
          <w:numId w:val="4"/>
        </w:numPr>
        <w:rPr>
          <w:rFonts w:cs="Arial"/>
        </w:rPr>
      </w:pPr>
      <w:r w:rsidRPr="00A57EA5">
        <w:rPr>
          <w:rFonts w:cs="Arial"/>
          <w:b/>
          <w:bCs/>
        </w:rPr>
        <w:t>Data Transcription:</w:t>
      </w:r>
      <w:r w:rsidRPr="00A57EA5">
        <w:rPr>
          <w:rFonts w:cs="Arial"/>
        </w:rPr>
        <w:t xml:space="preserve"> The audio recordings of the FGDs will be transcribed verbatim to create a written record of the discussions (Jones, 2021). For a detailed examination of the data, transiption guarantee the precision and convenience.</w:t>
      </w:r>
    </w:p>
    <w:p w:rsidR="006F306B" w:rsidRPr="00A57EA5" w:rsidRDefault="006F306B" w:rsidP="006F306B">
      <w:pPr>
        <w:numPr>
          <w:ilvl w:val="0"/>
          <w:numId w:val="4"/>
        </w:numPr>
        <w:rPr>
          <w:rFonts w:cs="Arial"/>
        </w:rPr>
      </w:pPr>
      <w:r w:rsidRPr="00A57EA5">
        <w:rPr>
          <w:rFonts w:cs="Arial"/>
          <w:b/>
          <w:bCs/>
        </w:rPr>
        <w:t>Familiarization:</w:t>
      </w:r>
      <w:r w:rsidRPr="00A57EA5">
        <w:rPr>
          <w:rFonts w:cs="Arial"/>
        </w:rPr>
        <w:t xml:space="preserve"> Research will familiarize themselves with the collected data by thoroughly reading and revising the transcripts to obtain a detailed comprehension of the content (Ningi, 2022). This process aids the researchers in familiarizing themselves with the data and determine recurring concepts and patterns.</w:t>
      </w:r>
    </w:p>
    <w:p w:rsidR="006F306B" w:rsidRPr="00A57EA5" w:rsidRDefault="006F306B" w:rsidP="006F306B">
      <w:pPr>
        <w:numPr>
          <w:ilvl w:val="0"/>
          <w:numId w:val="4"/>
        </w:numPr>
        <w:rPr>
          <w:rFonts w:cs="Arial"/>
        </w:rPr>
      </w:pPr>
      <w:r w:rsidRPr="00A57EA5">
        <w:rPr>
          <w:rFonts w:cs="Arial"/>
          <w:b/>
          <w:bCs/>
        </w:rPr>
        <w:lastRenderedPageBreak/>
        <w:t>Generating Initial Codes:</w:t>
      </w:r>
      <w:r w:rsidRPr="00A57EA5">
        <w:rPr>
          <w:rFonts w:cs="Arial"/>
        </w:rPr>
        <w:t xml:space="preserve"> Data segments that show important aspects or ideas related to eating behavior are given initial codes. Codes are short identifiers or characters that capture the essence of the data and help organize it during the data analysis.</w:t>
      </w:r>
    </w:p>
    <w:p w:rsidR="006F306B" w:rsidRPr="00A57EA5" w:rsidRDefault="006F306B" w:rsidP="006F306B">
      <w:pPr>
        <w:numPr>
          <w:ilvl w:val="0"/>
          <w:numId w:val="4"/>
        </w:numPr>
        <w:rPr>
          <w:rFonts w:cs="Arial"/>
        </w:rPr>
      </w:pPr>
      <w:r w:rsidRPr="00A57EA5">
        <w:rPr>
          <w:rFonts w:cs="Arial"/>
          <w:b/>
          <w:bCs/>
        </w:rPr>
        <w:t>Identifying Themes:</w:t>
      </w:r>
      <w:r w:rsidRPr="00A57EA5">
        <w:rPr>
          <w:rFonts w:cs="Arial"/>
        </w:rPr>
        <w:t xml:space="preserve"> Codes are classified according to their similarities and correlations to reveal general themes or patterns in the data (Lochmiller, 2021). Themes are recurring ideas, thoughts, or experiences that arise from the data and inform the research questions.</w:t>
      </w:r>
    </w:p>
    <w:p w:rsidR="006F306B" w:rsidRPr="00A57EA5" w:rsidRDefault="006F306B" w:rsidP="006F306B">
      <w:pPr>
        <w:numPr>
          <w:ilvl w:val="0"/>
          <w:numId w:val="4"/>
        </w:numPr>
        <w:rPr>
          <w:rFonts w:cs="Arial"/>
        </w:rPr>
      </w:pPr>
      <w:r w:rsidRPr="00A57EA5">
        <w:rPr>
          <w:rFonts w:cs="Arial"/>
          <w:b/>
          <w:bCs/>
        </w:rPr>
        <w:t>Reviewing and Refining Themes:</w:t>
      </w:r>
      <w:r w:rsidRPr="00A57EA5">
        <w:rPr>
          <w:rFonts w:cs="Arial"/>
        </w:rPr>
        <w:t xml:space="preserve"> Researchers constantly review the data to verify and confirm the patterns they find. Themes undergo iterative analysis, so the researcher can review and refine them, ensuring consistency and consistency across the dataset. </w:t>
      </w:r>
    </w:p>
    <w:p w:rsidR="006F306B" w:rsidRPr="00A57EA5" w:rsidRDefault="006F306B" w:rsidP="006F306B">
      <w:pPr>
        <w:numPr>
          <w:ilvl w:val="0"/>
          <w:numId w:val="4"/>
        </w:numPr>
        <w:rPr>
          <w:rFonts w:cs="Arial"/>
        </w:rPr>
      </w:pPr>
      <w:r w:rsidRPr="00A57EA5">
        <w:rPr>
          <w:rFonts w:cs="Arial"/>
          <w:b/>
          <w:bCs/>
        </w:rPr>
        <w:t>Interpreting and Reporting:</w:t>
      </w:r>
      <w:r w:rsidRPr="00A57EA5">
        <w:rPr>
          <w:rFonts w:cs="Arial"/>
        </w:rPr>
        <w:t xml:space="preserve"> After identifying themes, researchers analyze their meanings and implications for research objectives (Morgan, 2022). The results that are obtained are presented clearly and concisely and are supported by illustrative quotes from the data to increase credibility and precisions.</w:t>
      </w:r>
    </w:p>
    <w:p w:rsidR="006F306B" w:rsidRPr="00A57EA5" w:rsidRDefault="006F306B" w:rsidP="006F306B">
      <w:pPr>
        <w:rPr>
          <w:rFonts w:cs="Arial"/>
        </w:rPr>
      </w:pPr>
      <w:r w:rsidRPr="00A57EA5">
        <w:rPr>
          <w:rFonts w:cs="Arial"/>
        </w:rPr>
        <w:t>Versatile and systemic method for qualitative data analysis is provided by thematic analysis. It allows the researchers to discover significant information regarding the various aspects with impact eating behavior among the students of postgraduation (Ozuem, 2022). By utilizing this method research in terms to develop significant information and finding but play an important part in the existing literature in this field and also lead future researches and policies intended at first earning healthy eating habits amongst students of postgraduation at public universities.</w:t>
      </w:r>
    </w:p>
    <w:p w:rsidR="006F306B" w:rsidRPr="00A57EA5" w:rsidRDefault="006F306B" w:rsidP="006F306B">
      <w:pPr>
        <w:pStyle w:val="Heading1"/>
        <w:rPr>
          <w:rFonts w:ascii="Arial" w:hAnsi="Arial" w:cs="Arial"/>
          <w:sz w:val="22"/>
          <w:szCs w:val="22"/>
        </w:rPr>
      </w:pPr>
      <w:bookmarkStart w:id="5" w:name="_Toc161762677"/>
      <w:r w:rsidRPr="00A57EA5">
        <w:rPr>
          <w:rFonts w:ascii="Arial" w:hAnsi="Arial" w:cs="Arial"/>
          <w:sz w:val="22"/>
          <w:szCs w:val="22"/>
        </w:rPr>
        <w:t>Ethical Considerations:</w:t>
      </w:r>
      <w:bookmarkEnd w:id="5"/>
    </w:p>
    <w:p w:rsidR="006F306B" w:rsidRPr="00A57EA5" w:rsidRDefault="006F306B" w:rsidP="006F306B">
      <w:pPr>
        <w:rPr>
          <w:rFonts w:cs="Arial"/>
        </w:rPr>
      </w:pPr>
      <w:r w:rsidRPr="00A57EA5">
        <w:rPr>
          <w:rFonts w:cs="Arial"/>
        </w:rPr>
        <w:t>During the entire research, the participants’ rights, safety and security were considered by ensuring that ethical considerations are maintained. Several important ethical considerations and short during the research are:</w:t>
      </w:r>
    </w:p>
    <w:p w:rsidR="006F306B" w:rsidRPr="00A57EA5" w:rsidRDefault="006F306B" w:rsidP="006F306B">
      <w:pPr>
        <w:rPr>
          <w:rFonts w:eastAsia="Times New Roman" w:cs="Arial"/>
        </w:rPr>
      </w:pPr>
      <w:r w:rsidRPr="00A57EA5">
        <w:rPr>
          <w:rFonts w:cs="Arial"/>
          <w:b/>
          <w:bCs/>
        </w:rPr>
        <w:t>Informed Consent:</w:t>
      </w:r>
      <w:r w:rsidRPr="00A57EA5">
        <w:rPr>
          <w:rFonts w:cs="Arial"/>
        </w:rPr>
        <w:t xml:space="preserve"> </w:t>
      </w:r>
      <w:r w:rsidRPr="00A57EA5">
        <w:rPr>
          <w:rFonts w:eastAsia="Times New Roman" w:cs="Arial"/>
        </w:rPr>
        <w:t>Prior to participation in the focus group discussions the participants are all provided detailed information regarding the research with includes the research objects methodology potential test and benefits of participations and also the membership entitlements (O’ Sullivan et al., 2021). Each participant provides advised agreement by demonstrating their voluntary participation in the research process.</w:t>
      </w:r>
    </w:p>
    <w:p w:rsidR="006F306B" w:rsidRPr="00A57EA5" w:rsidRDefault="006F306B" w:rsidP="006F306B">
      <w:pPr>
        <w:rPr>
          <w:rFonts w:eastAsia="Times New Roman" w:cs="Arial"/>
        </w:rPr>
      </w:pPr>
      <w:r w:rsidRPr="00A57EA5">
        <w:rPr>
          <w:rFonts w:cs="Arial"/>
          <w:b/>
          <w:bCs/>
        </w:rPr>
        <w:t>Confidentiality and Anonymity:</w:t>
      </w:r>
      <w:r w:rsidRPr="00A57EA5">
        <w:rPr>
          <w:rFonts w:cs="Arial"/>
        </w:rPr>
        <w:t xml:space="preserve"> </w:t>
      </w:r>
      <w:r w:rsidRPr="00A57EA5">
        <w:rPr>
          <w:rFonts w:eastAsia="Times New Roman" w:cs="Arial"/>
        </w:rPr>
        <w:t xml:space="preserve">Various precautions were taken to protect the confidentiality and anonymity of the participants (Ellersgaard, Ditlevsen and Larsen, 2021). Their identities </w:t>
      </w:r>
      <w:r w:rsidRPr="00A57EA5">
        <w:rPr>
          <w:rFonts w:eastAsia="Times New Roman" w:cs="Arial"/>
        </w:rPr>
        <w:lastRenderedPageBreak/>
        <w:t xml:space="preserve">over protected and all the details and information obtained during the discussion was anonymized to guarantee that no participant was likely to be identified in any publications or the reports resulting from the analysis of the research. </w:t>
      </w:r>
    </w:p>
    <w:p w:rsidR="006F306B" w:rsidRPr="00A57EA5" w:rsidRDefault="006F306B" w:rsidP="006F306B">
      <w:pPr>
        <w:rPr>
          <w:rFonts w:cs="Arial"/>
        </w:rPr>
      </w:pPr>
      <w:r w:rsidRPr="00A57EA5">
        <w:rPr>
          <w:rFonts w:cs="Arial"/>
        </w:rPr>
        <w:t>Respect for the autonomy of participants: The autonomy and the right to speak freely of discourse of the members were viewed as all through the analysis (Berkovic, 2023). Through the FGDs, the researchers guaranteed that respondents were allowed to express out loud whatever they needed unafraid of judgment or revenge. Members can clarify some pressing issues, give subtleties and remark on research strategies.</w:t>
      </w:r>
    </w:p>
    <w:p w:rsidR="006F306B" w:rsidRPr="00A57EA5" w:rsidRDefault="006F306B" w:rsidP="006F306B">
      <w:pPr>
        <w:rPr>
          <w:rFonts w:cs="Arial"/>
        </w:rPr>
      </w:pPr>
      <w:r w:rsidRPr="00A57EA5">
        <w:rPr>
          <w:rFonts w:cs="Arial"/>
        </w:rPr>
        <w:t>Minimization of Harm: All safety measures were required to decrease the chance of harm or suffering to individuals during the examination (Taquette and Borges da Matta Souza, 2022). Making an enticing and non-critical culture is fundamental for individuals to share their perceptions and points of view during FGDs straightforwardly. Sensitive topics such as diet and personal hygiene were also carefully addressed so as not to disturb the members. All things considered, these moral considerations ensured the continued consideration of research privilege and state aid.</w:t>
      </w:r>
    </w:p>
    <w:p w:rsidR="006F306B" w:rsidRDefault="006F306B" w:rsidP="006F306B">
      <w:pPr>
        <w:pStyle w:val="Heading1"/>
        <w:rPr>
          <w:rFonts w:ascii="Arial" w:hAnsi="Arial" w:cs="Arial"/>
          <w:sz w:val="22"/>
          <w:szCs w:val="22"/>
        </w:rPr>
      </w:pPr>
      <w:bookmarkStart w:id="6" w:name="_Toc161762678"/>
      <w:r w:rsidRPr="00A57EA5">
        <w:rPr>
          <w:rFonts w:ascii="Arial" w:hAnsi="Arial" w:cs="Arial"/>
          <w:sz w:val="22"/>
          <w:szCs w:val="22"/>
        </w:rPr>
        <w:t>Results:</w:t>
      </w:r>
      <w:bookmarkEnd w:id="6"/>
    </w:p>
    <w:p w:rsidR="001E0108" w:rsidRPr="00761977" w:rsidRDefault="001E0108" w:rsidP="001E0108">
      <w:pPr>
        <w:rPr>
          <w:highlight w:val="green"/>
        </w:rPr>
      </w:pPr>
      <w:r w:rsidRPr="002A0A75">
        <w:t>Numerous factors influence individuals' dietary patterns and lifestyle as a general, and the group discussions enlightened these concerns. In particular, there is a need to understand how students in a public university environment follow diet.</w:t>
      </w:r>
    </w:p>
    <w:p w:rsidR="001E0108" w:rsidRPr="00CC088F" w:rsidRDefault="001E0108" w:rsidP="001E0108">
      <w:r w:rsidRPr="00CC088F">
        <w:t>Health Status and Physical Activity:</w:t>
      </w:r>
    </w:p>
    <w:p w:rsidR="001E0108" w:rsidRPr="00537D4D" w:rsidRDefault="001E0108" w:rsidP="001E0108">
      <w:r w:rsidRPr="00CC088F">
        <w:t>Therefore, students' wellbeing was fairly positive ranging from average to excellent, as disclosed by the focus group discussions. It shows that the populace consistently maintain the health, which is fundamental for wellbeing and academic progress. Most of members were exceptionally engaged in physical workout, which is a decent mark of their ability to keep up with the fitness. Regular physical activities ought to be a add in positive health and every student's mental state. Since active life impact on the state of mind, helps in increased energy levels, and works on the wellbeing overall.</w:t>
      </w:r>
    </w:p>
    <w:p w:rsidR="001E0108" w:rsidRPr="00C641D8" w:rsidRDefault="001E0108" w:rsidP="001E0108">
      <w:r w:rsidRPr="00C641D8">
        <w:t>Eat Pattern Quality:</w:t>
      </w:r>
    </w:p>
    <w:p w:rsidR="001E0108" w:rsidRPr="00B6364A" w:rsidRDefault="001E0108" w:rsidP="001E0108">
      <w:pPr>
        <w:rPr>
          <w:highlight w:val="yellow"/>
        </w:rPr>
      </w:pPr>
      <w:r w:rsidRPr="00C641D8">
        <w:t xml:space="preserve">In spite of individual fluctuations, the FGD's dietary patterns are normally medium to good. An improvement in dietary patterns was found in the individual who tried to eat healthy meal and adhere to a fair eating routine. In any case, there were empowering patterns that may be additionally evolved by drives to advance healthier dieting. It is obvious based on what is </w:t>
      </w:r>
      <w:r w:rsidRPr="00C641D8">
        <w:lastRenderedPageBreak/>
        <w:t>realized about students' dietary patterns that they have moderate to high dietary patterns. Intercessions and educational initiatives might be shaped by these perceptions.</w:t>
      </w:r>
    </w:p>
    <w:p w:rsidR="00C24DDB" w:rsidRDefault="00C24DDB" w:rsidP="001E0108"/>
    <w:p w:rsidR="001E0108" w:rsidRPr="0094713F" w:rsidRDefault="001E0108" w:rsidP="001E0108">
      <w:r w:rsidRPr="0094713F">
        <w:t>Individual Observations:</w:t>
      </w:r>
    </w:p>
    <w:p w:rsidR="001E0108" w:rsidRPr="00B6364A" w:rsidRDefault="001E0108" w:rsidP="001E0108">
      <w:pPr>
        <w:rPr>
          <w:highlight w:val="yellow"/>
        </w:rPr>
      </w:pPr>
      <w:r w:rsidRPr="0094713F">
        <w:t>In the FGDs, emphasis for the elements of wellbeing is given by perspectives of participants. The capacity to work-out routinely and eat steadily is connected to a strong level of satisfaction, several members agreed on this matter. These individuals give a guide to others to follow by carrying on with a way of life and empowering others to do likewise. A decent eating routine and standard activity aren't super complicated, yet a few participants guarantee they carry on with a little. These outcomes feature the FGD's assorted wellbeing related ways of behaving and the need of fitting consideration to every individual's one-of-a-kind necessities and inclinations.</w:t>
      </w:r>
    </w:p>
    <w:p w:rsidR="001E0108" w:rsidRPr="007C597F" w:rsidRDefault="001E0108" w:rsidP="001E0108">
      <w:r w:rsidRPr="007C597F">
        <w:t>Potential Implications:</w:t>
      </w:r>
    </w:p>
    <w:p w:rsidR="001E0108" w:rsidRDefault="001E0108" w:rsidP="001E0108">
      <w:r w:rsidRPr="00950F50">
        <w:t>Students put an exceptional effort on wellbeing and health, and the FGDs exhibited a connection among exercise and positive wellbeing results. However, there is generally space for development, especially with regards to the opportunities of dietary propensities. Handling this difficulty requires a widely inclusive methodology that empowers customized treatment for youngsters, taking into account numerous measures like their age, monetary circumstance, and scholastic foundation.</w:t>
      </w:r>
    </w:p>
    <w:p w:rsidR="001E0108" w:rsidRDefault="001E0108" w:rsidP="001E0108">
      <w:pPr>
        <w:rPr>
          <w:highlight w:val="yellow"/>
        </w:rPr>
      </w:pPr>
      <w:r w:rsidRPr="006749C3">
        <w:t>FGDs gave emphasis on the eating patterns of public college postgraduate students. Most of members have dynamic and positive health status, however they could accomplish other things with regards to their healthier eating routine and by and better prosperity. A college wide accentuation on eating habits and wellbeing might be progressed through the formation of projects pointed toward upgrading the general health well being of students. Achieving this requires a perception of the many variables that influence wellbeing related activities.</w:t>
      </w:r>
    </w:p>
    <w:p w:rsidR="001E0108" w:rsidRPr="001E0108" w:rsidRDefault="001E0108" w:rsidP="001E0108"/>
    <w:p w:rsidR="006F306B" w:rsidRPr="00A57EA5" w:rsidRDefault="006F306B" w:rsidP="006F306B">
      <w:pPr>
        <w:pStyle w:val="Heading1"/>
        <w:rPr>
          <w:rFonts w:ascii="Arial" w:hAnsi="Arial" w:cs="Arial"/>
          <w:sz w:val="22"/>
          <w:szCs w:val="22"/>
        </w:rPr>
      </w:pPr>
      <w:bookmarkStart w:id="7" w:name="_Toc161762679"/>
      <w:r w:rsidRPr="00A57EA5">
        <w:rPr>
          <w:rFonts w:ascii="Arial" w:hAnsi="Arial" w:cs="Arial"/>
          <w:sz w:val="22"/>
          <w:szCs w:val="22"/>
        </w:rPr>
        <w:t>Discussion:</w:t>
      </w:r>
      <w:bookmarkEnd w:id="7"/>
    </w:p>
    <w:p w:rsidR="006F306B" w:rsidRPr="00A57EA5" w:rsidRDefault="006F306B" w:rsidP="006F306B">
      <w:pPr>
        <w:rPr>
          <w:rFonts w:cs="Arial"/>
        </w:rPr>
      </w:pPr>
      <w:r w:rsidRPr="00A57EA5">
        <w:rPr>
          <w:rFonts w:cs="Arial"/>
        </w:rPr>
        <w:t>The numerical data information that was delivered from the review that was given in this research causes significant commitments to the examination of the elements that to decide the dietary mentalities and ways of behaving of postgraduate understudies who are signed up for a public foundation.</w:t>
      </w:r>
    </w:p>
    <w:p w:rsidR="006F306B" w:rsidRPr="00A57EA5" w:rsidRDefault="006F306B" w:rsidP="006F306B">
      <w:pPr>
        <w:rPr>
          <w:rFonts w:cs="Arial"/>
        </w:rPr>
      </w:pPr>
      <w:r w:rsidRPr="00A57EA5">
        <w:rPr>
          <w:rFonts w:cs="Arial"/>
        </w:rPr>
        <w:lastRenderedPageBreak/>
        <w:t>Positive wellbeing status evaluations were presented by most of people, and these appraisals went from better than expected to sublime. It very well might be found from this that understudies chasing after postgraduate certificates have overall information on and care for their own wellbeing. Past exploration has shown that there is a positive relationship between self-saw wellbeing and the reception of wellbeing advancing exercises, like eating a sound eating regimen. This end is steady with that review. It appears to be that the gathering overall has an alternate perspective on wellbeing, which might significantly affect food decisions and utilization designs. The scope of wellbeing status evaluations, which differ from 5 to 9, infers that this point of view is available.</w:t>
      </w:r>
    </w:p>
    <w:p w:rsidR="006F306B" w:rsidRPr="00A57EA5" w:rsidRDefault="006F306B" w:rsidP="006F306B">
      <w:pPr>
        <w:rPr>
          <w:rFonts w:cs="Arial"/>
        </w:rPr>
      </w:pPr>
      <w:r w:rsidRPr="00A57EA5">
        <w:rPr>
          <w:rFonts w:cs="Arial"/>
        </w:rPr>
        <w:t>The people's self-announced degrees of active work, which went from moderate to high, give further knowledge into the eating examples of postgraduate understudies. Various levels of actual exertion and portability are addressed by fluctuating degrees of actual work, which range from four to nine. Past examination has shown an association between actual work and the control of yearning. Thus, almost certainly, postgraduate understudies who take part in more elevated levels of actual activity might have one of a kind food decisions and energy prerequisites in contrast with their partners who take part in less actual work.</w:t>
      </w:r>
    </w:p>
    <w:p w:rsidR="006F306B" w:rsidRPr="00A57EA5" w:rsidRDefault="006F306B" w:rsidP="006F306B">
      <w:pPr>
        <w:rPr>
          <w:rFonts w:cs="Arial"/>
        </w:rPr>
      </w:pPr>
      <w:r w:rsidRPr="00A57EA5">
        <w:rPr>
          <w:rFonts w:cs="Arial"/>
        </w:rPr>
        <w:t>The shifted character of the gathering's dietary patterns is shown by the way that different food designs are evaluated in an unexpected way, with appraisals going from four to nine. There are various variables that could affect the nature of dietary patterns that postgraduate understudies have. These variables incorporate the accessibility of refreshing food options, time imperatives, social impacts, and social shows. To lay out designated mediations to advance good food propensities nearby, having a strong comprehension of these determinants is fundamental.</w:t>
      </w:r>
    </w:p>
    <w:p w:rsidR="006F306B" w:rsidRPr="00A57EA5" w:rsidRDefault="006F306B" w:rsidP="006F306B">
      <w:pPr>
        <w:rPr>
          <w:rFonts w:cs="Arial"/>
        </w:rPr>
      </w:pPr>
      <w:r w:rsidRPr="00A57EA5">
        <w:rPr>
          <w:rFonts w:cs="Arial"/>
        </w:rPr>
        <w:t>There are significant bits of knowledge that might be acquired from the examination about the variables that impact the dietary patterns of postgraduate understudies who are signed up for a public foundation. The assessment of various elements, like the wellbeing status, levels of active work, and the nature of dietary examples, empowers scientists to foster individualized procedures determined to advance good dieting ways of behaving and working on the general condition of being according to the point of view of this specific populace.</w:t>
      </w:r>
    </w:p>
    <w:p w:rsidR="006F306B" w:rsidRPr="00A57EA5" w:rsidRDefault="006F306B" w:rsidP="006F306B">
      <w:pPr>
        <w:pStyle w:val="Heading1"/>
        <w:rPr>
          <w:rFonts w:ascii="Arial" w:hAnsi="Arial" w:cs="Arial"/>
          <w:sz w:val="22"/>
          <w:szCs w:val="22"/>
        </w:rPr>
      </w:pPr>
      <w:bookmarkStart w:id="8" w:name="_Toc161762680"/>
      <w:r w:rsidRPr="00A57EA5">
        <w:rPr>
          <w:rFonts w:ascii="Arial" w:hAnsi="Arial" w:cs="Arial"/>
          <w:sz w:val="22"/>
          <w:szCs w:val="22"/>
        </w:rPr>
        <w:t>Conclusion and Recommendations:</w:t>
      </w:r>
      <w:bookmarkEnd w:id="8"/>
    </w:p>
    <w:p w:rsidR="006F306B" w:rsidRPr="00A57EA5" w:rsidRDefault="006F306B" w:rsidP="006F306B">
      <w:pPr>
        <w:rPr>
          <w:rFonts w:cs="Arial"/>
        </w:rPr>
      </w:pPr>
      <w:r w:rsidRPr="00A57EA5">
        <w:rPr>
          <w:rFonts w:cs="Arial"/>
        </w:rPr>
        <w:t>The objective is to cultivate a warm, welcoming climate that empowers open, modern correspondence among people.</w:t>
      </w:r>
    </w:p>
    <w:p w:rsidR="006F306B" w:rsidRPr="00A57EA5" w:rsidRDefault="006F306B" w:rsidP="006F306B">
      <w:pPr>
        <w:rPr>
          <w:rFonts w:cs="Arial"/>
        </w:rPr>
      </w:pPr>
      <w:r w:rsidRPr="00A57EA5">
        <w:rPr>
          <w:rFonts w:cs="Arial"/>
        </w:rPr>
        <w:lastRenderedPageBreak/>
        <w:t>For variety and a majority rules government, research concentrates on utilize cautious enlistment, test, and review decision of subject's methodologies. An assortment that expands the legitimacy and handiness of the consequences of the review.</w:t>
      </w:r>
    </w:p>
    <w:p w:rsidR="006F306B" w:rsidRPr="00A57EA5" w:rsidRDefault="006F306B" w:rsidP="006F306B">
      <w:pPr>
        <w:rPr>
          <w:rFonts w:cs="Arial"/>
        </w:rPr>
      </w:pPr>
    </w:p>
    <w:p w:rsidR="006F306B" w:rsidRPr="00A57EA5" w:rsidRDefault="006F306B" w:rsidP="006F306B">
      <w:pPr>
        <w:numPr>
          <w:ilvl w:val="0"/>
          <w:numId w:val="6"/>
        </w:numPr>
        <w:rPr>
          <w:rFonts w:cs="Arial"/>
        </w:rPr>
      </w:pPr>
      <w:r w:rsidRPr="00A57EA5">
        <w:rPr>
          <w:rFonts w:cs="Arial"/>
          <w:b/>
          <w:bCs/>
        </w:rPr>
        <w:t>Improving Food Environments:</w:t>
      </w:r>
      <w:r w:rsidRPr="00A57EA5">
        <w:rPr>
          <w:rFonts w:cs="Arial"/>
        </w:rPr>
        <w:t xml:space="preserve"> Schools of training ought to abandon working on the accessibility and reception of supplement thick food choices. It could assist neighborhood gourmet specialists with broadening their menu choices, carry out nourishing exhortation projects, and assemble qualities in energy control.</w:t>
      </w:r>
    </w:p>
    <w:p w:rsidR="006F306B" w:rsidRPr="00A57EA5" w:rsidRDefault="006F306B" w:rsidP="006F306B">
      <w:pPr>
        <w:numPr>
          <w:ilvl w:val="0"/>
          <w:numId w:val="6"/>
        </w:numPr>
        <w:rPr>
          <w:rFonts w:cs="Arial"/>
        </w:rPr>
      </w:pPr>
      <w:r w:rsidRPr="00A57EA5">
        <w:rPr>
          <w:rFonts w:cs="Arial"/>
          <w:b/>
          <w:bCs/>
        </w:rPr>
        <w:t>Stress Management Strategies:</w:t>
      </w:r>
      <w:r w:rsidRPr="00A57EA5">
        <w:rPr>
          <w:rFonts w:cs="Arial"/>
        </w:rPr>
        <w:t xml:space="preserve"> While eating habits are significantly influenced by school weight, stress reduction and multifunction enhancement therapies may be helpful. Universities can support the psychological well-being of their bachelor's undergraduates by providing new courses, promoting handling, and providing activities.</w:t>
      </w:r>
    </w:p>
    <w:p w:rsidR="006F306B" w:rsidRPr="00A57EA5" w:rsidRDefault="006F306B" w:rsidP="006F306B">
      <w:pPr>
        <w:numPr>
          <w:ilvl w:val="0"/>
          <w:numId w:val="6"/>
        </w:numPr>
        <w:rPr>
          <w:rFonts w:cs="Arial"/>
          <w:b/>
          <w:bCs/>
        </w:rPr>
      </w:pPr>
      <w:r w:rsidRPr="00A57EA5">
        <w:rPr>
          <w:rFonts w:cs="Arial"/>
          <w:b/>
          <w:bCs/>
        </w:rPr>
        <w:t>Cultural Sensitivity:</w:t>
      </w:r>
      <w:r w:rsidRPr="00A57EA5">
        <w:rPr>
          <w:rFonts w:cs="Arial"/>
        </w:rPr>
        <w:t xml:space="preserve"> In light of the impact that social status has on dietary habits, it is imperative that organizations work to meet a wide range of nutritional needs and inclinations. This may involve offering food options that are palatable to the wide range of individuals, delineating customs associated with eating behaviors, and advocating for healthy dietary habits.</w:t>
      </w:r>
    </w:p>
    <w:p w:rsidR="006F306B" w:rsidRPr="00A57EA5" w:rsidRDefault="006F306B" w:rsidP="006F306B">
      <w:pPr>
        <w:numPr>
          <w:ilvl w:val="0"/>
          <w:numId w:val="6"/>
        </w:numPr>
        <w:rPr>
          <w:rFonts w:cs="Arial"/>
        </w:rPr>
      </w:pPr>
      <w:r w:rsidRPr="00A57EA5">
        <w:rPr>
          <w:rFonts w:cs="Arial"/>
          <w:b/>
          <w:bCs/>
        </w:rPr>
        <w:t>Further Research:</w:t>
      </w:r>
      <w:r w:rsidRPr="00A57EA5">
        <w:rPr>
          <w:rFonts w:cs="Arial"/>
        </w:rPr>
        <w:t xml:space="preserve"> More studies should aim at addressing the shortcomings found in this study. Potential techniques include strengthening the framework's features, analyzing longitudinal data on food consumption, and evaluating the viability of </w:t>
      </w:r>
      <w:r w:rsidR="00EB1BEC" w:rsidRPr="00A57EA5">
        <w:rPr>
          <w:rFonts w:cs="Arial"/>
        </w:rPr>
        <w:t>programs</w:t>
      </w:r>
      <w:r w:rsidRPr="00A57EA5">
        <w:rPr>
          <w:rFonts w:cs="Arial"/>
        </w:rPr>
        <w:t xml:space="preserve"> meant to encourage graduate pupils to begin more nutritious diets.</w:t>
      </w:r>
    </w:p>
    <w:p w:rsidR="00C24DDB" w:rsidRDefault="006F306B" w:rsidP="00C24DDB">
      <w:pPr>
        <w:rPr>
          <w:rFonts w:cs="Arial"/>
        </w:rPr>
      </w:pPr>
      <w:r w:rsidRPr="00A57EA5">
        <w:rPr>
          <w:rFonts w:cs="Arial"/>
        </w:rPr>
        <w:t xml:space="preserve">An encompassing and inclusive method involving scholarly administrators, politicians, and a variety of peers is needed to deal with all of the variables that affect </w:t>
      </w:r>
      <w:r w:rsidR="00EB1BEC" w:rsidRPr="00A57EA5">
        <w:rPr>
          <w:rFonts w:cs="Arial"/>
        </w:rPr>
        <w:t>PhD</w:t>
      </w:r>
      <w:r w:rsidRPr="00A57EA5">
        <w:rPr>
          <w:rFonts w:cs="Arial"/>
        </w:rPr>
        <w:t xml:space="preserve"> students' eating habits. State-funded basis can improve the nutrition and health of their graduate students by using clear tactics and interventions.</w:t>
      </w:r>
      <w:bookmarkStart w:id="9" w:name="_Toc161762681"/>
    </w:p>
    <w:p w:rsidR="00C24DDB" w:rsidRDefault="00C24DDB" w:rsidP="00C24DDB">
      <w:pPr>
        <w:rPr>
          <w:rFonts w:cs="Arial"/>
        </w:rPr>
      </w:pPr>
    </w:p>
    <w:p w:rsidR="00C24DDB" w:rsidRDefault="00C24DDB" w:rsidP="00C24DDB">
      <w:pPr>
        <w:rPr>
          <w:rFonts w:cs="Arial"/>
        </w:rPr>
      </w:pPr>
    </w:p>
    <w:p w:rsidR="00C24DDB" w:rsidRDefault="00C24DDB" w:rsidP="00C24DDB">
      <w:pPr>
        <w:rPr>
          <w:rFonts w:cs="Arial"/>
        </w:rPr>
      </w:pPr>
    </w:p>
    <w:p w:rsidR="00C24DDB" w:rsidRDefault="00C24DDB" w:rsidP="00C24DDB">
      <w:pPr>
        <w:rPr>
          <w:rFonts w:cs="Arial"/>
        </w:rPr>
      </w:pPr>
    </w:p>
    <w:p w:rsidR="00EB1BEC" w:rsidRDefault="00EB1BEC" w:rsidP="00C24DDB">
      <w:pPr>
        <w:rPr>
          <w:rFonts w:cs="Arial"/>
        </w:rPr>
      </w:pPr>
    </w:p>
    <w:p w:rsidR="006F306B" w:rsidRDefault="006F306B" w:rsidP="00C24DDB">
      <w:pPr>
        <w:rPr>
          <w:rFonts w:cs="Arial"/>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24DDB">
        <w:rPr>
          <w:rFonts w:cs="Arial"/>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 list</w:t>
      </w:r>
      <w:bookmarkEnd w:id="9"/>
    </w:p>
    <w:p w:rsidR="00EB1BEC" w:rsidRPr="00E034E5" w:rsidRDefault="00EB1BEC" w:rsidP="00EB1BEC">
      <w:pPr>
        <w:pStyle w:val="NormalWeb"/>
        <w:spacing w:before="0" w:beforeAutospacing="0" w:after="240" w:afterAutospacing="0" w:line="360" w:lineRule="auto"/>
        <w:rPr>
          <w:sz w:val="24"/>
        </w:rPr>
      </w:pPr>
      <w:r w:rsidRPr="00E034E5">
        <w:t xml:space="preserve">Alzahrani, S.H., Saeedi, A.A., Baamer, M.K., Shalabi, A.F. and Alzahrani, A.M. (2020). Eating Habits Among Medical Students at King Abdulaziz University, Jeddah, Saudi Arabia. </w:t>
      </w:r>
      <w:r w:rsidRPr="00E034E5">
        <w:rPr>
          <w:i/>
          <w:iCs/>
        </w:rPr>
        <w:t>International Journal of General Medicine</w:t>
      </w:r>
      <w:r w:rsidRPr="00E034E5">
        <w:t>, [online] 13, pp.77–88. Available at: https://www.tandfonline.com/doi/pdf/10.2147/IJGM.S246296.</w:t>
      </w:r>
    </w:p>
    <w:p w:rsidR="00EB1BEC" w:rsidRPr="00E034E5" w:rsidRDefault="00EB1BEC" w:rsidP="00EB1BEC">
      <w:pPr>
        <w:pStyle w:val="NormalWeb"/>
        <w:spacing w:before="0" w:beforeAutospacing="0" w:after="240" w:afterAutospacing="0" w:line="360" w:lineRule="auto"/>
      </w:pPr>
      <w:r w:rsidRPr="00E034E5">
        <w:t xml:space="preserve">Bazzano, L.A., Durant, J. and Brantley, P.R. (2021). A Modern History of Informed Consent and the Role of Key Information. </w:t>
      </w:r>
      <w:r w:rsidRPr="00E034E5">
        <w:rPr>
          <w:i/>
          <w:iCs/>
        </w:rPr>
        <w:t>The Ochsner Journal</w:t>
      </w:r>
      <w:r w:rsidRPr="00E034E5">
        <w:t>, [online] 21(1), pp.81–85. Available at: https://www.ochsnerjournal.org/content/ochjnl/21/1/81.full.pdf.</w:t>
      </w:r>
    </w:p>
    <w:p w:rsidR="00EB1BEC" w:rsidRPr="00E034E5" w:rsidRDefault="00EB1BEC" w:rsidP="00EB1BEC">
      <w:pPr>
        <w:pStyle w:val="NormalWeb"/>
        <w:spacing w:before="0" w:beforeAutospacing="0" w:after="240" w:afterAutospacing="0" w:line="360" w:lineRule="auto"/>
      </w:pPr>
      <w:r w:rsidRPr="00E034E5">
        <w:t xml:space="preserve">Beatrice, M., Lois N.M. Heung, Blackwood, L., Saffron O’Neill, Jan Willem Bolderdijk and Kurz, T. (2023). ‘Talk amongst yourselves’: designing and evaluating a novel remotely-moderated focus group methodology for exploring group talk. </w:t>
      </w:r>
      <w:r w:rsidRPr="00E034E5">
        <w:rPr>
          <w:i/>
          <w:iCs/>
        </w:rPr>
        <w:t>Qualitative Research in Psychology</w:t>
      </w:r>
      <w:r w:rsidRPr="00E034E5">
        <w:t>, [online] pp.1–43. Available at: https://www.tandfonline.com/doi/pdf/10.1080/14780887.2023.2257614.</w:t>
      </w:r>
    </w:p>
    <w:p w:rsidR="00C24DDB" w:rsidRPr="00E034E5" w:rsidRDefault="00C24DDB" w:rsidP="00C24DDB">
      <w:pPr>
        <w:pStyle w:val="NormalWeb"/>
        <w:spacing w:before="0" w:beforeAutospacing="0" w:after="240" w:afterAutospacing="0" w:line="360" w:lineRule="auto"/>
      </w:pPr>
      <w:r w:rsidRPr="00E034E5">
        <w:t xml:space="preserve">Berkovic, D. (2023). Chapter 30: Ethical principles and consent. </w:t>
      </w:r>
      <w:r w:rsidRPr="00E034E5">
        <w:rPr>
          <w:i/>
          <w:iCs/>
        </w:rPr>
        <w:t>oercollective.caul.edu.au</w:t>
      </w:r>
      <w:r w:rsidRPr="00E034E5">
        <w:t>. [online] Available at: https://oercollective.caul.edu.au/qualitative-research/chapter/__unknown__-30/.</w:t>
      </w:r>
    </w:p>
    <w:p w:rsidR="00C24DDB" w:rsidRPr="00E034E5" w:rsidRDefault="00C24DDB" w:rsidP="00C24DDB">
      <w:pPr>
        <w:pStyle w:val="NormalWeb"/>
        <w:spacing w:before="0" w:beforeAutospacing="0" w:after="240" w:afterAutospacing="0" w:line="360" w:lineRule="auto"/>
      </w:pPr>
      <w:r w:rsidRPr="00E034E5">
        <w:t xml:space="preserve">Campbell, S., Greenwood, M., Prior, S., Shearer, T., Walkem, K., Young, S., Bywaters, D. and Walker, K. (2020). Purposive Sampling: Complex or Simple? Research Case Examples. </w:t>
      </w:r>
      <w:r w:rsidRPr="00E034E5">
        <w:rPr>
          <w:i/>
          <w:iCs/>
        </w:rPr>
        <w:t>Journal of Research in Nursing</w:t>
      </w:r>
      <w:r w:rsidRPr="00E034E5">
        <w:t>, [online] 25(8), pp.652–661. Available at: https://www.ncbi.nlm.nih.gov/pmc/articles/PMC7932468/.</w:t>
      </w:r>
    </w:p>
    <w:p w:rsidR="00C24DDB" w:rsidRPr="00E034E5" w:rsidRDefault="00C24DDB" w:rsidP="00C24DDB">
      <w:pPr>
        <w:pStyle w:val="NormalWeb"/>
        <w:spacing w:before="0" w:beforeAutospacing="0" w:after="240" w:afterAutospacing="0" w:line="360" w:lineRule="auto"/>
      </w:pPr>
      <w:r w:rsidRPr="00E034E5">
        <w:t xml:space="preserve">Çelik, H., Baykal, N.B. and Memur, H.N.K. (2020). Qualitative Data Analysis and Fundamental Principles. </w:t>
      </w:r>
      <w:r w:rsidRPr="00E034E5">
        <w:rPr>
          <w:i/>
          <w:iCs/>
        </w:rPr>
        <w:t>Journal of Qualitative Research in Education</w:t>
      </w:r>
      <w:r w:rsidRPr="00E034E5">
        <w:t>, [online] 8(1), pp.379–406. Available at: https://www.enadonline.com/index.php/enad/article/download/1290/714.</w:t>
      </w:r>
    </w:p>
    <w:p w:rsidR="00C24DDB" w:rsidRPr="00E034E5" w:rsidRDefault="00C24DDB" w:rsidP="00C24DDB">
      <w:pPr>
        <w:pStyle w:val="NormalWeb"/>
        <w:spacing w:before="0" w:beforeAutospacing="0" w:after="240" w:afterAutospacing="0" w:line="360" w:lineRule="auto"/>
      </w:pPr>
      <w:r w:rsidRPr="00E034E5">
        <w:t xml:space="preserve">Chen, P.-J. and Antonelli, M. (2020). Conceptual Models of Food Choice: Influential Factors Related to Foods, Individual Differences, and Society. </w:t>
      </w:r>
      <w:r w:rsidRPr="00E034E5">
        <w:rPr>
          <w:i/>
          <w:iCs/>
        </w:rPr>
        <w:t>Foods</w:t>
      </w:r>
      <w:r w:rsidRPr="00E034E5">
        <w:t>, [online] 9(12). Available at: https://www.mdpi.com/2304-8158/9/12/1898.</w:t>
      </w:r>
    </w:p>
    <w:p w:rsidR="00C24DDB" w:rsidRPr="00E034E5" w:rsidRDefault="00C24DDB" w:rsidP="00C24DDB">
      <w:pPr>
        <w:pStyle w:val="NormalWeb"/>
        <w:spacing w:before="0" w:beforeAutospacing="0" w:after="240" w:afterAutospacing="0" w:line="360" w:lineRule="auto"/>
      </w:pPr>
      <w:r w:rsidRPr="00E034E5">
        <w:t xml:space="preserve">Colom, A. (2021). Using WhatsApp for focus group discussions: ecological validity, inclusion and deliberation. </w:t>
      </w:r>
      <w:r w:rsidRPr="00E034E5">
        <w:rPr>
          <w:i/>
          <w:iCs/>
        </w:rPr>
        <w:t>Qualitative Research</w:t>
      </w:r>
      <w:r w:rsidRPr="00E034E5">
        <w:t>, [online] 22(3), p.146879412098607. Available at: https://journals.sagepub.com/doi/pdf/10.1177/1468794120986074.</w:t>
      </w:r>
    </w:p>
    <w:p w:rsidR="00C24DDB" w:rsidRPr="00E034E5" w:rsidRDefault="00C24DDB" w:rsidP="00C24DDB">
      <w:pPr>
        <w:pStyle w:val="NormalWeb"/>
        <w:spacing w:before="0" w:beforeAutospacing="0" w:after="240" w:afterAutospacing="0" w:line="360" w:lineRule="auto"/>
      </w:pPr>
      <w:r w:rsidRPr="00E034E5">
        <w:t xml:space="preserve">Ellersgaard, C.H., Ditlevsen, K. and Larsen, A.G. (2021). Say my name? Anonymity or not in elite interviewing. </w:t>
      </w:r>
      <w:r w:rsidRPr="00E034E5">
        <w:rPr>
          <w:i/>
          <w:iCs/>
        </w:rPr>
        <w:t>International Journal of Social Research Methodology</w:t>
      </w:r>
      <w:r w:rsidRPr="00E034E5">
        <w:t xml:space="preserve">, [online] pp.1–14. </w:t>
      </w:r>
      <w:r w:rsidRPr="00E034E5">
        <w:lastRenderedPageBreak/>
        <w:t>Available at: https://forskning.ruc.dk/files/79227750/Say_my_name_A_discussion_of_anonymity_in_elite_interviewing_Final_version_non_anonymised.pdf.</w:t>
      </w:r>
    </w:p>
    <w:p w:rsidR="00C24DDB" w:rsidRPr="00E034E5" w:rsidRDefault="00C24DDB" w:rsidP="00C24DDB">
      <w:pPr>
        <w:pStyle w:val="NormalWeb"/>
        <w:spacing w:before="0" w:beforeAutospacing="0" w:after="240" w:afterAutospacing="0" w:line="360" w:lineRule="auto"/>
      </w:pPr>
      <w:r w:rsidRPr="00E034E5">
        <w:t xml:space="preserve">Gill, S.L. (2020). Qualitative sampling methods. </w:t>
      </w:r>
      <w:r w:rsidRPr="00E034E5">
        <w:rPr>
          <w:i/>
          <w:iCs/>
        </w:rPr>
        <w:t>Journal of Human Lactation</w:t>
      </w:r>
      <w:r w:rsidRPr="00E034E5">
        <w:t>, [online] 36(4), p.580. Available at: https://journals.sagepub.com/doi/full/10.1177/0890334420949218.</w:t>
      </w:r>
    </w:p>
    <w:p w:rsidR="00C24DDB" w:rsidRPr="00E034E5" w:rsidRDefault="00C24DDB" w:rsidP="00C24DDB">
      <w:pPr>
        <w:pStyle w:val="NormalWeb"/>
        <w:spacing w:before="0" w:beforeAutospacing="0" w:after="240" w:afterAutospacing="0" w:line="360" w:lineRule="auto"/>
      </w:pPr>
      <w:r w:rsidRPr="00E034E5">
        <w:t xml:space="preserve">Husband, G. (2020). Ethical Data Collection and Recognizing the Impact of Semi-Structured Interviews on Research Respondents. </w:t>
      </w:r>
      <w:r w:rsidRPr="00E034E5">
        <w:rPr>
          <w:i/>
          <w:iCs/>
        </w:rPr>
        <w:t>Education Sciences</w:t>
      </w:r>
      <w:r w:rsidRPr="00E034E5">
        <w:t>, [online] 10(8), p.206. Available at: https://www.mdpi.com/2227-7102/10/8/206.</w:t>
      </w:r>
    </w:p>
    <w:p w:rsidR="00C24DDB" w:rsidRPr="00E034E5" w:rsidRDefault="00C24DDB" w:rsidP="00C24DDB">
      <w:pPr>
        <w:pStyle w:val="NormalWeb"/>
        <w:spacing w:before="0" w:beforeAutospacing="0" w:after="240" w:afterAutospacing="0" w:line="360" w:lineRule="auto"/>
      </w:pPr>
      <w:r w:rsidRPr="00E034E5">
        <w:t xml:space="preserve">Jones, R. (2021). Data collection and transcription in discourse analysis: A technological history. </w:t>
      </w:r>
      <w:r w:rsidRPr="00E034E5">
        <w:rPr>
          <w:i/>
          <w:iCs/>
        </w:rPr>
        <w:t>www.torrossa.com</w:t>
      </w:r>
      <w:r w:rsidRPr="00E034E5">
        <w:t>, [online] pp.1–388. Available at: https://centaur.reading.ac.uk/104803/1/Jones%202021%20Data%20collection%20and%20transcription%20in%20discourse%20analysis.pdf.</w:t>
      </w:r>
    </w:p>
    <w:p w:rsidR="00C24DDB" w:rsidRPr="00E034E5" w:rsidRDefault="00C24DDB" w:rsidP="00C24DDB">
      <w:pPr>
        <w:pStyle w:val="NormalWeb"/>
        <w:spacing w:before="0" w:beforeAutospacing="0" w:after="240" w:afterAutospacing="0" w:line="360" w:lineRule="auto"/>
      </w:pPr>
      <w:r w:rsidRPr="00E034E5">
        <w:t xml:space="preserve">Jürgens, P., Stark, B. and Magin, M. (2019). Two Half-Truths Make a Whole? On Bias in Self-Reports and Tracking Data. </w:t>
      </w:r>
      <w:r w:rsidRPr="00E034E5">
        <w:rPr>
          <w:i/>
          <w:iCs/>
        </w:rPr>
        <w:t>Social Science Computer Review</w:t>
      </w:r>
      <w:r w:rsidRPr="00E034E5">
        <w:t>, [online] p.089443931983164. Available at: https://ntnuopen.ntnu.no/ntnu-xmlui/bitstream/handle/11250/2647484/Ju%25CC%2588rgens_Stark_Magin_2019_preprint.pdf.</w:t>
      </w:r>
    </w:p>
    <w:p w:rsidR="00C24DDB" w:rsidRPr="00E034E5" w:rsidRDefault="00C24DDB" w:rsidP="00C24DDB">
      <w:pPr>
        <w:pStyle w:val="NormalWeb"/>
        <w:spacing w:before="0" w:beforeAutospacing="0" w:after="240" w:afterAutospacing="0" w:line="360" w:lineRule="auto"/>
      </w:pPr>
      <w:r w:rsidRPr="00E034E5">
        <w:t xml:space="preserve">Li, X. (2022). </w:t>
      </w:r>
      <w:r w:rsidRPr="00E034E5">
        <w:rPr>
          <w:i/>
          <w:iCs/>
        </w:rPr>
        <w:t>How does the university food environment impact student dietary behaviors? a systematic review</w:t>
      </w:r>
      <w:r w:rsidRPr="00E034E5">
        <w:t>. [online] Available at: https://www.frontiersin.org/articles/10.3389/fnut.2022.840818/full.</w:t>
      </w:r>
    </w:p>
    <w:p w:rsidR="00C24DDB" w:rsidRPr="00E034E5" w:rsidRDefault="00C24DDB" w:rsidP="00C24DDB">
      <w:pPr>
        <w:pStyle w:val="NormalWeb"/>
        <w:spacing w:before="0" w:beforeAutospacing="0" w:after="240" w:afterAutospacing="0" w:line="360" w:lineRule="auto"/>
      </w:pPr>
      <w:r w:rsidRPr="00E034E5">
        <w:t xml:space="preserve">Lochmiller, C.R. (2021). </w:t>
      </w:r>
      <w:r w:rsidRPr="00E034E5">
        <w:rPr>
          <w:i/>
          <w:iCs/>
        </w:rPr>
        <w:t>The Qualitative Report The Qualitative Report</w:t>
      </w:r>
      <w:r w:rsidRPr="00E034E5">
        <w:t>. [online] Semantic Scholar. Available at: https://pdfs.semanticscholar.org/271f/61ca8c699d5f41436fd70b8da1bd321a0ad9.pdf.</w:t>
      </w:r>
    </w:p>
    <w:p w:rsidR="00C24DDB" w:rsidRPr="00E034E5" w:rsidRDefault="00C24DDB" w:rsidP="00C24DDB">
      <w:pPr>
        <w:pStyle w:val="NormalWeb"/>
        <w:spacing w:before="0" w:beforeAutospacing="0" w:after="240" w:afterAutospacing="0" w:line="360" w:lineRule="auto"/>
      </w:pPr>
      <w:r w:rsidRPr="00E034E5">
        <w:t xml:space="preserve">Løvaas, J., Sirris, S. and Waeraas, A. (2022). </w:t>
      </w:r>
      <w:r w:rsidRPr="00E034E5">
        <w:rPr>
          <w:i/>
          <w:iCs/>
        </w:rPr>
        <w:t>Researching Values Methodological Approaches for Understanding Values Work in Organisations and Leadership</w:t>
      </w:r>
      <w:r w:rsidRPr="00E034E5">
        <w:t>. [online] Available at: https://library.oapen.org/bitstream/handle/20.500.12657/53343/1/978-3-030-90769-3.pdf#page=163.</w:t>
      </w:r>
    </w:p>
    <w:p w:rsidR="00C24DDB" w:rsidRPr="00E034E5" w:rsidRDefault="00C24DDB" w:rsidP="00C24DDB">
      <w:pPr>
        <w:pStyle w:val="NormalWeb"/>
        <w:spacing w:before="0" w:beforeAutospacing="0" w:after="240" w:afterAutospacing="0" w:line="360" w:lineRule="auto"/>
      </w:pPr>
      <w:r w:rsidRPr="00E034E5">
        <w:t xml:space="preserve">Malan, H., Watson, T.D., Slusser, W., Glik, D., Rowat, A.C. and Prelip, M. (2020). Challenges, Opportunities, and Motivators for Developing and Applying Food Literacy in a University Setting: A Qualitative Study. </w:t>
      </w:r>
      <w:r w:rsidRPr="00E034E5">
        <w:rPr>
          <w:i/>
          <w:iCs/>
        </w:rPr>
        <w:t>Journal of the Academy of Nutrition and Dietetics</w:t>
      </w:r>
      <w:r w:rsidRPr="00E034E5">
        <w:t>, [online] 120(1), pp.33–44. Available at: https://edc.tbzmed.ac.ir/Uploads/User/56/pmec/jornal/article4.pdf.</w:t>
      </w:r>
    </w:p>
    <w:p w:rsidR="00C24DDB" w:rsidRPr="00E034E5" w:rsidRDefault="00C24DDB" w:rsidP="00C24DDB">
      <w:pPr>
        <w:pStyle w:val="NormalWeb"/>
        <w:spacing w:before="0" w:beforeAutospacing="0" w:after="240" w:afterAutospacing="0" w:line="360" w:lineRule="auto"/>
      </w:pPr>
      <w:r w:rsidRPr="00E034E5">
        <w:lastRenderedPageBreak/>
        <w:t xml:space="preserve">Miller, C.A., Guidry, J.P.D., Dahman, B. and Thomson, M.D. (2020). A Tale of Two Diverse Qualtrics Samples: Information for Online Survey Researchers. </w:t>
      </w:r>
      <w:r w:rsidRPr="00E034E5">
        <w:rPr>
          <w:i/>
          <w:iCs/>
        </w:rPr>
        <w:t>Cancer Epidemiology and Prevention Biomarkers</w:t>
      </w:r>
      <w:r w:rsidRPr="00E034E5">
        <w:t>, [online] 29(4), pp.731–735. Available at: https://www.ncbi.nlm.nih.gov/pmc/articles/PMC8758054/.</w:t>
      </w:r>
    </w:p>
    <w:p w:rsidR="00C24DDB" w:rsidRPr="00E034E5" w:rsidRDefault="00C24DDB" w:rsidP="00C24DDB">
      <w:pPr>
        <w:pStyle w:val="NormalWeb"/>
        <w:spacing w:before="0" w:beforeAutospacing="0" w:after="240" w:afterAutospacing="0" w:line="360" w:lineRule="auto"/>
      </w:pPr>
      <w:r w:rsidRPr="00E034E5">
        <w:t xml:space="preserve">Morgan, H. (2022). Conducting a qualitative document analysis. </w:t>
      </w:r>
      <w:r w:rsidRPr="00E034E5">
        <w:rPr>
          <w:i/>
          <w:iCs/>
        </w:rPr>
        <w:t>The Qualitative Report</w:t>
      </w:r>
      <w:r w:rsidRPr="00E034E5">
        <w:t>, [online] 27(1), pp.64–77. Available at: http://hanimorgan.com/wp-content/uploads/2022/01/Hani-Morgan-Conducting-a-Qualitative-Document-Analysis-1.pdf.</w:t>
      </w:r>
    </w:p>
    <w:p w:rsidR="00C24DDB" w:rsidRPr="00E034E5" w:rsidRDefault="00C24DDB" w:rsidP="00C24DDB">
      <w:pPr>
        <w:pStyle w:val="NormalWeb"/>
        <w:spacing w:before="0" w:beforeAutospacing="0" w:after="240" w:afterAutospacing="0" w:line="360" w:lineRule="auto"/>
      </w:pPr>
      <w:r w:rsidRPr="00E034E5">
        <w:t xml:space="preserve">Nash, N. and Whittle , C. (2020). </w:t>
      </w:r>
      <w:r w:rsidRPr="00E034E5">
        <w:rPr>
          <w:i/>
          <w:iCs/>
        </w:rPr>
        <w:t>Rapid Review of ‘Moments of Change’&amp; Food-Related Behaviours</w:t>
      </w:r>
      <w:r w:rsidRPr="00E034E5">
        <w:t>. [online] Available at: https://www.food.gov.uk/sites/default/files/media/document/fsa-rapid-literature-review-final.pdf.</w:t>
      </w:r>
    </w:p>
    <w:p w:rsidR="00C24DDB" w:rsidRPr="00E034E5" w:rsidRDefault="00C24DDB" w:rsidP="00C24DDB">
      <w:pPr>
        <w:pStyle w:val="NormalWeb"/>
        <w:spacing w:before="0" w:beforeAutospacing="0" w:after="240" w:afterAutospacing="0" w:line="360" w:lineRule="auto"/>
      </w:pPr>
      <w:r w:rsidRPr="00E034E5">
        <w:t xml:space="preserve">Nduna, M. (2020). Examination and analysis of researcher-participant power dynamics in focus group discussions. </w:t>
      </w:r>
      <w:r w:rsidRPr="00E034E5">
        <w:rPr>
          <w:i/>
          <w:iCs/>
        </w:rPr>
        <w:t>Psychology in Society</w:t>
      </w:r>
      <w:r w:rsidRPr="00E034E5">
        <w:t>, [online] (60), pp.83–98. Available at: http://www.scielo.org.za/scielo.php?pid=S1015-60462020000300006&amp;script=sci_arttext .</w:t>
      </w:r>
    </w:p>
    <w:p w:rsidR="00C24DDB" w:rsidRPr="00E034E5" w:rsidRDefault="00C24DDB" w:rsidP="00C24DDB">
      <w:pPr>
        <w:pStyle w:val="NormalWeb"/>
        <w:spacing w:before="0" w:beforeAutospacing="0" w:after="240" w:afterAutospacing="0" w:line="360" w:lineRule="auto"/>
      </w:pPr>
      <w:r w:rsidRPr="00E034E5">
        <w:t xml:space="preserve">Ningi, A. (2022). Data Presentation in Qualitative Research: The Outcomes of the Pattern of Ideas with the Raw Data | International Journal of Qualitative Research. </w:t>
      </w:r>
      <w:r w:rsidRPr="00E034E5">
        <w:rPr>
          <w:i/>
          <w:iCs/>
        </w:rPr>
        <w:t>ojs.literacyinstitute.org</w:t>
      </w:r>
      <w:r w:rsidRPr="00E034E5">
        <w:t>. [online] Available at: https://ojs.literacyinstitute.org/index.php/ijqr/article/download/448/161.</w:t>
      </w:r>
    </w:p>
    <w:p w:rsidR="00C24DDB" w:rsidRPr="00E034E5" w:rsidRDefault="00C24DDB" w:rsidP="00C24DDB">
      <w:pPr>
        <w:pStyle w:val="NormalWeb"/>
        <w:spacing w:before="0" w:beforeAutospacing="0" w:after="240" w:afterAutospacing="0" w:line="360" w:lineRule="auto"/>
      </w:pPr>
      <w:r w:rsidRPr="00E034E5">
        <w:t xml:space="preserve">O’ Sullivan, L., Feeney, L., Crowley, R.K., Sukumar, P., McAuliffe, E. and Doran, P. (2021). An evaluation of the process of informed consent: views from research participants and staff. </w:t>
      </w:r>
      <w:r w:rsidRPr="00E034E5">
        <w:rPr>
          <w:i/>
          <w:iCs/>
        </w:rPr>
        <w:t>Trials</w:t>
      </w:r>
      <w:r w:rsidRPr="00E034E5">
        <w:t>, [online] 22(1). Available at: https://link.springer.com/article/10.1186/s13063-021-05493-1.</w:t>
      </w:r>
    </w:p>
    <w:p w:rsidR="00C24DDB" w:rsidRPr="00E034E5" w:rsidRDefault="00C24DDB" w:rsidP="00C24DDB">
      <w:pPr>
        <w:pStyle w:val="NormalWeb"/>
        <w:spacing w:before="0" w:beforeAutospacing="0" w:after="240" w:afterAutospacing="0" w:line="360" w:lineRule="auto"/>
      </w:pPr>
      <w:r w:rsidRPr="00E034E5">
        <w:t xml:space="preserve">Ozuem, W. (2022). </w:t>
      </w:r>
      <w:r w:rsidRPr="00E034E5">
        <w:rPr>
          <w:i/>
          <w:iCs/>
        </w:rPr>
        <w:t>Thematic analysis without paradox: sensemaking and context</w:t>
      </w:r>
      <w:r w:rsidRPr="00E034E5">
        <w:t>. [online] Available at: https://insight.cumbria.ac.uk/id/eprint/6347/3/Ozuem_ThematicAnalysisWithout.pdf.</w:t>
      </w:r>
    </w:p>
    <w:p w:rsidR="00C24DDB" w:rsidRPr="00E034E5" w:rsidRDefault="00C24DDB" w:rsidP="00C24DDB">
      <w:pPr>
        <w:pStyle w:val="NormalWeb"/>
        <w:spacing w:before="0" w:beforeAutospacing="0" w:after="240" w:afterAutospacing="0" w:line="360" w:lineRule="auto"/>
      </w:pPr>
      <w:r w:rsidRPr="00E034E5">
        <w:t xml:space="preserve">Rutakumwa, R., Mugisha, J.O., Bernays, S., Kabunga, E., Tumwekwase, G., Mbonye, M. and Seeley, J. (2020). Conducting in-depth Interviews with and without Voice recorders: a Comparative Analysis. </w:t>
      </w:r>
      <w:r w:rsidRPr="00E034E5">
        <w:rPr>
          <w:i/>
          <w:iCs/>
        </w:rPr>
        <w:t>Qualitative Research</w:t>
      </w:r>
      <w:r w:rsidRPr="00E034E5">
        <w:t>, [online] 20(5), p.146879411988480. Available at: https://journals.sagepub.com/doi/full/10.1177/1468794119884806.</w:t>
      </w:r>
    </w:p>
    <w:p w:rsidR="00C24DDB" w:rsidRPr="00E034E5" w:rsidRDefault="00C24DDB" w:rsidP="00C24DDB">
      <w:pPr>
        <w:pStyle w:val="NormalWeb"/>
        <w:spacing w:before="0" w:beforeAutospacing="0" w:after="240" w:afterAutospacing="0" w:line="360" w:lineRule="auto"/>
      </w:pPr>
      <w:r w:rsidRPr="00E034E5">
        <w:t xml:space="preserve">S, A.P. and Aithal, S. (2023). </w:t>
      </w:r>
      <w:r w:rsidRPr="00E034E5">
        <w:rPr>
          <w:i/>
          <w:iCs/>
        </w:rPr>
        <w:t>How to Increase Emotional Infrastructure of Higher Education Institutions</w:t>
      </w:r>
      <w:r w:rsidRPr="00E034E5">
        <w:t>. [online] Ssrn.com. Available at: https://supublication.com/index.php/ijmts/article/download/702/554.</w:t>
      </w:r>
    </w:p>
    <w:p w:rsidR="00C24DDB" w:rsidRPr="00E034E5" w:rsidRDefault="00C24DDB" w:rsidP="00C24DDB">
      <w:pPr>
        <w:pStyle w:val="NormalWeb"/>
        <w:spacing w:before="0" w:beforeAutospacing="0" w:after="240" w:afterAutospacing="0" w:line="360" w:lineRule="auto"/>
      </w:pPr>
      <w:r w:rsidRPr="00E034E5">
        <w:lastRenderedPageBreak/>
        <w:t xml:space="preserve">Taherdoost, H. (2021). Data Collection Methods and Tools for Research; A Step-by-Step Guide to Choose Data Collection Technique for Academic and Business Research Projects. </w:t>
      </w:r>
      <w:r w:rsidRPr="00E034E5">
        <w:rPr>
          <w:i/>
          <w:iCs/>
        </w:rPr>
        <w:t>International Journal of Academic Research in Management (IJARM)</w:t>
      </w:r>
      <w:r w:rsidRPr="00E034E5">
        <w:t>, [online] 10(1), p.10. Available at: https://hal.science/hal-03741847/document.</w:t>
      </w:r>
    </w:p>
    <w:p w:rsidR="00C24DDB" w:rsidRPr="00E034E5" w:rsidRDefault="00C24DDB" w:rsidP="00C24DDB">
      <w:pPr>
        <w:pStyle w:val="NormalWeb"/>
        <w:spacing w:before="0" w:beforeAutospacing="0" w:after="240" w:afterAutospacing="0" w:line="360" w:lineRule="auto"/>
      </w:pPr>
      <w:r w:rsidRPr="00E034E5">
        <w:t xml:space="preserve">Taquette, S.R. and Borges da Matta Souza, L.M. (2022). Ethical Dilemmas in Qualitative research: a Critical Literature Review. </w:t>
      </w:r>
      <w:r w:rsidRPr="00E034E5">
        <w:rPr>
          <w:i/>
          <w:iCs/>
        </w:rPr>
        <w:t>International Journal of Qualitative Methods</w:t>
      </w:r>
      <w:r w:rsidRPr="00E034E5">
        <w:t>, [online] 21(21), pp.1–15. Available at: https://journals.sagepub.com/doi/10.1177/16094069221078731.</w:t>
      </w:r>
    </w:p>
    <w:p w:rsidR="00C24DDB" w:rsidRPr="00E034E5" w:rsidRDefault="00C24DDB" w:rsidP="00C24DDB">
      <w:pPr>
        <w:pStyle w:val="NormalWeb"/>
        <w:spacing w:before="0" w:beforeAutospacing="0" w:after="240" w:afterAutospacing="0" w:line="360" w:lineRule="auto"/>
      </w:pPr>
      <w:r w:rsidRPr="00E034E5">
        <w:t xml:space="preserve">TÜMEN AKYILDIZ, S. (2021). An Overview of Qualitative Research and Focus Group Discussion. </w:t>
      </w:r>
      <w:r w:rsidRPr="00E034E5">
        <w:rPr>
          <w:i/>
          <w:iCs/>
        </w:rPr>
        <w:t>International Journal of Academic Research in Education</w:t>
      </w:r>
      <w:r w:rsidRPr="00E034E5">
        <w:t>, [online] 7(1). Available at: https://dergipark.org.tr/en/download/article-file/1527960.</w:t>
      </w:r>
    </w:p>
    <w:p w:rsidR="00C24DDB" w:rsidRPr="00E034E5" w:rsidRDefault="00C24DDB" w:rsidP="00C24DDB">
      <w:pPr>
        <w:pStyle w:val="NormalWeb"/>
        <w:spacing w:before="0" w:beforeAutospacing="0" w:after="240" w:afterAutospacing="0" w:line="360" w:lineRule="auto"/>
      </w:pPr>
      <w:r w:rsidRPr="00E034E5">
        <w:t xml:space="preserve">Xu, A., Baysari, M.T., Stocker, S.L., Leow, L.J., Day, R.O. and Carland, J.E. (2020). Researchers’ views on, and experiences with, the requirement to obtain informed consent in research involving human participants: a qualitative study. </w:t>
      </w:r>
      <w:r w:rsidRPr="00E034E5">
        <w:rPr>
          <w:i/>
          <w:iCs/>
        </w:rPr>
        <w:t>BMC Medical Ethics</w:t>
      </w:r>
      <w:r w:rsidRPr="00E034E5">
        <w:t>, [online] 21(1). Available at: https://link.springer.com/article/10.1186/s12910-020-00538-7.</w:t>
      </w:r>
    </w:p>
    <w:p w:rsidR="00C24DDB" w:rsidRPr="00C24DDB" w:rsidRDefault="00C24DDB" w:rsidP="00C24DDB">
      <w:pPr>
        <w:rPr>
          <w:rFonts w:cs="Arial"/>
          <w:color w:val="5B9BD5"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sectPr w:rsidR="00C24DDB" w:rsidRPr="00C24D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E74BC6"/>
    <w:multiLevelType w:val="multilevel"/>
    <w:tmpl w:val="41B67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66028E9"/>
    <w:multiLevelType w:val="multilevel"/>
    <w:tmpl w:val="37BA4D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90225A3"/>
    <w:multiLevelType w:val="multilevel"/>
    <w:tmpl w:val="2668A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7D935B2"/>
    <w:multiLevelType w:val="multilevel"/>
    <w:tmpl w:val="3B3CF1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64055E40"/>
    <w:multiLevelType w:val="multilevel"/>
    <w:tmpl w:val="1980CA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77431CEC"/>
    <w:multiLevelType w:val="multilevel"/>
    <w:tmpl w:val="7708EC3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2"/>
  </w:num>
  <w:num w:numId="4">
    <w:abstractNumId w:val="1"/>
  </w:num>
  <w:num w:numId="5">
    <w:abstractNumId w:val="5"/>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306B"/>
    <w:rsid w:val="001E0108"/>
    <w:rsid w:val="006F306B"/>
    <w:rsid w:val="00703126"/>
    <w:rsid w:val="00A57EA5"/>
    <w:rsid w:val="00C24DDB"/>
    <w:rsid w:val="00EB1BE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EFA21ED-A0AE-4471-809A-BCEBA1941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306B"/>
    <w:pPr>
      <w:spacing w:after="200" w:line="360" w:lineRule="auto"/>
      <w:jc w:val="both"/>
    </w:pPr>
    <w:rPr>
      <w:rFonts w:ascii="Arial" w:hAnsi="Arial"/>
      <w:lang w:val="en-US"/>
    </w:rPr>
  </w:style>
  <w:style w:type="paragraph" w:styleId="Heading1">
    <w:name w:val="heading 1"/>
    <w:basedOn w:val="Normal"/>
    <w:next w:val="Normal"/>
    <w:link w:val="Heading1Char"/>
    <w:uiPriority w:val="9"/>
    <w:qFormat/>
    <w:rsid w:val="006F306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06B"/>
    <w:rPr>
      <w:rFonts w:asciiTheme="majorHAnsi" w:eastAsiaTheme="majorEastAsia" w:hAnsiTheme="majorHAnsi" w:cstheme="majorBidi"/>
      <w:color w:val="2E74B5" w:themeColor="accent1" w:themeShade="BF"/>
      <w:sz w:val="32"/>
      <w:szCs w:val="32"/>
      <w:lang w:val="en-US"/>
    </w:rPr>
  </w:style>
  <w:style w:type="paragraph" w:styleId="TOCHeading">
    <w:name w:val="TOC Heading"/>
    <w:basedOn w:val="Heading1"/>
    <w:next w:val="Normal"/>
    <w:uiPriority w:val="39"/>
    <w:unhideWhenUsed/>
    <w:qFormat/>
    <w:rsid w:val="006F306B"/>
    <w:pPr>
      <w:spacing w:line="259" w:lineRule="auto"/>
      <w:jc w:val="left"/>
      <w:outlineLvl w:val="9"/>
    </w:pPr>
  </w:style>
  <w:style w:type="paragraph" w:styleId="TOC1">
    <w:name w:val="toc 1"/>
    <w:basedOn w:val="Normal"/>
    <w:next w:val="Normal"/>
    <w:autoRedefine/>
    <w:uiPriority w:val="39"/>
    <w:unhideWhenUsed/>
    <w:rsid w:val="006F306B"/>
    <w:pPr>
      <w:spacing w:after="100"/>
    </w:pPr>
  </w:style>
  <w:style w:type="character" w:styleId="Hyperlink">
    <w:name w:val="Hyperlink"/>
    <w:basedOn w:val="DefaultParagraphFont"/>
    <w:uiPriority w:val="99"/>
    <w:unhideWhenUsed/>
    <w:rsid w:val="006F306B"/>
    <w:rPr>
      <w:color w:val="0563C1" w:themeColor="hyperlink"/>
      <w:u w:val="single"/>
    </w:rPr>
  </w:style>
  <w:style w:type="paragraph" w:styleId="NormalWeb">
    <w:name w:val="Normal (Web)"/>
    <w:basedOn w:val="Normal"/>
    <w:uiPriority w:val="99"/>
    <w:semiHidden/>
    <w:unhideWhenUsed/>
    <w:rsid w:val="006F306B"/>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16</Pages>
  <Words>4973</Words>
  <Characters>28350</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2</cp:revision>
  <dcterms:created xsi:type="dcterms:W3CDTF">2024-03-26T21:26:00Z</dcterms:created>
  <dcterms:modified xsi:type="dcterms:W3CDTF">2024-03-28T10:59:00Z</dcterms:modified>
</cp:coreProperties>
</file>