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CB621" w14:textId="705CE2D4" w:rsidR="00B15B26" w:rsidRDefault="00B15B26" w:rsidP="00B15B26">
      <w:pPr>
        <w:pStyle w:val="Heading2"/>
      </w:pPr>
      <w:r>
        <w:t>IEE Referencing and Academic &amp; Employability skills</w:t>
      </w:r>
    </w:p>
    <w:p w14:paraId="4293E7E8" w14:textId="7448ED5D" w:rsidR="00DD1B9E" w:rsidRPr="00DD1B9E" w:rsidRDefault="008D24A5" w:rsidP="00DD1B9E">
      <w:r w:rsidRPr="008D24A5">
        <w:drawing>
          <wp:inline distT="0" distB="0" distL="0" distR="0" wp14:anchorId="14F29BCE" wp14:editId="01542771">
            <wp:extent cx="2119005" cy="2129051"/>
            <wp:effectExtent l="0" t="0" r="0" b="5080"/>
            <wp:docPr id="762682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682361" name=""/>
                    <pic:cNvPicPr/>
                  </pic:nvPicPr>
                  <pic:blipFill rotWithShape="1">
                    <a:blip r:embed="rId8"/>
                    <a:srcRect l="4451" t="1713" r="2079" b="1944"/>
                    <a:stretch>
                      <a:fillRect/>
                    </a:stretch>
                  </pic:blipFill>
                  <pic:spPr bwMode="auto">
                    <a:xfrm>
                      <a:off x="0" y="0"/>
                      <a:ext cx="2144722" cy="2154890"/>
                    </a:xfrm>
                    <a:prstGeom prst="rect">
                      <a:avLst/>
                    </a:prstGeom>
                    <a:ln>
                      <a:noFill/>
                    </a:ln>
                    <a:extLst>
                      <a:ext uri="{53640926-AAD7-44D8-BBD7-CCE9431645EC}">
                        <a14:shadowObscured xmlns:a14="http://schemas.microsoft.com/office/drawing/2010/main"/>
                      </a:ext>
                    </a:extLst>
                  </pic:spPr>
                </pic:pic>
              </a:graphicData>
            </a:graphic>
          </wp:inline>
        </w:drawing>
      </w:r>
      <w:r w:rsidR="009E175B" w:rsidRPr="009E175B">
        <w:rPr>
          <w:noProof/>
        </w:rPr>
        <w:t xml:space="preserve"> </w:t>
      </w:r>
      <w:r w:rsidR="009E175B" w:rsidRPr="009E175B">
        <w:drawing>
          <wp:inline distT="0" distB="0" distL="0" distR="0" wp14:anchorId="2F88F9DA" wp14:editId="62607008">
            <wp:extent cx="3516060" cy="1890214"/>
            <wp:effectExtent l="0" t="0" r="8255" b="0"/>
            <wp:docPr id="373339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339197" name=""/>
                    <pic:cNvPicPr/>
                  </pic:nvPicPr>
                  <pic:blipFill rotWithShape="1">
                    <a:blip r:embed="rId9"/>
                    <a:srcRect l="2437" t="1160" r="945" b="-1"/>
                    <a:stretch>
                      <a:fillRect/>
                    </a:stretch>
                  </pic:blipFill>
                  <pic:spPr bwMode="auto">
                    <a:xfrm>
                      <a:off x="0" y="0"/>
                      <a:ext cx="3577098" cy="1923028"/>
                    </a:xfrm>
                    <a:prstGeom prst="rect">
                      <a:avLst/>
                    </a:prstGeom>
                    <a:ln>
                      <a:noFill/>
                    </a:ln>
                    <a:extLst>
                      <a:ext uri="{53640926-AAD7-44D8-BBD7-CCE9431645EC}">
                        <a14:shadowObscured xmlns:a14="http://schemas.microsoft.com/office/drawing/2010/main"/>
                      </a:ext>
                    </a:extLst>
                  </pic:spPr>
                </pic:pic>
              </a:graphicData>
            </a:graphic>
          </wp:inline>
        </w:drawing>
      </w:r>
    </w:p>
    <w:p w14:paraId="095E3918" w14:textId="7BF7113C" w:rsidR="00B15B26" w:rsidRDefault="00B15B26" w:rsidP="00B15B26">
      <w:r>
        <w:t xml:space="preserve">There are many essential skills for study and employment, these skills are transferable across both areas. </w:t>
      </w:r>
      <w:r w:rsidR="004E3D70">
        <w:t>C</w:t>
      </w:r>
      <w:r>
        <w:t xml:space="preserve">ommunication skills </w:t>
      </w:r>
      <w:r w:rsidR="004E3D70">
        <w:t>improve the likelihood of success in academics and employment</w:t>
      </w:r>
      <w:r>
        <w:t xml:space="preserve">. </w:t>
      </w:r>
      <w:sdt>
        <w:sdtPr>
          <w:id w:val="-529260985"/>
          <w:citation/>
        </w:sdtPr>
        <w:sdtContent>
          <w:r>
            <w:fldChar w:fldCharType="begin"/>
          </w:r>
          <w:r>
            <w:instrText xml:space="preserve"> CITATION Ind251 \l 2057 </w:instrText>
          </w:r>
          <w:r>
            <w:fldChar w:fldCharType="separate"/>
          </w:r>
          <w:r w:rsidRPr="00B15B26">
            <w:rPr>
              <w:noProof/>
            </w:rPr>
            <w:t>[1]</w:t>
          </w:r>
          <w:r>
            <w:fldChar w:fldCharType="end"/>
          </w:r>
        </w:sdtContent>
      </w:sdt>
      <w:r w:rsidR="001676CA">
        <w:t xml:space="preserve"> “Communication is one of the most important employability skills because it is an essential part of almost any job.” </w:t>
      </w:r>
      <w:r w:rsidR="004E3D70">
        <w:t xml:space="preserve">As a </w:t>
      </w:r>
      <w:r w:rsidR="006158F8">
        <w:t>Develope</w:t>
      </w:r>
      <w:r w:rsidR="004E3D70">
        <w:t>r</w:t>
      </w:r>
      <w:r w:rsidR="006158F8">
        <w:t xml:space="preserve"> who </w:t>
      </w:r>
      <w:r w:rsidR="001676CA">
        <w:t>atten</w:t>
      </w:r>
      <w:r w:rsidR="004E3D70">
        <w:t>ds</w:t>
      </w:r>
      <w:r w:rsidR="001676CA">
        <w:t xml:space="preserve"> meetings frequently</w:t>
      </w:r>
      <w:r w:rsidR="006158F8">
        <w:t xml:space="preserve">, </w:t>
      </w:r>
      <w:r w:rsidR="004E3D70">
        <w:t xml:space="preserve">communication helps </w:t>
      </w:r>
      <w:r w:rsidR="001676CA">
        <w:t>foster a great work</w:t>
      </w:r>
      <w:r w:rsidR="004E3D70">
        <w:t>ing</w:t>
      </w:r>
      <w:r w:rsidR="001676CA">
        <w:t xml:space="preserve"> environment</w:t>
      </w:r>
      <w:r w:rsidR="004E3D70">
        <w:t xml:space="preserve">. </w:t>
      </w:r>
    </w:p>
    <w:p w14:paraId="36B830B7" w14:textId="248FA3DC" w:rsidR="001676CA" w:rsidRDefault="001676CA" w:rsidP="00B15B26">
      <w:r>
        <w:t xml:space="preserve">In the subject area of Computing, a widely recognised skill is problem-solving, GAI output from Microsoft Copilot </w:t>
      </w:r>
      <w:sdt>
        <w:sdtPr>
          <w:id w:val="-306937796"/>
          <w:citation/>
        </w:sdtPr>
        <w:sdtContent>
          <w:r>
            <w:fldChar w:fldCharType="begin"/>
          </w:r>
          <w:r>
            <w:instrText xml:space="preserve"> CITATION Mic261 \l 2057 </w:instrText>
          </w:r>
          <w:r>
            <w:fldChar w:fldCharType="separate"/>
          </w:r>
          <w:r w:rsidRPr="001676CA">
            <w:rPr>
              <w:noProof/>
            </w:rPr>
            <w:t>[2]</w:t>
          </w:r>
          <w:r>
            <w:fldChar w:fldCharType="end"/>
          </w:r>
        </w:sdtContent>
      </w:sdt>
      <w:r>
        <w:t xml:space="preserve"> and </w:t>
      </w:r>
      <w:r w:rsidR="00A978F9">
        <w:t xml:space="preserve">Scott Lee </w:t>
      </w:r>
      <w:sdt>
        <w:sdtPr>
          <w:id w:val="-2095081667"/>
          <w:citation/>
        </w:sdtPr>
        <w:sdtContent>
          <w:r>
            <w:fldChar w:fldCharType="begin"/>
          </w:r>
          <w:r>
            <w:instrText xml:space="preserve"> CITATION Sco251 \l 2057 </w:instrText>
          </w:r>
          <w:r>
            <w:fldChar w:fldCharType="separate"/>
          </w:r>
          <w:r w:rsidRPr="001676CA">
            <w:rPr>
              <w:noProof/>
            </w:rPr>
            <w:t>[3]</w:t>
          </w:r>
          <w:r>
            <w:fldChar w:fldCharType="end"/>
          </w:r>
        </w:sdtContent>
      </w:sdt>
      <w:r w:rsidR="002B6C19">
        <w:t xml:space="preserve"> states that problem-solving is crucial in areas of computing as the field </w:t>
      </w:r>
      <w:r w:rsidR="001A08F7">
        <w:t xml:space="preserve">involves </w:t>
      </w:r>
      <w:r w:rsidR="002B6C19">
        <w:t xml:space="preserve">finding problems and creating reliable solutions for them. </w:t>
      </w:r>
      <w:r w:rsidR="001A08F7">
        <w:t>I</w:t>
      </w:r>
      <w:r w:rsidR="002B6C19">
        <w:t xml:space="preserve">n the ever dynamic and complex world of IT, technical knowledge </w:t>
      </w:r>
      <w:r w:rsidR="003B7486">
        <w:t>alone just meets the threshold</w:t>
      </w:r>
      <w:r w:rsidR="00F3687E">
        <w:t xml:space="preserve">. </w:t>
      </w:r>
      <w:r w:rsidR="002B6C19">
        <w:t xml:space="preserve">IT professionals face a plethora of problems, identifying problems </w:t>
      </w:r>
      <w:r w:rsidR="00F3687E">
        <w:t>with</w:t>
      </w:r>
      <w:r w:rsidR="002B6C19">
        <w:t xml:space="preserve"> systems </w:t>
      </w:r>
      <w:r w:rsidR="00F3687E">
        <w:t>to</w:t>
      </w:r>
      <w:r w:rsidR="002B6C19">
        <w:t xml:space="preserve"> incorporating cybersecurity measures. Critical thinking is beneficial in a lot of different scenarios. </w:t>
      </w:r>
      <w:r w:rsidR="001A08F7">
        <w:t xml:space="preserve">I </w:t>
      </w:r>
      <w:r w:rsidR="002B6C19">
        <w:t>have learnt quickly that it is important to be able to analyse problems and start to break them down into manageable chunks.</w:t>
      </w:r>
    </w:p>
    <w:p w14:paraId="53910AE9" w14:textId="6093C6A4" w:rsidR="002B6C19" w:rsidRDefault="002B6C19" w:rsidP="00B15B26">
      <w:r>
        <w:t xml:space="preserve">Critical Thinking is essential to academic </w:t>
      </w:r>
      <w:r w:rsidR="00446F61">
        <w:t xml:space="preserve">and employability success. </w:t>
      </w:r>
      <w:sdt>
        <w:sdtPr>
          <w:id w:val="-780033943"/>
          <w:citation/>
        </w:sdtPr>
        <w:sdtContent>
          <w:r w:rsidR="00446F61">
            <w:fldChar w:fldCharType="begin"/>
          </w:r>
          <w:r w:rsidR="00446F61">
            <w:instrText xml:space="preserve"> CITATION Mar201 \l 2057 </w:instrText>
          </w:r>
          <w:r w:rsidR="00446F61">
            <w:fldChar w:fldCharType="separate"/>
          </w:r>
          <w:r w:rsidR="00446F61" w:rsidRPr="00446F61">
            <w:rPr>
              <w:noProof/>
            </w:rPr>
            <w:t>[4]</w:t>
          </w:r>
          <w:r w:rsidR="00446F61">
            <w:fldChar w:fldCharType="end"/>
          </w:r>
        </w:sdtContent>
      </w:sdt>
      <w:r w:rsidR="00446F61">
        <w:t xml:space="preserve"> states that academic skills are not just about being able to source the library but points to the application of thinking independently, looking for information and drawing similarities and the development of problem solving. Problem solving is a widely recognised skill and is often the application of critical thinking</w:t>
      </w:r>
      <w:r w:rsidR="00F3687E">
        <w:t>.</w:t>
      </w:r>
    </w:p>
    <w:p w14:paraId="66693926" w14:textId="53A18E63" w:rsidR="006158F8" w:rsidRDefault="00F3130D" w:rsidP="00B15B26">
      <w:r>
        <w:t>I believe Teamwork is the foundation of success in employment and academia</w:t>
      </w:r>
      <w:r w:rsidR="00F3687E">
        <w:t>,</w:t>
      </w:r>
      <w:r>
        <w:t xml:space="preserve"> </w:t>
      </w:r>
      <w:sdt>
        <w:sdtPr>
          <w:id w:val="1139308483"/>
          <w:citation/>
        </w:sdtPr>
        <w:sdtContent>
          <w:r>
            <w:fldChar w:fldCharType="begin"/>
          </w:r>
          <w:r>
            <w:instrText xml:space="preserve"> CITATION Ste21 \l 2057 </w:instrText>
          </w:r>
          <w:r>
            <w:fldChar w:fldCharType="separate"/>
          </w:r>
          <w:r w:rsidRPr="00F3130D">
            <w:rPr>
              <w:noProof/>
            </w:rPr>
            <w:t>[5]</w:t>
          </w:r>
          <w:r>
            <w:fldChar w:fldCharType="end"/>
          </w:r>
        </w:sdtContent>
      </w:sdt>
      <w:r>
        <w:t xml:space="preserve"> </w:t>
      </w:r>
      <w:r w:rsidR="00F3687E">
        <w:t xml:space="preserve">it </w:t>
      </w:r>
      <w:r>
        <w:t>is important in many jobs and research-based careers,</w:t>
      </w:r>
      <w:r w:rsidR="00F3687E">
        <w:t xml:space="preserve"> also </w:t>
      </w:r>
      <w:r>
        <w:t xml:space="preserve">becoming a part of academic assignments. </w:t>
      </w:r>
      <w:r w:rsidR="00F3687E">
        <w:t>Good s</w:t>
      </w:r>
      <w:r>
        <w:t>elf-management along with social skills fosters great teamwork.</w:t>
      </w:r>
      <w:r w:rsidR="00F3687E">
        <w:t xml:space="preserve"> Teamwork is </w:t>
      </w:r>
      <w:r>
        <w:t xml:space="preserve">essential </w:t>
      </w:r>
      <w:r w:rsidR="00F3687E">
        <w:t xml:space="preserve">in Software </w:t>
      </w:r>
      <w:r w:rsidR="004E3D70">
        <w:t>D</w:t>
      </w:r>
      <w:r w:rsidR="00F3687E">
        <w:t>evelopment</w:t>
      </w:r>
      <w:r w:rsidR="004E3D70">
        <w:t>, p</w:t>
      </w:r>
      <w:r w:rsidR="00F3687E">
        <w:t>eer reviews</w:t>
      </w:r>
      <w:r>
        <w:t xml:space="preserve">, </w:t>
      </w:r>
      <w:r w:rsidR="00F3687E">
        <w:t xml:space="preserve">collaborative discussions which </w:t>
      </w:r>
      <w:r>
        <w:t>help</w:t>
      </w:r>
      <w:r w:rsidR="00F3687E">
        <w:t xml:space="preserve"> align people’s goals. </w:t>
      </w:r>
    </w:p>
    <w:p w14:paraId="5194B6B2" w14:textId="77777777" w:rsidR="006158F8" w:rsidRDefault="006158F8">
      <w:r>
        <w:br w:type="page"/>
      </w:r>
    </w:p>
    <w:p w14:paraId="5A43CFCD" w14:textId="77777777" w:rsidR="00446F61" w:rsidRDefault="00446F61" w:rsidP="00B15B26"/>
    <w:sdt>
      <w:sdtPr>
        <w:id w:val="414750112"/>
        <w:docPartObj>
          <w:docPartGallery w:val="Bibliographies"/>
          <w:docPartUnique/>
        </w:docPartObj>
      </w:sdtPr>
      <w:sdtEndPr>
        <w:rPr>
          <w:rFonts w:asciiTheme="minorHAnsi" w:eastAsiaTheme="minorHAnsi" w:hAnsiTheme="minorHAnsi" w:cstheme="minorBidi"/>
          <w:color w:val="auto"/>
          <w:sz w:val="24"/>
          <w:szCs w:val="24"/>
        </w:rPr>
      </w:sdtEndPr>
      <w:sdtContent>
        <w:p w14:paraId="0E8E0CF3" w14:textId="2DF78955" w:rsidR="006158F8" w:rsidRDefault="006158F8">
          <w:pPr>
            <w:pStyle w:val="Heading1"/>
          </w:pPr>
          <w:r>
            <w:t>References</w:t>
          </w:r>
        </w:p>
        <w:sdt>
          <w:sdtPr>
            <w:id w:val="-573587230"/>
            <w:bibliography/>
          </w:sdtPr>
          <w:sdtContent>
            <w:p w14:paraId="0F05A50C" w14:textId="77777777" w:rsidR="006158F8" w:rsidRDefault="006158F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6158F8" w14:paraId="547626DB" w14:textId="77777777">
                <w:trPr>
                  <w:divId w:val="1655255643"/>
                  <w:tblCellSpacing w:w="15" w:type="dxa"/>
                </w:trPr>
                <w:tc>
                  <w:tcPr>
                    <w:tcW w:w="50" w:type="pct"/>
                    <w:hideMark/>
                  </w:tcPr>
                  <w:p w14:paraId="58EF3786" w14:textId="1075B74C" w:rsidR="006158F8" w:rsidRDefault="006158F8">
                    <w:pPr>
                      <w:pStyle w:val="Bibliography"/>
                      <w:rPr>
                        <w:noProof/>
                        <w:kern w:val="0"/>
                        <w14:ligatures w14:val="none"/>
                      </w:rPr>
                    </w:pPr>
                    <w:r>
                      <w:rPr>
                        <w:noProof/>
                      </w:rPr>
                      <w:t xml:space="preserve">[1] </w:t>
                    </w:r>
                  </w:p>
                </w:tc>
                <w:tc>
                  <w:tcPr>
                    <w:tcW w:w="0" w:type="auto"/>
                    <w:hideMark/>
                  </w:tcPr>
                  <w:p w14:paraId="6C31FAFA" w14:textId="77777777" w:rsidR="006158F8" w:rsidRDefault="006158F8">
                    <w:pPr>
                      <w:pStyle w:val="Bibliography"/>
                      <w:rPr>
                        <w:noProof/>
                      </w:rPr>
                    </w:pPr>
                    <w:r>
                      <w:rPr>
                        <w:noProof/>
                      </w:rPr>
                      <w:t>Indeed Editorial Team, “Employability Skills: 10 Examples of skills Companies Value,” 10 December 2025. [Online]. Available: https://www.indeed.com/career-advice/finding-a-job/employability-skills.</w:t>
                    </w:r>
                  </w:p>
                </w:tc>
              </w:tr>
              <w:tr w:rsidR="006158F8" w14:paraId="6BD2E625" w14:textId="77777777">
                <w:trPr>
                  <w:divId w:val="1655255643"/>
                  <w:tblCellSpacing w:w="15" w:type="dxa"/>
                </w:trPr>
                <w:tc>
                  <w:tcPr>
                    <w:tcW w:w="50" w:type="pct"/>
                    <w:hideMark/>
                  </w:tcPr>
                  <w:p w14:paraId="53BD77E6" w14:textId="77777777" w:rsidR="006158F8" w:rsidRDefault="006158F8">
                    <w:pPr>
                      <w:pStyle w:val="Bibliography"/>
                      <w:rPr>
                        <w:noProof/>
                      </w:rPr>
                    </w:pPr>
                    <w:r>
                      <w:rPr>
                        <w:noProof/>
                      </w:rPr>
                      <w:t xml:space="preserve">[2] </w:t>
                    </w:r>
                  </w:p>
                </w:tc>
                <w:tc>
                  <w:tcPr>
                    <w:tcW w:w="0" w:type="auto"/>
                    <w:hideMark/>
                  </w:tcPr>
                  <w:p w14:paraId="26AD9251" w14:textId="6CF5BC1D" w:rsidR="006158F8" w:rsidRDefault="006158F8">
                    <w:pPr>
                      <w:pStyle w:val="Bibliography"/>
                      <w:rPr>
                        <w:noProof/>
                      </w:rPr>
                    </w:pPr>
                    <w:r>
                      <w:rPr>
                        <w:noProof/>
                      </w:rPr>
                      <w:t>Microsoft Copilot, “Essential Skills for a Career or Study Path in Computing,”</w:t>
                    </w:r>
                    <w:r w:rsidR="00270F96">
                      <w:rPr>
                        <w:noProof/>
                      </w:rPr>
                      <w:t>, private communication,</w:t>
                    </w:r>
                    <w:r>
                      <w:rPr>
                        <w:noProof/>
                      </w:rPr>
                      <w:t xml:space="preserve"> Microsoft , 2026.</w:t>
                    </w:r>
                  </w:p>
                </w:tc>
              </w:tr>
              <w:tr w:rsidR="006158F8" w14:paraId="4A43064E" w14:textId="77777777">
                <w:trPr>
                  <w:divId w:val="1655255643"/>
                  <w:tblCellSpacing w:w="15" w:type="dxa"/>
                </w:trPr>
                <w:tc>
                  <w:tcPr>
                    <w:tcW w:w="50" w:type="pct"/>
                    <w:hideMark/>
                  </w:tcPr>
                  <w:p w14:paraId="14D4068A" w14:textId="77777777" w:rsidR="006158F8" w:rsidRDefault="006158F8">
                    <w:pPr>
                      <w:pStyle w:val="Bibliography"/>
                      <w:rPr>
                        <w:noProof/>
                      </w:rPr>
                    </w:pPr>
                    <w:r>
                      <w:rPr>
                        <w:noProof/>
                      </w:rPr>
                      <w:t xml:space="preserve">[3] </w:t>
                    </w:r>
                  </w:p>
                </w:tc>
                <w:tc>
                  <w:tcPr>
                    <w:tcW w:w="0" w:type="auto"/>
                    <w:hideMark/>
                  </w:tcPr>
                  <w:p w14:paraId="250BA198" w14:textId="77777777" w:rsidR="006158F8" w:rsidRDefault="006158F8">
                    <w:pPr>
                      <w:pStyle w:val="Bibliography"/>
                      <w:rPr>
                        <w:noProof/>
                      </w:rPr>
                    </w:pPr>
                    <w:r>
                      <w:rPr>
                        <w:noProof/>
                      </w:rPr>
                      <w:t>S. Lee, “The Importance of Critical Thinking in Information Technology,” WGU, 18 April 2025. [Online]. Available: https://www.wgu.edu/blog/importance-critical-thinking-information-technology2504.html. [Accessed 26 January 2026].</w:t>
                    </w:r>
                  </w:p>
                </w:tc>
              </w:tr>
              <w:tr w:rsidR="006158F8" w14:paraId="1DD6399E" w14:textId="77777777">
                <w:trPr>
                  <w:divId w:val="1655255643"/>
                  <w:tblCellSpacing w:w="15" w:type="dxa"/>
                </w:trPr>
                <w:tc>
                  <w:tcPr>
                    <w:tcW w:w="50" w:type="pct"/>
                    <w:hideMark/>
                  </w:tcPr>
                  <w:p w14:paraId="0855C01F" w14:textId="77777777" w:rsidR="006158F8" w:rsidRDefault="006158F8">
                    <w:pPr>
                      <w:pStyle w:val="Bibliography"/>
                      <w:rPr>
                        <w:noProof/>
                      </w:rPr>
                    </w:pPr>
                    <w:r>
                      <w:rPr>
                        <w:noProof/>
                      </w:rPr>
                      <w:t xml:space="preserve">[4] </w:t>
                    </w:r>
                  </w:p>
                </w:tc>
                <w:tc>
                  <w:tcPr>
                    <w:tcW w:w="0" w:type="auto"/>
                    <w:hideMark/>
                  </w:tcPr>
                  <w:p w14:paraId="5CB81A4F" w14:textId="77777777" w:rsidR="006158F8" w:rsidRDefault="006158F8">
                    <w:pPr>
                      <w:pStyle w:val="Bibliography"/>
                      <w:rPr>
                        <w:noProof/>
                      </w:rPr>
                    </w:pPr>
                    <w:r>
                      <w:rPr>
                        <w:noProof/>
                      </w:rPr>
                      <w:t xml:space="preserve">M. Menz, “Integrating academic skills and employability - revisting the learning journal,” </w:t>
                    </w:r>
                    <w:r>
                      <w:rPr>
                        <w:i/>
                        <w:iCs/>
                        <w:noProof/>
                      </w:rPr>
                      <w:t xml:space="preserve">Perspectives in Applied Academic Practice, </w:t>
                    </w:r>
                    <w:r>
                      <w:rPr>
                        <w:noProof/>
                      </w:rPr>
                      <w:t xml:space="preserve">vol. 8, no. 1, pp. 115-120, 2020. </w:t>
                    </w:r>
                  </w:p>
                </w:tc>
              </w:tr>
              <w:tr w:rsidR="006158F8" w14:paraId="1DE636C0" w14:textId="77777777">
                <w:trPr>
                  <w:divId w:val="1655255643"/>
                  <w:tblCellSpacing w:w="15" w:type="dxa"/>
                </w:trPr>
                <w:tc>
                  <w:tcPr>
                    <w:tcW w:w="50" w:type="pct"/>
                    <w:hideMark/>
                  </w:tcPr>
                  <w:p w14:paraId="3E6D31F9" w14:textId="77777777" w:rsidR="006158F8" w:rsidRDefault="006158F8">
                    <w:pPr>
                      <w:pStyle w:val="Bibliography"/>
                      <w:rPr>
                        <w:noProof/>
                      </w:rPr>
                    </w:pPr>
                    <w:r>
                      <w:rPr>
                        <w:noProof/>
                      </w:rPr>
                      <w:t xml:space="preserve">[5] </w:t>
                    </w:r>
                  </w:p>
                </w:tc>
                <w:tc>
                  <w:tcPr>
                    <w:tcW w:w="0" w:type="auto"/>
                    <w:hideMark/>
                  </w:tcPr>
                  <w:p w14:paraId="7E22F38C" w14:textId="77777777" w:rsidR="006158F8" w:rsidRDefault="006158F8">
                    <w:pPr>
                      <w:pStyle w:val="Bibliography"/>
                      <w:rPr>
                        <w:noProof/>
                      </w:rPr>
                    </w:pPr>
                    <w:r>
                      <w:rPr>
                        <w:noProof/>
                      </w:rPr>
                      <w:t xml:space="preserve">S. Cottrell, “Part 2: People and Task Management Skills,” in </w:t>
                    </w:r>
                    <w:r>
                      <w:rPr>
                        <w:i/>
                        <w:iCs/>
                        <w:noProof/>
                      </w:rPr>
                      <w:t>Skills for Success : Personal Development and Employability</w:t>
                    </w:r>
                    <w:r>
                      <w:rPr>
                        <w:noProof/>
                      </w:rPr>
                      <w:t>, Macmillan Study Skills Series, 2021, p. 21.</w:t>
                    </w:r>
                  </w:p>
                </w:tc>
              </w:tr>
            </w:tbl>
            <w:p w14:paraId="23CF2504" w14:textId="77777777" w:rsidR="006158F8" w:rsidRDefault="006158F8">
              <w:pPr>
                <w:divId w:val="1655255643"/>
                <w:rPr>
                  <w:rFonts w:eastAsia="Times New Roman"/>
                  <w:noProof/>
                </w:rPr>
              </w:pPr>
            </w:p>
            <w:p w14:paraId="7A936E83" w14:textId="260F247D" w:rsidR="006158F8" w:rsidRDefault="006158F8">
              <w:r>
                <w:rPr>
                  <w:b/>
                  <w:bCs/>
                  <w:noProof/>
                </w:rPr>
                <w:fldChar w:fldCharType="end"/>
              </w:r>
            </w:p>
          </w:sdtContent>
        </w:sdt>
      </w:sdtContent>
    </w:sdt>
    <w:p w14:paraId="720AA944" w14:textId="77777777" w:rsidR="006158F8" w:rsidRPr="00B15B26" w:rsidRDefault="006158F8" w:rsidP="00B15B26"/>
    <w:sectPr w:rsidR="006158F8" w:rsidRPr="00B15B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B26"/>
    <w:rsid w:val="001676CA"/>
    <w:rsid w:val="001A08F7"/>
    <w:rsid w:val="00270F96"/>
    <w:rsid w:val="002B6C19"/>
    <w:rsid w:val="003B7486"/>
    <w:rsid w:val="00446F61"/>
    <w:rsid w:val="004E3D70"/>
    <w:rsid w:val="006158F8"/>
    <w:rsid w:val="007303C8"/>
    <w:rsid w:val="007701BA"/>
    <w:rsid w:val="008D24A5"/>
    <w:rsid w:val="009E175B"/>
    <w:rsid w:val="00A978F9"/>
    <w:rsid w:val="00B15B26"/>
    <w:rsid w:val="00DD1B9E"/>
    <w:rsid w:val="00F3130D"/>
    <w:rsid w:val="00F3687E"/>
    <w:rsid w:val="00F72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75209"/>
  <w15:chartTrackingRefBased/>
  <w15:docId w15:val="{9FD33BAD-B806-4E54-8245-A176CC306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5B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15B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5B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5B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5B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5B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5B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5B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5B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5B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15B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5B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5B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5B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5B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5B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5B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5B26"/>
    <w:rPr>
      <w:rFonts w:eastAsiaTheme="majorEastAsia" w:cstheme="majorBidi"/>
      <w:color w:val="272727" w:themeColor="text1" w:themeTint="D8"/>
    </w:rPr>
  </w:style>
  <w:style w:type="paragraph" w:styleId="Title">
    <w:name w:val="Title"/>
    <w:basedOn w:val="Normal"/>
    <w:next w:val="Normal"/>
    <w:link w:val="TitleChar"/>
    <w:uiPriority w:val="10"/>
    <w:qFormat/>
    <w:rsid w:val="00B15B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5B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5B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5B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5B26"/>
    <w:pPr>
      <w:spacing w:before="160"/>
      <w:jc w:val="center"/>
    </w:pPr>
    <w:rPr>
      <w:i/>
      <w:iCs/>
      <w:color w:val="404040" w:themeColor="text1" w:themeTint="BF"/>
    </w:rPr>
  </w:style>
  <w:style w:type="character" w:customStyle="1" w:styleId="QuoteChar">
    <w:name w:val="Quote Char"/>
    <w:basedOn w:val="DefaultParagraphFont"/>
    <w:link w:val="Quote"/>
    <w:uiPriority w:val="29"/>
    <w:rsid w:val="00B15B26"/>
    <w:rPr>
      <w:i/>
      <w:iCs/>
      <w:color w:val="404040" w:themeColor="text1" w:themeTint="BF"/>
    </w:rPr>
  </w:style>
  <w:style w:type="paragraph" w:styleId="ListParagraph">
    <w:name w:val="List Paragraph"/>
    <w:basedOn w:val="Normal"/>
    <w:uiPriority w:val="34"/>
    <w:qFormat/>
    <w:rsid w:val="00B15B26"/>
    <w:pPr>
      <w:ind w:left="720"/>
      <w:contextualSpacing/>
    </w:pPr>
  </w:style>
  <w:style w:type="character" w:styleId="IntenseEmphasis">
    <w:name w:val="Intense Emphasis"/>
    <w:basedOn w:val="DefaultParagraphFont"/>
    <w:uiPriority w:val="21"/>
    <w:qFormat/>
    <w:rsid w:val="00B15B26"/>
    <w:rPr>
      <w:i/>
      <w:iCs/>
      <w:color w:val="0F4761" w:themeColor="accent1" w:themeShade="BF"/>
    </w:rPr>
  </w:style>
  <w:style w:type="paragraph" w:styleId="IntenseQuote">
    <w:name w:val="Intense Quote"/>
    <w:basedOn w:val="Normal"/>
    <w:next w:val="Normal"/>
    <w:link w:val="IntenseQuoteChar"/>
    <w:uiPriority w:val="30"/>
    <w:qFormat/>
    <w:rsid w:val="00B15B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5B26"/>
    <w:rPr>
      <w:i/>
      <w:iCs/>
      <w:color w:val="0F4761" w:themeColor="accent1" w:themeShade="BF"/>
    </w:rPr>
  </w:style>
  <w:style w:type="character" w:styleId="IntenseReference">
    <w:name w:val="Intense Reference"/>
    <w:basedOn w:val="DefaultParagraphFont"/>
    <w:uiPriority w:val="32"/>
    <w:qFormat/>
    <w:rsid w:val="00B15B26"/>
    <w:rPr>
      <w:b/>
      <w:bCs/>
      <w:smallCaps/>
      <w:color w:val="0F4761" w:themeColor="accent1" w:themeShade="BF"/>
      <w:spacing w:val="5"/>
    </w:rPr>
  </w:style>
  <w:style w:type="paragraph" w:styleId="Bibliography">
    <w:name w:val="Bibliography"/>
    <w:basedOn w:val="Normal"/>
    <w:next w:val="Normal"/>
    <w:uiPriority w:val="37"/>
    <w:unhideWhenUsed/>
    <w:rsid w:val="00615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66716">
      <w:bodyDiv w:val="1"/>
      <w:marLeft w:val="0"/>
      <w:marRight w:val="0"/>
      <w:marTop w:val="0"/>
      <w:marBottom w:val="0"/>
      <w:divBdr>
        <w:top w:val="none" w:sz="0" w:space="0" w:color="auto"/>
        <w:left w:val="none" w:sz="0" w:space="0" w:color="auto"/>
        <w:bottom w:val="none" w:sz="0" w:space="0" w:color="auto"/>
        <w:right w:val="none" w:sz="0" w:space="0" w:color="auto"/>
      </w:divBdr>
    </w:div>
    <w:div w:id="1096555973">
      <w:bodyDiv w:val="1"/>
      <w:marLeft w:val="0"/>
      <w:marRight w:val="0"/>
      <w:marTop w:val="0"/>
      <w:marBottom w:val="0"/>
      <w:divBdr>
        <w:top w:val="none" w:sz="0" w:space="0" w:color="auto"/>
        <w:left w:val="none" w:sz="0" w:space="0" w:color="auto"/>
        <w:bottom w:val="none" w:sz="0" w:space="0" w:color="auto"/>
        <w:right w:val="none" w:sz="0" w:space="0" w:color="auto"/>
      </w:divBdr>
    </w:div>
    <w:div w:id="1265309765">
      <w:bodyDiv w:val="1"/>
      <w:marLeft w:val="0"/>
      <w:marRight w:val="0"/>
      <w:marTop w:val="0"/>
      <w:marBottom w:val="0"/>
      <w:divBdr>
        <w:top w:val="none" w:sz="0" w:space="0" w:color="auto"/>
        <w:left w:val="none" w:sz="0" w:space="0" w:color="auto"/>
        <w:bottom w:val="none" w:sz="0" w:space="0" w:color="auto"/>
        <w:right w:val="none" w:sz="0" w:space="0" w:color="auto"/>
      </w:divBdr>
    </w:div>
    <w:div w:id="1278297765">
      <w:bodyDiv w:val="1"/>
      <w:marLeft w:val="0"/>
      <w:marRight w:val="0"/>
      <w:marTop w:val="0"/>
      <w:marBottom w:val="0"/>
      <w:divBdr>
        <w:top w:val="none" w:sz="0" w:space="0" w:color="auto"/>
        <w:left w:val="none" w:sz="0" w:space="0" w:color="auto"/>
        <w:bottom w:val="none" w:sz="0" w:space="0" w:color="auto"/>
        <w:right w:val="none" w:sz="0" w:space="0" w:color="auto"/>
      </w:divBdr>
    </w:div>
    <w:div w:id="1301155096">
      <w:bodyDiv w:val="1"/>
      <w:marLeft w:val="0"/>
      <w:marRight w:val="0"/>
      <w:marTop w:val="0"/>
      <w:marBottom w:val="0"/>
      <w:divBdr>
        <w:top w:val="none" w:sz="0" w:space="0" w:color="auto"/>
        <w:left w:val="none" w:sz="0" w:space="0" w:color="auto"/>
        <w:bottom w:val="none" w:sz="0" w:space="0" w:color="auto"/>
        <w:right w:val="none" w:sz="0" w:space="0" w:color="auto"/>
      </w:divBdr>
    </w:div>
    <w:div w:id="1322193289">
      <w:bodyDiv w:val="1"/>
      <w:marLeft w:val="0"/>
      <w:marRight w:val="0"/>
      <w:marTop w:val="0"/>
      <w:marBottom w:val="0"/>
      <w:divBdr>
        <w:top w:val="none" w:sz="0" w:space="0" w:color="auto"/>
        <w:left w:val="none" w:sz="0" w:space="0" w:color="auto"/>
        <w:bottom w:val="none" w:sz="0" w:space="0" w:color="auto"/>
        <w:right w:val="none" w:sz="0" w:space="0" w:color="auto"/>
      </w:divBdr>
    </w:div>
    <w:div w:id="1622616582">
      <w:bodyDiv w:val="1"/>
      <w:marLeft w:val="0"/>
      <w:marRight w:val="0"/>
      <w:marTop w:val="0"/>
      <w:marBottom w:val="0"/>
      <w:divBdr>
        <w:top w:val="none" w:sz="0" w:space="0" w:color="auto"/>
        <w:left w:val="none" w:sz="0" w:space="0" w:color="auto"/>
        <w:bottom w:val="none" w:sz="0" w:space="0" w:color="auto"/>
        <w:right w:val="none" w:sz="0" w:space="0" w:color="auto"/>
      </w:divBdr>
    </w:div>
    <w:div w:id="1655255643">
      <w:bodyDiv w:val="1"/>
      <w:marLeft w:val="0"/>
      <w:marRight w:val="0"/>
      <w:marTop w:val="0"/>
      <w:marBottom w:val="0"/>
      <w:divBdr>
        <w:top w:val="none" w:sz="0" w:space="0" w:color="auto"/>
        <w:left w:val="none" w:sz="0" w:space="0" w:color="auto"/>
        <w:bottom w:val="none" w:sz="0" w:space="0" w:color="auto"/>
        <w:right w:val="none" w:sz="0" w:space="0" w:color="auto"/>
      </w:divBdr>
    </w:div>
    <w:div w:id="1657802247">
      <w:bodyDiv w:val="1"/>
      <w:marLeft w:val="0"/>
      <w:marRight w:val="0"/>
      <w:marTop w:val="0"/>
      <w:marBottom w:val="0"/>
      <w:divBdr>
        <w:top w:val="none" w:sz="0" w:space="0" w:color="auto"/>
        <w:left w:val="none" w:sz="0" w:space="0" w:color="auto"/>
        <w:bottom w:val="none" w:sz="0" w:space="0" w:color="auto"/>
        <w:right w:val="none" w:sz="0" w:space="0" w:color="auto"/>
      </w:divBdr>
    </w:div>
    <w:div w:id="1885604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Ind251</b:Tag>
    <b:SourceType>InternetSite</b:SourceType>
    <b:Guid>{E173D965-2EED-4464-B19D-9D3DACA9E1C1}</b:Guid>
    <b:Title>Employability Skills: 10 Examples of skills Companies Value</b:Title>
    <b:Year>2025</b:Year>
    <b:Month>December</b:Month>
    <b:Day>10</b:Day>
    <b:InternetSiteTitle>Indeed</b:InternetSiteTitle>
    <b:URL>https://www.indeed.com/career-advice/finding-a-job/employability-skills</b:URL>
    <b:Author>
      <b:Author>
        <b:Corporate>Indeed Editorial Team</b:Corporate>
      </b:Author>
    </b:Author>
    <b:RefOrder>1</b:RefOrder>
  </b:Source>
  <b:Source>
    <b:Tag>Mic261</b:Tag>
    <b:SourceType>ElectronicSource</b:SourceType>
    <b:Guid>{9EFEC942-775F-41EB-8A70-07BD35A1D770}</b:Guid>
    <b:Author>
      <b:Author>
        <b:Corporate>Microsoft Copilot</b:Corporate>
      </b:Author>
    </b:Author>
    <b:Title>Essential Skills for a Career or Study Path in Computing </b:Title>
    <b:Publisher>Microsoft </b:Publisher>
    <b:Year>2026</b:Year>
    <b:RefOrder>2</b:RefOrder>
  </b:Source>
  <b:Source>
    <b:Tag>Sco251</b:Tag>
    <b:SourceType>InternetSite</b:SourceType>
    <b:Guid>{613611F4-CBE9-48AE-B8A0-3BDAAEB7546B}</b:Guid>
    <b:Title>The Importance of Critical Thinking in Information Technology </b:Title>
    <b:Year>2025</b:Year>
    <b:Author>
      <b:Author>
        <b:NameList>
          <b:Person>
            <b:Last>Lee</b:Last>
            <b:First>Scott</b:First>
          </b:Person>
        </b:NameList>
      </b:Author>
    </b:Author>
    <b:ProductionCompany>WGU</b:ProductionCompany>
    <b:Month>April</b:Month>
    <b:Day>18</b:Day>
    <b:YearAccessed>2026</b:YearAccessed>
    <b:MonthAccessed>January</b:MonthAccessed>
    <b:DayAccessed>26</b:DayAccessed>
    <b:URL>https://www.wgu.edu/blog/importance-critical-thinking-information-technology2504.html</b:URL>
    <b:RefOrder>3</b:RefOrder>
  </b:Source>
  <b:Source>
    <b:Tag>Mar201</b:Tag>
    <b:SourceType>JournalArticle</b:SourceType>
    <b:Guid>{E9A91ADC-C1D2-4C77-9D28-5542C77923FE}</b:Guid>
    <b:Title>Integrating academic skills and employability - revisting the learning journal</b:Title>
    <b:Year>2020</b:Year>
    <b:Author>
      <b:Author>
        <b:NameList>
          <b:Person>
            <b:Last>Menz</b:Last>
            <b:First>Mario</b:First>
          </b:Person>
        </b:NameList>
      </b:Author>
    </b:Author>
    <b:JournalName>Perspectives in Applied Academic Practice</b:JournalName>
    <b:Pages>115-120</b:Pages>
    <b:Volume>8</b:Volume>
    <b:Issue>1</b:Issue>
    <b:RefOrder>4</b:RefOrder>
  </b:Source>
  <b:Source>
    <b:Tag>Ste21</b:Tag>
    <b:SourceType>BookSection</b:SourceType>
    <b:Guid>{805A4070-9B25-4527-A963-8B1D9887BAAD}</b:Guid>
    <b:Title>Part 2: People and Task Management Skills</b:Title>
    <b:Year>2021</b:Year>
    <b:Pages>21</b:Pages>
    <b:Publisher>Macmillan Study Skills Series</b:Publisher>
    <b:BookTitle>Skills for Success : Personal Development and Employability</b:BookTitle>
    <b:Author>
      <b:Author>
        <b:NameList>
          <b:Person>
            <b:Last>Cottrell</b:Last>
            <b:First>Stella</b:First>
          </b:Person>
        </b:NameList>
      </b:Author>
    </b:Author>
    <b:RefOrder>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8" ma:contentTypeDescription="Create a new document." ma:contentTypeScope="" ma:versionID="04c650ba744027a21f0a5cab71214e41">
  <xsd:schema xmlns:xsd="http://www.w3.org/2001/XMLSchema" xmlns:xs="http://www.w3.org/2001/XMLSchema" xmlns:p="http://schemas.microsoft.com/office/2006/metadata/properties" xmlns:ns3="21f98238-5914-40fc-b2db-49ce196065c9" targetNamespace="http://schemas.microsoft.com/office/2006/metadata/properties" ma:root="true" ma:fieldsID="70f7f93eb9ec508a7d230449865392cd"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89268D-44AB-4C90-8422-AFA03132869E}">
  <ds:schemaRefs>
    <ds:schemaRef ds:uri="http://schemas.openxmlformats.org/officeDocument/2006/bibliography"/>
  </ds:schemaRefs>
</ds:datastoreItem>
</file>

<file path=customXml/itemProps2.xml><?xml version="1.0" encoding="utf-8"?>
<ds:datastoreItem xmlns:ds="http://schemas.openxmlformats.org/officeDocument/2006/customXml" ds:itemID="{A6476256-631E-4E31-BB9E-5F9777EBB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EA0FA9-689F-4086-8DFB-11854C3DC003}">
  <ds:schemaRefs>
    <ds:schemaRef ds:uri="http://schemas.microsoft.com/sharepoint/v3/contenttype/forms"/>
  </ds:schemaRefs>
</ds:datastoreItem>
</file>

<file path=customXml/itemProps4.xml><?xml version="1.0" encoding="utf-8"?>
<ds:datastoreItem xmlns:ds="http://schemas.openxmlformats.org/officeDocument/2006/customXml" ds:itemID="{6E737A03-1491-4209-9FBD-E32AC1F04A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2</Pages>
  <Words>443</Words>
  <Characters>2589</Characters>
  <Application>Microsoft Office Word</Application>
  <DocSecurity>0</DocSecurity>
  <Lines>51</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Evans (2526458)</dc:creator>
  <cp:keywords/>
  <dc:description/>
  <cp:lastModifiedBy>Christian Evans (2526458)</cp:lastModifiedBy>
  <cp:revision>9</cp:revision>
  <dcterms:created xsi:type="dcterms:W3CDTF">2026-01-30T19:37:00Z</dcterms:created>
  <dcterms:modified xsi:type="dcterms:W3CDTF">2026-01-30T21:27:00Z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