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center"/>
        <w:rPr>
          <w:rFonts w:ascii="Times New Roman" w:hAnsi="Times New Roman" w:cs="Times New Roman" w:eastAsia="Times New Roman"/>
          <w:b/>
          <w:color w:val="auto"/>
          <w:spacing w:val="-10"/>
          <w:position w:val="0"/>
          <w:sz w:val="36"/>
          <w:shd w:fill="auto" w:val="clear"/>
        </w:rPr>
      </w:pPr>
      <w:r>
        <w:rPr>
          <w:rFonts w:ascii="Times New Roman" w:hAnsi="Times New Roman" w:cs="Times New Roman" w:eastAsia="Times New Roman"/>
          <w:b/>
          <w:color w:val="auto"/>
          <w:spacing w:val="-10"/>
          <w:position w:val="0"/>
          <w:sz w:val="36"/>
          <w:shd w:fill="auto" w:val="clear"/>
        </w:rPr>
        <w:t xml:space="preserve">Common Law</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STUDENT : 2209098 Elena Galban</w:t>
        <w:t xml:space="preserve"> </w:t>
      </w:r>
    </w:p>
    <w:p>
      <w:pPr>
        <w:spacing w:before="0" w:after="160" w:line="259"/>
        <w:ind w:right="0" w:left="0" w:firstLine="0"/>
        <w:jc w:val="left"/>
        <w:rPr>
          <w:rFonts w:ascii="Times New Roman" w:hAnsi="Times New Roman" w:cs="Times New Roman" w:eastAsia="Times New Roman"/>
          <w:b/>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Introduction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this topic, there is a complete evaluation of the English legal system wherein all such jurisdictions of law have been determined. Later even all such sources of law have been explained in a proper manner. Therefore, common law has been justified by discussing its history and also statute as well. Further even common law and equity has been observed. After this civil law has been explained with various such types of civil laws as well. Also, a proper contrast has been made between common and civil law as well. Then comes the examples in which common law is used in practice. In this manner, common law has been completely evaluated and is given proper insight.</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The English Legal System Is Based Upon Common Law Principles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The English Legal system</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 it can be observed that the United Kingdom is divided in jurisdictions which are almost three, which are "</w:t>
      </w:r>
      <w:r>
        <w:rPr>
          <w:rFonts w:ascii="Times New Roman" w:hAnsi="Times New Roman" w:cs="Times New Roman" w:eastAsia="Times New Roman"/>
          <w:b/>
          <w:i/>
          <w:color w:val="auto"/>
          <w:spacing w:val="0"/>
          <w:position w:val="0"/>
          <w:sz w:val="24"/>
          <w:shd w:fill="auto" w:val="clear"/>
        </w:rPr>
        <w:t xml:space="preserve">England and Wales</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b/>
          <w:i/>
          <w:color w:val="auto"/>
          <w:spacing w:val="0"/>
          <w:position w:val="0"/>
          <w:sz w:val="24"/>
          <w:shd w:fill="auto" w:val="clear"/>
        </w:rPr>
        <w:t xml:space="preserve">Scotland</w:t>
      </w:r>
      <w:r>
        <w:rPr>
          <w:rFonts w:ascii="Times New Roman" w:hAnsi="Times New Roman" w:cs="Times New Roman" w:eastAsia="Times New Roman"/>
          <w:color w:val="auto"/>
          <w:spacing w:val="0"/>
          <w:position w:val="0"/>
          <w:sz w:val="24"/>
          <w:shd w:fill="auto" w:val="clear"/>
        </w:rPr>
        <w:t xml:space="preserve">” and also “</w:t>
      </w:r>
      <w:r>
        <w:rPr>
          <w:rFonts w:ascii="Times New Roman" w:hAnsi="Times New Roman" w:cs="Times New Roman" w:eastAsia="Times New Roman"/>
          <w:b/>
          <w:i/>
          <w:color w:val="auto"/>
          <w:spacing w:val="0"/>
          <w:position w:val="0"/>
          <w:sz w:val="24"/>
          <w:shd w:fill="auto" w:val="clear"/>
        </w:rPr>
        <w:t xml:space="preserve">Northern Ireland</w:t>
      </w:r>
      <w:r>
        <w:rPr>
          <w:rFonts w:ascii="Times New Roman" w:hAnsi="Times New Roman" w:cs="Times New Roman" w:eastAsia="Times New Roman"/>
          <w:color w:val="auto"/>
          <w:spacing w:val="0"/>
          <w:position w:val="0"/>
          <w:sz w:val="24"/>
          <w:shd w:fill="auto" w:val="clear"/>
        </w:rPr>
        <w:t xml:space="preserve">”. Therefore,all jurisdiction has its own law as well. Then even with the “</w:t>
      </w:r>
      <w:r>
        <w:rPr>
          <w:rFonts w:ascii="Times New Roman" w:hAnsi="Times New Roman" w:cs="Times New Roman" w:eastAsia="Times New Roman"/>
          <w:b/>
          <w:i/>
          <w:color w:val="auto"/>
          <w:spacing w:val="0"/>
          <w:position w:val="0"/>
          <w:sz w:val="24"/>
          <w:shd w:fill="auto" w:val="clear"/>
        </w:rPr>
        <w:t xml:space="preserve">court system</w:t>
      </w:r>
      <w:r>
        <w:rPr>
          <w:rFonts w:ascii="Times New Roman" w:hAnsi="Times New Roman" w:cs="Times New Roman" w:eastAsia="Times New Roman"/>
          <w:color w:val="auto"/>
          <w:spacing w:val="0"/>
          <w:position w:val="0"/>
          <w:sz w:val="24"/>
          <w:shd w:fill="auto" w:val="clear"/>
        </w:rPr>
        <w:t xml:space="preserve">” and also the “</w:t>
      </w:r>
      <w:r>
        <w:rPr>
          <w:rFonts w:ascii="Times New Roman" w:hAnsi="Times New Roman" w:cs="Times New Roman" w:eastAsia="Times New Roman"/>
          <w:b/>
          <w:i/>
          <w:color w:val="auto"/>
          <w:spacing w:val="0"/>
          <w:position w:val="0"/>
          <w:sz w:val="24"/>
          <w:shd w:fill="auto" w:val="clear"/>
        </w:rPr>
        <w:t xml:space="preserve">lawyers</w:t>
      </w:r>
      <w:r>
        <w:rPr>
          <w:rFonts w:ascii="Times New Roman" w:hAnsi="Times New Roman" w:cs="Times New Roman" w:eastAsia="Times New Roman"/>
          <w:color w:val="auto"/>
          <w:spacing w:val="0"/>
          <w:position w:val="0"/>
          <w:sz w:val="24"/>
          <w:shd w:fill="auto" w:val="clear"/>
        </w:rPr>
        <w:t xml:space="preserve">” and even with that the judges as well. So, laws that are applied in a jurisdiction. Maybe even derived by a  legislation which may have been applied equally. But also, with many such similarities even in other such jurisdictions (Partington, 2021, p.320).</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Also, all such courts in every such jurisdiction do have the liberty to decide all the cases which differently. Especially from jurisdictions which are differently there. Therefore, the appeal which is final that which comes from all of these goes towards United Kingdom Supreme Court. So, the process of which can be called as devolution has brought ahead the result. In all such variations which are there between all such laws that are available in Wales and also for England as well. Which are even there between such regions differently in England. All the various acts of the parliament can have their effect differently as well. Also, even at different times as well. With this even in all such different parts of England and Wales (Bobrova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2020, p.9).</w:t>
      </w:r>
    </w:p>
    <w:p>
      <w:pPr>
        <w:spacing w:before="0" w:after="16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Source of Law</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can be therefore defined that the various such rules which basically govern all such behaviour. Which is of the human beings in a society that is civil. So, all such laws which are scientific are discerned especially from all the observation. So, all such legal laws have been understood and even concluded by all people. They will be even changed by all such interventions of humans. In addition to this, it is even true if the justifications related to the law are religious. Also, it is philosophical and political as well.</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The sources are primary and secondary which can be described as</w:t>
      </w:r>
      <w:r>
        <w:rPr>
          <w:rFonts w:ascii="Times New Roman" w:hAnsi="Times New Roman" w:cs="Times New Roman" w:eastAsia="Times New Roman"/>
          <w:color w:val="auto"/>
          <w:spacing w:val="0"/>
          <w:position w:val="0"/>
          <w:sz w:val="24"/>
          <w:shd w:fill="auto" w:val="clear"/>
        </w:rPr>
        <w:t xml:space="preserv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Primary sources have “</w:t>
      </w:r>
      <w:r>
        <w:rPr>
          <w:rFonts w:ascii="Times New Roman" w:hAnsi="Times New Roman" w:cs="Times New Roman" w:eastAsia="Times New Roman"/>
          <w:b/>
          <w:i/>
          <w:color w:val="auto"/>
          <w:spacing w:val="0"/>
          <w:position w:val="0"/>
          <w:sz w:val="24"/>
          <w:shd w:fill="auto" w:val="clear"/>
        </w:rPr>
        <w:t xml:space="preserve">Legislations</w:t>
      </w:r>
      <w:r>
        <w:rPr>
          <w:rFonts w:ascii="Times New Roman" w:hAnsi="Times New Roman" w:cs="Times New Roman" w:eastAsia="Times New Roman"/>
          <w:color w:val="auto"/>
          <w:spacing w:val="0"/>
          <w:position w:val="0"/>
          <w:sz w:val="24"/>
          <w:shd w:fill="auto" w:val="clear"/>
        </w:rPr>
        <w:t xml:space="preserve">”, which can be acts of parliament and also statutes, with that statutory instruments and also the orders which are of the council and also “</w:t>
      </w:r>
      <w:r>
        <w:rPr>
          <w:rFonts w:ascii="Times New Roman" w:hAnsi="Times New Roman" w:cs="Times New Roman" w:eastAsia="Times New Roman"/>
          <w:b/>
          <w:i/>
          <w:color w:val="auto"/>
          <w:spacing w:val="0"/>
          <w:position w:val="0"/>
          <w:sz w:val="24"/>
          <w:shd w:fill="auto" w:val="clear"/>
        </w:rPr>
        <w:t xml:space="preserve">Case Laws</w:t>
      </w:r>
      <w:r>
        <w:rPr>
          <w:rFonts w:ascii="Times New Roman" w:hAnsi="Times New Roman" w:cs="Times New Roman" w:eastAsia="Times New Roman"/>
          <w:color w:val="auto"/>
          <w:spacing w:val="0"/>
          <w:position w:val="0"/>
          <w:sz w:val="24"/>
          <w:shd w:fill="auto" w:val="clear"/>
        </w:rPr>
        <w:t xml:space="preserve">”, that be the decisions of high court, and even court of record which are mainly binding on them. Also, there must be following and also even applied by all courts which are superior (parliament.uk, 2023)</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Secondary Sources have “</w:t>
      </w:r>
      <w:r>
        <w:rPr>
          <w:rFonts w:ascii="Times New Roman" w:hAnsi="Times New Roman" w:cs="Times New Roman" w:eastAsia="Times New Roman"/>
          <w:b/>
          <w:i/>
          <w:color w:val="auto"/>
          <w:spacing w:val="0"/>
          <w:position w:val="0"/>
          <w:sz w:val="24"/>
          <w:shd w:fill="auto" w:val="clear"/>
        </w:rPr>
        <w:t xml:space="preserve">Textbooks</w:t>
      </w:r>
      <w:r>
        <w:rPr>
          <w:rFonts w:ascii="Times New Roman" w:hAnsi="Times New Roman" w:cs="Times New Roman" w:eastAsia="Times New Roman"/>
          <w:color w:val="auto"/>
          <w:spacing w:val="0"/>
          <w:position w:val="0"/>
          <w:sz w:val="24"/>
          <w:shd w:fill="auto" w:val="clear"/>
        </w:rPr>
        <w:t xml:space="preserve">", and different commentaries which are of the writers which have legal background. Then comes the suggestions of the experts and also the decisions which are of courts (parliament.uk,2023).</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Common Law, Its’s History And Statute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Common law is mainly that which has been decided only by judges. Also, which has been understood from custom and even all precedent. It has therefore come ahead with all such legal reforms that are of "</w:t>
      </w:r>
      <w:r>
        <w:rPr>
          <w:rFonts w:ascii="Times New Roman" w:hAnsi="Times New Roman" w:cs="Times New Roman" w:eastAsia="Times New Roman"/>
          <w:b/>
          <w:i/>
          <w:color w:val="auto"/>
          <w:spacing w:val="0"/>
          <w:position w:val="0"/>
          <w:sz w:val="24"/>
          <w:shd w:fill="auto" w:val="clear"/>
        </w:rPr>
        <w:t xml:space="preserve">King Henry II</w:t>
      </w:r>
      <w:r>
        <w:rPr>
          <w:rFonts w:ascii="Times New Roman" w:hAnsi="Times New Roman" w:cs="Times New Roman" w:eastAsia="Times New Roman"/>
          <w:color w:val="auto"/>
          <w:spacing w:val="0"/>
          <w:position w:val="0"/>
          <w:sz w:val="24"/>
          <w:shd w:fill="auto" w:val="clear"/>
        </w:rPr>
        <w:t xml:space="preserve">”. In the “</w:t>
      </w:r>
      <w:r>
        <w:rPr>
          <w:rFonts w:ascii="Times New Roman" w:hAnsi="Times New Roman" w:cs="Times New Roman" w:eastAsia="Times New Roman"/>
          <w:b/>
          <w:i/>
          <w:color w:val="auto"/>
          <w:spacing w:val="0"/>
          <w:position w:val="0"/>
          <w:sz w:val="24"/>
          <w:shd w:fill="auto" w:val="clear"/>
        </w:rPr>
        <w:t xml:space="preserve">12</w:t>
      </w:r>
      <w:r>
        <w:rPr>
          <w:rFonts w:ascii="Times New Roman" w:hAnsi="Times New Roman" w:cs="Times New Roman" w:eastAsia="Times New Roman"/>
          <w:b/>
          <w:i/>
          <w:color w:val="auto"/>
          <w:spacing w:val="0"/>
          <w:position w:val="0"/>
          <w:sz w:val="24"/>
          <w:shd w:fill="auto" w:val="clear"/>
          <w:vertAlign w:val="superscript"/>
        </w:rPr>
        <w:t xml:space="preserve">th</w:t>
      </w:r>
      <w:r>
        <w:rPr>
          <w:rFonts w:ascii="Times New Roman" w:hAnsi="Times New Roman" w:cs="Times New Roman" w:eastAsia="Times New Roman"/>
          <w:b/>
          <w:i/>
          <w:color w:val="auto"/>
          <w:spacing w:val="0"/>
          <w:position w:val="0"/>
          <w:sz w:val="24"/>
          <w:shd w:fill="auto" w:val="clear"/>
        </w:rPr>
        <w:t xml:space="preserve"> century</w:t>
      </w:r>
      <w:r>
        <w:rPr>
          <w:rFonts w:ascii="Times New Roman" w:hAnsi="Times New Roman" w:cs="Times New Roman" w:eastAsia="Times New Roman"/>
          <w:color w:val="auto"/>
          <w:spacing w:val="0"/>
          <w:position w:val="0"/>
          <w:sz w:val="24"/>
          <w:shd w:fill="auto" w:val="clear"/>
        </w:rPr>
        <w:t xml:space="preserve">”, and was also defined as common. The reason is that it is applied equally in the country (Baker, 2019, p.206). The doctrine of the precedent which is binding, so the courts mainly follow this and even apply it. Which has been declared in all cases which have previously come ahead (Jones, 2020, p.19). That has been declared by many more senior courts. They are even called as "</w:t>
      </w:r>
      <w:r>
        <w:rPr>
          <w:rFonts w:ascii="Times New Roman" w:hAnsi="Times New Roman" w:cs="Times New Roman" w:eastAsia="Times New Roman"/>
          <w:b/>
          <w:i/>
          <w:color w:val="auto"/>
          <w:spacing w:val="0"/>
          <w:position w:val="0"/>
          <w:sz w:val="24"/>
          <w:shd w:fill="auto" w:val="clear"/>
        </w:rPr>
        <w:t xml:space="preserve">Court of Record</w:t>
      </w:r>
      <w:r>
        <w:rPr>
          <w:rFonts w:ascii="Times New Roman" w:hAnsi="Times New Roman" w:cs="Times New Roman" w:eastAsia="Times New Roman"/>
          <w:color w:val="auto"/>
          <w:spacing w:val="0"/>
          <w:position w:val="0"/>
          <w:sz w:val="24"/>
          <w:shd w:fill="auto" w:val="clear"/>
        </w:rPr>
        <w:t xml:space="preserve">”, which even has Latin expression "</w:t>
      </w:r>
      <w:r>
        <w:rPr>
          <w:rFonts w:ascii="Times New Roman" w:hAnsi="Times New Roman" w:cs="Times New Roman" w:eastAsia="Times New Roman"/>
          <w:b/>
          <w:i/>
          <w:color w:val="auto"/>
          <w:spacing w:val="0"/>
          <w:position w:val="0"/>
          <w:sz w:val="24"/>
          <w:shd w:fill="auto" w:val="clear"/>
        </w:rPr>
        <w:t xml:space="preserve">stare decisis</w:t>
      </w:r>
      <w:r>
        <w:rPr>
          <w:rFonts w:ascii="Times New Roman" w:hAnsi="Times New Roman" w:cs="Times New Roman" w:eastAsia="Times New Roman"/>
          <w:color w:val="auto"/>
          <w:spacing w:val="0"/>
          <w:position w:val="0"/>
          <w:sz w:val="24"/>
          <w:shd w:fill="auto" w:val="clear"/>
        </w:rPr>
        <w:t xml:space="preserve">”. Common law even includes rules that are substantive. Which is even the offense of murder. Also, the ones which are procedural. The procedural rules of the court which have been derived especially from the jurisdiction that is inherent to the court (Pfander and Wentzel, 2019, p.25).</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Common Law and Equity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 it can be observed that common law has been administered historically in the king’s court. So, equity was even a separate system. Wherein the remedies which are have been brough ahead by “</w:t>
      </w:r>
      <w:r>
        <w:rPr>
          <w:rFonts w:ascii="Times New Roman" w:hAnsi="Times New Roman" w:cs="Times New Roman" w:eastAsia="Times New Roman"/>
          <w:b/>
          <w:i/>
          <w:color w:val="auto"/>
          <w:spacing w:val="0"/>
          <w:position w:val="0"/>
          <w:sz w:val="24"/>
          <w:shd w:fill="auto" w:val="clear"/>
        </w:rPr>
        <w:t xml:space="preserve">Lord Chancellor</w:t>
      </w:r>
      <w:r>
        <w:rPr>
          <w:rFonts w:ascii="Times New Roman" w:hAnsi="Times New Roman" w:cs="Times New Roman" w:eastAsia="Times New Roman"/>
          <w:color w:val="auto"/>
          <w:spacing w:val="0"/>
          <w:position w:val="0"/>
          <w:sz w:val="24"/>
          <w:shd w:fill="auto" w:val="clear"/>
        </w:rPr>
        <w:t xml:space="preserve">”. Which can be the only way of ameliorating all such injustice. Especially due to the fact of all such rules that are inflexible of common law. All are equitable like trusts which can be generally dealt with in all such parts of business. That is of the “</w:t>
      </w:r>
      <w:r>
        <w:rPr>
          <w:rFonts w:ascii="Times New Roman" w:hAnsi="Times New Roman" w:cs="Times New Roman" w:eastAsia="Times New Roman"/>
          <w:b/>
          <w:i/>
          <w:color w:val="auto"/>
          <w:spacing w:val="0"/>
          <w:position w:val="0"/>
          <w:sz w:val="24"/>
          <w:shd w:fill="auto" w:val="clear"/>
        </w:rPr>
        <w:t xml:space="preserve">Chancery Division in The High Court</w:t>
      </w:r>
      <w:r>
        <w:rPr>
          <w:rFonts w:ascii="Times New Roman" w:hAnsi="Times New Roman" w:cs="Times New Roman" w:eastAsia="Times New Roman"/>
          <w:color w:val="auto"/>
          <w:spacing w:val="0"/>
          <w:position w:val="0"/>
          <w:sz w:val="24"/>
          <w:shd w:fill="auto" w:val="clear"/>
        </w:rPr>
        <w:t xml:space="preserve">”. But during the time since the “</w:t>
      </w:r>
      <w:r>
        <w:rPr>
          <w:rFonts w:ascii="Times New Roman" w:hAnsi="Times New Roman" w:cs="Times New Roman" w:eastAsia="Times New Roman"/>
          <w:b/>
          <w:i/>
          <w:color w:val="auto"/>
          <w:spacing w:val="0"/>
          <w:position w:val="0"/>
          <w:sz w:val="24"/>
          <w:shd w:fill="auto" w:val="clear"/>
        </w:rPr>
        <w:t xml:space="preserve">Judicature Acts of 1873- 75</w:t>
      </w:r>
      <w:r>
        <w:rPr>
          <w:rFonts w:ascii="Times New Roman" w:hAnsi="Times New Roman" w:cs="Times New Roman" w:eastAsia="Times New Roman"/>
          <w:color w:val="auto"/>
          <w:spacing w:val="0"/>
          <w:position w:val="0"/>
          <w:sz w:val="24"/>
          <w:shd w:fill="auto" w:val="clear"/>
        </w:rPr>
        <w:t xml:space="preserve">”. Systems which are law and even equity have been fused. Also, they are no longer being treated as jurisdictions that are separate. In addition to this, all the legal and also equitable remedies are provided in any such court (legislation.gov.uk,2023).</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i/>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i/>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Civil Law</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law can be explained in opposition in alternatives, wherein civil that are opposed towards criminal law. Civil also for the sense of all law which is secular. Then civil can be seen as a system, which can be understood as the law of codes. This has gone against the system. So, the main meaning depends on where a criminal case has been declared. Which is in the civil courts, if that said the court is secular instead of being religious. Also, it is the court system that is continental. The best example which can be taken for this is France. But any such civil court can be “</w:t>
      </w:r>
      <w:r>
        <w:rPr>
          <w:rFonts w:ascii="Times New Roman" w:hAnsi="Times New Roman" w:cs="Times New Roman" w:eastAsia="Times New Roman"/>
          <w:b/>
          <w:i/>
          <w:color w:val="auto"/>
          <w:spacing w:val="0"/>
          <w:position w:val="0"/>
          <w:sz w:val="24"/>
          <w:shd w:fill="auto" w:val="clear"/>
        </w:rPr>
        <w:t xml:space="preserve">Chancery Division of High Court</w:t>
      </w:r>
      <w:r>
        <w:rPr>
          <w:rFonts w:ascii="Times New Roman" w:hAnsi="Times New Roman" w:cs="Times New Roman" w:eastAsia="Times New Roman"/>
          <w:color w:val="auto"/>
          <w:spacing w:val="0"/>
          <w:position w:val="0"/>
          <w:sz w:val="24"/>
          <w:shd w:fill="auto" w:val="clear"/>
        </w:rPr>
        <w:t xml:space="preserve">”. Also a trial of murder won’t be kept and instead of that such type of case will be taken to criminal court. The best example is the "</w:t>
      </w:r>
      <w:r>
        <w:rPr>
          <w:rFonts w:ascii="Times New Roman" w:hAnsi="Times New Roman" w:cs="Times New Roman" w:eastAsia="Times New Roman"/>
          <w:b/>
          <w:i/>
          <w:color w:val="auto"/>
          <w:spacing w:val="0"/>
          <w:position w:val="0"/>
          <w:sz w:val="24"/>
          <w:shd w:fill="auto" w:val="clear"/>
        </w:rPr>
        <w:t xml:space="preserve">Crown Court</w:t>
      </w:r>
      <w:r>
        <w:rPr>
          <w:rFonts w:ascii="Times New Roman" w:hAnsi="Times New Roman" w:cs="Times New Roman" w:eastAsia="Times New Roman"/>
          <w:color w:val="auto"/>
          <w:spacing w:val="0"/>
          <w:position w:val="0"/>
          <w:sz w:val="24"/>
          <w:shd w:fill="auto" w:val="clear"/>
        </w:rPr>
        <w:t xml:space="preserv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Types Of civil Law</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b/>
          <w:i/>
          <w:color w:val="auto"/>
          <w:spacing w:val="0"/>
          <w:position w:val="0"/>
          <w:sz w:val="24"/>
          <w:shd w:fill="auto" w:val="clear"/>
        </w:rPr>
        <w:t xml:space="preserve">Contract</w:t>
      </w:r>
      <w:r>
        <w:rPr>
          <w:rFonts w:ascii="Times New Roman" w:hAnsi="Times New Roman" w:cs="Times New Roman" w:eastAsia="Times New Roman"/>
          <w:color w:val="auto"/>
          <w:spacing w:val="0"/>
          <w:position w:val="0"/>
          <w:sz w:val="24"/>
          <w:shd w:fill="auto" w:val="clear"/>
        </w:rPr>
        <w:t xml:space="preserve">”, Which are there between companies and even individuals. Therefore, the contract does not have the requirement to be written somewhere, Furthermore, all such terms and conditions were actually meant. In a situation where one party has broken or breached such an accepted contract. Also, if there is a breach then what kind of remedy which gives the liberty to ask for damages. Then also with this an injunction and even a specific performance. So, these have to be ordered.</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t>
      </w:r>
      <w:r>
        <w:rPr>
          <w:rFonts w:ascii="Times New Roman" w:hAnsi="Times New Roman" w:cs="Times New Roman" w:eastAsia="Times New Roman"/>
          <w:b/>
          <w:i/>
          <w:color w:val="auto"/>
          <w:spacing w:val="0"/>
          <w:position w:val="0"/>
          <w:sz w:val="24"/>
          <w:shd w:fill="auto" w:val="clear"/>
        </w:rPr>
        <w:t xml:space="preserve">Company Law</w:t>
      </w:r>
      <w:r>
        <w:rPr>
          <w:rFonts w:ascii="Times New Roman" w:hAnsi="Times New Roman" w:cs="Times New Roman" w:eastAsia="Times New Roman"/>
          <w:color w:val="auto"/>
          <w:spacing w:val="0"/>
          <w:position w:val="0"/>
          <w:sz w:val="24"/>
          <w:shd w:fill="auto" w:val="clear"/>
        </w:rPr>
        <w:t xml:space="preserve">”, is a kind of civil law that is concerned with all such formations and various regulations. They are also the people who manage and even direct their activities as well. In addition to this, they are known as "</w:t>
      </w:r>
      <w:r>
        <w:rPr>
          <w:rFonts w:ascii="Times New Roman" w:hAnsi="Times New Roman" w:cs="Times New Roman" w:eastAsia="Times New Roman"/>
          <w:b/>
          <w:i/>
          <w:color w:val="auto"/>
          <w:spacing w:val="0"/>
          <w:position w:val="0"/>
          <w:sz w:val="24"/>
          <w:shd w:fill="auto" w:val="clear"/>
        </w:rPr>
        <w:t xml:space="preserve">Directors</w:t>
      </w:r>
      <w:r>
        <w:rPr>
          <w:rFonts w:ascii="Times New Roman" w:hAnsi="Times New Roman" w:cs="Times New Roman" w:eastAsia="Times New Roman"/>
          <w:color w:val="auto"/>
          <w:spacing w:val="0"/>
          <w:position w:val="0"/>
          <w:sz w:val="24"/>
          <w:shd w:fill="auto" w:val="clear"/>
        </w:rPr>
        <w:t xml:space="preserve">”. In this manner, company law takes care of all such matters.</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Contrast Between Common Law and Civil Law</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Civil law is wider than when compared with common law. But common law has been used by many people in the world. Therefore, in history, all systems of civil law have been derived by roman empire. Also, it is adopted by ancient roman of legal principles. By rulers and also the legislatives which are in Europe. By 18</w:t>
      </w:r>
      <w:r>
        <w:rPr>
          <w:rFonts w:ascii="Times New Roman" w:hAnsi="Times New Roman" w:cs="Times New Roman" w:eastAsia="Times New Roman"/>
          <w:color w:val="auto"/>
          <w:spacing w:val="0"/>
          <w:position w:val="0"/>
          <w:sz w:val="24"/>
          <w:shd w:fill="auto" w:val="clear"/>
          <w:vertAlign w:val="superscript"/>
        </w:rPr>
        <w:t xml:space="preserve">th</w:t>
      </w:r>
      <w:r>
        <w:rPr>
          <w:rFonts w:ascii="Times New Roman" w:hAnsi="Times New Roman" w:cs="Times New Roman" w:eastAsia="Times New Roman"/>
          <w:color w:val="auto"/>
          <w:spacing w:val="0"/>
          <w:position w:val="0"/>
          <w:sz w:val="24"/>
          <w:shd w:fill="auto" w:val="clear"/>
        </w:rPr>
        <w:t xml:space="preserve"> century, all such codes which are legal were established. Therefore, by contrast, common law was something that was developed in the United Kingdom. Which was after the Norman Conquest. That was brought before them and was even drawing local customs as well. Then even with that various such legal principles have been applied. (Zhong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2020, p.6).</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both"/>
        <w:rPr>
          <w:rFonts w:ascii="Times New Roman" w:hAnsi="Times New Roman" w:cs="Times New Roman" w:eastAsia="Times New Roman"/>
          <w:b/>
          <w:i/>
          <w:color w:val="auto"/>
          <w:spacing w:val="0"/>
          <w:position w:val="0"/>
          <w:sz w:val="24"/>
          <w:shd w:fill="auto" w:val="clear"/>
        </w:rPr>
      </w:pPr>
      <w:r>
        <w:rPr>
          <w:rFonts w:ascii="Times New Roman" w:hAnsi="Times New Roman" w:cs="Times New Roman" w:eastAsia="Times New Roman"/>
          <w:b/>
          <w:i/>
          <w:color w:val="auto"/>
          <w:spacing w:val="0"/>
          <w:position w:val="0"/>
          <w:sz w:val="24"/>
          <w:shd w:fill="auto" w:val="clear"/>
        </w:rPr>
        <w:t xml:space="preserve">Examples Of The Common Law Working In Practice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Common Law mainly covers all such areas of law. Therefore, when it comes to the common law a barrister may mainly work in many such wide ranges. In areas of law for sure. For Example, a family law specialist may work on divorce and even on the finances that arise out of that. Issues that focus on the concern of children. Then comes ahead schooling and also operations and even with that holidays also play a role. After this Personal Injury and Clinical Negligence also play a role in practice. Chancery is something as well which is used as a practice.</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Conclusion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topic has been concluded with a complete evaluation of common law. Also, how the English legal system has its jurisdiction. With these even various such common law countries have been brought ahead and how they use it. With this, all such sources of law as well have been observed. Later on, common law and its history has been derived from the statute as well. After this common law and equity have been analysed in which all the legal and equitable remedies have been discussed. Further civil law has been defined in which the legal system is continental and in that wherein, there will be no trial for murder. Later on, types of civil law have been brought ahead in which contract and company law have been used as examples. Contrast has even been made between common law and civil law. Lastly, examples have been made in which common law has been used for practice. In this manner, common law has been evaluated.</w:t>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auto"/>
          <w:spacing w:val="0"/>
          <w:position w:val="0"/>
          <w:sz w:val="28"/>
          <w:shd w:fill="auto" w:val="clear"/>
        </w:rPr>
      </w:pPr>
      <w:r>
        <w:rPr>
          <w:rFonts w:ascii="Times New Roman" w:hAnsi="Times New Roman" w:cs="Times New Roman" w:eastAsia="Times New Roman"/>
          <w:b/>
          <w:color w:val="auto"/>
          <w:spacing w:val="0"/>
          <w:position w:val="0"/>
          <w:sz w:val="28"/>
          <w:shd w:fill="auto" w:val="clear"/>
        </w:rPr>
        <w:t xml:space="preserve">References</w:t>
      </w:r>
    </w:p>
    <w:p>
      <w:pPr>
        <w:spacing w:before="0" w:after="160" w:line="360"/>
        <w:ind w:right="0" w:left="720" w:hanging="720"/>
        <w:jc w:val="both"/>
        <w:rPr>
          <w:rFonts w:ascii="Times New Roman" w:hAnsi="Times New Roman" w:cs="Times New Roman" w:eastAsia="Times New Roman"/>
          <w:color w:val="auto"/>
          <w:spacing w:val="0"/>
          <w:position w:val="0"/>
          <w:sz w:val="24"/>
          <w:shd w:fill="auto" w:val="clear"/>
        </w:rPr>
      </w:pPr>
    </w:p>
    <w:p>
      <w:pPr>
        <w:spacing w:before="0" w:after="16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Baker, J.H., (2019). An introduction to English legal history. Oxford University Press.</w:t>
      </w:r>
    </w:p>
    <w:p>
      <w:pPr>
        <w:spacing w:before="0" w:after="16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Bobrova, N.E., Lebedev, A.V. and Pinkovetskaia, I.S., (2020). Peculiarities of the English Legal Text Discourse: The Issues of Interpretation and Translatability. Journal of History Culture and Art Research, 9(2), pp.318-328.</w:t>
      </w:r>
    </w:p>
    <w:p>
      <w:pPr>
        <w:spacing w:before="0" w:after="16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Jones, W.J., (2020). Politics and the Bench: the Judges and the Origins of the English Civil War. Routledge.</w:t>
      </w:r>
    </w:p>
    <w:p>
      <w:pPr>
        <w:spacing w:before="0" w:after="16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legislation.gov.uk, (2023). Common Law Procedure Act 1854 [Online]Available at: </w:t>
      </w:r>
      <w:hyperlink xmlns:r="http://schemas.openxmlformats.org/officeDocument/2006/relationships" r:id="docRId0">
        <w:r>
          <w:rPr>
            <w:rFonts w:ascii="Times New Roman" w:hAnsi="Times New Roman" w:cs="Times New Roman" w:eastAsia="Times New Roman"/>
            <w:color w:val="0000FF"/>
            <w:spacing w:val="0"/>
            <w:position w:val="0"/>
            <w:sz w:val="24"/>
            <w:u w:val="single"/>
            <w:shd w:fill="auto" w:val="clear"/>
          </w:rPr>
          <w:t xml:space="preserve">https://www.legislation.gov.uk/ukpga/Vict/17-18/125</w:t>
        </w:r>
      </w:hyperlink>
      <w:r>
        <w:rPr>
          <w:rFonts w:ascii="Times New Roman" w:hAnsi="Times New Roman" w:cs="Times New Roman" w:eastAsia="Times New Roman"/>
          <w:color w:val="auto"/>
          <w:spacing w:val="0"/>
          <w:position w:val="0"/>
          <w:sz w:val="24"/>
          <w:shd w:fill="auto" w:val="clear"/>
        </w:rPr>
        <w:t xml:space="preserve"> [Accessed on 9 March 2023]</w:t>
      </w:r>
    </w:p>
    <w:p>
      <w:pPr>
        <w:spacing w:before="0" w:after="16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parliament.uk, (2023). Parliament's authority [Online] Available at: </w:t>
      </w:r>
      <w:hyperlink xmlns:r="http://schemas.openxmlformats.org/officeDocument/2006/relationships" r:id="docRId1">
        <w:r>
          <w:rPr>
            <w:rFonts w:ascii="Times New Roman" w:hAnsi="Times New Roman" w:cs="Times New Roman" w:eastAsia="Times New Roman"/>
            <w:color w:val="0000FF"/>
            <w:spacing w:val="0"/>
            <w:position w:val="0"/>
            <w:sz w:val="24"/>
            <w:u w:val="single"/>
            <w:shd w:fill="auto" w:val="clear"/>
          </w:rPr>
          <w:t xml:space="preserve">https://www.parliament.uk/about/how/role/sovereignty/</w:t>
        </w:r>
      </w:hyperlink>
      <w:r>
        <w:rPr>
          <w:rFonts w:ascii="Times New Roman" w:hAnsi="Times New Roman" w:cs="Times New Roman" w:eastAsia="Times New Roman"/>
          <w:color w:val="auto"/>
          <w:spacing w:val="0"/>
          <w:position w:val="0"/>
          <w:sz w:val="24"/>
          <w:shd w:fill="auto" w:val="clear"/>
        </w:rPr>
        <w:t xml:space="preserve"> [Accessed on 9 March 2023]</w:t>
      </w:r>
    </w:p>
    <w:p>
      <w:pPr>
        <w:spacing w:before="0" w:after="16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parliament.uk, (2023). What is an Act of Parliament? [Online]Available at: </w:t>
      </w:r>
      <w:hyperlink xmlns:r="http://schemas.openxmlformats.org/officeDocument/2006/relationships" r:id="docRId2">
        <w:r>
          <w:rPr>
            <w:rFonts w:ascii="Times New Roman" w:hAnsi="Times New Roman" w:cs="Times New Roman" w:eastAsia="Times New Roman"/>
            <w:color w:val="0000FF"/>
            <w:spacing w:val="0"/>
            <w:position w:val="0"/>
            <w:sz w:val="24"/>
            <w:u w:val="single"/>
            <w:shd w:fill="auto" w:val="clear"/>
          </w:rPr>
          <w:t xml:space="preserve">https://www.parliament.uk/about/how/laws/acts/</w:t>
        </w:r>
      </w:hyperlink>
      <w:r>
        <w:rPr>
          <w:rFonts w:ascii="Times New Roman" w:hAnsi="Times New Roman" w:cs="Times New Roman" w:eastAsia="Times New Roman"/>
          <w:color w:val="auto"/>
          <w:spacing w:val="0"/>
          <w:position w:val="0"/>
          <w:sz w:val="24"/>
          <w:shd w:fill="auto" w:val="clear"/>
        </w:rPr>
        <w:t xml:space="preserve"> [Accessed 9 March 2023]</w:t>
      </w:r>
    </w:p>
    <w:p>
      <w:pPr>
        <w:spacing w:before="0" w:after="16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Partington, M., (2021). Introduction to the English legal system. Oxford University Press.</w:t>
      </w:r>
    </w:p>
    <w:p>
      <w:pPr>
        <w:spacing w:before="0" w:after="16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Pfander, J.E. and Wentzel, J., (2019). The Common Law Origins of Ex parte Young. Stanford Law Review, Forthcoming, Northwestern Public Law Research Paper, (19-20).</w:t>
      </w:r>
    </w:p>
    <w:p>
      <w:pPr>
        <w:spacing w:before="0" w:after="16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Zhong, H., Xiao, C., Tu, C., Zhang, T., Liu, Z. and Sun, M., (2020). How does NLP benefit legal system: A summary of legal artificial intelligence. arXiv preprint arXiv:2004.12158.</w:t>
      </w: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parliament.uk/about/how/role/sovereignty/" Id="docRId1" Type="http://schemas.openxmlformats.org/officeDocument/2006/relationships/hyperlink" /><Relationship Target="numbering.xml" Id="docRId3" Type="http://schemas.openxmlformats.org/officeDocument/2006/relationships/numbering" /><Relationship TargetMode="External" Target="https://www.legislation.gov.uk/ukpga/Vict/17-18/125" Id="docRId0" Type="http://schemas.openxmlformats.org/officeDocument/2006/relationships/hyperlink" /><Relationship TargetMode="External" Target="https://www.parliament.uk/about/how/laws/acts/" Id="docRId2" Type="http://schemas.openxmlformats.org/officeDocument/2006/relationships/hyperlink" /><Relationship Target="styles.xml" Id="docRId4" Type="http://schemas.openxmlformats.org/officeDocument/2006/relationships/styles" /></Relationships>
</file>