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3918F" w14:textId="77777777" w:rsidR="00B36D03" w:rsidRDefault="00B36D03" w:rsidP="00E63BF1">
      <w:pPr>
        <w:pStyle w:val="Normal1"/>
        <w:jc w:val="center"/>
        <w:rPr>
          <w:rFonts w:ascii="Arial" w:hAnsi="Arial" w:cs="Arial"/>
          <w:b/>
          <w:bCs/>
        </w:rPr>
      </w:pPr>
    </w:p>
    <w:p w14:paraId="1FDFE156" w14:textId="77777777" w:rsidR="00B36D03" w:rsidRDefault="00B36D03" w:rsidP="00E63BF1">
      <w:pPr>
        <w:pStyle w:val="Normal1"/>
        <w:jc w:val="center"/>
        <w:rPr>
          <w:rFonts w:ascii="Arial" w:hAnsi="Arial" w:cs="Arial"/>
          <w:b/>
          <w:bCs/>
        </w:rPr>
      </w:pPr>
    </w:p>
    <w:p w14:paraId="7325D744" w14:textId="77777777" w:rsidR="00B36D03" w:rsidRDefault="00B36D03" w:rsidP="00E63BF1">
      <w:pPr>
        <w:pStyle w:val="Normal1"/>
        <w:jc w:val="center"/>
        <w:rPr>
          <w:rFonts w:ascii="Arial" w:hAnsi="Arial" w:cs="Arial"/>
          <w:b/>
          <w:bCs/>
        </w:rPr>
      </w:pPr>
    </w:p>
    <w:p w14:paraId="22D6EFEE" w14:textId="77777777" w:rsidR="00B36D03" w:rsidRDefault="00B36D03" w:rsidP="00E63BF1">
      <w:pPr>
        <w:pStyle w:val="Normal1"/>
        <w:jc w:val="center"/>
        <w:rPr>
          <w:rFonts w:ascii="Arial" w:hAnsi="Arial" w:cs="Arial"/>
          <w:b/>
          <w:bCs/>
        </w:rPr>
      </w:pPr>
    </w:p>
    <w:p w14:paraId="06B936DA" w14:textId="77777777" w:rsidR="00B36D03" w:rsidRDefault="00B36D03" w:rsidP="00E63BF1">
      <w:pPr>
        <w:pStyle w:val="Normal1"/>
        <w:jc w:val="center"/>
        <w:rPr>
          <w:rFonts w:ascii="Arial" w:hAnsi="Arial" w:cs="Arial"/>
          <w:b/>
          <w:bCs/>
        </w:rPr>
      </w:pPr>
    </w:p>
    <w:p w14:paraId="035B159F" w14:textId="77777777" w:rsidR="00B36D03" w:rsidRDefault="00B36D03" w:rsidP="00E63BF1">
      <w:pPr>
        <w:pStyle w:val="Normal1"/>
        <w:jc w:val="center"/>
        <w:rPr>
          <w:rFonts w:ascii="Arial" w:hAnsi="Arial" w:cs="Arial"/>
          <w:b/>
          <w:bCs/>
        </w:rPr>
      </w:pPr>
    </w:p>
    <w:p w14:paraId="6C7B3F95" w14:textId="77777777" w:rsidR="00B36D03" w:rsidRDefault="00B36D03" w:rsidP="00E63BF1">
      <w:pPr>
        <w:pStyle w:val="Normal1"/>
        <w:jc w:val="center"/>
        <w:rPr>
          <w:rFonts w:ascii="Arial" w:hAnsi="Arial" w:cs="Arial"/>
          <w:b/>
          <w:bCs/>
        </w:rPr>
      </w:pPr>
    </w:p>
    <w:p w14:paraId="60D3E7DE" w14:textId="77777777" w:rsidR="00B36D03" w:rsidRDefault="00B36D03" w:rsidP="00E63BF1">
      <w:pPr>
        <w:pStyle w:val="Normal1"/>
        <w:jc w:val="center"/>
        <w:rPr>
          <w:rFonts w:ascii="Arial" w:hAnsi="Arial" w:cs="Arial"/>
          <w:b/>
          <w:bCs/>
        </w:rPr>
      </w:pPr>
    </w:p>
    <w:p w14:paraId="27A6CAE6" w14:textId="77777777" w:rsidR="00B36D03" w:rsidRDefault="00B36D03" w:rsidP="00E63BF1">
      <w:pPr>
        <w:pStyle w:val="Normal1"/>
        <w:jc w:val="center"/>
        <w:rPr>
          <w:rFonts w:ascii="Arial" w:hAnsi="Arial" w:cs="Arial"/>
          <w:b/>
          <w:bCs/>
        </w:rPr>
      </w:pPr>
    </w:p>
    <w:p w14:paraId="7930007A" w14:textId="77777777" w:rsidR="00B36D03" w:rsidRDefault="00B36D03" w:rsidP="00E63BF1">
      <w:pPr>
        <w:pStyle w:val="Normal1"/>
        <w:jc w:val="center"/>
        <w:rPr>
          <w:rFonts w:ascii="Arial" w:hAnsi="Arial" w:cs="Arial"/>
          <w:b/>
          <w:bCs/>
        </w:rPr>
      </w:pPr>
    </w:p>
    <w:p w14:paraId="2FD2BA88" w14:textId="77777777" w:rsidR="00B36D03" w:rsidRDefault="00B36D03" w:rsidP="00E63BF1">
      <w:pPr>
        <w:pStyle w:val="Normal1"/>
        <w:jc w:val="center"/>
        <w:rPr>
          <w:rFonts w:ascii="Arial" w:hAnsi="Arial" w:cs="Arial"/>
          <w:b/>
          <w:bCs/>
        </w:rPr>
      </w:pPr>
    </w:p>
    <w:p w14:paraId="51FDF922" w14:textId="607C48EB" w:rsidR="00E63BF1" w:rsidRDefault="00622727" w:rsidP="00E63BF1">
      <w:pPr>
        <w:pStyle w:val="Normal1"/>
        <w:jc w:val="center"/>
        <w:rPr>
          <w:rFonts w:ascii="Arial" w:hAnsi="Arial" w:cs="Arial"/>
          <w:b/>
          <w:bCs/>
        </w:rPr>
      </w:pPr>
      <w:r w:rsidRPr="00E63BF1">
        <w:rPr>
          <w:rFonts w:ascii="Arial" w:hAnsi="Arial" w:cs="Arial"/>
          <w:b/>
          <w:bCs/>
        </w:rPr>
        <w:t>Criminal law</w:t>
      </w:r>
      <w:r w:rsidR="00B36D03">
        <w:rPr>
          <w:rFonts w:ascii="Arial" w:hAnsi="Arial" w:cs="Arial"/>
          <w:b/>
          <w:bCs/>
        </w:rPr>
        <w:t xml:space="preserve"> – Assignment </w:t>
      </w:r>
      <w:r w:rsidR="007D529E">
        <w:rPr>
          <w:rFonts w:ascii="Arial" w:hAnsi="Arial" w:cs="Arial"/>
          <w:b/>
          <w:bCs/>
        </w:rPr>
        <w:t>2</w:t>
      </w:r>
    </w:p>
    <w:p w14:paraId="45E77043" w14:textId="77777777" w:rsidR="00E63BF1" w:rsidRDefault="00E63BF1" w:rsidP="00B36D03">
      <w:pPr>
        <w:pStyle w:val="Normal1"/>
        <w:jc w:val="right"/>
        <w:rPr>
          <w:rFonts w:ascii="Arial" w:hAnsi="Arial" w:cs="Arial"/>
          <w:b/>
          <w:bCs/>
        </w:rPr>
      </w:pPr>
    </w:p>
    <w:p w14:paraId="487774B7" w14:textId="424AB3FF" w:rsidR="00E63BF1" w:rsidRDefault="00E73506" w:rsidP="00B36D03">
      <w:pPr>
        <w:pStyle w:val="Normal1"/>
        <w:jc w:val="center"/>
        <w:rPr>
          <w:rFonts w:ascii="Arial" w:hAnsi="Arial" w:cs="Arial"/>
          <w:b/>
          <w:bCs/>
        </w:rPr>
      </w:pPr>
      <w:r>
        <w:rPr>
          <w:rFonts w:ascii="Arial" w:hAnsi="Arial" w:cs="Arial"/>
          <w:b/>
          <w:bCs/>
        </w:rPr>
        <w:t>BMLW4005</w:t>
      </w:r>
    </w:p>
    <w:p w14:paraId="120851DA" w14:textId="77777777" w:rsidR="00E73506" w:rsidRDefault="00E73506" w:rsidP="00B36D03">
      <w:pPr>
        <w:pStyle w:val="Normal1"/>
        <w:jc w:val="right"/>
        <w:rPr>
          <w:rFonts w:ascii="Arial" w:hAnsi="Arial" w:cs="Arial"/>
          <w:b/>
          <w:bCs/>
        </w:rPr>
      </w:pPr>
    </w:p>
    <w:p w14:paraId="75BBAB2F" w14:textId="19D72006" w:rsidR="00E73506" w:rsidRDefault="00B36D03" w:rsidP="00B36D03">
      <w:pPr>
        <w:pStyle w:val="Normal1"/>
        <w:jc w:val="right"/>
        <w:rPr>
          <w:rFonts w:ascii="Arial" w:hAnsi="Arial" w:cs="Arial"/>
          <w:b/>
          <w:bCs/>
        </w:rPr>
      </w:pPr>
      <w:r>
        <w:rPr>
          <w:rFonts w:ascii="Arial" w:hAnsi="Arial" w:cs="Arial"/>
          <w:b/>
          <w:bCs/>
        </w:rPr>
        <w:t>Olga Bocancea</w:t>
      </w:r>
    </w:p>
    <w:p w14:paraId="70DEAD7E" w14:textId="37ABA098" w:rsidR="00B36D03" w:rsidRDefault="00B36D03" w:rsidP="00B36D03">
      <w:pPr>
        <w:pStyle w:val="Normal1"/>
        <w:jc w:val="right"/>
        <w:rPr>
          <w:rFonts w:ascii="Arial" w:hAnsi="Arial" w:cs="Arial"/>
          <w:b/>
          <w:bCs/>
        </w:rPr>
      </w:pPr>
      <w:r>
        <w:rPr>
          <w:rFonts w:ascii="Arial" w:hAnsi="Arial" w:cs="Arial"/>
          <w:b/>
          <w:bCs/>
        </w:rPr>
        <w:t>2232377</w:t>
      </w:r>
    </w:p>
    <w:p w14:paraId="17FF4145" w14:textId="77777777" w:rsidR="00E63BF1" w:rsidRDefault="00E63BF1" w:rsidP="00E63BF1">
      <w:pPr>
        <w:pStyle w:val="Normal1"/>
        <w:jc w:val="center"/>
        <w:rPr>
          <w:rFonts w:ascii="Arial" w:hAnsi="Arial" w:cs="Arial"/>
          <w:b/>
          <w:bCs/>
        </w:rPr>
      </w:pPr>
    </w:p>
    <w:p w14:paraId="2AAAAB68" w14:textId="77777777" w:rsidR="00E63BF1" w:rsidRDefault="00E63BF1" w:rsidP="00E63BF1">
      <w:pPr>
        <w:pStyle w:val="Normal1"/>
        <w:jc w:val="center"/>
        <w:rPr>
          <w:rFonts w:ascii="Arial" w:hAnsi="Arial" w:cs="Arial"/>
          <w:b/>
          <w:bCs/>
        </w:rPr>
      </w:pPr>
    </w:p>
    <w:p w14:paraId="40049486" w14:textId="77777777" w:rsidR="00E63BF1" w:rsidRDefault="00E63BF1" w:rsidP="00E63BF1">
      <w:pPr>
        <w:pStyle w:val="Normal1"/>
        <w:jc w:val="center"/>
        <w:rPr>
          <w:rFonts w:ascii="Arial" w:hAnsi="Arial" w:cs="Arial"/>
          <w:b/>
          <w:bCs/>
        </w:rPr>
      </w:pPr>
    </w:p>
    <w:p w14:paraId="694A755E" w14:textId="77777777" w:rsidR="00E63BF1" w:rsidRDefault="00E63BF1" w:rsidP="00E63BF1">
      <w:pPr>
        <w:pStyle w:val="Normal1"/>
        <w:jc w:val="center"/>
        <w:rPr>
          <w:rFonts w:ascii="Arial" w:hAnsi="Arial" w:cs="Arial"/>
          <w:b/>
          <w:bCs/>
        </w:rPr>
      </w:pPr>
    </w:p>
    <w:p w14:paraId="64D60E5A" w14:textId="77777777" w:rsidR="00E63BF1" w:rsidRDefault="00E63BF1" w:rsidP="00E63BF1">
      <w:pPr>
        <w:pStyle w:val="Normal1"/>
        <w:jc w:val="center"/>
        <w:rPr>
          <w:rFonts w:ascii="Arial" w:hAnsi="Arial" w:cs="Arial"/>
          <w:b/>
          <w:bCs/>
        </w:rPr>
      </w:pPr>
    </w:p>
    <w:p w14:paraId="00000002" w14:textId="688581EB" w:rsidR="00A75798" w:rsidRPr="00E63BF1" w:rsidRDefault="00622727" w:rsidP="00E63BF1">
      <w:pPr>
        <w:pStyle w:val="Normal1"/>
        <w:jc w:val="center"/>
        <w:rPr>
          <w:rFonts w:ascii="Arial" w:hAnsi="Arial" w:cs="Arial"/>
          <w:b/>
          <w:bCs/>
        </w:rPr>
      </w:pPr>
      <w:r w:rsidRPr="00E63BF1">
        <w:rPr>
          <w:rFonts w:ascii="Arial" w:hAnsi="Arial" w:cs="Arial"/>
          <w:b/>
          <w:bCs/>
        </w:rPr>
        <w:br w:type="page"/>
      </w:r>
    </w:p>
    <w:p w14:paraId="00000004" w14:textId="61ACC068" w:rsidR="00A75798" w:rsidRPr="00E63BF1" w:rsidRDefault="00622727">
      <w:pPr>
        <w:pStyle w:val="Normal1"/>
        <w:rPr>
          <w:rFonts w:ascii="Arial" w:hAnsi="Arial" w:cs="Arial"/>
        </w:rPr>
      </w:pPr>
      <w:r w:rsidRPr="00E63BF1">
        <w:rPr>
          <w:rFonts w:ascii="Arial" w:hAnsi="Arial" w:cs="Arial"/>
        </w:rPr>
        <w:lastRenderedPageBreak/>
        <w:t xml:space="preserve">The purpose of the study is to deliver legal advice to Paula and Harriet about the misconduct which has been done by them. The legal backgrounds of their actions have been described in the study and the related legislations and legal provisions which can emphasise their responsibilities and can elaborate on the consequences of their actions have been mentioned and explained in the study too. The situation has been justified for them and references to the concerned law of that phenomenon of the UK have been evaluated as well. </w:t>
      </w:r>
    </w:p>
    <w:p w14:paraId="00000005" w14:textId="77777777" w:rsidR="00A75798" w:rsidRPr="00E63BF1" w:rsidRDefault="00622727">
      <w:pPr>
        <w:pStyle w:val="Normal1"/>
        <w:rPr>
          <w:rFonts w:ascii="Arial" w:hAnsi="Arial" w:cs="Arial"/>
        </w:rPr>
      </w:pPr>
      <w:r w:rsidRPr="00E63BF1">
        <w:rPr>
          <w:rFonts w:ascii="Arial" w:hAnsi="Arial" w:cs="Arial"/>
        </w:rPr>
        <w:t>The offence of theft has been elaborated in the legislation of the Theft Act 1968 and it has been defined as a dishonest appropriation of any property which belongs to someone else with the intention of conducting permanent harm. The concept of theft has been mentioned in section 1 of the legislation. There are five important features which have been covered by this definition and before labelling any action as theft it is highly important to consider that all those essentials are present in that action. There is another clause that the material which is being taken must be for the gain of the theft himself or related. If one is proven to be guilty of theft, then he must be imprisoned for a term of seven years maximum (</w:t>
      </w:r>
      <w:r w:rsidRPr="00E63BF1">
        <w:rPr>
          <w:rFonts w:ascii="Arial" w:hAnsi="Arial" w:cs="Arial"/>
          <w:color w:val="222222"/>
          <w:highlight w:val="white"/>
        </w:rPr>
        <w:t>Melissaris, 2007</w:t>
      </w:r>
      <w:r w:rsidRPr="00E63BF1">
        <w:rPr>
          <w:rFonts w:ascii="Arial" w:hAnsi="Arial" w:cs="Arial"/>
        </w:rPr>
        <w:t xml:space="preserve">). </w:t>
      </w:r>
    </w:p>
    <w:p w14:paraId="00000006" w14:textId="77777777" w:rsidR="00A75798" w:rsidRPr="00E63BF1" w:rsidRDefault="00622727">
      <w:pPr>
        <w:pStyle w:val="Normal1"/>
        <w:rPr>
          <w:rFonts w:ascii="Arial" w:hAnsi="Arial" w:cs="Arial"/>
        </w:rPr>
      </w:pPr>
      <w:r w:rsidRPr="00E63BF1">
        <w:rPr>
          <w:rFonts w:ascii="Arial" w:hAnsi="Arial" w:cs="Arial"/>
        </w:rPr>
        <w:t xml:space="preserve">The very first feature is dishonesty which has been discussed in section 2 of the Theft Act 1968. Dishonesty is an element which is related to all sorts of acts of appropriation including theft, robbery and burglary. As per the case of </w:t>
      </w:r>
      <w:r w:rsidRPr="00E63BF1">
        <w:rPr>
          <w:rFonts w:ascii="Arial" w:hAnsi="Arial" w:cs="Arial"/>
          <w:b/>
        </w:rPr>
        <w:t>Ivey v Genting Casinos [2018] AC 391</w:t>
      </w:r>
      <w:r w:rsidRPr="00E63BF1">
        <w:rPr>
          <w:rFonts w:ascii="Arial" w:hAnsi="Arial" w:cs="Arial"/>
        </w:rPr>
        <w:t>, while judging the presence of dishonesty of the defendant, it is important to identify how much acknowledged he or she was regarding the fact that moral principles are being violated. If it is proven that the fact was known to the defendant, then the question comes to the scene after knowing the facts and the moral values, was the conduct honest or not? In the case of theft, some conditions must be proven to identify the act of the defendant was completely an attempt at dishonesty. Firstly, it was necessary to clarify that though there is any legal right of the defendant to grab the property or not and or was there any sign of permission to the owner regarding the appropriation of the property or not (</w:t>
      </w:r>
      <w:r w:rsidRPr="00E63BF1">
        <w:rPr>
          <w:rFonts w:ascii="Arial" w:hAnsi="Arial" w:cs="Arial"/>
          <w:color w:val="222222"/>
          <w:highlight w:val="white"/>
        </w:rPr>
        <w:t>Lexisnexis, 2023 and LawTeacher, 2022</w:t>
      </w:r>
      <w:r w:rsidRPr="00E63BF1">
        <w:rPr>
          <w:rFonts w:ascii="Arial" w:hAnsi="Arial" w:cs="Arial"/>
        </w:rPr>
        <w:t>).</w:t>
      </w:r>
    </w:p>
    <w:p w14:paraId="00000007" w14:textId="77777777" w:rsidR="00A75798" w:rsidRPr="00E63BF1" w:rsidRDefault="00622727">
      <w:pPr>
        <w:pStyle w:val="Normal1"/>
        <w:rPr>
          <w:rFonts w:ascii="Arial" w:hAnsi="Arial" w:cs="Arial"/>
        </w:rPr>
      </w:pPr>
      <w:r w:rsidRPr="00E63BF1">
        <w:rPr>
          <w:rFonts w:ascii="Arial" w:hAnsi="Arial" w:cs="Arial"/>
        </w:rPr>
        <w:t xml:space="preserve">The concept of appropriation must be clear before judging an act as theft. If the rights of an owner will be grabbed, that will be caused by appropriation and it is essential to be a materialistic good. As per the case of </w:t>
      </w:r>
      <w:r w:rsidRPr="00E63BF1">
        <w:rPr>
          <w:rFonts w:ascii="Arial" w:hAnsi="Arial" w:cs="Arial"/>
          <w:b/>
        </w:rPr>
        <w:t>Lawrence v MPC [1972] AC 626</w:t>
      </w:r>
      <w:r w:rsidRPr="00E63BF1">
        <w:rPr>
          <w:rFonts w:ascii="Arial" w:hAnsi="Arial" w:cs="Arial"/>
        </w:rPr>
        <w:t xml:space="preserve">, the consent of the owner is not a logical defence for appropriation. In the case, permission was provided by the plaintiff to the defendant to remove cash from her </w:t>
      </w:r>
      <w:r w:rsidRPr="00E63BF1">
        <w:rPr>
          <w:rFonts w:ascii="Arial" w:hAnsi="Arial" w:cs="Arial"/>
        </w:rPr>
        <w:lastRenderedPageBreak/>
        <w:t>wallet, and still, his action was counted as theft because the amount which was appropriated by him was more than what he deserved (</w:t>
      </w:r>
      <w:r w:rsidRPr="00E63BF1">
        <w:rPr>
          <w:rFonts w:ascii="Arial" w:hAnsi="Arial" w:cs="Arial"/>
          <w:color w:val="222222"/>
          <w:highlight w:val="white"/>
        </w:rPr>
        <w:t>CPS, 2022 and Lawprof, 2021</w:t>
      </w:r>
      <w:r w:rsidRPr="00E63BF1">
        <w:rPr>
          <w:rFonts w:ascii="Arial" w:hAnsi="Arial" w:cs="Arial"/>
        </w:rPr>
        <w:t>).</w:t>
      </w:r>
    </w:p>
    <w:p w14:paraId="00000008" w14:textId="77777777" w:rsidR="00A75798" w:rsidRPr="00E63BF1" w:rsidRDefault="00622727">
      <w:pPr>
        <w:pStyle w:val="Normal1"/>
        <w:rPr>
          <w:rFonts w:ascii="Arial" w:hAnsi="Arial" w:cs="Arial"/>
        </w:rPr>
      </w:pPr>
      <w:r w:rsidRPr="00E63BF1">
        <w:rPr>
          <w:rFonts w:ascii="Arial" w:hAnsi="Arial" w:cs="Arial"/>
        </w:rPr>
        <w:t>The act of theft fits with those cases only where the concentrated material can be considered property. According to section 4 of the Theft Act 1968, the idea of property includes money, and others which are real, personal and intangible as well. Land cannot be considered as property to steal unless the person who is blamed for the theft is the trustee or Owens the power of attorney or personal representatives or the liquidator of the company which belongs to someone else and instead of selling it he appropriates the land or part of it, then it will be considered as theft also though the materials do not come under the definition of property as per the Theft Act.  Besides that wild creature also comes under the head of property (</w:t>
      </w:r>
      <w:r w:rsidRPr="00E63BF1">
        <w:rPr>
          <w:rFonts w:ascii="Arial" w:hAnsi="Arial" w:cs="Arial"/>
          <w:color w:val="222222"/>
          <w:highlight w:val="white"/>
        </w:rPr>
        <w:t>Legislation.gov.uk, 1968</w:t>
      </w:r>
      <w:r w:rsidRPr="00E63BF1">
        <w:rPr>
          <w:rFonts w:ascii="Arial" w:hAnsi="Arial" w:cs="Arial"/>
        </w:rPr>
        <w:t xml:space="preserve">). </w:t>
      </w:r>
    </w:p>
    <w:p w14:paraId="00000009" w14:textId="77777777" w:rsidR="00A75798" w:rsidRPr="00E63BF1" w:rsidRDefault="00622727">
      <w:pPr>
        <w:pStyle w:val="Normal1"/>
        <w:rPr>
          <w:rFonts w:ascii="Arial" w:hAnsi="Arial" w:cs="Arial"/>
        </w:rPr>
      </w:pPr>
      <w:r w:rsidRPr="00E63BF1">
        <w:rPr>
          <w:rFonts w:ascii="Arial" w:hAnsi="Arial" w:cs="Arial"/>
        </w:rPr>
        <w:t xml:space="preserve">The feature of "Belonging to another" is a highly essential provision and intimidation that some conditions are required to perform. A property will be considered belonging to others only when the person who is climbing his right of ownership on it has legal possession of that or control of that. If the owner has given the property to the defendant for any particular reason and the defendant has appropriated it illegally then also the claim of theft will prevail as giving something to someone for any particular reason does not transfer the ownership. If by mistake any property has come to the possession of the defendant, then also it will be considered as belonging to others. The beneficiary of trusts is also considered as the owner of the property and if the defendant will deprived them of their benefits then also it amounts to theft. Possession is an important aspect of theft as in the case of </w:t>
      </w:r>
      <w:r w:rsidRPr="00E63BF1">
        <w:rPr>
          <w:rFonts w:ascii="Arial" w:hAnsi="Arial" w:cs="Arial"/>
          <w:b/>
        </w:rPr>
        <w:t xml:space="preserve">R v Turner (1971) 55 Cr App R 336 </w:t>
      </w:r>
      <w:r w:rsidRPr="00E63BF1">
        <w:rPr>
          <w:rFonts w:ascii="Arial" w:hAnsi="Arial" w:cs="Arial"/>
        </w:rPr>
        <w:t xml:space="preserve"> the defendant was accused of theft of his own car as he took it from the garage without paying the bills. As the benefits of the garage owner were related to the possession of the car, it was considered theft (</w:t>
      </w:r>
      <w:r w:rsidRPr="00E63BF1">
        <w:rPr>
          <w:rFonts w:ascii="Arial" w:hAnsi="Arial" w:cs="Arial"/>
          <w:color w:val="222222"/>
          <w:highlight w:val="white"/>
        </w:rPr>
        <w:t>CPS, 2022 and e-law resources, 2023</w:t>
      </w:r>
      <w:r w:rsidRPr="00E63BF1">
        <w:rPr>
          <w:rFonts w:ascii="Arial" w:hAnsi="Arial" w:cs="Arial"/>
        </w:rPr>
        <w:t xml:space="preserve">). </w:t>
      </w:r>
    </w:p>
    <w:p w14:paraId="0000000A" w14:textId="77777777" w:rsidR="00A75798" w:rsidRPr="00E63BF1" w:rsidRDefault="00622727">
      <w:pPr>
        <w:pStyle w:val="Normal1"/>
        <w:rPr>
          <w:rFonts w:ascii="Arial" w:hAnsi="Arial" w:cs="Arial"/>
        </w:rPr>
      </w:pPr>
      <w:r w:rsidRPr="00E63BF1">
        <w:rPr>
          <w:rFonts w:ascii="Arial" w:hAnsi="Arial" w:cs="Arial"/>
        </w:rPr>
        <w:t xml:space="preserve">The last essential of theft is the intention of doing permanent harm and that is equivalent to depriving the owner of his possession or enjoyment of the property permanently. Borrowing or lending will not come under this clause but if the defendant fails to give the property back which has been borrowed by him as per section 6 (2) of the Theft Act, 1968, it amounts to theft. In the case of </w:t>
      </w:r>
      <w:r w:rsidRPr="00E63BF1">
        <w:rPr>
          <w:rFonts w:ascii="Arial" w:hAnsi="Arial" w:cs="Arial"/>
          <w:b/>
        </w:rPr>
        <w:t>R v Vinall [2012] 1 Cr App R 29</w:t>
      </w:r>
      <w:r w:rsidRPr="00E63BF1">
        <w:rPr>
          <w:rFonts w:ascii="Arial" w:hAnsi="Arial" w:cs="Arial"/>
        </w:rPr>
        <w:t xml:space="preserve"> it has been stated by the judge that the intention to </w:t>
      </w:r>
      <w:r w:rsidRPr="00E63BF1">
        <w:rPr>
          <w:rFonts w:ascii="Arial" w:hAnsi="Arial" w:cs="Arial"/>
        </w:rPr>
        <w:lastRenderedPageBreak/>
        <w:t>permanently deprive is something by which the rights of the owner on the property are disposed of. It has been mentioned also that disposing of the goods is not mandatory to prove the theft (</w:t>
      </w:r>
      <w:r w:rsidRPr="00E63BF1">
        <w:rPr>
          <w:rFonts w:ascii="Arial" w:hAnsi="Arial" w:cs="Arial"/>
          <w:color w:val="222222"/>
          <w:highlight w:val="white"/>
        </w:rPr>
        <w:t>CPS, 2022</w:t>
      </w:r>
      <w:r w:rsidRPr="00E63BF1">
        <w:rPr>
          <w:rFonts w:ascii="Arial" w:hAnsi="Arial" w:cs="Arial"/>
        </w:rPr>
        <w:t xml:space="preserve">). </w:t>
      </w:r>
    </w:p>
    <w:p w14:paraId="0000000B" w14:textId="77777777" w:rsidR="00A75798" w:rsidRPr="00E63BF1" w:rsidRDefault="00622727">
      <w:pPr>
        <w:pStyle w:val="Normal1"/>
        <w:rPr>
          <w:rFonts w:ascii="Arial" w:hAnsi="Arial" w:cs="Arial"/>
        </w:rPr>
      </w:pPr>
      <w:r w:rsidRPr="00E63BF1">
        <w:rPr>
          <w:rFonts w:ascii="Arial" w:hAnsi="Arial" w:cs="Arial"/>
        </w:rPr>
        <w:t xml:space="preserve">In the provided case, Paul has reached all the essentials of theft and therefore, it is not a tough job to identify the criminal liability of her conduct. Firstly, the taking of the handbag into the court was an act of appropriation and a dishonest attempt also. The handbag can be considered as a property as it was a materialistic good and it belonged to Christine and before taking it her permission was not sought by Paula. Therefore, her act can be claimed as dishonest appropriation. The bag belonged to others as it was a gift for Christine and Paula has no right of possession. Besides that at the end of the party, the bag was put on the floor by Paula and she drove away from it which permanent destruction was caused to the bag the act was completely intended by Paula and reflects her permanent intention to deprive Christine of the possession and enjoyment of the handbag. Therefore, no doubts are left to comment on it as the criminal liability of theft under section 6 of the Theft Act 1968 will be taken by Paula.  </w:t>
      </w:r>
    </w:p>
    <w:p w14:paraId="0000000C" w14:textId="77777777" w:rsidR="00A75798" w:rsidRPr="00E63BF1" w:rsidRDefault="00622727">
      <w:pPr>
        <w:pStyle w:val="Normal1"/>
        <w:rPr>
          <w:rFonts w:ascii="Arial" w:hAnsi="Arial" w:cs="Arial"/>
        </w:rPr>
      </w:pPr>
      <w:r w:rsidRPr="00E63BF1">
        <w:rPr>
          <w:rFonts w:ascii="Arial" w:hAnsi="Arial" w:cs="Arial"/>
        </w:rPr>
        <w:t xml:space="preserve">The Theft Act, 1968 has been enacted to provide material protection to the people of the UK. and the act has come into force by replacing the Larceny Act 1976. In the previous act, there was another essential which was included in the definition of theft which made it clear that the goods or the product which have been stolen must be carried by the performer who is being assumed for conducting the theft. The change which has been brought in the new legislation has been a better help for the court's interpretation of appropriation has become simpler for that. As the subjective element is not enough to establish the intention of the appropriation, therefore, such change was highly required. </w:t>
      </w:r>
    </w:p>
    <w:p w14:paraId="0000000D" w14:textId="77777777" w:rsidR="00A75798" w:rsidRPr="00E63BF1" w:rsidRDefault="00622727">
      <w:pPr>
        <w:pStyle w:val="Normal1"/>
        <w:rPr>
          <w:rFonts w:ascii="Arial" w:hAnsi="Arial" w:cs="Arial"/>
        </w:rPr>
      </w:pPr>
      <w:r w:rsidRPr="00E63BF1">
        <w:rPr>
          <w:rFonts w:ascii="Arial" w:hAnsi="Arial" w:cs="Arial"/>
        </w:rPr>
        <w:t>Section 19 of the Offences Against the Person Act 1861 has elaborated that if a person has been hurt by another with or without a weapon which has caused to him her any kind of grievous bodily harm that will be considered unlawful and the person who will conduct such will be guilty and liable for penalty. For such action maximum years of imprisonment can be ordered by the court as per section 20 of the act (</w:t>
      </w:r>
      <w:r w:rsidRPr="00E63BF1">
        <w:rPr>
          <w:rFonts w:ascii="Arial" w:hAnsi="Arial" w:cs="Arial"/>
          <w:color w:val="222222"/>
          <w:highlight w:val="white"/>
        </w:rPr>
        <w:t>Legislation.gov.uk, 1861</w:t>
      </w:r>
      <w:r w:rsidRPr="00E63BF1">
        <w:rPr>
          <w:rFonts w:ascii="Arial" w:hAnsi="Arial" w:cs="Arial"/>
        </w:rPr>
        <w:t>). According to section 1 of the Criminal Damage Act 1971, if property belonging to others will get damaged or destroyed by a person with reckless behaviour that will amount to unlawful offence as well (</w:t>
      </w:r>
      <w:r w:rsidRPr="00E63BF1">
        <w:rPr>
          <w:rFonts w:ascii="Arial" w:hAnsi="Arial" w:cs="Arial"/>
          <w:color w:val="222222"/>
          <w:highlight w:val="white"/>
        </w:rPr>
        <w:t>Legislation.gov.uk, 1971</w:t>
      </w:r>
      <w:r w:rsidRPr="00E63BF1">
        <w:rPr>
          <w:rFonts w:ascii="Arial" w:hAnsi="Arial" w:cs="Arial"/>
        </w:rPr>
        <w:t xml:space="preserve">). Intoxication even if it is involuntary will not be counted as a defence in such </w:t>
      </w:r>
      <w:r w:rsidRPr="00E63BF1">
        <w:rPr>
          <w:rFonts w:ascii="Arial" w:hAnsi="Arial" w:cs="Arial"/>
        </w:rPr>
        <w:lastRenderedPageBreak/>
        <w:t>cases. The intoxication or hallucination as a result of intoxication will be accepted involuntarily only when the alcohol or the drug has been put on the food or the drink of the defendant without his knowledge. But still, the act or harm which has been caused by him which might not be done by her in his natural sense will not come under any defence (</w:t>
      </w:r>
      <w:r w:rsidRPr="00E63BF1">
        <w:rPr>
          <w:rFonts w:ascii="Arial" w:hAnsi="Arial" w:cs="Arial"/>
          <w:color w:val="222222"/>
          <w:highlight w:val="white"/>
        </w:rPr>
        <w:t>CPS, 2018</w:t>
      </w:r>
      <w:r w:rsidRPr="00E63BF1">
        <w:rPr>
          <w:rFonts w:ascii="Arial" w:hAnsi="Arial" w:cs="Arial"/>
        </w:rPr>
        <w:t>). As per the case of R v Kingston [1995] 2 A.C. 355, the defendant will be guilty even if he was not in the required mental elements while committing the offence (</w:t>
      </w:r>
      <w:r w:rsidRPr="00E63BF1">
        <w:rPr>
          <w:rFonts w:ascii="Arial" w:hAnsi="Arial" w:cs="Arial"/>
          <w:color w:val="222222"/>
          <w:highlight w:val="white"/>
        </w:rPr>
        <w:t>e-law resources, 2023</w:t>
      </w:r>
      <w:r w:rsidRPr="00E63BF1">
        <w:rPr>
          <w:rFonts w:ascii="Arial" w:hAnsi="Arial" w:cs="Arial"/>
        </w:rPr>
        <w:t xml:space="preserve">). </w:t>
      </w:r>
    </w:p>
    <w:p w14:paraId="0000000F" w14:textId="1D3E631B" w:rsidR="00A75798" w:rsidRPr="00E63BF1" w:rsidRDefault="00622727">
      <w:pPr>
        <w:pStyle w:val="Normal1"/>
        <w:rPr>
          <w:rFonts w:ascii="Arial" w:hAnsi="Arial" w:cs="Arial"/>
        </w:rPr>
      </w:pPr>
      <w:r w:rsidRPr="00E63BF1">
        <w:rPr>
          <w:rFonts w:ascii="Arial" w:hAnsi="Arial" w:cs="Arial"/>
        </w:rPr>
        <w:t xml:space="preserve">In the provided case also, the intoxication of Harriet was involuntary as the vodka which made him intoxicated was not consumed by him in his own wish and he was unknown to the fact also that alcohol had been mixed with his drink while taking it. But the harm or destruction which has been committed by him will not accept the defence of involuntary intoxication and therefore he will be liable under section 19 of the Offence Against the Person Act 1861 and section 1 of the Criminal Damage Act 1971. </w:t>
      </w:r>
    </w:p>
    <w:p w14:paraId="00000010" w14:textId="77777777" w:rsidR="00A75798" w:rsidRPr="00E63BF1" w:rsidRDefault="00622727">
      <w:pPr>
        <w:pStyle w:val="Normal1"/>
        <w:rPr>
          <w:rFonts w:ascii="Arial" w:hAnsi="Arial" w:cs="Arial"/>
        </w:rPr>
      </w:pPr>
      <w:r w:rsidRPr="00E63BF1">
        <w:rPr>
          <w:rFonts w:ascii="Arial" w:hAnsi="Arial" w:cs="Arial"/>
        </w:rPr>
        <w:t xml:space="preserve">The study has identified that Paula has performed theft and she has achieved all the essentials of theft as per the legislation therefore, she must bear the criminal liability for that. It has been outlined that the damages and hurt caused by Harriet come from the Criminal Damage Act 1971 and Offences Against the Person Act 1861 respectively and no defence for involuntary intoxication will be provided to him.  </w:t>
      </w:r>
    </w:p>
    <w:p w14:paraId="00000011" w14:textId="77777777" w:rsidR="00A75798" w:rsidRPr="00E63BF1" w:rsidRDefault="00622727">
      <w:pPr>
        <w:pStyle w:val="Normal1"/>
        <w:rPr>
          <w:rFonts w:ascii="Arial" w:hAnsi="Arial" w:cs="Arial"/>
          <w:b/>
        </w:rPr>
      </w:pPr>
      <w:r w:rsidRPr="00E63BF1">
        <w:rPr>
          <w:rFonts w:ascii="Arial" w:hAnsi="Arial" w:cs="Arial"/>
        </w:rPr>
        <w:br w:type="page"/>
      </w:r>
    </w:p>
    <w:p w14:paraId="581C3A20" w14:textId="35BFF779" w:rsidR="00A30DBD" w:rsidRPr="00E63BF1" w:rsidRDefault="00622727" w:rsidP="00A30DBD">
      <w:pPr>
        <w:pStyle w:val="Normal1"/>
        <w:rPr>
          <w:rFonts w:ascii="Arial" w:hAnsi="Arial" w:cs="Arial"/>
          <w:b/>
        </w:rPr>
      </w:pPr>
      <w:r w:rsidRPr="00E63BF1">
        <w:rPr>
          <w:rFonts w:ascii="Arial" w:hAnsi="Arial" w:cs="Arial"/>
          <w:b/>
        </w:rPr>
        <w:lastRenderedPageBreak/>
        <w:t>References</w:t>
      </w:r>
    </w:p>
    <w:p w14:paraId="4DEEB2E5"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CPS (2018) </w:t>
      </w:r>
      <w:r w:rsidRPr="00E63BF1">
        <w:rPr>
          <w:rFonts w:ascii="Arial" w:hAnsi="Arial" w:cs="Arial"/>
          <w:i/>
          <w:color w:val="222222"/>
          <w:highlight w:val="white"/>
        </w:rPr>
        <w:t>Intoxication</w:t>
      </w:r>
      <w:r w:rsidRPr="00E63BF1">
        <w:rPr>
          <w:rFonts w:ascii="Arial" w:hAnsi="Arial" w:cs="Arial"/>
          <w:color w:val="222222"/>
          <w:highlight w:val="white"/>
        </w:rPr>
        <w:t xml:space="preserve">, </w:t>
      </w:r>
      <w:r w:rsidRPr="00E63BF1">
        <w:rPr>
          <w:rFonts w:ascii="Arial" w:hAnsi="Arial" w:cs="Arial"/>
          <w:i/>
          <w:color w:val="222222"/>
          <w:highlight w:val="white"/>
        </w:rPr>
        <w:t>Intoxication | The Crown Prosecution Service</w:t>
      </w:r>
      <w:r w:rsidRPr="00E63BF1">
        <w:rPr>
          <w:rFonts w:ascii="Arial" w:hAnsi="Arial" w:cs="Arial"/>
          <w:color w:val="222222"/>
          <w:highlight w:val="white"/>
        </w:rPr>
        <w:t>. Available at: https://www.cps.gov.uk/legal-guidance/intoxication (Accessed: 27 June 2023).</w:t>
      </w:r>
    </w:p>
    <w:p w14:paraId="5951C9CA"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CPS (2022) </w:t>
      </w:r>
      <w:r w:rsidRPr="00E63BF1">
        <w:rPr>
          <w:rFonts w:ascii="Arial" w:hAnsi="Arial" w:cs="Arial"/>
          <w:i/>
          <w:color w:val="222222"/>
          <w:highlight w:val="white"/>
        </w:rPr>
        <w:t>Theft Act offences</w:t>
      </w:r>
      <w:r w:rsidRPr="00E63BF1">
        <w:rPr>
          <w:rFonts w:ascii="Arial" w:hAnsi="Arial" w:cs="Arial"/>
          <w:color w:val="222222"/>
          <w:highlight w:val="white"/>
        </w:rPr>
        <w:t xml:space="preserve">, </w:t>
      </w:r>
      <w:r w:rsidRPr="00E63BF1">
        <w:rPr>
          <w:rFonts w:ascii="Arial" w:hAnsi="Arial" w:cs="Arial"/>
          <w:i/>
          <w:color w:val="222222"/>
          <w:highlight w:val="white"/>
        </w:rPr>
        <w:t>Theft Act Offences | The Crown Prosecution Service</w:t>
      </w:r>
      <w:r w:rsidRPr="00E63BF1">
        <w:rPr>
          <w:rFonts w:ascii="Arial" w:hAnsi="Arial" w:cs="Arial"/>
          <w:color w:val="222222"/>
          <w:highlight w:val="white"/>
        </w:rPr>
        <w:t>. Available at: https://www.cps.gov.uk/legal-guidance/theft-act-offences (Accessed: 27 June 2023).</w:t>
      </w:r>
    </w:p>
    <w:p w14:paraId="31B738FA"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e-law resources (2023) </w:t>
      </w:r>
      <w:r w:rsidRPr="00E63BF1">
        <w:rPr>
          <w:rFonts w:ascii="Arial" w:hAnsi="Arial" w:cs="Arial"/>
          <w:i/>
          <w:color w:val="222222"/>
          <w:highlight w:val="white"/>
        </w:rPr>
        <w:t>R v Kingston</w:t>
      </w:r>
      <w:r w:rsidRPr="00E63BF1">
        <w:rPr>
          <w:rFonts w:ascii="Arial" w:hAnsi="Arial" w:cs="Arial"/>
          <w:color w:val="222222"/>
          <w:highlight w:val="white"/>
        </w:rPr>
        <w:t>. Available at: https://www.e-lawresources.co.uk/R-v-Kingston.php (Accessed: 27 June 2023).</w:t>
      </w:r>
    </w:p>
    <w:p w14:paraId="5D11AC8E"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e-law resources (2023) </w:t>
      </w:r>
      <w:r w:rsidRPr="00E63BF1">
        <w:rPr>
          <w:rFonts w:ascii="Arial" w:hAnsi="Arial" w:cs="Arial"/>
          <w:i/>
          <w:color w:val="222222"/>
          <w:highlight w:val="white"/>
        </w:rPr>
        <w:t>R v Turner</w:t>
      </w:r>
      <w:r w:rsidRPr="00E63BF1">
        <w:rPr>
          <w:rFonts w:ascii="Arial" w:hAnsi="Arial" w:cs="Arial"/>
          <w:color w:val="222222"/>
          <w:highlight w:val="white"/>
        </w:rPr>
        <w:t>. Available at: http://www.e-lawresources.co.uk/R-v-Turner.php (Accessed: 27 June 2023).</w:t>
      </w:r>
    </w:p>
    <w:p w14:paraId="0A15A658"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Lawprof (2021) </w:t>
      </w:r>
      <w:r w:rsidRPr="00E63BF1">
        <w:rPr>
          <w:rFonts w:ascii="Arial" w:hAnsi="Arial" w:cs="Arial"/>
          <w:i/>
          <w:color w:val="222222"/>
          <w:highlight w:val="white"/>
        </w:rPr>
        <w:t>Lawrence v Metropolitan Police commissioner [1972] AC 626 - case summary</w:t>
      </w:r>
      <w:r w:rsidRPr="00E63BF1">
        <w:rPr>
          <w:rFonts w:ascii="Arial" w:hAnsi="Arial" w:cs="Arial"/>
          <w:color w:val="222222"/>
          <w:highlight w:val="white"/>
        </w:rPr>
        <w:t xml:space="preserve">, </w:t>
      </w:r>
      <w:r w:rsidRPr="00E63BF1">
        <w:rPr>
          <w:rFonts w:ascii="Arial" w:hAnsi="Arial" w:cs="Arial"/>
          <w:i/>
          <w:color w:val="222222"/>
          <w:highlight w:val="white"/>
        </w:rPr>
        <w:t>law prof. co</w:t>
      </w:r>
      <w:r w:rsidRPr="00E63BF1">
        <w:rPr>
          <w:rFonts w:ascii="Arial" w:hAnsi="Arial" w:cs="Arial"/>
          <w:color w:val="222222"/>
          <w:highlight w:val="white"/>
        </w:rPr>
        <w:t>. Available at: https://lawprof.co/criminal-law/property-offences-cases/lawrence-v-metropolitan-police-commissioner-1972-ac-626/ (Accessed: 27 June 2023).</w:t>
      </w:r>
    </w:p>
    <w:p w14:paraId="7B9B40E0"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LawTeacher (2022) </w:t>
      </w:r>
      <w:r w:rsidRPr="00E63BF1">
        <w:rPr>
          <w:rFonts w:ascii="Arial" w:hAnsi="Arial" w:cs="Arial"/>
          <w:i/>
          <w:color w:val="222222"/>
          <w:highlight w:val="white"/>
        </w:rPr>
        <w:t>Ivey v Genting Casinos</w:t>
      </w:r>
      <w:r w:rsidRPr="00E63BF1">
        <w:rPr>
          <w:rFonts w:ascii="Arial" w:hAnsi="Arial" w:cs="Arial"/>
          <w:color w:val="222222"/>
          <w:highlight w:val="white"/>
        </w:rPr>
        <w:t>. Available at: https://www.lawteacher.net/services/samples/2-2-criminal-law-assignment.php (Accessed: 27 June 2023).</w:t>
      </w:r>
    </w:p>
    <w:p w14:paraId="0E14D973"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Legislation.gov.uk (1861) </w:t>
      </w:r>
      <w:r w:rsidRPr="00E63BF1">
        <w:rPr>
          <w:rFonts w:ascii="Arial" w:hAnsi="Arial" w:cs="Arial"/>
          <w:i/>
          <w:color w:val="222222"/>
          <w:highlight w:val="white"/>
        </w:rPr>
        <w:t>Offences against the Person Act 1861</w:t>
      </w:r>
      <w:r w:rsidRPr="00E63BF1">
        <w:rPr>
          <w:rFonts w:ascii="Arial" w:hAnsi="Arial" w:cs="Arial"/>
          <w:color w:val="222222"/>
          <w:highlight w:val="white"/>
        </w:rPr>
        <w:t xml:space="preserve">, </w:t>
      </w:r>
      <w:r w:rsidRPr="00E63BF1">
        <w:rPr>
          <w:rFonts w:ascii="Arial" w:hAnsi="Arial" w:cs="Arial"/>
          <w:i/>
          <w:color w:val="222222"/>
          <w:highlight w:val="white"/>
        </w:rPr>
        <w:t>Legislation.gov.uk</w:t>
      </w:r>
      <w:r w:rsidRPr="00E63BF1">
        <w:rPr>
          <w:rFonts w:ascii="Arial" w:hAnsi="Arial" w:cs="Arial"/>
          <w:color w:val="222222"/>
          <w:highlight w:val="white"/>
        </w:rPr>
        <w:t xml:space="preserve">. Available at: https://www.legislation.gov.uk/ukpga/Vict/24-25/100/section/20 (Accessed: 27 June 2023). </w:t>
      </w:r>
    </w:p>
    <w:p w14:paraId="50E6BEDC"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Legislation.gov.uk (1968) </w:t>
      </w:r>
      <w:r w:rsidRPr="00E63BF1">
        <w:rPr>
          <w:rFonts w:ascii="Arial" w:hAnsi="Arial" w:cs="Arial"/>
          <w:i/>
          <w:color w:val="222222"/>
          <w:highlight w:val="white"/>
        </w:rPr>
        <w:t>Theft Act 1968</w:t>
      </w:r>
      <w:r w:rsidRPr="00E63BF1">
        <w:rPr>
          <w:rFonts w:ascii="Arial" w:hAnsi="Arial" w:cs="Arial"/>
          <w:color w:val="222222"/>
          <w:highlight w:val="white"/>
        </w:rPr>
        <w:t xml:space="preserve">, </w:t>
      </w:r>
      <w:r w:rsidRPr="00E63BF1">
        <w:rPr>
          <w:rFonts w:ascii="Arial" w:hAnsi="Arial" w:cs="Arial"/>
          <w:i/>
          <w:color w:val="222222"/>
          <w:highlight w:val="white"/>
        </w:rPr>
        <w:t>Legislation.gov.uk</w:t>
      </w:r>
      <w:r w:rsidRPr="00E63BF1">
        <w:rPr>
          <w:rFonts w:ascii="Arial" w:hAnsi="Arial" w:cs="Arial"/>
          <w:color w:val="222222"/>
          <w:highlight w:val="white"/>
        </w:rPr>
        <w:t>. Available at: https://www.legislation.gov.uk/ukpga/1968/60/contents (Accessed: 27 June 2023).</w:t>
      </w:r>
    </w:p>
    <w:p w14:paraId="3F34CC99"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Legislation.gov.uk (1971) </w:t>
      </w:r>
      <w:r w:rsidRPr="00E63BF1">
        <w:rPr>
          <w:rFonts w:ascii="Arial" w:hAnsi="Arial" w:cs="Arial"/>
          <w:i/>
          <w:color w:val="222222"/>
          <w:highlight w:val="white"/>
        </w:rPr>
        <w:t>Criminal damage act 1971</w:t>
      </w:r>
      <w:r w:rsidRPr="00E63BF1">
        <w:rPr>
          <w:rFonts w:ascii="Arial" w:hAnsi="Arial" w:cs="Arial"/>
          <w:color w:val="222222"/>
          <w:highlight w:val="white"/>
        </w:rPr>
        <w:t xml:space="preserve">, </w:t>
      </w:r>
      <w:r w:rsidRPr="00E63BF1">
        <w:rPr>
          <w:rFonts w:ascii="Arial" w:hAnsi="Arial" w:cs="Arial"/>
          <w:i/>
          <w:color w:val="222222"/>
          <w:highlight w:val="white"/>
        </w:rPr>
        <w:t>Legislation.gov.uk</w:t>
      </w:r>
      <w:r w:rsidRPr="00E63BF1">
        <w:rPr>
          <w:rFonts w:ascii="Arial" w:hAnsi="Arial" w:cs="Arial"/>
          <w:color w:val="222222"/>
          <w:highlight w:val="white"/>
        </w:rPr>
        <w:t>. Available at: https://www.legislation.gov.uk/ukpga/1971/48 (Accessed: 27 June 2023).</w:t>
      </w:r>
    </w:p>
    <w:p w14:paraId="6799D8C7" w14:textId="77777777" w:rsidR="00A30DBD" w:rsidRPr="00E63BF1" w:rsidRDefault="00A30DBD">
      <w:pPr>
        <w:pStyle w:val="Normal1"/>
        <w:spacing w:before="240" w:after="240"/>
        <w:rPr>
          <w:rFonts w:ascii="Arial" w:hAnsi="Arial" w:cs="Arial"/>
          <w:color w:val="222222"/>
          <w:highlight w:val="white"/>
        </w:rPr>
      </w:pPr>
      <w:r w:rsidRPr="00E63BF1">
        <w:rPr>
          <w:rFonts w:ascii="Arial" w:hAnsi="Arial" w:cs="Arial"/>
          <w:color w:val="222222"/>
          <w:highlight w:val="white"/>
        </w:rPr>
        <w:t xml:space="preserve">LexisNexis (2023) </w:t>
      </w:r>
      <w:r w:rsidRPr="00E63BF1">
        <w:rPr>
          <w:rFonts w:ascii="Arial" w:hAnsi="Arial" w:cs="Arial"/>
          <w:i/>
          <w:color w:val="222222"/>
          <w:highlight w:val="white"/>
        </w:rPr>
        <w:t>Welcome to LexisNexis - Choose Your Path</w:t>
      </w:r>
      <w:r w:rsidRPr="00E63BF1">
        <w:rPr>
          <w:rFonts w:ascii="Arial" w:hAnsi="Arial" w:cs="Arial"/>
          <w:color w:val="222222"/>
          <w:highlight w:val="white"/>
        </w:rPr>
        <w:t xml:space="preserve">. Available at: https://www.lexisnexis.com/uk/lexispsl/corporatecrime/document/391421/592G-YDG1-F188-N1XN-00000-00/Theft_offences_overview (Accessed: 27 June 2023). </w:t>
      </w:r>
    </w:p>
    <w:p w14:paraId="0000001F" w14:textId="438A8FEB" w:rsidR="00A75798" w:rsidRPr="00E63BF1" w:rsidRDefault="00A30DBD" w:rsidP="00A30DBD">
      <w:pPr>
        <w:pStyle w:val="Normal1"/>
        <w:spacing w:before="240" w:after="240"/>
        <w:rPr>
          <w:rFonts w:ascii="Arial" w:hAnsi="Arial" w:cs="Arial"/>
          <w:color w:val="222222"/>
          <w:highlight w:val="white"/>
        </w:rPr>
      </w:pPr>
      <w:r w:rsidRPr="00E63BF1">
        <w:rPr>
          <w:rFonts w:ascii="Arial" w:hAnsi="Arial" w:cs="Arial"/>
          <w:color w:val="222222"/>
          <w:highlight w:val="white"/>
        </w:rPr>
        <w:lastRenderedPageBreak/>
        <w:t>Melissaris, E., 2007. The concept of appropriation and the offence of theft. The Modern Law Review, 70(4), pp.581-597.</w:t>
      </w:r>
    </w:p>
    <w:sectPr w:rsidR="00A75798" w:rsidRPr="00E63BF1" w:rsidSect="00A30DBD">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25CFE" w14:textId="77777777" w:rsidR="00CE553C" w:rsidRDefault="00CE553C" w:rsidP="00A30DBD">
      <w:pPr>
        <w:spacing w:line="240" w:lineRule="auto"/>
      </w:pPr>
      <w:r>
        <w:separator/>
      </w:r>
    </w:p>
  </w:endnote>
  <w:endnote w:type="continuationSeparator" w:id="0">
    <w:p w14:paraId="2F3A3A93" w14:textId="77777777" w:rsidR="00CE553C" w:rsidRDefault="00CE553C" w:rsidP="00A30D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466102"/>
      <w:docPartObj>
        <w:docPartGallery w:val="Page Numbers (Bottom of Page)"/>
        <w:docPartUnique/>
      </w:docPartObj>
    </w:sdtPr>
    <w:sdtContent>
      <w:sdt>
        <w:sdtPr>
          <w:id w:val="-1769616900"/>
          <w:docPartObj>
            <w:docPartGallery w:val="Page Numbers (Top of Page)"/>
            <w:docPartUnique/>
          </w:docPartObj>
        </w:sdtPr>
        <w:sdtContent>
          <w:p w14:paraId="5BF93C88" w14:textId="62C3F817" w:rsidR="00A30DBD" w:rsidRDefault="00A30DB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47237EC" w14:textId="77777777" w:rsidR="00A30DBD" w:rsidRDefault="00A30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D3EAD" w14:textId="77777777" w:rsidR="00CE553C" w:rsidRDefault="00CE553C" w:rsidP="00A30DBD">
      <w:pPr>
        <w:spacing w:line="240" w:lineRule="auto"/>
      </w:pPr>
      <w:r>
        <w:separator/>
      </w:r>
    </w:p>
  </w:footnote>
  <w:footnote w:type="continuationSeparator" w:id="0">
    <w:p w14:paraId="335D352F" w14:textId="77777777" w:rsidR="00CE553C" w:rsidRDefault="00CE553C" w:rsidP="00A30D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75798"/>
    <w:rsid w:val="00026B44"/>
    <w:rsid w:val="000C4682"/>
    <w:rsid w:val="00622727"/>
    <w:rsid w:val="007D529E"/>
    <w:rsid w:val="00A30DBD"/>
    <w:rsid w:val="00A75798"/>
    <w:rsid w:val="00B36D03"/>
    <w:rsid w:val="00B678EC"/>
    <w:rsid w:val="00CE553C"/>
    <w:rsid w:val="00E63BF1"/>
    <w:rsid w:val="00E735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1C32"/>
  <w15:docId w15:val="{05732CE5-EB3E-4E74-8F1E-66A79F11C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30DBD"/>
    <w:pPr>
      <w:tabs>
        <w:tab w:val="center" w:pos="4513"/>
        <w:tab w:val="right" w:pos="9026"/>
      </w:tabs>
      <w:spacing w:line="240" w:lineRule="auto"/>
    </w:pPr>
  </w:style>
  <w:style w:type="character" w:customStyle="1" w:styleId="HeaderChar">
    <w:name w:val="Header Char"/>
    <w:basedOn w:val="DefaultParagraphFont"/>
    <w:link w:val="Header"/>
    <w:uiPriority w:val="99"/>
    <w:rsid w:val="00A30DBD"/>
  </w:style>
  <w:style w:type="paragraph" w:styleId="Footer">
    <w:name w:val="footer"/>
    <w:basedOn w:val="Normal"/>
    <w:link w:val="FooterChar"/>
    <w:uiPriority w:val="99"/>
    <w:unhideWhenUsed/>
    <w:rsid w:val="00A30DBD"/>
    <w:pPr>
      <w:tabs>
        <w:tab w:val="center" w:pos="4513"/>
        <w:tab w:val="right" w:pos="9026"/>
      </w:tabs>
      <w:spacing w:line="240" w:lineRule="auto"/>
    </w:pPr>
  </w:style>
  <w:style w:type="character" w:customStyle="1" w:styleId="FooterChar">
    <w:name w:val="Footer Char"/>
    <w:basedOn w:val="DefaultParagraphFont"/>
    <w:link w:val="Footer"/>
    <w:uiPriority w:val="99"/>
    <w:rsid w:val="00A30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210349">
      <w:bodyDiv w:val="1"/>
      <w:marLeft w:val="0"/>
      <w:marRight w:val="0"/>
      <w:marTop w:val="0"/>
      <w:marBottom w:val="0"/>
      <w:divBdr>
        <w:top w:val="none" w:sz="0" w:space="0" w:color="auto"/>
        <w:left w:val="none" w:sz="0" w:space="0" w:color="auto"/>
        <w:bottom w:val="none" w:sz="0" w:space="0" w:color="auto"/>
        <w:right w:val="none" w:sz="0" w:space="0" w:color="auto"/>
      </w:divBdr>
    </w:div>
    <w:div w:id="1205605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7</Pages>
  <Words>1703</Words>
  <Characters>9710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Bocancea</dc:creator>
  <cp:keywords/>
  <dc:description/>
  <cp:lastModifiedBy>Olga Bocancea</cp:lastModifiedBy>
  <cp:revision>5</cp:revision>
  <dcterms:created xsi:type="dcterms:W3CDTF">2023-06-26T19:45:00Z</dcterms:created>
  <dcterms:modified xsi:type="dcterms:W3CDTF">2023-06-27T10:34:00Z</dcterms:modified>
</cp:coreProperties>
</file>