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077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default" w:ascii="Times New Roman Regular" w:hAnsi="Times New Roman Regular" w:eastAsia="宋体" w:cs="Times New Roman Regular"/>
          <w:b/>
          <w:bCs/>
          <w:kern w:val="2"/>
          <w:sz w:val="28"/>
          <w:szCs w:val="28"/>
          <w:highlight w:val="none"/>
          <w:lang w:val="en-US" w:eastAsia="zh-CN" w:bidi="ar"/>
        </w:rPr>
      </w:pPr>
      <w:r>
        <w:rPr>
          <w:rFonts w:hint="default" w:ascii="Times New Roman Regular" w:hAnsi="Times New Roman Regular" w:eastAsia="宋体" w:cs="Times New Roman Regular"/>
          <w:b/>
          <w:bCs/>
          <w:kern w:val="2"/>
          <w:sz w:val="28"/>
          <w:szCs w:val="28"/>
          <w:highlight w:val="none"/>
          <w:lang w:val="en-US" w:eastAsia="zh-CN" w:bidi="ar"/>
        </w:rPr>
        <w:t xml:space="preserve">Assignment 2: </w:t>
      </w:r>
    </w:p>
    <w:p w14:paraId="29671C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both"/>
        <w:textAlignment w:val="auto"/>
        <w:rPr>
          <w:rFonts w:hint="default" w:ascii="Times New Roman Regular" w:hAnsi="Times New Roman Regular" w:eastAsia="宋体" w:cs="Times New Roman Regular"/>
          <w:b/>
          <w:bCs/>
          <w:kern w:val="2"/>
          <w:sz w:val="28"/>
          <w:szCs w:val="28"/>
          <w:highlight w:val="none"/>
          <w:lang w:val="en-US" w:eastAsia="zh-CN" w:bidi="ar"/>
        </w:rPr>
      </w:pPr>
    </w:p>
    <w:p w14:paraId="23F0A1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Regular" w:hAnsi="Times New Roman Regular" w:eastAsia="宋体" w:cs="Times New Roman Regular"/>
          <w:b/>
          <w:bCs/>
          <w:kern w:val="2"/>
          <w:sz w:val="36"/>
          <w:szCs w:val="36"/>
          <w:highlight w:val="none"/>
          <w:lang w:val="en-US" w:eastAsia="zh-CN" w:bidi="ar"/>
        </w:rPr>
      </w:pPr>
      <w:r>
        <w:rPr>
          <w:rFonts w:hint="default" w:ascii="Times New Roman Regular" w:hAnsi="Times New Roman Regular" w:eastAsia="宋体" w:cs="Times New Roman Regular"/>
          <w:b/>
          <w:bCs/>
          <w:kern w:val="2"/>
          <w:sz w:val="36"/>
          <w:szCs w:val="36"/>
          <w:highlight w:val="none"/>
          <w:lang w:val="en-US" w:eastAsia="zh-CN" w:bidi="ar"/>
        </w:rPr>
        <w:t>A critical assessment of a peer-reviewed research article</w:t>
      </w:r>
    </w:p>
    <w:p w14:paraId="6046DF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Regular" w:hAnsi="Times New Roman Regular" w:eastAsia="宋体" w:cs="Times New Roman Regular"/>
          <w:b/>
          <w:bCs/>
          <w:kern w:val="2"/>
          <w:sz w:val="22"/>
          <w:szCs w:val="22"/>
          <w:highlight w:val="none"/>
          <w:lang w:val="en-US" w:eastAsia="zh-CN" w:bidi="ar"/>
        </w:rPr>
      </w:pPr>
      <w:r>
        <w:rPr>
          <w:rFonts w:hint="default" w:ascii="Times New Roman Regular" w:hAnsi="Times New Roman Regular" w:eastAsia="宋体" w:cs="Times New Roman Regular"/>
          <w:b/>
          <w:bCs/>
          <w:kern w:val="2"/>
          <w:sz w:val="22"/>
          <w:szCs w:val="22"/>
          <w:highlight w:val="none"/>
          <w:lang w:val="en-US" w:eastAsia="zh-CN" w:bidi="ar"/>
        </w:rPr>
        <w:t>(Student Name: Doudou Hao        Student ID: 2323431)</w:t>
      </w:r>
    </w:p>
    <w:p w14:paraId="260A55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Regular" w:hAnsi="Times New Roman Regular" w:eastAsia="宋体" w:cs="Times New Roman Regular"/>
          <w:b/>
          <w:bCs/>
          <w:kern w:val="2"/>
          <w:sz w:val="22"/>
          <w:szCs w:val="22"/>
          <w:highlight w:val="none"/>
          <w:lang w:val="en-US" w:eastAsia="zh-CN" w:bidi="ar"/>
        </w:rPr>
      </w:pPr>
    </w:p>
    <w:p w14:paraId="6F257E08">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 xml:space="preserve">Title of assessed article: </w:t>
      </w:r>
      <w:bookmarkStart w:id="6" w:name="_GoBack"/>
      <w:bookmarkEnd w:id="6"/>
      <w:r>
        <w:rPr>
          <w:rFonts w:hint="default" w:ascii="Times New Roman Regular" w:hAnsi="Times New Roman Regular" w:eastAsia="宋体" w:cs="Times New Roman Regular"/>
          <w:kern w:val="2"/>
          <w:sz w:val="24"/>
          <w:szCs w:val="24"/>
          <w:highlight w:val="none"/>
          <w:lang w:val="en-US" w:eastAsia="zh-CN" w:bidi="ar"/>
        </w:rPr>
        <w:t>Chinese English Language Learners’ Vocabulary Retention: Investigating the Effectiveness of Neuro/metacognitive and socio-cultural Strategies</w:t>
      </w:r>
    </w:p>
    <w:p w14:paraId="25174BD1">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 xml:space="preserve">Author: </w:t>
      </w:r>
      <w:r>
        <w:rPr>
          <w:rFonts w:hint="default" w:ascii="Times New Roman Regular" w:hAnsi="Times New Roman Regular" w:eastAsia="宋体" w:cs="Times New Roman Regular"/>
          <w:kern w:val="2"/>
          <w:sz w:val="24"/>
          <w:szCs w:val="24"/>
          <w:highlight w:val="none"/>
          <w:lang w:val="en-US" w:eastAsia="zh-CN" w:bidi="ar"/>
        </w:rPr>
        <w:t>Wei Hu and Yipeng Luo</w:t>
      </w:r>
    </w:p>
    <w:p w14:paraId="6FCA9D34">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b/>
          <w:bCs/>
          <w:kern w:val="2"/>
          <w:sz w:val="24"/>
          <w:szCs w:val="24"/>
          <w:highlight w:val="none"/>
          <w:lang w:val="en-US" w:eastAsia="zh-CN" w:bidi="ar"/>
        </w:rPr>
        <w:t>Date of publication</w:t>
      </w:r>
      <w:r>
        <w:rPr>
          <w:rFonts w:hint="default" w:ascii="Times New Roman Regular" w:hAnsi="Times New Roman Regular" w:eastAsia="宋体" w:cs="Times New Roman Regular"/>
          <w:kern w:val="2"/>
          <w:sz w:val="24"/>
          <w:szCs w:val="24"/>
          <w:highlight w:val="none"/>
          <w:lang w:val="en-US" w:eastAsia="zh-CN" w:bidi="ar"/>
        </w:rPr>
        <w:t xml:space="preserve">: </w:t>
      </w:r>
      <w:r>
        <w:rPr>
          <w:rFonts w:hint="default" w:ascii="Times New Roman Regular" w:hAnsi="Times New Roman Regular" w:eastAsia="宋体" w:cs="Times New Roman Regular"/>
          <w:kern w:val="2"/>
          <w:sz w:val="24"/>
          <w:szCs w:val="24"/>
          <w:highlight w:val="none"/>
          <w:lang w:val="en-US" w:eastAsia="zh-CN" w:bidi="ar"/>
        </w:rPr>
        <w:t>1</w:t>
      </w:r>
      <w:r>
        <w:rPr>
          <w:rFonts w:hint="default" w:ascii="Times New Roman Regular" w:hAnsi="Times New Roman Regular" w:eastAsia="宋体" w:cs="Times New Roman Regular"/>
          <w:kern w:val="2"/>
          <w:sz w:val="24"/>
          <w:szCs w:val="24"/>
          <w:highlight w:val="none"/>
          <w:vertAlign w:val="superscript"/>
          <w:lang w:val="en-US" w:eastAsia="zh-CN" w:bidi="ar"/>
        </w:rPr>
        <w:t>st</w:t>
      </w:r>
      <w:r>
        <w:rPr>
          <w:rFonts w:hint="default" w:ascii="Times New Roman Regular" w:hAnsi="Times New Roman Regular" w:eastAsia="宋体" w:cs="Times New Roman Regular"/>
          <w:kern w:val="2"/>
          <w:sz w:val="24"/>
          <w:szCs w:val="24"/>
          <w:highlight w:val="none"/>
          <w:lang w:val="en-US" w:eastAsia="zh-CN" w:bidi="ar"/>
        </w:rPr>
        <w:t xml:space="preserve"> March 2024</w:t>
      </w:r>
    </w:p>
    <w:p w14:paraId="423A2A26">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p>
    <w:p w14:paraId="349E5C86">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Introduction</w:t>
      </w:r>
    </w:p>
    <w:p w14:paraId="43F359D5">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 xml:space="preserve">The assessed article pertains to the domains of neuro/metacognitive, socio-cultural, and multimedia learning theories. The authors employed strategies based on these theories and conducted a quasi-experiment with pretest/posttest involving experimental and control groups. This essay intends to critically assess the theories, methodology, and results of their research. Through a detailed presentation of previous studies, the hypotheses are put forward rationally, and the methodology is designed meticulously, thereby generating valid results. However, certain limitations exist regarding the exploration of interrelationships among theories, sample selection, and final data (there are only 33 participants in the final tests). Both the advantages and disadvantages of the research article will be discussed in detail. Hopefully, it will offer insights for our further studies as linguistic learners. </w:t>
      </w:r>
    </w:p>
    <w:p w14:paraId="350B4D5E">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p>
    <w:p w14:paraId="3465D167">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Question 1: scientific method / theoretical considerations</w:t>
      </w:r>
    </w:p>
    <w:p w14:paraId="281ADA08">
      <w:pPr>
        <w:keepNext w:val="0"/>
        <w:keepLines w:val="0"/>
        <w:widowControl w:val="0"/>
        <w:numPr>
          <w:ilvl w:val="0"/>
          <w:numId w:val="1"/>
        </w:numPr>
        <w:suppressLineNumbers w:val="0"/>
        <w:spacing w:before="0" w:beforeAutospacing="0" w:after="0" w:afterAutospacing="0"/>
        <w:ind w:left="0" w:right="0" w:firstLine="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What theory (or part of a theory) does the article aim to test?</w:t>
      </w:r>
    </w:p>
    <w:p w14:paraId="7114B47F">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4"/>
          <w:szCs w:val="24"/>
          <w:highlight w:val="none"/>
          <w:lang w:val="en-US"/>
        </w:rPr>
      </w:pPr>
      <w:bookmarkStart w:id="0" w:name="OLE_LINK3"/>
      <w:r>
        <w:rPr>
          <w:rFonts w:hint="default" w:ascii="Times New Roman Regular" w:hAnsi="Times New Roman Regular" w:eastAsia="宋体" w:cs="Times New Roman Regular"/>
          <w:kern w:val="2"/>
          <w:sz w:val="24"/>
          <w:szCs w:val="24"/>
          <w:highlight w:val="none"/>
          <w:lang w:val="en-US" w:eastAsia="zh-CN" w:bidi="ar"/>
        </w:rPr>
        <w:t xml:space="preserve">This research article incorporates a wide range of theories, including neurocognitive, multimedia learning, socio-cultural and metacognitive theories. It aims to evaluate the application of strategies derived from these theories in English vocabulary acquisition, specifically focusing on word recall (production) and recognition </w:t>
      </w:r>
      <w:r>
        <w:rPr>
          <w:rFonts w:hint="default" w:ascii="Times New Roman Regular" w:hAnsi="Times New Roman Regular" w:eastAsia="宋体" w:cs="Times New Roman Regular"/>
          <w:kern w:val="2"/>
          <w:sz w:val="24"/>
          <w:szCs w:val="24"/>
          <w:highlight w:val="none"/>
          <w:lang w:val="en-US" w:eastAsia="zh-CN" w:bidi="ar"/>
        </w:rPr>
        <w:t>(Hu and Luo, 2024).</w:t>
      </w:r>
      <w:r>
        <w:rPr>
          <w:rFonts w:hint="default" w:ascii="Times New Roman Regular" w:hAnsi="Times New Roman Regular" w:eastAsia="宋体" w:cs="Times New Roman Regular"/>
          <w:kern w:val="2"/>
          <w:sz w:val="24"/>
          <w:szCs w:val="24"/>
          <w:highlight w:val="none"/>
          <w:lang w:val="en-US" w:eastAsia="zh-CN" w:bidi="ar"/>
        </w:rPr>
        <w:t xml:space="preserve"> </w:t>
      </w:r>
      <w:bookmarkEnd w:id="0"/>
    </w:p>
    <w:p w14:paraId="7358543D">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 xml:space="preserve">The literature review introduces and elaborates on these theories by drawing upon various pertinent studies. </w:t>
      </w:r>
    </w:p>
    <w:p w14:paraId="4E245088">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p>
    <w:p w14:paraId="4BF0B692">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To begin with, the</w:t>
      </w:r>
      <w:r>
        <w:rPr>
          <w:rFonts w:hint="default" w:ascii="Times New Roman" w:hAnsi="Times New Roman" w:eastAsia="宋体" w:cs="Times New Roman"/>
          <w:b w:val="0"/>
          <w:bCs w:val="0"/>
          <w:kern w:val="2"/>
          <w:sz w:val="24"/>
          <w:szCs w:val="24"/>
          <w:highlight w:val="none"/>
          <w:lang w:val="en-US" w:eastAsia="zh-CN" w:bidi="ar"/>
        </w:rPr>
        <w:t xml:space="preserve"> </w:t>
      </w:r>
      <w:bookmarkStart w:id="1" w:name="OLE_LINK11"/>
      <w:r>
        <w:rPr>
          <w:rFonts w:hint="default" w:ascii="Times New Roman" w:hAnsi="Times New Roman" w:eastAsia="宋体" w:cs="Times New Roman"/>
          <w:b w:val="0"/>
          <w:bCs w:val="0"/>
          <w:kern w:val="2"/>
          <w:sz w:val="24"/>
          <w:szCs w:val="24"/>
          <w:highlight w:val="none"/>
          <w:lang w:val="en-US" w:eastAsia="zh-CN" w:bidi="ar"/>
        </w:rPr>
        <w:t>neurocognitive theory</w:t>
      </w:r>
      <w:bookmarkEnd w:id="1"/>
      <w:r>
        <w:rPr>
          <w:rFonts w:hint="default" w:ascii="Times New Roman" w:hAnsi="Times New Roman" w:eastAsia="宋体" w:cs="Times New Roman"/>
          <w:b w:val="0"/>
          <w:bCs w:val="0"/>
          <w:kern w:val="2"/>
          <w:sz w:val="24"/>
          <w:szCs w:val="24"/>
          <w:highlight w:val="none"/>
          <w:lang w:val="en-US" w:eastAsia="zh-CN" w:bidi="ar"/>
        </w:rPr>
        <w:t xml:space="preserve"> investigates the intricate interplay between brain function and language acquisition, emp</w:t>
      </w:r>
      <w:r>
        <w:rPr>
          <w:rFonts w:hint="default" w:ascii="Times New Roman Regular" w:hAnsi="Times New Roman Regular" w:eastAsia="宋体" w:cs="Times New Roman Regular"/>
          <w:kern w:val="2"/>
          <w:sz w:val="24"/>
          <w:szCs w:val="24"/>
          <w:highlight w:val="none"/>
          <w:lang w:val="en-US" w:eastAsia="zh-CN" w:bidi="ar"/>
        </w:rPr>
        <w:t xml:space="preserve">hasizing the impact of different levels of neural activity on language learning, thus laying a </w:t>
      </w:r>
      <w:r>
        <w:rPr>
          <w:rFonts w:hint="default" w:ascii="Times New Roman" w:hAnsi="Times New Roman" w:eastAsia="宋体" w:cs="Times New Roman"/>
          <w:b w:val="0"/>
          <w:bCs w:val="0"/>
          <w:kern w:val="2"/>
          <w:sz w:val="24"/>
          <w:szCs w:val="24"/>
          <w:highlight w:val="none"/>
          <w:lang w:val="en-US" w:eastAsia="zh-CN" w:bidi="ar"/>
        </w:rPr>
        <w:t>foundational framework for understanding the neural mechanisms underlying vocabulary acquisition (Turker, Seither-Preisler and Reiterer, 2021). Moreover, from a metacognitive perspective, metacognitive strategies will deepen the thinking-learning process in vocabulary from an advanced cognitive level. According to B R and V (2020), their study reflects the planning and decision-making function of metacognition in vocabulary learning, helping learners select appropriate learning content. Besides, sociocultural theory has a significant impact on second language learning. According to Petronella and Gerhard (2022), it emphasizes the socially mediated nature of knowledge construction, affects the learning process through object regulation, social interaction regulation, and self-regulation, and is related to learners' emotion management, promoting learners to develop from social interaction to self-regulation to improve their second language ability. As a final point, Mayer (2014) defines multimedia learning as learning through words and pictures, where the words are usually in some form of explanatory text (such as narrative or written), and the pictures can be dynamic (such as animations, videos) or static (such as photos, charts). The multimedia teaching theory developed from it hol</w:t>
      </w:r>
      <w:r>
        <w:rPr>
          <w:rFonts w:hint="default" w:ascii="Times New Roman Regular" w:hAnsi="Times New Roman Regular" w:eastAsia="宋体" w:cs="Times New Roman Regular"/>
          <w:kern w:val="2"/>
          <w:sz w:val="24"/>
          <w:szCs w:val="24"/>
          <w:highlight w:val="none"/>
          <w:lang w:val="en-US" w:eastAsia="zh-CN" w:bidi="ar"/>
        </w:rPr>
        <w:t xml:space="preserve">ds that the combination of words and images could enhance learning efficiency for it could reduce the cognitive load of multiple sensory channels </w:t>
      </w:r>
      <w:r>
        <w:rPr>
          <w:rFonts w:hint="default" w:ascii="Times New Roman Regular" w:hAnsi="Times New Roman Regular" w:eastAsia="宋体" w:cs="Times New Roman Regular"/>
          <w:kern w:val="2"/>
          <w:sz w:val="24"/>
          <w:szCs w:val="24"/>
          <w:highlight w:val="none"/>
          <w:lang w:val="en-US" w:eastAsia="zh-CN" w:bidi="ar"/>
        </w:rPr>
        <w:t>(Ayres, 2015).</w:t>
      </w:r>
      <w:r>
        <w:rPr>
          <w:rFonts w:hint="default" w:ascii="Times New Roman Regular" w:hAnsi="Times New Roman Regular" w:eastAsia="宋体" w:cs="Times New Roman Regular"/>
          <w:kern w:val="2"/>
          <w:sz w:val="24"/>
          <w:szCs w:val="24"/>
          <w:highlight w:val="none"/>
          <w:lang w:val="en-US" w:eastAsia="zh-CN" w:bidi="ar"/>
        </w:rPr>
        <w:t xml:space="preserve"> </w:t>
      </w:r>
    </w:p>
    <w:p w14:paraId="007B6ACE">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p>
    <w:p w14:paraId="5962CCCF">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4874CB"/>
          <w:kern w:val="2"/>
          <w:sz w:val="24"/>
          <w:szCs w:val="24"/>
          <w:highlight w:val="none"/>
          <w:lang w:val="en-US" w:eastAsia="zh-CN" w:bidi="ar"/>
        </w:rPr>
      </w:pPr>
      <w:r>
        <w:rPr>
          <w:rFonts w:hint="default" w:ascii="Times New Roman Regular" w:hAnsi="Times New Roman Regular" w:eastAsia="宋体" w:cs="Times New Roman Regular"/>
          <w:b/>
          <w:bCs/>
          <w:color w:val="000000"/>
          <w:kern w:val="2"/>
          <w:sz w:val="24"/>
          <w:szCs w:val="24"/>
          <w:highlight w:val="none"/>
          <w:lang w:val="en-US" w:eastAsia="zh-CN" w:bidi="ar"/>
        </w:rPr>
        <w:t>Critiques</w:t>
      </w:r>
      <w:r>
        <w:rPr>
          <w:rFonts w:hint="default" w:ascii="Times New Roman Regular" w:hAnsi="Times New Roman Regular" w:eastAsia="宋体" w:cs="Times New Roman Regular"/>
          <w:color w:val="000000"/>
          <w:kern w:val="2"/>
          <w:sz w:val="24"/>
          <w:szCs w:val="24"/>
          <w:highlight w:val="none"/>
          <w:lang w:val="en-US" w:eastAsia="zh-CN" w:bidi="ar"/>
        </w:rPr>
        <w:t xml:space="preserve">: The theories covered in this research are rich and comprehensive, showing the authors’ endeavor and in-depth understanding of this topic. Moreover, the theories back up the aim of this research. When elaborating the theories, the authors widely cited research findings in relevant fields, enhancing the credibility and scientific nature of the theoretical framework. For instance, when explicating metacognitive theory, Mathias’s sensory-motor learning mechanism, Hartman’s notetaking and vocabulary search strategy and Borkowski’s multilinguistic awareness were introduced to verify the rationale of metacognitive theory in language, especially vocabulary, learning </w:t>
      </w:r>
      <w:r>
        <w:rPr>
          <w:rFonts w:hint="default" w:ascii="Times New Roman Regular" w:hAnsi="Times New Roman Regular" w:eastAsia="宋体" w:cs="Times New Roman Regular"/>
          <w:color w:val="000000"/>
          <w:kern w:val="2"/>
          <w:sz w:val="24"/>
          <w:szCs w:val="24"/>
          <w:highlight w:val="none"/>
          <w:lang w:val="en-US" w:eastAsia="zh-CN" w:bidi="ar"/>
        </w:rPr>
        <w:t>(Hu and Luo, 2024).</w:t>
      </w:r>
      <w:r>
        <w:rPr>
          <w:rFonts w:hint="default" w:ascii="Times New Roman Regular" w:hAnsi="Times New Roman Regular" w:eastAsia="宋体" w:cs="Times New Roman Regular"/>
          <w:color w:val="4874CB"/>
          <w:kern w:val="2"/>
          <w:sz w:val="24"/>
          <w:szCs w:val="24"/>
          <w:highlight w:val="none"/>
          <w:lang w:val="en-US" w:eastAsia="zh-CN" w:bidi="ar"/>
        </w:rPr>
        <w:t xml:space="preserve">   </w:t>
      </w:r>
    </w:p>
    <w:p w14:paraId="1D62AF59">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color w:val="000000"/>
          <w:sz w:val="24"/>
          <w:szCs w:val="24"/>
          <w:highlight w:val="none"/>
          <w:lang w:val="en-US"/>
        </w:rPr>
      </w:pPr>
      <w:r>
        <w:rPr>
          <w:rFonts w:hint="default" w:ascii="Times New Roman Regular" w:hAnsi="Times New Roman Regular" w:eastAsia="宋体" w:cs="Times New Roman Regular"/>
          <w:color w:val="4874CB"/>
          <w:kern w:val="2"/>
          <w:sz w:val="24"/>
          <w:szCs w:val="24"/>
          <w:highlight w:val="none"/>
          <w:lang w:val="en-US" w:eastAsia="zh-CN" w:bidi="ar"/>
        </w:rPr>
        <w:t xml:space="preserve">   </w:t>
      </w:r>
    </w:p>
    <w:p w14:paraId="0180998E">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r>
        <w:rPr>
          <w:rFonts w:hint="default" w:ascii="Times New Roman Regular" w:hAnsi="Times New Roman Regular" w:eastAsia="宋体" w:cs="Times New Roman Regular"/>
          <w:color w:val="000000"/>
          <w:kern w:val="2"/>
          <w:sz w:val="24"/>
          <w:szCs w:val="24"/>
          <w:highlight w:val="none"/>
          <w:lang w:val="en-US" w:eastAsia="zh-CN" w:bidi="ar"/>
        </w:rPr>
        <w:t>However, there is an obvious deficiency in elaborating the interrelationships among these theories. Although each theory is mentioned simultaneously in the study, the synergistic mechanism among them has not been analyzed. It is difficult for readers to clearly understand from the text how these different factors at various levels are intertwined and interact in vocabulary learning.</w:t>
      </w:r>
      <w:r>
        <w:rPr>
          <w:rFonts w:hint="default" w:ascii="Times New Roman Regular" w:hAnsi="Times New Roman Regular" w:eastAsia="宋体" w:cs="Times New Roman Regular"/>
          <w:color w:val="4874CB"/>
          <w:kern w:val="2"/>
          <w:sz w:val="24"/>
          <w:szCs w:val="24"/>
          <w:highlight w:val="none"/>
          <w:lang w:val="en-US" w:eastAsia="zh-CN" w:bidi="ar"/>
        </w:rPr>
        <w:t xml:space="preserve"> </w:t>
      </w:r>
      <w:r>
        <w:rPr>
          <w:rFonts w:hint="default" w:ascii="Times New Roman Regular" w:hAnsi="Times New Roman Regular" w:eastAsia="宋体" w:cs="Times New Roman Regular"/>
          <w:color w:val="000000"/>
          <w:kern w:val="2"/>
          <w:sz w:val="24"/>
          <w:szCs w:val="24"/>
          <w:highlight w:val="none"/>
          <w:lang w:val="en-US" w:eastAsia="zh-CN" w:bidi="ar"/>
        </w:rPr>
        <w:t>In what order or manner do they jointly act on each stage of vocabulary learning? Whether the result will be affected because of interference among strategies because they are implemented almost simultaneously? The authors seem to just focus on the positive interrelationships among theories to gain favorable results, which is understandable but the interaction among theories should be considered as it would potentially affect participants’ performance.</w:t>
      </w:r>
      <w:bookmarkStart w:id="2" w:name="OLE_LINK5"/>
      <w:r>
        <w:rPr>
          <w:rFonts w:hint="default" w:ascii="Times New Roman Regular" w:hAnsi="Times New Roman Regular" w:eastAsia="宋体" w:cs="Times New Roman Regular"/>
          <w:color w:val="000000"/>
          <w:kern w:val="2"/>
          <w:sz w:val="24"/>
          <w:szCs w:val="24"/>
          <w:highlight w:val="none"/>
          <w:lang w:val="en-US" w:eastAsia="zh-CN" w:bidi="ar"/>
        </w:rPr>
        <w:t xml:space="preserve"> In this case, the entire theoretical framework seemingly is a simple superposition of multiple theories rather than an organically integrated whole, thus affecting readers' understanding of the research theories.</w:t>
      </w:r>
      <w:bookmarkEnd w:id="2"/>
    </w:p>
    <w:p w14:paraId="387AD4E5">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p>
    <w:p w14:paraId="2C87C03F">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 xml:space="preserve">b) What specific predictions of that theory are being tested? </w:t>
      </w:r>
    </w:p>
    <w:p w14:paraId="21D4671F">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color w:val="000000"/>
          <w:sz w:val="24"/>
          <w:szCs w:val="24"/>
          <w:highlight w:val="none"/>
          <w:lang w:val="en-US"/>
        </w:rPr>
      </w:pPr>
      <w:r>
        <w:rPr>
          <w:rFonts w:hint="default" w:ascii="Times New Roman Regular" w:hAnsi="Times New Roman Regular" w:eastAsia="宋体" w:cs="Times New Roman Regular"/>
          <w:color w:val="000000"/>
          <w:kern w:val="2"/>
          <w:sz w:val="24"/>
          <w:szCs w:val="24"/>
          <w:highlight w:val="none"/>
          <w:lang w:val="en-US" w:eastAsia="zh-CN" w:bidi="ar"/>
        </w:rPr>
        <w:t>There are two hypotheses in this research:</w:t>
      </w:r>
    </w:p>
    <w:p w14:paraId="2CAB7E2C">
      <w:pPr>
        <w:keepNext w:val="0"/>
        <w:keepLines w:val="0"/>
        <w:widowControl w:val="0"/>
        <w:numPr>
          <w:ilvl w:val="0"/>
          <w:numId w:val="2"/>
        </w:numPr>
        <w:suppressLineNumbers w:val="0"/>
        <w:spacing w:before="0" w:beforeAutospacing="0" w:after="0" w:afterAutospacing="0"/>
        <w:ind w:left="0" w:right="0" w:firstLine="420"/>
        <w:jc w:val="both"/>
        <w:rPr>
          <w:rFonts w:hint="default" w:ascii="Times New Roman Regular" w:hAnsi="Times New Roman Regular" w:cs="Times New Roman Regular"/>
          <w:color w:val="000000"/>
          <w:sz w:val="24"/>
          <w:szCs w:val="24"/>
          <w:highlight w:val="none"/>
          <w:lang w:val="en-US"/>
        </w:rPr>
      </w:pPr>
      <w:r>
        <w:rPr>
          <w:rFonts w:hint="default" w:ascii="Times New Roman Regular" w:hAnsi="Times New Roman Regular" w:eastAsia="宋体" w:cs="Times New Roman Regular"/>
          <w:color w:val="000000"/>
          <w:kern w:val="2"/>
          <w:sz w:val="24"/>
          <w:szCs w:val="24"/>
          <w:highlight w:val="none"/>
          <w:lang w:val="en-US" w:eastAsia="zh-CN" w:bidi="ar"/>
        </w:rPr>
        <w:t xml:space="preserve">Neurocognitive, metacognitive, and socio-cultural teaching strategies have a significant impact on Chinese learners' vocabulary production. </w:t>
      </w:r>
    </w:p>
    <w:p w14:paraId="4FCD9731">
      <w:pPr>
        <w:keepNext w:val="0"/>
        <w:keepLines w:val="0"/>
        <w:widowControl w:val="0"/>
        <w:numPr>
          <w:ilvl w:val="0"/>
          <w:numId w:val="2"/>
        </w:numPr>
        <w:suppressLineNumbers w:val="0"/>
        <w:spacing w:before="0" w:beforeAutospacing="0" w:after="0" w:afterAutospacing="0"/>
        <w:ind w:left="0" w:right="0" w:firstLine="420"/>
        <w:jc w:val="both"/>
        <w:rPr>
          <w:rFonts w:hint="default" w:ascii="Times New Roman Regular" w:hAnsi="Times New Roman Regular" w:cs="Times New Roman Regular"/>
          <w:color w:val="000000"/>
          <w:sz w:val="24"/>
          <w:szCs w:val="24"/>
          <w:highlight w:val="none"/>
          <w:lang w:val="en-US"/>
        </w:rPr>
      </w:pPr>
      <w:r>
        <w:rPr>
          <w:rFonts w:hint="default" w:ascii="Times New Roman Regular" w:hAnsi="Times New Roman Regular" w:eastAsia="宋体" w:cs="Times New Roman Regular"/>
          <w:color w:val="000000"/>
          <w:kern w:val="2"/>
          <w:sz w:val="24"/>
          <w:szCs w:val="24"/>
          <w:highlight w:val="none"/>
          <w:lang w:val="en-US" w:eastAsia="zh-CN" w:bidi="ar"/>
        </w:rPr>
        <w:t>Neurocognitive, metacognitive, and socio-cultural teaching strategies have a significant impact on vocabulary recognition.</w:t>
      </w:r>
    </w:p>
    <w:p w14:paraId="1D27AEA5">
      <w:pPr>
        <w:keepNext w:val="0"/>
        <w:keepLines w:val="0"/>
        <w:widowControl w:val="0"/>
        <w:numPr>
          <w:numId w:val="0"/>
        </w:numPr>
        <w:suppressLineNumbers w:val="0"/>
        <w:spacing w:before="0" w:beforeAutospacing="0" w:after="0" w:afterAutospacing="0"/>
        <w:ind w:left="420" w:leftChars="0" w:right="0" w:rightChars="0"/>
        <w:jc w:val="both"/>
        <w:rPr>
          <w:rFonts w:hint="default" w:ascii="Times New Roman Regular" w:hAnsi="Times New Roman Regular" w:cs="Times New Roman Regular"/>
          <w:color w:val="000000"/>
          <w:sz w:val="24"/>
          <w:szCs w:val="24"/>
          <w:highlight w:val="none"/>
          <w:lang w:val="en-US"/>
        </w:rPr>
      </w:pPr>
    </w:p>
    <w:p w14:paraId="271C8D3D">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r>
        <w:rPr>
          <w:rFonts w:hint="default" w:ascii="Times New Roman Regular" w:hAnsi="Times New Roman Regular" w:eastAsia="宋体" w:cs="Times New Roman Regular"/>
          <w:color w:val="000000"/>
          <w:kern w:val="2"/>
          <w:sz w:val="24"/>
          <w:szCs w:val="24"/>
          <w:highlight w:val="none"/>
          <w:lang w:val="en-US" w:eastAsia="zh-CN" w:bidi="ar"/>
        </w:rPr>
        <w:t>Hu and Luo (2024)</w:t>
      </w:r>
      <w:r>
        <w:rPr>
          <w:rFonts w:hint="default" w:ascii="Times New Roman Regular" w:hAnsi="Times New Roman Regular" w:eastAsia="宋体" w:cs="Times New Roman Regular"/>
          <w:color w:val="000000"/>
          <w:kern w:val="2"/>
          <w:sz w:val="24"/>
          <w:szCs w:val="24"/>
          <w:highlight w:val="none"/>
          <w:lang w:val="en-US" w:eastAsia="zh-CN" w:bidi="ar"/>
        </w:rPr>
        <w:t xml:space="preserve"> propose these hypotheses based on the assumptions from the theories. According to the neurocognitive perspective, the relevant regions of our brain and sensory channels will be activated in storing and recalling vocabulary, thus promoting</w:t>
      </w:r>
      <w:r>
        <w:rPr>
          <w:rFonts w:hint="default" w:ascii="Times New Roman" w:hAnsi="Times New Roman" w:eastAsia="宋体" w:cs="Times New Roman"/>
          <w:b w:val="0"/>
          <w:bCs w:val="0"/>
          <w:color w:val="000000"/>
          <w:kern w:val="2"/>
          <w:sz w:val="24"/>
          <w:szCs w:val="24"/>
          <w:highlight w:val="none"/>
          <w:lang w:val="en-US" w:eastAsia="zh-CN" w:bidi="ar"/>
        </w:rPr>
        <w:t xml:space="preserve"> vocabulary production</w:t>
      </w:r>
      <w:r>
        <w:rPr>
          <w:rFonts w:hint="default" w:ascii="Times New Roman Regular" w:hAnsi="Times New Roman Regular" w:eastAsia="宋体" w:cs="Times New Roman Regular"/>
          <w:color w:val="000000"/>
          <w:kern w:val="2"/>
          <w:sz w:val="24"/>
          <w:szCs w:val="24"/>
          <w:highlight w:val="none"/>
          <w:lang w:val="en-US" w:eastAsia="zh-CN" w:bidi="ar"/>
        </w:rPr>
        <w:t>. Moreover, the multimedia theory states that there are limitations for sensory channels in our brain, thus implementing both visual and auditorial learning strategies will be beneficial for language learners. This could also be supported by the multisensory method of metacognition theory. It studies the cognitive process in language learning, indicating that vocabulary learning can be enhanced by increasing awareness. Students can monitor and adjust their learning process, thus creating better outcomes. The sociocultural theory stresses the importance of social interaction and cultural context, indicating that communication, collaboration, and cultural integration will shape vocabulary development. Based on these assumptions, the hypotheses are reasonably and logically proposed.</w:t>
      </w:r>
    </w:p>
    <w:p w14:paraId="298084B7">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p>
    <w:p w14:paraId="48E9C0F5">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Question 2: methodology</w:t>
      </w:r>
    </w:p>
    <w:p w14:paraId="3DFEB3C4">
      <w:pPr>
        <w:keepNext w:val="0"/>
        <w:keepLines w:val="0"/>
        <w:widowControl w:val="0"/>
        <w:numPr>
          <w:ilvl w:val="0"/>
          <w:numId w:val="3"/>
        </w:numPr>
        <w:suppressLineNumbers w:val="0"/>
        <w:spacing w:before="0" w:beforeAutospacing="0" w:after="0" w:afterAutospacing="0"/>
        <w:ind w:left="0" w:right="0" w:firstLine="0"/>
        <w:jc w:val="both"/>
        <w:rPr>
          <w:rFonts w:hint="default" w:ascii="Times New Roman Regular" w:hAnsi="Times New Roman Regular" w:cs="Times New Roman Regular"/>
          <w:b/>
          <w:bCs/>
          <w:color w:val="000000"/>
          <w:sz w:val="24"/>
          <w:szCs w:val="24"/>
          <w:highlight w:val="none"/>
          <w:lang w:val="en-US"/>
        </w:rPr>
      </w:pPr>
      <w:r>
        <w:rPr>
          <w:rFonts w:hint="default" w:ascii="Times New Roman Regular" w:hAnsi="Times New Roman Regular" w:eastAsia="宋体" w:cs="Times New Roman Regular"/>
          <w:b/>
          <w:bCs/>
          <w:color w:val="000000"/>
          <w:kern w:val="2"/>
          <w:sz w:val="24"/>
          <w:szCs w:val="24"/>
          <w:highlight w:val="none"/>
          <w:lang w:val="en-US" w:eastAsia="zh-CN" w:bidi="ar"/>
        </w:rPr>
        <w:t>What specific methodology is being used in order to test the prediction(s) / hypothesis?</w:t>
      </w:r>
    </w:p>
    <w:p w14:paraId="54B2499E">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r>
        <w:rPr>
          <w:rFonts w:hint="default" w:ascii="Times New Roman Regular" w:hAnsi="Times New Roman Regular" w:eastAsia="宋体" w:cs="Times New Roman Regular"/>
          <w:b/>
          <w:bCs/>
          <w:color w:val="000000"/>
          <w:kern w:val="2"/>
          <w:sz w:val="24"/>
          <w:szCs w:val="24"/>
          <w:highlight w:val="none"/>
          <w:lang w:val="en-US" w:eastAsia="zh-CN" w:bidi="ar"/>
        </w:rPr>
        <w:t xml:space="preserve">Methodology: </w:t>
      </w:r>
      <w:r>
        <w:rPr>
          <w:rFonts w:hint="default" w:ascii="Times New Roman Regular" w:hAnsi="Times New Roman Regular" w:eastAsia="宋体" w:cs="Times New Roman Regular"/>
          <w:color w:val="000000"/>
          <w:kern w:val="2"/>
          <w:sz w:val="24"/>
          <w:szCs w:val="24"/>
          <w:highlight w:val="none"/>
          <w:lang w:val="en-US" w:eastAsia="zh-CN" w:bidi="ar"/>
        </w:rPr>
        <w:t xml:space="preserve">This study adopted a quantitative research method. It sets a quasi-experiment involving a pretest-posttest design. The sample size is 90. They are English learners aged 20-24 at an intermediate language level (1B) from a Chinese university. The students were randomly assigned to an experimental group (n = 45) and a control group (n = 45). The independent variable in this context is the strategies used, while the dependent variables are the production and recognition of vocabulary of CEFLs. During the implementation phase, the experimental group received instructional interventions based on the theories, while the control group used traditional teaching methods. </w:t>
      </w:r>
    </w:p>
    <w:p w14:paraId="1D82FC66">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p>
    <w:p w14:paraId="5682754D">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r>
        <w:rPr>
          <w:rFonts w:hint="default" w:ascii="Times New Roman Regular" w:hAnsi="Times New Roman Regular" w:eastAsia="宋体" w:cs="Times New Roman Regular"/>
          <w:color w:val="000000"/>
          <w:kern w:val="2"/>
          <w:sz w:val="24"/>
          <w:szCs w:val="24"/>
          <w:highlight w:val="none"/>
          <w:lang w:val="en-US" w:eastAsia="zh-CN" w:bidi="ar"/>
        </w:rPr>
        <w:t xml:space="preserve">The instructional interventions were designed by integrating diverse teaching methods from different theoretical bases. Specifically, note-taking and vocabulary search (metacognitive theory), rotation and storytelling (socio-cultural theory), audiovisual teaching and close-eye drawing (multimedia learning theory). The interventions were conducted in 45-minute sessions before the posttest </w:t>
      </w:r>
      <w:r>
        <w:rPr>
          <w:rFonts w:hint="default" w:ascii="Times New Roman Regular" w:hAnsi="Times New Roman Regular" w:eastAsia="宋体" w:cs="Times New Roman Regular"/>
          <w:color w:val="000000"/>
          <w:kern w:val="2"/>
          <w:sz w:val="24"/>
          <w:szCs w:val="24"/>
          <w:highlight w:val="none"/>
          <w:lang w:val="en-US" w:eastAsia="zh-CN" w:bidi="ar"/>
        </w:rPr>
        <w:t>(Hu and Luo, 2024)</w:t>
      </w:r>
      <w:r>
        <w:rPr>
          <w:rFonts w:hint="default" w:ascii="Times New Roman Regular" w:hAnsi="Times New Roman Regular" w:eastAsia="宋体" w:cs="Times New Roman Regular"/>
          <w:color w:val="000000"/>
          <w:kern w:val="2"/>
          <w:sz w:val="24"/>
          <w:szCs w:val="24"/>
          <w:highlight w:val="none"/>
          <w:lang w:val="en-US" w:eastAsia="zh-CN" w:bidi="ar"/>
        </w:rPr>
        <w:t xml:space="preserve">. </w:t>
      </w:r>
    </w:p>
    <w:p w14:paraId="6C2584D1">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p>
    <w:p w14:paraId="3AF91B87">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r>
        <w:rPr>
          <w:rFonts w:hint="default" w:ascii="Times New Roman Regular" w:hAnsi="Times New Roman Regular" w:eastAsia="宋体" w:cs="Times New Roman Regular"/>
          <w:b/>
          <w:bCs/>
          <w:color w:val="000000"/>
          <w:kern w:val="2"/>
          <w:sz w:val="24"/>
          <w:szCs w:val="24"/>
          <w:highlight w:val="none"/>
          <w:lang w:val="en-US" w:eastAsia="zh-CN" w:bidi="ar"/>
        </w:rPr>
        <w:t>Data Analysis:</w:t>
      </w:r>
      <w:r>
        <w:rPr>
          <w:rFonts w:hint="default" w:ascii="Times New Roman Regular" w:hAnsi="Times New Roman Regular" w:eastAsia="宋体" w:cs="Times New Roman Regular"/>
          <w:color w:val="000000"/>
          <w:kern w:val="2"/>
          <w:sz w:val="24"/>
          <w:szCs w:val="24"/>
          <w:highlight w:val="none"/>
          <w:lang w:val="en-US" w:eastAsia="zh-CN" w:bidi="ar"/>
        </w:rPr>
        <w:t xml:space="preserve"> The research collected the pretest and posttest scores from two groups of students. Based on their rigorous selection criteria, 33 participants were encompassed in the final analysis. For data analysis, SPSS software was used for multivariate analysis of covariance (MANCOVA) and univariate analysis of covariance. MANCOVA mainly controlled the pretest effect and other variables to comprehensively evaluate the intervention's impact on vocabulary learning. Univariate analysis of covariance focused on finding differences in vocabulary production and recognition between the groups. The Bland-Atman plot was used to analyze within-group changes.</w:t>
      </w:r>
    </w:p>
    <w:p w14:paraId="3EB75771">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p>
    <w:p w14:paraId="34106DA3">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r>
        <w:rPr>
          <w:rFonts w:hint="default" w:ascii="Times New Roman Regular" w:hAnsi="Times New Roman Regular" w:eastAsia="宋体" w:cs="Times New Roman Regular"/>
          <w:b/>
          <w:bCs/>
          <w:color w:val="000000"/>
          <w:kern w:val="2"/>
          <w:sz w:val="24"/>
          <w:szCs w:val="24"/>
          <w:highlight w:val="none"/>
          <w:lang w:val="en-US" w:eastAsia="zh-CN" w:bidi="ar"/>
        </w:rPr>
        <w:t xml:space="preserve">Critiques: </w:t>
      </w:r>
      <w:r>
        <w:rPr>
          <w:rFonts w:hint="default" w:ascii="Times New Roman Regular" w:hAnsi="Times New Roman Regular" w:eastAsia="宋体" w:cs="Times New Roman Regular"/>
          <w:color w:val="000000"/>
          <w:kern w:val="2"/>
          <w:sz w:val="24"/>
          <w:szCs w:val="24"/>
          <w:highlight w:val="none"/>
          <w:lang w:val="en-US" w:eastAsia="zh-CN" w:bidi="ar"/>
        </w:rPr>
        <w:t xml:space="preserve">The research methodology demonstrates several notable strengths. Firstly, the experimental design is rationally constructed. A quasi-experiment explores causal relationships and related validities through various design elements and analyses, providing valuable information for research, and is widely adopted in social and linguistics studies </w:t>
      </w:r>
      <w:r>
        <w:rPr>
          <w:rFonts w:hint="default" w:ascii="Times New Roman Regular" w:hAnsi="Times New Roman Regular" w:eastAsia="宋体" w:cs="Times New Roman Regular"/>
          <w:color w:val="000000"/>
          <w:kern w:val="2"/>
          <w:sz w:val="24"/>
          <w:szCs w:val="24"/>
          <w:highlight w:val="none"/>
          <w:lang w:val="en-US" w:eastAsia="zh-CN" w:bidi="ar"/>
        </w:rPr>
        <w:t>(Shadish and Cook, 1999)</w:t>
      </w:r>
      <w:r>
        <w:rPr>
          <w:rFonts w:hint="default" w:ascii="Times New Roman Regular" w:hAnsi="Times New Roman Regular" w:eastAsia="宋体" w:cs="Times New Roman Regular"/>
          <w:color w:val="000000"/>
          <w:kern w:val="2"/>
          <w:sz w:val="24"/>
          <w:szCs w:val="24"/>
          <w:highlight w:val="none"/>
          <w:lang w:val="en-US" w:eastAsia="zh-CN" w:bidi="ar"/>
        </w:rPr>
        <w:t xml:space="preserve">. In this case, the authors collect comparative data to verify the influences of diverse teaching methodologies on vocabulary acquisition and it provides valid and comprehensive data support for the research. Secondly, the sample exhibits a certain degree of representativeness with reasonable selection criteria. Thirdly, the data analysis tools employed in this research are reliable and valid. </w:t>
      </w:r>
      <w:bookmarkStart w:id="3" w:name="OLE_LINK6"/>
      <w:r>
        <w:rPr>
          <w:rFonts w:hint="default" w:ascii="Times New Roman Regular" w:hAnsi="Times New Roman Regular" w:eastAsia="宋体" w:cs="Times New Roman Regular"/>
          <w:color w:val="000000"/>
          <w:kern w:val="2"/>
          <w:sz w:val="24"/>
          <w:szCs w:val="24"/>
          <w:highlight w:val="none"/>
          <w:lang w:val="en-US" w:eastAsia="zh-CN" w:bidi="ar"/>
        </w:rPr>
        <w:t xml:space="preserve">The vocabulary test, which includes sixty questions divided into recall and recognition segments, has its validity substantiated through expert content validation (with a CVR of 0.62), and a calculated reliability coefficient of 0.73, thereby indicating a relatively high level of reliability. </w:t>
      </w:r>
    </w:p>
    <w:p w14:paraId="72F7F24E">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p>
    <w:bookmarkEnd w:id="3"/>
    <w:p w14:paraId="5772938E">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r>
        <w:rPr>
          <w:rFonts w:hint="default" w:ascii="Times New Roman Regular" w:hAnsi="Times New Roman Regular" w:eastAsia="宋体" w:cs="Times New Roman Regular"/>
          <w:color w:val="000000"/>
          <w:kern w:val="2"/>
          <w:sz w:val="24"/>
          <w:szCs w:val="24"/>
          <w:highlight w:val="none"/>
          <w:lang w:val="en-US" w:eastAsia="zh-CN" w:bidi="ar"/>
        </w:rPr>
        <w:t xml:space="preserve">Nevertheless, the study has some limitations regarding its sample selection and duration of intervention. The sample size is restricted because only 33 learners are incorporated into the final analysis, and they are from one university in one region. This relatively limited sample size has the potential to impede the universality and stability of the research findings. Moreover, In the context of multi-factor analysis, the insufficient sample size may reduce the statistical power. Furthermore, the duration of the experimental intervention is relatively short. With merely eight teaching interventions implemented in a 45-minute session, it may be inadequate to explore the long-term pedagogical effects, jeopardizing the accuracy and reliability of the long-term effects of specific strategies. Finally, the adoption of a quantitative teaching method provides accurate data which is easy to testify, but the reason behind the nuance is neglected for such a short-term study.  </w:t>
      </w:r>
    </w:p>
    <w:p w14:paraId="232DAF0A">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color w:val="000000"/>
          <w:kern w:val="2"/>
          <w:sz w:val="24"/>
          <w:szCs w:val="24"/>
          <w:highlight w:val="none"/>
          <w:lang w:val="en-US" w:eastAsia="zh-CN" w:bidi="ar"/>
        </w:rPr>
      </w:pPr>
    </w:p>
    <w:p w14:paraId="68AA926A">
      <w:pPr>
        <w:keepNext w:val="0"/>
        <w:keepLines w:val="0"/>
        <w:widowControl w:val="0"/>
        <w:numPr>
          <w:ilvl w:val="0"/>
          <w:numId w:val="3"/>
        </w:numPr>
        <w:suppressLineNumbers w:val="0"/>
        <w:spacing w:before="0" w:beforeAutospacing="0" w:after="0" w:afterAutospacing="0"/>
        <w:ind w:left="0" w:right="0" w:firstLine="0"/>
        <w:jc w:val="both"/>
        <w:rPr>
          <w:rFonts w:hint="default" w:ascii="Times New Roman Regular" w:hAnsi="Times New Roman Regular" w:cs="Times New Roman Regular"/>
          <w:color w:val="000000"/>
          <w:sz w:val="24"/>
          <w:szCs w:val="24"/>
          <w:highlight w:val="none"/>
          <w:lang w:val="en-US"/>
        </w:rPr>
      </w:pPr>
      <w:r>
        <w:rPr>
          <w:rFonts w:hint="default" w:ascii="Times New Roman Regular" w:hAnsi="Times New Roman Regular" w:eastAsia="宋体" w:cs="Times New Roman Regular"/>
          <w:b/>
          <w:bCs/>
          <w:color w:val="000000"/>
          <w:kern w:val="2"/>
          <w:sz w:val="24"/>
          <w:szCs w:val="24"/>
          <w:highlight w:val="none"/>
          <w:lang w:val="en-US" w:eastAsia="zh-CN" w:bidi="ar"/>
        </w:rPr>
        <w:t>What alternative methodology could have been used? Provide arguments in support of your answer.</w:t>
      </w:r>
    </w:p>
    <w:p w14:paraId="08CE98E4">
      <w:pPr>
        <w:keepNext w:val="0"/>
        <w:keepLines w:val="0"/>
        <w:widowControl/>
        <w:suppressLineNumbers w:val="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color w:val="000000"/>
          <w:kern w:val="2"/>
          <w:sz w:val="24"/>
          <w:szCs w:val="24"/>
          <w:highlight w:val="none"/>
          <w:lang w:val="en-US" w:eastAsia="zh-CN" w:bidi="ar"/>
        </w:rPr>
        <w:t>As a supplement to the original test method, a mixed research method could be implied in this context.</w:t>
      </w:r>
      <w:r>
        <w:rPr>
          <w:rFonts w:hint="default" w:ascii="Times New Roman Regular" w:hAnsi="Times New Roman Regular" w:eastAsia="宋体" w:cs="Times New Roman Regular"/>
          <w:color w:val="4874CB"/>
          <w:kern w:val="2"/>
          <w:sz w:val="24"/>
          <w:szCs w:val="24"/>
          <w:highlight w:val="none"/>
          <w:lang w:val="en-US" w:eastAsia="zh-CN" w:bidi="ar"/>
        </w:rPr>
        <w:t xml:space="preserve"> </w:t>
      </w:r>
      <w:r>
        <w:rPr>
          <w:rFonts w:hint="default" w:ascii="Times New Roman Regular" w:hAnsi="Times New Roman Regular" w:eastAsia="宋体" w:cs="Times New Roman Regular"/>
          <w:color w:val="000000"/>
          <w:kern w:val="2"/>
          <w:sz w:val="24"/>
          <w:szCs w:val="24"/>
          <w:highlight w:val="none"/>
          <w:lang w:val="en-US" w:eastAsia="zh-CN" w:bidi="ar"/>
        </w:rPr>
        <w:t xml:space="preserve">It can </w:t>
      </w:r>
      <w:r>
        <w:rPr>
          <w:rFonts w:hint="default" w:ascii="Times New Roman Regular" w:hAnsi="Times New Roman Regular" w:eastAsia="宋体" w:cs="Times New Roman Regular"/>
          <w:kern w:val="2"/>
          <w:sz w:val="24"/>
          <w:szCs w:val="24"/>
          <w:highlight w:val="none"/>
          <w:lang w:val="en-US" w:eastAsia="zh-CN" w:bidi="ar"/>
        </w:rPr>
        <w:t>integrate qualitative and quantitative components to create a more comprehensive analysis, enabling researchers to explore unexpected results and refine findings for practical application</w:t>
      </w:r>
      <w:r>
        <w:rPr>
          <w:rFonts w:hint="default" w:ascii="Times New Roman Regular" w:hAnsi="Times New Roman Regular" w:eastAsia="宋体" w:cs="Times New Roman Regular"/>
          <w:kern w:val="2"/>
          <w:sz w:val="24"/>
          <w:szCs w:val="24"/>
          <w:highlight w:val="none"/>
          <w:lang w:val="en-US" w:eastAsia="zh-CN" w:bidi="ar"/>
        </w:rPr>
        <w:t xml:space="preserve"> </w:t>
      </w:r>
      <w:r>
        <w:rPr>
          <w:rFonts w:hint="default" w:ascii="Times New Roman" w:hAnsi="Times New Roman" w:eastAsia="宋体" w:cs="Times New Roman"/>
          <w:kern w:val="0"/>
          <w:sz w:val="24"/>
          <w:szCs w:val="24"/>
          <w:highlight w:val="none"/>
          <w:lang w:val="en-US" w:eastAsia="zh-CN" w:bidi="ar"/>
        </w:rPr>
        <w:t>(Creswell and Clark, 2017)</w:t>
      </w:r>
      <w:r>
        <w:rPr>
          <w:rFonts w:hint="default" w:ascii="Times New Roman Regular" w:hAnsi="Times New Roman Regular" w:eastAsia="宋体" w:cs="Times New Roman Regular"/>
          <w:kern w:val="2"/>
          <w:sz w:val="24"/>
          <w:szCs w:val="24"/>
          <w:highlight w:val="none"/>
          <w:lang w:val="en-US" w:eastAsia="zh-CN" w:bidi="ar"/>
        </w:rPr>
        <w:t>.</w:t>
      </w:r>
      <w:bookmarkStart w:id="4" w:name="OLE_LINK9"/>
      <w:r>
        <w:rPr>
          <w:rFonts w:hint="default" w:ascii="Times New Roman Regular" w:hAnsi="Times New Roman Regular" w:eastAsia="宋体" w:cs="Times New Roman Regular"/>
          <w:kern w:val="2"/>
          <w:sz w:val="24"/>
          <w:szCs w:val="24"/>
          <w:highlight w:val="none"/>
          <w:lang w:val="en-US" w:eastAsia="zh-CN" w:bidi="ar"/>
        </w:rPr>
        <w:t xml:space="preserve"> A study conducted by </w:t>
      </w:r>
      <w:r>
        <w:rPr>
          <w:rFonts w:hint="default" w:ascii="Times New Roman Regular" w:hAnsi="Times New Roman Regular" w:eastAsia="宋体" w:cs="Times New Roman Regular"/>
          <w:kern w:val="2"/>
          <w:sz w:val="24"/>
          <w:szCs w:val="24"/>
          <w:highlight w:val="none"/>
          <w:lang w:val="en-US" w:eastAsia="zh-CN" w:bidi="ar"/>
        </w:rPr>
        <w:t>B R and V (2020)</w:t>
      </w:r>
      <w:r>
        <w:rPr>
          <w:rFonts w:hint="default" w:ascii="Times New Roman Regular" w:hAnsi="Times New Roman Regular" w:eastAsia="宋体" w:cs="Times New Roman Regular"/>
          <w:kern w:val="2"/>
          <w:sz w:val="24"/>
          <w:szCs w:val="24"/>
          <w:highlight w:val="none"/>
          <w:lang w:val="en-US" w:eastAsia="zh-CN" w:bidi="ar"/>
        </w:rPr>
        <w:t xml:space="preserve"> regarding the application of cognitive and metacognitive strategies in EFL vocabulary adopted mixed-method research. Although their sample size is restricted as well, the qualitative data explains and compensates for this. </w:t>
      </w:r>
      <w:bookmarkEnd w:id="4"/>
    </w:p>
    <w:p w14:paraId="5A217E9B">
      <w:pPr>
        <w:keepNext w:val="0"/>
        <w:keepLines w:val="0"/>
        <w:widowControl/>
        <w:suppressLineNumbers w:val="0"/>
        <w:jc w:val="both"/>
        <w:rPr>
          <w:rFonts w:hint="default" w:ascii="Times New Roman Regular" w:hAnsi="Times New Roman Regular" w:eastAsia="宋体" w:cs="Times New Roman Regular"/>
          <w:kern w:val="2"/>
          <w:sz w:val="24"/>
          <w:szCs w:val="24"/>
          <w:highlight w:val="none"/>
          <w:lang w:val="en-US" w:eastAsia="zh-CN" w:bidi="ar"/>
        </w:rPr>
      </w:pPr>
    </w:p>
    <w:p w14:paraId="20611558">
      <w:pPr>
        <w:keepNext w:val="0"/>
        <w:keepLines w:val="0"/>
        <w:widowControl/>
        <w:suppressLineNumbers w:val="0"/>
        <w:jc w:val="both"/>
        <w:rPr>
          <w:rFonts w:hint="default" w:ascii="Times New Roman Regular" w:hAnsi="Times New Roman Regular" w:eastAsia="宋体" w:cs="Times New Roman Regular"/>
          <w:color w:val="000000"/>
          <w:kern w:val="2"/>
          <w:sz w:val="24"/>
          <w:szCs w:val="24"/>
          <w:highlight w:val="none"/>
          <w:lang w:val="en-US" w:eastAsia="zh-CN" w:bidi="ar"/>
        </w:rPr>
      </w:pPr>
      <w:r>
        <w:rPr>
          <w:rFonts w:hint="default" w:ascii="Times New Roman Regular" w:hAnsi="Times New Roman Regular" w:eastAsia="宋体" w:cs="Times New Roman Regular"/>
          <w:color w:val="000000"/>
          <w:kern w:val="2"/>
          <w:sz w:val="24"/>
          <w:szCs w:val="24"/>
          <w:highlight w:val="none"/>
          <w:lang w:val="en-US" w:eastAsia="zh-CN" w:bidi="ar"/>
        </w:rPr>
        <w:t xml:space="preserve">In Hu and Luo’s research, we could retain the pretest-posttest experiment design but extend the coverage and enlarge the size of the participants by selecting participants from diverse schools in different regions at different ages. Additionally, the duration of the intervention session ought to be prolonged, as eight interventions in a 45-minute class would be overly burdensome for students. Simultaneously, qualitative research methods could be added, such as classroom observations or interviews with students, providing insights into how teaching methods are implemented in the classroom and participants’ internal cognitive and emotional experiences during the learning process. </w:t>
      </w:r>
    </w:p>
    <w:p w14:paraId="709E565F">
      <w:pPr>
        <w:keepNext w:val="0"/>
        <w:keepLines w:val="0"/>
        <w:widowControl/>
        <w:suppressLineNumbers w:val="0"/>
        <w:jc w:val="both"/>
        <w:rPr>
          <w:rFonts w:hint="default" w:ascii="Times New Roman Regular" w:hAnsi="Times New Roman Regular" w:eastAsia="宋体" w:cs="Times New Roman Regular"/>
          <w:color w:val="000000"/>
          <w:kern w:val="2"/>
          <w:sz w:val="24"/>
          <w:szCs w:val="24"/>
          <w:highlight w:val="none"/>
          <w:lang w:val="en-US" w:eastAsia="zh-CN" w:bidi="ar"/>
        </w:rPr>
      </w:pPr>
    </w:p>
    <w:p w14:paraId="61827B17">
      <w:pPr>
        <w:keepNext w:val="0"/>
        <w:keepLines w:val="0"/>
        <w:widowControl/>
        <w:suppressLineNumbers w:val="0"/>
        <w:jc w:val="both"/>
        <w:rPr>
          <w:rFonts w:hint="default" w:ascii="Times New Roman Regular" w:hAnsi="Times New Roman Regular" w:eastAsia="宋体" w:cs="Times New Roman Regular"/>
          <w:color w:val="4874CB"/>
          <w:kern w:val="2"/>
          <w:sz w:val="24"/>
          <w:szCs w:val="24"/>
          <w:highlight w:val="none"/>
          <w:lang w:val="en-US" w:eastAsia="zh-CN" w:bidi="ar"/>
        </w:rPr>
      </w:pPr>
      <w:r>
        <w:rPr>
          <w:rFonts w:hint="default" w:ascii="Times New Roman Regular" w:hAnsi="Times New Roman Regular" w:eastAsia="宋体" w:cs="Times New Roman Regular"/>
          <w:color w:val="000000"/>
          <w:kern w:val="2"/>
          <w:sz w:val="24"/>
          <w:szCs w:val="24"/>
          <w:highlight w:val="none"/>
          <w:lang w:val="en-US" w:eastAsia="zh-CN" w:bidi="ar"/>
        </w:rPr>
        <w:t>Both quantitative and qualitative should be combined for analysis through statistical tools such as SPSS and thematic analysis. It overcomes the limitations of the original quantitative method by accounting for the overlooked emotional and attitudinal aspects, enhancing the validity and generalizability of the research results to a wider spectrum of English teaching and learning scenarios.</w:t>
      </w:r>
      <w:r>
        <w:rPr>
          <w:rFonts w:hint="default" w:ascii="Times New Roman Regular" w:hAnsi="Times New Roman Regular" w:eastAsia="宋体" w:cs="Times New Roman Regular"/>
          <w:color w:val="4874CB"/>
          <w:kern w:val="2"/>
          <w:sz w:val="24"/>
          <w:szCs w:val="24"/>
          <w:highlight w:val="none"/>
          <w:lang w:val="en-US" w:eastAsia="zh-CN" w:bidi="ar"/>
        </w:rPr>
        <w:t xml:space="preserve"> </w:t>
      </w:r>
    </w:p>
    <w:p w14:paraId="0EC4FB2B">
      <w:pPr>
        <w:keepNext w:val="0"/>
        <w:keepLines w:val="0"/>
        <w:widowControl/>
        <w:suppressLineNumbers w:val="0"/>
        <w:jc w:val="both"/>
        <w:rPr>
          <w:rFonts w:hint="default" w:ascii="Times New Roman Regular" w:hAnsi="Times New Roman Regular" w:eastAsia="宋体" w:cs="Times New Roman Regular"/>
          <w:color w:val="4874CB"/>
          <w:kern w:val="2"/>
          <w:sz w:val="24"/>
          <w:szCs w:val="24"/>
          <w:highlight w:val="none"/>
          <w:lang w:val="en-US" w:eastAsia="zh-CN" w:bidi="ar"/>
        </w:rPr>
      </w:pPr>
    </w:p>
    <w:p w14:paraId="3A9D6797">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Question 3: results and relevance to theory</w:t>
      </w:r>
    </w:p>
    <w:p w14:paraId="0362A234">
      <w:pPr>
        <w:keepNext w:val="0"/>
        <w:keepLines w:val="0"/>
        <w:widowControl w:val="0"/>
        <w:numPr>
          <w:ilvl w:val="0"/>
          <w:numId w:val="4"/>
        </w:numPr>
        <w:suppressLineNumbers w:val="0"/>
        <w:spacing w:before="0" w:beforeAutospacing="0" w:after="0" w:afterAutospacing="0"/>
        <w:ind w:left="0" w:right="0" w:firstLine="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What are the results of the data collection?</w:t>
      </w:r>
    </w:p>
    <w:p w14:paraId="79F0D9A1">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4"/>
          <w:szCs w:val="24"/>
          <w:highlight w:val="none"/>
          <w:lang w:val="en-US"/>
        </w:rPr>
      </w:pPr>
      <w:r>
        <w:rPr>
          <w:rFonts w:hint="default" w:ascii="Times New Roman Regular" w:hAnsi="Times New Roman Regular" w:eastAsia="宋体" w:cs="Times New Roman Regular"/>
          <w:kern w:val="2"/>
          <w:sz w:val="24"/>
          <w:szCs w:val="24"/>
          <w:highlight w:val="none"/>
          <w:lang w:val="en-US" w:eastAsia="zh-CN" w:bidi="ar"/>
        </w:rPr>
        <w:t>The test result verifies the hypotheses, and can be addressed in two dimensions:</w:t>
      </w:r>
    </w:p>
    <w:p w14:paraId="73E2F587">
      <w:pPr>
        <w:keepNext w:val="0"/>
        <w:keepLines w:val="0"/>
        <w:widowControl w:val="0"/>
        <w:numPr>
          <w:ilvl w:val="0"/>
          <w:numId w:val="5"/>
        </w:numPr>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After experimental comparison, there is a significant difference in vocabulary learning effectiveness between the experimental group and the control group. After receiving various interventions during the session, the experimental group participants gained improvement in both vocabulary recall (production) and recognition, and the improvement was significantly higher than that of the control group which adopted traditional teaching methods.</w:t>
      </w:r>
    </w:p>
    <w:p w14:paraId="76611246">
      <w:pPr>
        <w:keepNext w:val="0"/>
        <w:keepLines w:val="0"/>
        <w:widowControl w:val="0"/>
        <w:numPr>
          <w:numId w:val="0"/>
        </w:numPr>
        <w:suppressLineNumbers w:val="0"/>
        <w:spacing w:before="0" w:beforeAutospacing="0" w:after="0" w:afterAutospacing="0"/>
        <w:ind w:right="0" w:rightChars="0"/>
        <w:jc w:val="both"/>
        <w:rPr>
          <w:rFonts w:hint="default" w:ascii="Times New Roman Regular" w:hAnsi="Times New Roman Regular" w:eastAsia="宋体" w:cs="Times New Roman Regular"/>
          <w:kern w:val="2"/>
          <w:sz w:val="24"/>
          <w:szCs w:val="24"/>
          <w:highlight w:val="none"/>
          <w:lang w:val="en-US" w:eastAsia="zh-CN" w:bidi="ar"/>
        </w:rPr>
      </w:pPr>
    </w:p>
    <w:p w14:paraId="0EEF480E">
      <w:pPr>
        <w:keepNext w:val="0"/>
        <w:keepLines w:val="0"/>
        <w:widowControl w:val="0"/>
        <w:numPr>
          <w:ilvl w:val="0"/>
          <w:numId w:val="5"/>
        </w:numPr>
        <w:suppressLineNumbers w:val="0"/>
        <w:spacing w:before="0" w:beforeAutospacing="0" w:after="0" w:afterAutospacing="0"/>
        <w:ind w:left="0" w:leftChars="0" w:right="0" w:firstLine="0" w:firstLineChars="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The calculations show that the teaching strategies have a relatively high effect size on vocabulary recall (production) and recognition, approximately 66% and 64% respectively, indicating that these strategies play a significant and effective role in vocabulary learning.</w:t>
      </w:r>
    </w:p>
    <w:p w14:paraId="3256C82B">
      <w:pPr>
        <w:keepNext w:val="0"/>
        <w:keepLines w:val="0"/>
        <w:widowControl w:val="0"/>
        <w:numPr>
          <w:numId w:val="0"/>
        </w:numPr>
        <w:suppressLineNumbers w:val="0"/>
        <w:spacing w:before="0" w:beforeAutospacing="0" w:after="0" w:afterAutospacing="0"/>
        <w:ind w:leftChars="0" w:right="0" w:rightChars="0"/>
        <w:jc w:val="both"/>
        <w:rPr>
          <w:rFonts w:hint="default" w:ascii="Times New Roman Regular" w:hAnsi="Times New Roman Regular" w:eastAsia="宋体" w:cs="Times New Roman Regular"/>
          <w:kern w:val="2"/>
          <w:sz w:val="24"/>
          <w:szCs w:val="24"/>
          <w:highlight w:val="none"/>
          <w:lang w:val="en-US" w:eastAsia="zh-CN" w:bidi="ar"/>
        </w:rPr>
      </w:pPr>
    </w:p>
    <w:p w14:paraId="77B4C372">
      <w:pPr>
        <w:keepNext w:val="0"/>
        <w:keepLines w:val="0"/>
        <w:widowControl w:val="0"/>
        <w:numPr>
          <w:ilvl w:val="0"/>
          <w:numId w:val="4"/>
        </w:numPr>
        <w:suppressLineNumbers w:val="0"/>
        <w:spacing w:before="0" w:beforeAutospacing="0" w:after="0" w:afterAutospacing="0"/>
        <w:ind w:left="0" w:right="0" w:firstLine="0"/>
        <w:jc w:val="both"/>
        <w:rPr>
          <w:rFonts w:hint="default" w:ascii="Times New Roman Regular" w:hAnsi="Times New Roman Regular" w:cs="Times New Roman Regular"/>
          <w:b/>
          <w:bCs/>
          <w:sz w:val="24"/>
          <w:szCs w:val="24"/>
          <w:highlight w:val="none"/>
          <w:lang w:val="en-US"/>
        </w:rPr>
      </w:pPr>
      <w:bookmarkStart w:id="5" w:name="OLE_LINK7"/>
      <w:r>
        <w:rPr>
          <w:rFonts w:hint="default" w:ascii="Times New Roman Regular" w:hAnsi="Times New Roman Regular" w:eastAsia="宋体" w:cs="Times New Roman Regular"/>
          <w:b/>
          <w:bCs/>
          <w:kern w:val="2"/>
          <w:sz w:val="24"/>
          <w:szCs w:val="24"/>
          <w:highlight w:val="none"/>
          <w:lang w:val="en-US" w:eastAsia="zh-CN" w:bidi="ar"/>
        </w:rPr>
        <w:t xml:space="preserve">Do the results support the theory on which the paper is based? How? </w:t>
      </w:r>
    </w:p>
    <w:bookmarkEnd w:id="5"/>
    <w:p w14:paraId="445E5A6F">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 xml:space="preserve">The research results are consistent with the underlying theories. </w:t>
      </w:r>
    </w:p>
    <w:p w14:paraId="1BCB1266">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p>
    <w:p w14:paraId="192CC987">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First, the research hypothesis about language production assumes that neurocognitive, metacognitive, and sociocultural teaching strategies significantly impact the vocabulary production of Chinese language learners. The experimental results showed that in the vocabulary production test, the post-test scores of the experimental group (with a mean of 12.40) had a significant increase compared to the pre-test scores (with a mean of 4.29), while the post-test scores of the control group (with a mean of 7.35) also increased but to a much lesser extent than the experimental group. This result indicates that the intervention received by the experimental group effectively promoted vocabulary production. These strategies activate relevant brain regions based on the neurocognitive theory, improve learners' self-management ability through metacognitive strategies, and increase interaction according to the sociocultural theory, thus jointly acting on the process of vocabulary production and strongly supporting the research hypothesis.</w:t>
      </w:r>
    </w:p>
    <w:p w14:paraId="4F0D6E24">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p>
    <w:p w14:paraId="4E272992">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Moreover, the hypothesis about vocabulary recognition, that is, neurocognitive, metacognitive, and sociocultural teaching strategies have a significant impact on the vocabulary recognition of Chinese language learners. The experimental results showed that in the vocabulary recognition test, the post-test scores of the experimental group (with a mean of 21) had a significant increase compared to the pre-test scores (with a mean of 9.90), and the post-test scores of the control group (with a mean of 13.80) also increased but were lower than those of the experimental group. This means that teaching strategies based on multiple theories have played an active role in vocabulary recognition. For example, the audio-visual teaching strategy under the guidance of the multimedia learning theory helps learners construct mental representations of vocabulary, the metacognitive strategy guides learners to monitor and regulate the process of vocabulary recognition, and the sociocultural strategy promotes learners to deepen their understanding of vocabulary meaning through interaction. These factors jointly contribute to the improvement of vocabulary recognition ability, thus providing strong evidence to support the research hypothesis.</w:t>
      </w:r>
    </w:p>
    <w:p w14:paraId="74260E24">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p>
    <w:p w14:paraId="18289BAE">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r>
        <w:rPr>
          <w:rFonts w:hint="default" w:ascii="Times New Roman Regular" w:hAnsi="Times New Roman Regular" w:eastAsia="宋体" w:cs="Times New Roman Regular"/>
          <w:kern w:val="2"/>
          <w:sz w:val="24"/>
          <w:szCs w:val="24"/>
          <w:highlight w:val="none"/>
          <w:lang w:val="en-US" w:eastAsia="zh-CN" w:bidi="ar"/>
        </w:rPr>
        <w:t>Finally, the study calculated that the effect size of the teaching strategies on vocabulary recall (production) is approximately 66%, and on vocabulary recognition is approximately 64%. The effect size reflects the degree to which the independent variable explains the dependent variable. A relatively high effect size indicates that these teaching strategies play a crucial role in vocabulary learning and can explain a large proportion of the variation in vocabulary learning effects. This further confirms statistically the significant impact of neurocognitive, metacognitive, and sociocultural teaching strategies on vocabulary production and recognition, providing more convincing support for the research hypothesis, indicating that these strategies are not only effective in terms of mean differences but also very important in terms of the overall degree of influence.</w:t>
      </w:r>
    </w:p>
    <w:p w14:paraId="431A6841">
      <w:pPr>
        <w:keepNext w:val="0"/>
        <w:keepLines w:val="0"/>
        <w:widowControl w:val="0"/>
        <w:suppressLineNumbers w:val="0"/>
        <w:spacing w:before="0" w:beforeAutospacing="0" w:after="0" w:afterAutospacing="0"/>
        <w:ind w:left="0" w:right="0"/>
        <w:jc w:val="both"/>
        <w:rPr>
          <w:rFonts w:hint="default" w:ascii="Times New Roman Regular" w:hAnsi="Times New Roman Regular" w:eastAsia="宋体" w:cs="Times New Roman Regular"/>
          <w:kern w:val="2"/>
          <w:sz w:val="24"/>
          <w:szCs w:val="24"/>
          <w:highlight w:val="none"/>
          <w:lang w:val="en-US" w:eastAsia="zh-CN" w:bidi="ar"/>
        </w:rPr>
      </w:pPr>
    </w:p>
    <w:p w14:paraId="41129938">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b/>
          <w:bCs/>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Conclusion</w:t>
      </w:r>
    </w:p>
    <w:p w14:paraId="2B166B54">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4"/>
          <w:szCs w:val="24"/>
          <w:highlight w:val="none"/>
          <w:lang w:val="en-US"/>
        </w:rPr>
      </w:pPr>
      <w:r>
        <w:rPr>
          <w:rFonts w:hint="default" w:ascii="Times New Roman Regular" w:hAnsi="Times New Roman Regular" w:eastAsia="宋体" w:cs="Times New Roman Regular"/>
          <w:kern w:val="2"/>
          <w:sz w:val="24"/>
          <w:szCs w:val="24"/>
          <w:highlight w:val="none"/>
          <w:lang w:val="en-US" w:eastAsia="zh-CN" w:bidi="ar"/>
        </w:rPr>
        <w:t xml:space="preserve">Overall, the research is well-designed and theories, methodology and results support and verify each other. Though there are drawbacks, it provides valuable guidance for English vocabulary teaching, as well as research strategies for research workers.  </w:t>
      </w:r>
    </w:p>
    <w:p w14:paraId="18628E28">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14883ECB">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41E63024">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54B7C350">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61179343">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7AEEDD79">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128FC008">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364BBD9B">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6B322D53">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7B741633">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5A9096E3">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344D898C">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258C9D9B">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74876F77">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6AA14B71">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09727643">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25BBE7F6">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3C75A4A5">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3DAD6D91">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2EECAFA3">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32468DEA">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sz w:val="24"/>
          <w:szCs w:val="24"/>
          <w:highlight w:val="none"/>
          <w:lang w:val="en-US" w:eastAsia="zh-CN"/>
        </w:rPr>
      </w:pPr>
    </w:p>
    <w:p w14:paraId="78252D8D">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4"/>
          <w:szCs w:val="24"/>
          <w:highlight w:val="none"/>
          <w:lang w:val="en-US"/>
        </w:rPr>
      </w:pPr>
      <w:r>
        <w:rPr>
          <w:rFonts w:hint="default" w:ascii="Times New Roman Regular" w:hAnsi="Times New Roman Regular" w:eastAsia="宋体" w:cs="Times New Roman Regular"/>
          <w:b/>
          <w:bCs/>
          <w:kern w:val="2"/>
          <w:sz w:val="24"/>
          <w:szCs w:val="24"/>
          <w:highlight w:val="none"/>
          <w:lang w:val="en-US" w:eastAsia="zh-CN" w:bidi="ar"/>
        </w:rPr>
        <w:t>Reference</w:t>
      </w:r>
      <w:r>
        <w:rPr>
          <w:rFonts w:hint="default" w:ascii="Times New Roman Regular" w:hAnsi="Times New Roman Regular" w:eastAsia="宋体" w:cs="Times New Roman Regular"/>
          <w:kern w:val="2"/>
          <w:sz w:val="24"/>
          <w:szCs w:val="24"/>
          <w:highlight w:val="none"/>
          <w:lang w:val="en-US" w:eastAsia="zh-CN" w:bidi="ar"/>
        </w:rPr>
        <w:t>：</w:t>
      </w:r>
    </w:p>
    <w:p w14:paraId="596433DE">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2"/>
          <w:szCs w:val="22"/>
          <w:highlight w:val="none"/>
          <w:lang w:val="en-US"/>
        </w:rPr>
      </w:pPr>
      <w:r>
        <w:rPr>
          <w:rFonts w:hint="default" w:ascii="Times New Roman Regular" w:hAnsi="Times New Roman Regular" w:eastAsia="宋体" w:cs="Times New Roman Regular"/>
          <w:kern w:val="2"/>
          <w:sz w:val="22"/>
          <w:szCs w:val="22"/>
          <w:highlight w:val="none"/>
          <w:lang w:val="en-US" w:eastAsia="zh-CN" w:bidi="ar"/>
        </w:rPr>
        <w:t xml:space="preserve">Ayres, P. (2015). State‐of‐the‐Art Research into Multimedia Learning: A Commentary on Mayer’s Handbook of Multimedia Learning. </w:t>
      </w:r>
      <w:r>
        <w:rPr>
          <w:rFonts w:hint="default" w:ascii="Times New Roman Regular" w:hAnsi="Times New Roman Regular" w:eastAsia="宋体" w:cs="Times New Roman Regular"/>
          <w:i/>
          <w:iCs/>
          <w:kern w:val="2"/>
          <w:sz w:val="22"/>
          <w:szCs w:val="22"/>
          <w:highlight w:val="none"/>
          <w:lang w:val="en-US" w:eastAsia="zh-CN" w:bidi="ar"/>
        </w:rPr>
        <w:t>Applied Cognitive Psychology</w:t>
      </w:r>
      <w:r>
        <w:rPr>
          <w:rFonts w:hint="default" w:ascii="Times New Roman Regular" w:hAnsi="Times New Roman Regular" w:eastAsia="宋体" w:cs="Times New Roman Regular"/>
          <w:kern w:val="2"/>
          <w:sz w:val="22"/>
          <w:szCs w:val="22"/>
          <w:highlight w:val="none"/>
          <w:lang w:val="en-US" w:eastAsia="zh-CN" w:bidi="ar"/>
        </w:rPr>
        <w:t>, 29(4), pp.631–636. doi: https://doi.org/10.1002/acp.3142.</w:t>
      </w:r>
    </w:p>
    <w:p w14:paraId="134C0810">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2"/>
          <w:szCs w:val="22"/>
          <w:highlight w:val="none"/>
          <w:lang w:val="en-US"/>
        </w:rPr>
      </w:pPr>
      <w:r>
        <w:rPr>
          <w:rFonts w:hint="default" w:ascii="Times New Roman Regular" w:hAnsi="Times New Roman Regular" w:eastAsia="宋体" w:cs="Times New Roman Regular"/>
          <w:kern w:val="2"/>
          <w:sz w:val="22"/>
          <w:szCs w:val="22"/>
          <w:highlight w:val="none"/>
          <w:lang w:val="en-US" w:eastAsia="zh-CN" w:bidi="ar"/>
        </w:rPr>
        <w:t xml:space="preserve">B R, A. and V, R. (2020). A descriptive study on ESL learners’ vocabulary knowledge through cognitive and metacognitive strategies. </w:t>
      </w:r>
      <w:r>
        <w:rPr>
          <w:rFonts w:hint="default" w:ascii="Times New Roman Regular" w:hAnsi="Times New Roman Regular" w:eastAsia="宋体" w:cs="Times New Roman Regular"/>
          <w:i/>
          <w:iCs/>
          <w:kern w:val="2"/>
          <w:sz w:val="22"/>
          <w:szCs w:val="22"/>
          <w:highlight w:val="none"/>
          <w:lang w:val="en-US" w:eastAsia="zh-CN" w:bidi="ar"/>
        </w:rPr>
        <w:t>English Language Teaching Educational Journal</w:t>
      </w:r>
      <w:r>
        <w:rPr>
          <w:rFonts w:hint="default" w:ascii="Times New Roman Regular" w:hAnsi="Times New Roman Regular" w:eastAsia="宋体" w:cs="Times New Roman Regular"/>
          <w:kern w:val="2"/>
          <w:sz w:val="22"/>
          <w:szCs w:val="22"/>
          <w:highlight w:val="none"/>
          <w:lang w:val="en-US" w:eastAsia="zh-CN" w:bidi="ar"/>
        </w:rPr>
        <w:t>, 3(2), p.142. doi:https://doi.org/10.12928/eltej.v3i2.2447.</w:t>
      </w:r>
    </w:p>
    <w:p w14:paraId="07EE09FB">
      <w:pPr>
        <w:keepNext w:val="0"/>
        <w:keepLines w:val="0"/>
        <w:widowControl w:val="0"/>
        <w:suppressLineNumbers w:val="0"/>
        <w:spacing w:before="0" w:beforeAutospacing="0" w:after="0" w:afterAutospacing="0"/>
        <w:ind w:left="0" w:right="0"/>
        <w:jc w:val="left"/>
        <w:rPr>
          <w:rFonts w:hint="default" w:ascii="Times New Roman Regular" w:hAnsi="Times New Roman Regular" w:eastAsia="宋体" w:cs="Times New Roman Regular"/>
          <w:kern w:val="2"/>
          <w:sz w:val="22"/>
          <w:szCs w:val="22"/>
          <w:highlight w:val="none"/>
          <w:lang w:val="en-US" w:eastAsia="zh-CN" w:bidi="ar"/>
        </w:rPr>
      </w:pPr>
      <w:r>
        <w:rPr>
          <w:rFonts w:hint="default" w:ascii="Times New Roman Regular" w:hAnsi="Times New Roman Regular" w:eastAsia="宋体" w:cs="Times New Roman Regular"/>
          <w:kern w:val="2"/>
          <w:sz w:val="22"/>
          <w:szCs w:val="22"/>
          <w:highlight w:val="none"/>
          <w:lang w:val="en-US" w:eastAsia="zh-CN" w:bidi="ar"/>
        </w:rPr>
        <w:t xml:space="preserve">Creswell, J.W. and Clark, V.L.P. (2017). </w:t>
      </w:r>
      <w:r>
        <w:rPr>
          <w:rFonts w:hint="default" w:ascii="Times New Roman Italic" w:hAnsi="Times New Roman Italic" w:eastAsia="宋体" w:cs="Times New Roman Italic"/>
          <w:i/>
          <w:iCs/>
          <w:kern w:val="2"/>
          <w:sz w:val="22"/>
          <w:szCs w:val="22"/>
          <w:highlight w:val="none"/>
          <w:lang w:val="en-US" w:eastAsia="zh-CN" w:bidi="ar"/>
        </w:rPr>
        <w:t xml:space="preserve">Designing and conducting mixed methods research. </w:t>
      </w:r>
      <w:r>
        <w:rPr>
          <w:rFonts w:hint="default" w:ascii="Times New Roman Regular" w:hAnsi="Times New Roman Regular" w:eastAsia="宋体" w:cs="Times New Roman Regular"/>
          <w:kern w:val="2"/>
          <w:sz w:val="22"/>
          <w:szCs w:val="22"/>
          <w:highlight w:val="none"/>
          <w:lang w:val="en-US" w:eastAsia="zh-CN" w:bidi="ar"/>
        </w:rPr>
        <w:t>3rd ed. Los Angeles: SAGE.</w:t>
      </w:r>
    </w:p>
    <w:p w14:paraId="6CACFADB">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2"/>
          <w:szCs w:val="22"/>
          <w:highlight w:val="none"/>
          <w:lang w:val="en-US"/>
        </w:rPr>
      </w:pPr>
      <w:r>
        <w:rPr>
          <w:rFonts w:hint="default" w:ascii="Times New Roman Regular" w:hAnsi="Times New Roman Regular" w:eastAsia="宋体" w:cs="Times New Roman Regular"/>
          <w:kern w:val="2"/>
          <w:sz w:val="22"/>
          <w:szCs w:val="22"/>
          <w:highlight w:val="none"/>
          <w:lang w:val="en-US" w:eastAsia="zh-CN" w:bidi="ar"/>
        </w:rPr>
        <w:t xml:space="preserve">Hu, W. and Luo, Y. (2024). Chinese English language learners’ vocabulary retention: Investigating the effectiveness of neuro/metacognitive and socio-cultural strategies. </w:t>
      </w:r>
      <w:r>
        <w:rPr>
          <w:rFonts w:hint="default" w:ascii="Times New Roman Regular" w:hAnsi="Times New Roman Regular" w:eastAsia="宋体" w:cs="Times New Roman Regular"/>
          <w:i/>
          <w:iCs/>
          <w:kern w:val="2"/>
          <w:sz w:val="22"/>
          <w:szCs w:val="22"/>
          <w:highlight w:val="none"/>
          <w:lang w:val="en-US" w:eastAsia="zh-CN" w:bidi="ar"/>
        </w:rPr>
        <w:t>BMC Psychology</w:t>
      </w:r>
      <w:r>
        <w:rPr>
          <w:rFonts w:hint="default" w:ascii="Times New Roman Regular" w:hAnsi="Times New Roman Regular" w:eastAsia="宋体" w:cs="Times New Roman Regular"/>
          <w:kern w:val="2"/>
          <w:sz w:val="22"/>
          <w:szCs w:val="22"/>
          <w:highlight w:val="none"/>
          <w:lang w:val="en-US" w:eastAsia="zh-CN" w:bidi="ar"/>
        </w:rPr>
        <w:t>, 12(1). doi:https://doi.org/10.1186/s40359-024-01612-0.</w:t>
      </w:r>
    </w:p>
    <w:p w14:paraId="0AECCE0A">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2"/>
          <w:szCs w:val="22"/>
          <w:highlight w:val="none"/>
          <w:lang w:val="en-US"/>
        </w:rPr>
      </w:pPr>
      <w:r>
        <w:rPr>
          <w:rFonts w:hint="default" w:ascii="Times New Roman Regular" w:hAnsi="Times New Roman Regular" w:eastAsia="宋体" w:cs="Times New Roman Regular"/>
          <w:kern w:val="2"/>
          <w:sz w:val="22"/>
          <w:szCs w:val="22"/>
          <w:highlight w:val="none"/>
          <w:lang w:val="en-US" w:eastAsia="zh-CN" w:bidi="ar"/>
        </w:rPr>
        <w:t xml:space="preserve">Mayer, R.E., Lee, H. and Peebles, A. (2014). Multimedia Learning in a Second Language: A Cognitive Load Perspective. </w:t>
      </w:r>
      <w:r>
        <w:rPr>
          <w:rFonts w:hint="default" w:ascii="Times New Roman Regular" w:hAnsi="Times New Roman Regular" w:eastAsia="宋体" w:cs="Times New Roman Regular"/>
          <w:i/>
          <w:iCs/>
          <w:kern w:val="2"/>
          <w:sz w:val="22"/>
          <w:szCs w:val="22"/>
          <w:highlight w:val="none"/>
          <w:lang w:val="en-US" w:eastAsia="zh-CN" w:bidi="ar"/>
        </w:rPr>
        <w:t>Applied Cognitive Psychology</w:t>
      </w:r>
      <w:r>
        <w:rPr>
          <w:rFonts w:hint="default" w:ascii="Times New Roman Regular" w:hAnsi="Times New Roman Regular" w:eastAsia="宋体" w:cs="Times New Roman Regular"/>
          <w:kern w:val="2"/>
          <w:sz w:val="22"/>
          <w:szCs w:val="22"/>
          <w:highlight w:val="none"/>
          <w:lang w:val="en-US" w:eastAsia="zh-CN" w:bidi="ar"/>
        </w:rPr>
        <w:t>, 28(5), pp.653–660. doi:https://doi.org/10.1002/acp.3050.</w:t>
      </w:r>
    </w:p>
    <w:p w14:paraId="1CC61EDC">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2"/>
          <w:szCs w:val="22"/>
          <w:highlight w:val="none"/>
          <w:lang w:val="en-US"/>
        </w:rPr>
      </w:pPr>
      <w:r>
        <w:rPr>
          <w:rFonts w:hint="default" w:ascii="Times New Roman Regular" w:hAnsi="Times New Roman Regular" w:eastAsia="宋体" w:cs="Times New Roman Regular"/>
          <w:kern w:val="2"/>
          <w:sz w:val="22"/>
          <w:szCs w:val="22"/>
          <w:highlight w:val="none"/>
          <w:lang w:val="en-US" w:eastAsia="zh-CN" w:bidi="ar"/>
        </w:rPr>
        <w:t xml:space="preserve">Petronella, N.N.M. and Gerhard, G. (2022). Language learning strategies of high and low performing second language learners: a socio-cultural perspective. </w:t>
      </w:r>
      <w:r>
        <w:rPr>
          <w:rFonts w:hint="default" w:ascii="Times New Roman Regular" w:hAnsi="Times New Roman Regular" w:eastAsia="宋体" w:cs="Times New Roman Regular"/>
          <w:i/>
          <w:iCs/>
          <w:kern w:val="2"/>
          <w:sz w:val="22"/>
          <w:szCs w:val="22"/>
          <w:highlight w:val="none"/>
          <w:lang w:val="en-US" w:eastAsia="zh-CN" w:bidi="ar"/>
        </w:rPr>
        <w:t>i-manager’s Journal on English Language Teaching</w:t>
      </w:r>
      <w:r>
        <w:rPr>
          <w:rFonts w:hint="default" w:ascii="Times New Roman Regular" w:hAnsi="Times New Roman Regular" w:eastAsia="宋体" w:cs="Times New Roman Regular"/>
          <w:kern w:val="2"/>
          <w:sz w:val="22"/>
          <w:szCs w:val="22"/>
          <w:highlight w:val="none"/>
          <w:lang w:val="en-US" w:eastAsia="zh-CN" w:bidi="ar"/>
        </w:rPr>
        <w:t>, 12(1), p.56. doi:https://doi.org/10.26634/jelt.12.1.18343.</w:t>
      </w:r>
    </w:p>
    <w:p w14:paraId="74AA4F5E">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2"/>
          <w:szCs w:val="22"/>
          <w:highlight w:val="none"/>
          <w:lang w:val="en-US"/>
        </w:rPr>
      </w:pPr>
      <w:r>
        <w:rPr>
          <w:rFonts w:hint="default" w:ascii="Times New Roman Regular" w:hAnsi="Times New Roman Regular" w:eastAsia="宋体" w:cs="Times New Roman Regular"/>
          <w:kern w:val="2"/>
          <w:sz w:val="22"/>
          <w:szCs w:val="22"/>
          <w:highlight w:val="none"/>
          <w:lang w:val="en-US" w:eastAsia="zh-CN" w:bidi="ar"/>
        </w:rPr>
        <w:t>Shadish, W. and Cook, T. (1999). Comment-Design Rules: More Steps toward a Complete Theory of Quasi-Experimentation. 14(3).</w:t>
      </w:r>
    </w:p>
    <w:p w14:paraId="4A037EB2">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2"/>
          <w:szCs w:val="22"/>
          <w:highlight w:val="none"/>
          <w:lang w:val="en-US"/>
        </w:rPr>
      </w:pPr>
      <w:r>
        <w:rPr>
          <w:rFonts w:hint="default" w:ascii="Times New Roman Regular" w:hAnsi="Times New Roman Regular" w:eastAsia="宋体" w:cs="Times New Roman Regular"/>
          <w:kern w:val="2"/>
          <w:sz w:val="22"/>
          <w:szCs w:val="22"/>
          <w:highlight w:val="none"/>
          <w:lang w:val="en-US" w:eastAsia="zh-CN" w:bidi="ar"/>
        </w:rPr>
        <w:t xml:space="preserve">Turker, S., Seither-Preisler, A. and Reiterer, S.M. (2021). Examining Individual Differences in Language Learning: A Neurocognitive Model of Language Aptitude. </w:t>
      </w:r>
      <w:r>
        <w:rPr>
          <w:rFonts w:hint="default" w:ascii="Times New Roman Regular" w:hAnsi="Times New Roman Regular" w:eastAsia="宋体" w:cs="Times New Roman Regular"/>
          <w:i/>
          <w:iCs/>
          <w:kern w:val="2"/>
          <w:sz w:val="22"/>
          <w:szCs w:val="22"/>
          <w:highlight w:val="none"/>
          <w:lang w:val="en-US" w:eastAsia="zh-CN" w:bidi="ar"/>
        </w:rPr>
        <w:t>Neurobiology of Language</w:t>
      </w:r>
      <w:r>
        <w:rPr>
          <w:rFonts w:hint="default" w:ascii="Times New Roman Regular" w:hAnsi="Times New Roman Regular" w:eastAsia="宋体" w:cs="Times New Roman Regular"/>
          <w:kern w:val="2"/>
          <w:sz w:val="22"/>
          <w:szCs w:val="22"/>
          <w:highlight w:val="none"/>
          <w:lang w:val="en-US" w:eastAsia="zh-CN" w:bidi="ar"/>
        </w:rPr>
        <w:t>, pp.1–27. doi:https://doi.org/10.1162/nol_a_00042.</w:t>
      </w:r>
    </w:p>
    <w:p w14:paraId="7A2EE2CF">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sz w:val="24"/>
          <w:szCs w:val="24"/>
          <w:highlight w:val="none"/>
          <w:lang w:val="en-US"/>
        </w:rPr>
      </w:pPr>
    </w:p>
    <w:p w14:paraId="789640BA">
      <w:pPr>
        <w:rPr>
          <w:rFonts w:hint="default" w:ascii="Times New Roman Regular" w:hAnsi="Times New Roman Regular" w:cs="Times New Roman Regular"/>
          <w:highlight w:val="none"/>
          <w:lang w:val="en-US"/>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603050405020304"/>
    <w:charset w:val="00"/>
    <w:family w:val="auto"/>
    <w:pitch w:val="default"/>
    <w:sig w:usb0="E0002AEF" w:usb1="C0007841" w:usb2="00000009" w:usb3="00000000" w:csb0="400001FF" w:csb1="FFFF0000"/>
  </w:font>
  <w:font w:name="Times New Roman Italic">
    <w:panose1 w:val="02020603050405020304"/>
    <w:charset w:val="00"/>
    <w:family w:val="auto"/>
    <w:pitch w:val="default"/>
    <w:sig w:usb0="E0002AEF" w:usb1="C0007841" w:usb2="00000009" w:usb3="00000000" w:csb0="400001FF" w:csb1="FFFF0000"/>
  </w:font>
  <w:font w:name="Times New Roman Bold">
    <w:panose1 w:val="02020603050405020304"/>
    <w:charset w:val="00"/>
    <w:family w:val="auto"/>
    <w:pitch w:val="default"/>
    <w:sig w:usb0="E0002AEF" w:usb1="C0007841"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A348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4A3A03E">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24A3A03E">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CF02A2"/>
    <w:multiLevelType w:val="multilevel"/>
    <w:tmpl w:val="BFCF02A2"/>
    <w:lvl w:ilvl="0" w:tentative="0">
      <w:start w:val="1"/>
      <w:numFmt w:val="lowerLetter"/>
      <w:lvlText w:val="%1)"/>
      <w:lvlJc w:val="left"/>
      <w:pPr>
        <w:tabs>
          <w:tab w:val="left" w:pos="312"/>
        </w:tabs>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FFFFB5E3"/>
    <w:multiLevelType w:val="multilevel"/>
    <w:tmpl w:val="FFFFB5E3"/>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47F78F26"/>
    <w:multiLevelType w:val="multilevel"/>
    <w:tmpl w:val="47F78F26"/>
    <w:lvl w:ilvl="0" w:tentative="0">
      <w:start w:val="1"/>
      <w:numFmt w:val="lowerLetter"/>
      <w:lvlText w:val="%1)"/>
      <w:lvlJc w:val="left"/>
      <w:pPr>
        <w:tabs>
          <w:tab w:val="left" w:pos="312"/>
        </w:tabs>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6F4D6151"/>
    <w:multiLevelType w:val="multilevel"/>
    <w:tmpl w:val="6F4D6151"/>
    <w:lvl w:ilvl="0" w:tentative="0">
      <w:start w:val="1"/>
      <w:numFmt w:val="lowerLetter"/>
      <w:lvlText w:val="%1)"/>
      <w:lvlJc w:val="left"/>
      <w:pPr>
        <w:tabs>
          <w:tab w:val="left" w:pos="312"/>
        </w:tabs>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7FFCA1DC"/>
    <w:multiLevelType w:val="singleLevel"/>
    <w:tmpl w:val="7FFCA1DC"/>
    <w:lvl w:ilvl="0" w:tentative="0">
      <w:start w:val="1"/>
      <w:numFmt w:val="decimal"/>
      <w:suff w:val="space"/>
      <w:lvlText w:val="%1."/>
      <w:lvlJc w:val="left"/>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zZDZhM2U5M2ZiYTRlNjI1NjVjMjM4ZWFiODhiODMifQ=="/>
  </w:docVars>
  <w:rsids>
    <w:rsidRoot w:val="EF6E1891"/>
    <w:rsid w:val="003B7B1F"/>
    <w:rsid w:val="00524C1C"/>
    <w:rsid w:val="00794762"/>
    <w:rsid w:val="00967E02"/>
    <w:rsid w:val="3FEEADDB"/>
    <w:rsid w:val="3FFD006E"/>
    <w:rsid w:val="699D64DE"/>
    <w:rsid w:val="6BA7BB4B"/>
    <w:rsid w:val="6EEEA75E"/>
    <w:rsid w:val="77FD31EB"/>
    <w:rsid w:val="7FBFDF84"/>
    <w:rsid w:val="9B9EB80A"/>
    <w:rsid w:val="BFBF693B"/>
    <w:rsid w:val="CC6858E3"/>
    <w:rsid w:val="DEDF875F"/>
    <w:rsid w:val="E944AAF1"/>
    <w:rsid w:val="EEAF9659"/>
    <w:rsid w:val="EF6E18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7">
    <w:name w:val="Default Paragraph Font"/>
    <w:semiHidden/>
    <w:unhideWhenUsed/>
    <w:uiPriority w:val="1"/>
  </w:style>
  <w:style w:type="table" w:default="1" w:styleId="6">
    <w:name w:val="Normal Table"/>
    <w:semiHidden/>
    <w:unhideWhenUsed/>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paragraph"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2337</Words>
  <Characters>14692</Characters>
  <Lines>120</Lines>
  <Paragraphs>34</Paragraphs>
  <TotalTime>3</TotalTime>
  <ScaleCrop>false</ScaleCrop>
  <LinksUpToDate>false</LinksUpToDate>
  <CharactersWithSpaces>17009</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2024-11-22T23:37:00Z</dcterms:created>
  <dc:creator>郝豆豆</dc:creator>
  <cp:lastModifiedBy>郝豆豆</cp:lastModifiedBy>
  <dcterms:modified xsi:type="dcterms:W3CDTF">2024-11-27T18:28:59Z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07A5BC406E4F9F736064476730719441_43</vt:lpwstr>
  </property>
</Properties>
</file>