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9D8372B" wp14:paraId="5E5787A5" wp14:textId="47DCF622">
      <w:pPr>
        <w:jc w:val="center"/>
      </w:pPr>
      <w:r w:rsidR="48A951B9">
        <w:drawing>
          <wp:inline xmlns:wp14="http://schemas.microsoft.com/office/word/2010/wordprocessingDrawing" wp14:editId="5BF0E627" wp14:anchorId="40AF2D1B">
            <wp:extent cx="3943350" cy="1971675"/>
            <wp:effectExtent l="0" t="0" r="0" b="0"/>
            <wp:docPr id="1567276737" name="" title=""/>
            <wp:cNvGraphicFramePr>
              <a:graphicFrameLocks noChangeAspect="1"/>
            </wp:cNvGraphicFramePr>
            <a:graphic>
              <a:graphicData uri="http://schemas.openxmlformats.org/drawingml/2006/picture">
                <pic:pic>
                  <pic:nvPicPr>
                    <pic:cNvPr id="0" name=""/>
                    <pic:cNvPicPr/>
                  </pic:nvPicPr>
                  <pic:blipFill>
                    <a:blip r:embed="R3832df55fb3f4099">
                      <a:extLst>
                        <a:ext xmlns:a="http://schemas.openxmlformats.org/drawingml/2006/main" uri="{28A0092B-C50C-407E-A947-70E740481C1C}">
                          <a14:useLocalDpi val="0"/>
                        </a:ext>
                      </a:extLst>
                    </a:blip>
                    <a:stretch>
                      <a:fillRect/>
                    </a:stretch>
                  </pic:blipFill>
                  <pic:spPr>
                    <a:xfrm>
                      <a:off x="0" y="0"/>
                      <a:ext cx="3943350" cy="1971675"/>
                    </a:xfrm>
                    <a:prstGeom prst="rect">
                      <a:avLst/>
                    </a:prstGeom>
                  </pic:spPr>
                </pic:pic>
              </a:graphicData>
            </a:graphic>
          </wp:inline>
        </w:drawing>
      </w:r>
    </w:p>
    <w:p w:rsidR="2AE947BA" w:rsidP="79D8372B" w:rsidRDefault="2AE947BA" w14:paraId="1D2ADFD4" w14:textId="314FA0C9">
      <w:pPr>
        <w:jc w:val="center"/>
        <w:rPr>
          <w:rFonts w:ascii="Aptos" w:hAnsi="Aptos" w:eastAsia="Aptos" w:cs="Aptos" w:asciiTheme="minorAscii" w:hAnsiTheme="minorAscii" w:eastAsiaTheme="minorAscii" w:cstheme="minorAscii"/>
          <w:b w:val="1"/>
          <w:bCs w:val="1"/>
          <w:noProof w:val="0"/>
          <w:sz w:val="24"/>
          <w:szCs w:val="24"/>
          <w:lang w:val="en-GB"/>
        </w:rPr>
      </w:pPr>
      <w:r w:rsidRPr="79D8372B" w:rsidR="2AE947BA">
        <w:rPr>
          <w:rFonts w:ascii="Aptos" w:hAnsi="Aptos" w:eastAsia="Aptos" w:cs="Aptos" w:asciiTheme="minorAscii" w:hAnsiTheme="minorAscii" w:eastAsiaTheme="minorAscii" w:cstheme="minorAscii"/>
          <w:b w:val="1"/>
          <w:bCs w:val="1"/>
        </w:rPr>
        <w:t>Module</w:t>
      </w:r>
      <w:r w:rsidRPr="79D8372B" w:rsidR="2AE947BA">
        <w:rPr>
          <w:rFonts w:ascii="Aptos" w:hAnsi="Aptos" w:eastAsia="Aptos" w:cs="Aptos" w:asciiTheme="minorAscii" w:hAnsiTheme="minorAscii" w:eastAsiaTheme="minorAscii" w:cstheme="minorAscii"/>
          <w:b w:val="1"/>
          <w:bCs w:val="1"/>
        </w:rPr>
        <w:t xml:space="preserve">: </w:t>
      </w:r>
      <w:r w:rsidRPr="79D8372B" w:rsidR="2AE947BA">
        <w:rPr>
          <w:rFonts w:ascii="Aptos" w:hAnsi="Aptos" w:eastAsia="Aptos" w:cs="Aptos" w:asciiTheme="minorAscii" w:hAnsiTheme="minorAscii" w:eastAsiaTheme="minorAscii" w:cstheme="minorAscii"/>
          <w:b w:val="1"/>
          <w:bCs w:val="1"/>
          <w:noProof w:val="0"/>
          <w:sz w:val="24"/>
          <w:szCs w:val="24"/>
          <w:lang w:val="en-GB"/>
        </w:rPr>
        <w:t>Health Economics</w:t>
      </w:r>
    </w:p>
    <w:p w:rsidR="2AE947BA" w:rsidP="79D8372B" w:rsidRDefault="2AE947BA" w14:paraId="0742138E" w14:textId="57AB3873">
      <w:pPr>
        <w:jc w:val="center"/>
        <w:rPr>
          <w:rFonts w:ascii="Aptos" w:hAnsi="Aptos" w:eastAsia="Aptos" w:cs="Aptos" w:asciiTheme="minorAscii" w:hAnsiTheme="minorAscii" w:eastAsiaTheme="minorAscii" w:cstheme="minorAscii"/>
          <w:b w:val="1"/>
          <w:bCs w:val="1"/>
          <w:noProof w:val="0"/>
          <w:sz w:val="24"/>
          <w:szCs w:val="24"/>
          <w:lang w:val="en-GB"/>
        </w:rPr>
      </w:pPr>
      <w:r w:rsidRPr="79D8372B" w:rsidR="2AE947BA">
        <w:rPr>
          <w:rFonts w:ascii="Aptos" w:hAnsi="Aptos" w:eastAsia="Aptos" w:cs="Aptos" w:asciiTheme="minorAscii" w:hAnsiTheme="minorAscii" w:eastAsiaTheme="minorAscii" w:cstheme="minorAscii"/>
          <w:b w:val="1"/>
          <w:bCs w:val="1"/>
          <w:noProof w:val="0"/>
          <w:sz w:val="24"/>
          <w:szCs w:val="24"/>
          <w:lang w:val="en-GB"/>
        </w:rPr>
        <w:t>Module Code: BMHP5022</w:t>
      </w:r>
    </w:p>
    <w:p w:rsidR="7DA84A6C" w:rsidP="79D8372B" w:rsidRDefault="7DA84A6C" w14:paraId="32A3C886" w14:textId="3F341DC9">
      <w:pPr>
        <w:jc w:val="center"/>
        <w:rPr>
          <w:rFonts w:ascii="Aptos" w:hAnsi="Aptos" w:eastAsia="Aptos" w:cs="Aptos" w:asciiTheme="minorAscii" w:hAnsiTheme="minorAscii" w:eastAsiaTheme="minorAscii" w:cstheme="minorAscii"/>
          <w:b w:val="1"/>
          <w:bCs w:val="1"/>
          <w:noProof w:val="0"/>
          <w:sz w:val="24"/>
          <w:szCs w:val="24"/>
          <w:lang w:val="en-GB"/>
        </w:rPr>
      </w:pPr>
      <w:r w:rsidRPr="79D8372B" w:rsidR="7DA84A6C">
        <w:rPr>
          <w:rFonts w:ascii="Aptos" w:hAnsi="Aptos" w:eastAsia="Aptos" w:cs="Aptos" w:asciiTheme="minorAscii" w:hAnsiTheme="minorAscii" w:eastAsiaTheme="minorAscii" w:cstheme="minorAscii"/>
          <w:b w:val="1"/>
          <w:bCs w:val="1"/>
          <w:noProof w:val="0"/>
          <w:sz w:val="24"/>
          <w:szCs w:val="24"/>
          <w:lang w:val="en-GB"/>
        </w:rPr>
        <w:t xml:space="preserve">Lecture: </w:t>
      </w:r>
      <w:r w:rsidRPr="79D8372B" w:rsidR="7DA84A6C">
        <w:rPr>
          <w:rFonts w:ascii="Aptos" w:hAnsi="Aptos" w:eastAsia="Aptos" w:cs="Aptos" w:asciiTheme="minorAscii" w:hAnsiTheme="minorAscii" w:eastAsiaTheme="minorAscii" w:cstheme="minorAscii"/>
          <w:b w:val="1"/>
          <w:bCs w:val="1"/>
          <w:noProof w:val="0"/>
          <w:sz w:val="24"/>
          <w:szCs w:val="24"/>
          <w:lang w:val="en-GB"/>
        </w:rPr>
        <w:t>Simona Ferraraccio</w:t>
      </w:r>
    </w:p>
    <w:p w:rsidR="7DA84A6C" w:rsidP="79D8372B" w:rsidRDefault="7DA84A6C" w14:paraId="6D104DE5" w14:textId="6D33871F">
      <w:pPr>
        <w:jc w:val="center"/>
        <w:rPr>
          <w:rFonts w:ascii="Aptos" w:hAnsi="Aptos" w:eastAsia="Aptos" w:cs="Aptos" w:asciiTheme="minorAscii" w:hAnsiTheme="minorAscii" w:eastAsiaTheme="minorAscii" w:cstheme="minorAscii"/>
          <w:b w:val="1"/>
          <w:bCs w:val="1"/>
          <w:noProof w:val="0"/>
          <w:sz w:val="24"/>
          <w:szCs w:val="24"/>
          <w:lang w:val="en-GB"/>
        </w:rPr>
      </w:pPr>
      <w:r w:rsidRPr="79D8372B" w:rsidR="7DA84A6C">
        <w:rPr>
          <w:rFonts w:ascii="Aptos" w:hAnsi="Aptos" w:eastAsia="Aptos" w:cs="Aptos" w:asciiTheme="minorAscii" w:hAnsiTheme="minorAscii" w:eastAsiaTheme="minorAscii" w:cstheme="minorAscii"/>
          <w:b w:val="1"/>
          <w:bCs w:val="1"/>
          <w:noProof w:val="0"/>
          <w:sz w:val="24"/>
          <w:szCs w:val="24"/>
          <w:lang w:val="en-GB"/>
        </w:rPr>
        <w:t>Student: Stacey King</w:t>
      </w:r>
    </w:p>
    <w:p w:rsidR="7DA84A6C" w:rsidP="79D8372B" w:rsidRDefault="7DA84A6C" w14:paraId="148D7789" w14:textId="67816339">
      <w:pPr>
        <w:jc w:val="center"/>
        <w:rPr>
          <w:rFonts w:ascii="Aptos" w:hAnsi="Aptos" w:eastAsia="Aptos" w:cs="Aptos" w:asciiTheme="minorAscii" w:hAnsiTheme="minorAscii" w:eastAsiaTheme="minorAscii" w:cstheme="minorAscii"/>
          <w:b w:val="1"/>
          <w:bCs w:val="1"/>
          <w:noProof w:val="0"/>
          <w:sz w:val="24"/>
          <w:szCs w:val="24"/>
          <w:lang w:val="en-GB"/>
        </w:rPr>
      </w:pPr>
      <w:r w:rsidRPr="79D8372B" w:rsidR="7DA84A6C">
        <w:rPr>
          <w:rFonts w:ascii="Aptos" w:hAnsi="Aptos" w:eastAsia="Aptos" w:cs="Aptos" w:asciiTheme="minorAscii" w:hAnsiTheme="minorAscii" w:eastAsiaTheme="minorAscii" w:cstheme="minorAscii"/>
          <w:b w:val="1"/>
          <w:bCs w:val="1"/>
          <w:noProof w:val="0"/>
          <w:sz w:val="24"/>
          <w:szCs w:val="24"/>
          <w:lang w:val="en-GB"/>
        </w:rPr>
        <w:t>Student number: 2114341</w:t>
      </w:r>
    </w:p>
    <w:p w:rsidR="7DA84A6C" w:rsidP="79D8372B" w:rsidRDefault="7DA84A6C" w14:paraId="42EFD508" w14:textId="792D3309">
      <w:pPr>
        <w:jc w:val="center"/>
        <w:rPr>
          <w:rFonts w:ascii="Aptos" w:hAnsi="Aptos" w:eastAsia="Aptos" w:cs="Aptos" w:asciiTheme="minorAscii" w:hAnsiTheme="minorAscii" w:eastAsiaTheme="minorAscii" w:cstheme="minorAscii"/>
          <w:b w:val="1"/>
          <w:bCs w:val="1"/>
          <w:noProof w:val="0"/>
          <w:sz w:val="24"/>
          <w:szCs w:val="24"/>
          <w:lang w:val="en-GB"/>
        </w:rPr>
      </w:pPr>
      <w:r w:rsidRPr="79D8372B" w:rsidR="7DA84A6C">
        <w:rPr>
          <w:rFonts w:ascii="Aptos" w:hAnsi="Aptos" w:eastAsia="Aptos" w:cs="Aptos" w:asciiTheme="minorAscii" w:hAnsiTheme="minorAscii" w:eastAsiaTheme="minorAscii" w:cstheme="minorAscii"/>
          <w:b w:val="1"/>
          <w:bCs w:val="1"/>
          <w:noProof w:val="0"/>
          <w:sz w:val="24"/>
          <w:szCs w:val="24"/>
          <w:lang w:val="en-GB"/>
        </w:rPr>
        <w:t>Submission Date: May 9</w:t>
      </w:r>
      <w:r w:rsidRPr="79D8372B" w:rsidR="7DA84A6C">
        <w:rPr>
          <w:rFonts w:ascii="Aptos" w:hAnsi="Aptos" w:eastAsia="Aptos" w:cs="Aptos" w:asciiTheme="minorAscii" w:hAnsiTheme="minorAscii" w:eastAsiaTheme="minorAscii" w:cstheme="minorAscii"/>
          <w:b w:val="1"/>
          <w:bCs w:val="1"/>
          <w:noProof w:val="0"/>
          <w:sz w:val="24"/>
          <w:szCs w:val="24"/>
          <w:vertAlign w:val="superscript"/>
          <w:lang w:val="en-GB"/>
        </w:rPr>
        <w:t>th</w:t>
      </w:r>
      <w:r w:rsidRPr="79D8372B" w:rsidR="7DA84A6C">
        <w:rPr>
          <w:rFonts w:ascii="Aptos" w:hAnsi="Aptos" w:eastAsia="Aptos" w:cs="Aptos" w:asciiTheme="minorAscii" w:hAnsiTheme="minorAscii" w:eastAsiaTheme="minorAscii" w:cstheme="minorAscii"/>
          <w:b w:val="1"/>
          <w:bCs w:val="1"/>
          <w:noProof w:val="0"/>
          <w:sz w:val="24"/>
          <w:szCs w:val="24"/>
          <w:lang w:val="en-GB"/>
        </w:rPr>
        <w:t>,</w:t>
      </w:r>
      <w:r w:rsidRPr="79D8372B" w:rsidR="7DA84A6C">
        <w:rPr>
          <w:rFonts w:ascii="Aptos" w:hAnsi="Aptos" w:eastAsia="Aptos" w:cs="Aptos" w:asciiTheme="minorAscii" w:hAnsiTheme="minorAscii" w:eastAsiaTheme="minorAscii" w:cstheme="minorAscii"/>
          <w:b w:val="1"/>
          <w:bCs w:val="1"/>
          <w:noProof w:val="0"/>
          <w:sz w:val="24"/>
          <w:szCs w:val="24"/>
          <w:lang w:val="en-GB"/>
        </w:rPr>
        <w:t xml:space="preserve"> 2025</w:t>
      </w:r>
    </w:p>
    <w:p w:rsidR="79D8372B" w:rsidP="79D8372B" w:rsidRDefault="79D8372B" w14:paraId="6F8715F0" w14:textId="4D9FD74C">
      <w:pPr>
        <w:jc w:val="left"/>
        <w:rPr>
          <w:rFonts w:ascii="Aptos" w:hAnsi="Aptos" w:eastAsia="Aptos" w:cs="Aptos" w:asciiTheme="minorAscii" w:hAnsiTheme="minorAscii" w:eastAsiaTheme="minorAscii" w:cstheme="minorAscii"/>
          <w:b w:val="1"/>
          <w:bCs w:val="1"/>
          <w:noProof w:val="0"/>
          <w:sz w:val="24"/>
          <w:szCs w:val="24"/>
          <w:lang w:val="en-GB"/>
        </w:rPr>
      </w:pPr>
    </w:p>
    <w:p w:rsidR="79D8372B" w:rsidP="79D8372B" w:rsidRDefault="79D8372B" w14:paraId="17890009" w14:textId="72CE2D13">
      <w:pPr>
        <w:jc w:val="left"/>
        <w:rPr>
          <w:rFonts w:ascii="Aptos" w:hAnsi="Aptos" w:eastAsia="Aptos" w:cs="Aptos" w:asciiTheme="minorAscii" w:hAnsiTheme="minorAscii" w:eastAsiaTheme="minorAscii" w:cstheme="minorAscii"/>
          <w:b w:val="1"/>
          <w:bCs w:val="1"/>
          <w:noProof w:val="0"/>
          <w:sz w:val="24"/>
          <w:szCs w:val="24"/>
          <w:lang w:val="en-GB"/>
        </w:rPr>
      </w:pPr>
    </w:p>
    <w:p w:rsidR="79D8372B" w:rsidP="79D8372B" w:rsidRDefault="79D8372B" w14:paraId="1FFC31D5" w14:textId="1FB582A8">
      <w:pPr>
        <w:jc w:val="left"/>
        <w:rPr>
          <w:rFonts w:ascii="Aptos" w:hAnsi="Aptos" w:eastAsia="Aptos" w:cs="Aptos" w:asciiTheme="minorAscii" w:hAnsiTheme="minorAscii" w:eastAsiaTheme="minorAscii" w:cstheme="minorAscii"/>
          <w:b w:val="1"/>
          <w:bCs w:val="1"/>
          <w:noProof w:val="0"/>
          <w:sz w:val="24"/>
          <w:szCs w:val="24"/>
          <w:lang w:val="en-GB"/>
        </w:rPr>
      </w:pPr>
    </w:p>
    <w:p w:rsidR="79D8372B" w:rsidP="79D8372B" w:rsidRDefault="79D8372B" w14:paraId="51C8F3A6" w14:textId="576280F3">
      <w:pPr>
        <w:jc w:val="left"/>
        <w:rPr>
          <w:rFonts w:ascii="Aptos" w:hAnsi="Aptos" w:eastAsia="Aptos" w:cs="Aptos" w:asciiTheme="minorAscii" w:hAnsiTheme="minorAscii" w:eastAsiaTheme="minorAscii" w:cstheme="minorAscii"/>
          <w:b w:val="1"/>
          <w:bCs w:val="1"/>
          <w:noProof w:val="0"/>
          <w:sz w:val="24"/>
          <w:szCs w:val="24"/>
          <w:lang w:val="en-GB"/>
        </w:rPr>
      </w:pPr>
    </w:p>
    <w:p w:rsidR="79D8372B" w:rsidP="79D8372B" w:rsidRDefault="79D8372B" w14:paraId="03882FB0" w14:textId="783DA5B0">
      <w:pPr>
        <w:jc w:val="left"/>
        <w:rPr>
          <w:rFonts w:ascii="Aptos" w:hAnsi="Aptos" w:eastAsia="Aptos" w:cs="Aptos" w:asciiTheme="minorAscii" w:hAnsiTheme="minorAscii" w:eastAsiaTheme="minorAscii" w:cstheme="minorAscii"/>
          <w:b w:val="1"/>
          <w:bCs w:val="1"/>
          <w:noProof w:val="0"/>
          <w:sz w:val="24"/>
          <w:szCs w:val="24"/>
          <w:lang w:val="en-GB"/>
        </w:rPr>
      </w:pPr>
    </w:p>
    <w:p w:rsidR="79D8372B" w:rsidP="79D8372B" w:rsidRDefault="79D8372B" w14:paraId="46463713" w14:textId="442659F3">
      <w:pPr>
        <w:jc w:val="left"/>
        <w:rPr>
          <w:rFonts w:ascii="Aptos" w:hAnsi="Aptos" w:eastAsia="Aptos" w:cs="Aptos" w:asciiTheme="minorAscii" w:hAnsiTheme="minorAscii" w:eastAsiaTheme="minorAscii" w:cstheme="minorAscii"/>
          <w:b w:val="1"/>
          <w:bCs w:val="1"/>
          <w:noProof w:val="0"/>
          <w:sz w:val="24"/>
          <w:szCs w:val="24"/>
          <w:lang w:val="en-GB"/>
        </w:rPr>
      </w:pPr>
    </w:p>
    <w:p w:rsidR="79D8372B" w:rsidP="79D8372B" w:rsidRDefault="79D8372B" w14:paraId="571565F1" w14:textId="430937D0">
      <w:pPr>
        <w:jc w:val="left"/>
        <w:rPr>
          <w:rFonts w:ascii="Aptos" w:hAnsi="Aptos" w:eastAsia="Aptos" w:cs="Aptos" w:asciiTheme="minorAscii" w:hAnsiTheme="minorAscii" w:eastAsiaTheme="minorAscii" w:cstheme="minorAscii"/>
          <w:b w:val="1"/>
          <w:bCs w:val="1"/>
          <w:noProof w:val="0"/>
          <w:sz w:val="24"/>
          <w:szCs w:val="24"/>
          <w:lang w:val="en-GB"/>
        </w:rPr>
      </w:pPr>
    </w:p>
    <w:p w:rsidR="79D8372B" w:rsidP="79D8372B" w:rsidRDefault="79D8372B" w14:paraId="53A5C32B" w14:textId="67D41C4E">
      <w:pPr>
        <w:jc w:val="left"/>
        <w:rPr>
          <w:rFonts w:ascii="Aptos" w:hAnsi="Aptos" w:eastAsia="Aptos" w:cs="Aptos" w:asciiTheme="minorAscii" w:hAnsiTheme="minorAscii" w:eastAsiaTheme="minorAscii" w:cstheme="minorAscii"/>
          <w:b w:val="1"/>
          <w:bCs w:val="1"/>
          <w:noProof w:val="0"/>
          <w:sz w:val="24"/>
          <w:szCs w:val="24"/>
          <w:lang w:val="en-GB"/>
        </w:rPr>
      </w:pPr>
    </w:p>
    <w:p w:rsidR="79D8372B" w:rsidP="79D8372B" w:rsidRDefault="79D8372B" w14:paraId="5A884F26" w14:textId="1EFD6EC8">
      <w:pPr>
        <w:jc w:val="left"/>
        <w:rPr>
          <w:rFonts w:ascii="Aptos" w:hAnsi="Aptos" w:eastAsia="Aptos" w:cs="Aptos" w:asciiTheme="minorAscii" w:hAnsiTheme="minorAscii" w:eastAsiaTheme="minorAscii" w:cstheme="minorAscii"/>
          <w:b w:val="1"/>
          <w:bCs w:val="1"/>
          <w:noProof w:val="0"/>
          <w:sz w:val="24"/>
          <w:szCs w:val="24"/>
          <w:lang w:val="en-GB"/>
        </w:rPr>
      </w:pPr>
    </w:p>
    <w:p w:rsidR="79D8372B" w:rsidP="79D8372B" w:rsidRDefault="79D8372B" w14:paraId="4D9F2A2D" w14:textId="47AE3D24">
      <w:pPr>
        <w:jc w:val="left"/>
        <w:rPr>
          <w:rFonts w:ascii="Aptos" w:hAnsi="Aptos" w:eastAsia="Aptos" w:cs="Aptos" w:asciiTheme="minorAscii" w:hAnsiTheme="minorAscii" w:eastAsiaTheme="minorAscii" w:cstheme="minorAscii"/>
          <w:b w:val="1"/>
          <w:bCs w:val="1"/>
          <w:noProof w:val="0"/>
          <w:sz w:val="24"/>
          <w:szCs w:val="24"/>
          <w:lang w:val="en-GB"/>
        </w:rPr>
      </w:pPr>
    </w:p>
    <w:p w:rsidR="79D8372B" w:rsidP="79D8372B" w:rsidRDefault="79D8372B" w14:paraId="082DDA6D" w14:textId="5885AFDD">
      <w:pPr>
        <w:jc w:val="left"/>
        <w:rPr>
          <w:rFonts w:ascii="Aptos" w:hAnsi="Aptos" w:eastAsia="Aptos" w:cs="Aptos" w:asciiTheme="minorAscii" w:hAnsiTheme="minorAscii" w:eastAsiaTheme="minorAscii" w:cstheme="minorAscii"/>
          <w:b w:val="1"/>
          <w:bCs w:val="1"/>
          <w:noProof w:val="0"/>
          <w:sz w:val="24"/>
          <w:szCs w:val="24"/>
          <w:lang w:val="en-GB"/>
        </w:rPr>
      </w:pPr>
    </w:p>
    <w:p w:rsidR="79D8372B" w:rsidP="79D8372B" w:rsidRDefault="79D8372B" w14:paraId="36354138" w14:textId="60AE958D">
      <w:pPr>
        <w:jc w:val="left"/>
        <w:rPr>
          <w:rFonts w:ascii="Aptos" w:hAnsi="Aptos" w:eastAsia="Aptos" w:cs="Aptos" w:asciiTheme="minorAscii" w:hAnsiTheme="minorAscii" w:eastAsiaTheme="minorAscii" w:cstheme="minorAscii"/>
          <w:b w:val="1"/>
          <w:bCs w:val="1"/>
          <w:noProof w:val="0"/>
          <w:sz w:val="24"/>
          <w:szCs w:val="24"/>
          <w:lang w:val="en-GB"/>
        </w:rPr>
      </w:pPr>
    </w:p>
    <w:p w:rsidR="79D8372B" w:rsidP="79D8372B" w:rsidRDefault="79D8372B" w14:paraId="3C03D3E0" w14:textId="4C58CB18">
      <w:pPr>
        <w:jc w:val="left"/>
        <w:rPr>
          <w:rFonts w:ascii="Aptos" w:hAnsi="Aptos" w:eastAsia="Aptos" w:cs="Aptos" w:asciiTheme="minorAscii" w:hAnsiTheme="minorAscii" w:eastAsiaTheme="minorAscii" w:cstheme="minorAscii"/>
          <w:b w:val="1"/>
          <w:bCs w:val="1"/>
          <w:noProof w:val="0"/>
          <w:sz w:val="24"/>
          <w:szCs w:val="24"/>
          <w:lang w:val="en-GB"/>
        </w:rPr>
      </w:pPr>
    </w:p>
    <w:p w:rsidR="79D8372B" w:rsidP="79D8372B" w:rsidRDefault="79D8372B" w14:paraId="6A615F7D" w14:textId="0604E305">
      <w:pPr>
        <w:jc w:val="left"/>
        <w:rPr>
          <w:rFonts w:ascii="Aptos" w:hAnsi="Aptos" w:eastAsia="Aptos" w:cs="Aptos" w:asciiTheme="minorAscii" w:hAnsiTheme="minorAscii" w:eastAsiaTheme="minorAscii" w:cstheme="minorAscii"/>
          <w:b w:val="1"/>
          <w:bCs w:val="1"/>
          <w:noProof w:val="0"/>
          <w:sz w:val="24"/>
          <w:szCs w:val="24"/>
          <w:lang w:val="en-GB"/>
        </w:rPr>
      </w:pPr>
    </w:p>
    <w:p w:rsidR="79D8372B" w:rsidP="79D8372B" w:rsidRDefault="79D8372B" w14:paraId="4BA0B032" w14:textId="6C5250E3">
      <w:pPr>
        <w:jc w:val="left"/>
        <w:rPr>
          <w:rFonts w:ascii="Aptos" w:hAnsi="Aptos" w:eastAsia="Aptos" w:cs="Aptos" w:asciiTheme="minorAscii" w:hAnsiTheme="minorAscii" w:eastAsiaTheme="minorAscii" w:cstheme="minorAscii"/>
          <w:b w:val="1"/>
          <w:bCs w:val="1"/>
          <w:noProof w:val="0"/>
          <w:sz w:val="24"/>
          <w:szCs w:val="24"/>
          <w:lang w:val="en-GB"/>
        </w:rPr>
      </w:pPr>
    </w:p>
    <w:p w:rsidR="79D8372B" w:rsidP="79D8372B" w:rsidRDefault="79D8372B" w14:paraId="5D22C9C1" w14:textId="7144F7C4">
      <w:pPr>
        <w:jc w:val="left"/>
        <w:rPr>
          <w:rFonts w:ascii="Aptos" w:hAnsi="Aptos" w:eastAsia="Aptos" w:cs="Aptos" w:asciiTheme="minorAscii" w:hAnsiTheme="minorAscii" w:eastAsiaTheme="minorAscii" w:cstheme="minorAscii"/>
          <w:b w:val="1"/>
          <w:bCs w:val="1"/>
          <w:noProof w:val="0"/>
          <w:sz w:val="24"/>
          <w:szCs w:val="24"/>
          <w:lang w:val="en-GB"/>
        </w:rPr>
      </w:pPr>
    </w:p>
    <w:p w:rsidR="5C3DFA86" w:rsidP="79D8372B" w:rsidRDefault="5C3DFA86" w14:paraId="141D8B1D" w14:textId="0F655F78">
      <w:pPr>
        <w:spacing w:line="360" w:lineRule="auto"/>
        <w:rPr>
          <w:rFonts w:ascii="Aptos" w:hAnsi="Aptos" w:eastAsia="Aptos" w:cs="Aptos"/>
          <w:noProof w:val="0"/>
          <w:sz w:val="24"/>
          <w:szCs w:val="24"/>
          <w:lang w:val="en-GB"/>
        </w:rPr>
      </w:pPr>
      <w:r w:rsidRPr="79D8372B" w:rsidR="5C3DFA86">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 xml:space="preserve">1000 Word Supporting Paper- In- Class debate in favour of mandatory </w:t>
      </w:r>
      <w:r w:rsidRPr="79D8372B" w:rsidR="5C3DFA86">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insurance</w:t>
      </w:r>
      <w:r w:rsidRPr="79D8372B" w:rsidR="5C3DFA86">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w:t>
      </w:r>
    </w:p>
    <w:p w:rsidR="71986C4A" w:rsidP="79D8372B" w:rsidRDefault="71986C4A" w14:paraId="696512CF" w14:textId="0C135B1F">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1"/>
          <w:bCs w:val="1"/>
          <w:i w:val="0"/>
          <w:iCs w:val="0"/>
          <w:caps w:val="0"/>
          <w:smallCaps w:val="0"/>
          <w:noProof w:val="0"/>
          <w:color w:val="000000" w:themeColor="text1" w:themeTint="FF" w:themeShade="FF"/>
          <w:sz w:val="24"/>
          <w:szCs w:val="24"/>
          <w:lang w:val="en-GB"/>
        </w:rPr>
        <w:t>Introduction</w:t>
      </w:r>
    </w:p>
    <w:p w:rsidR="71986C4A" w:rsidP="79D8372B" w:rsidRDefault="71986C4A" w14:paraId="66D14D57" w14:textId="1B09A564">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This paper examines the financing of health and social care through social (mandatory) insurance, a system where individuals are legally required to contribute to health coverage, typically via income-based payments. This method plays a key role in progressing towards Universal Health Coverage (UHC)—ensuring all people have access to essential health services without financial hardship (World Health Organisation, 2013). Using the USA as a case study, the paper explores how mandatory insurance is organised and funded, comparing it with tax-based systems like the UK's NHS. It discusses the advantages, disadvantages, barriers, and facilitators of each model, offering recommendations and conclusions on future policy direction.</w:t>
      </w:r>
    </w:p>
    <w:p w:rsidR="71986C4A" w:rsidP="79D8372B" w:rsidRDefault="71986C4A" w14:paraId="5DB0F076" w14:textId="60955702">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1"/>
          <w:bCs w:val="1"/>
          <w:i w:val="0"/>
          <w:iCs w:val="0"/>
          <w:caps w:val="0"/>
          <w:smallCaps w:val="0"/>
          <w:noProof w:val="0"/>
          <w:color w:val="000000" w:themeColor="text1" w:themeTint="FF" w:themeShade="FF"/>
          <w:sz w:val="24"/>
          <w:szCs w:val="24"/>
          <w:lang w:val="en-GB"/>
        </w:rPr>
        <w:t>Background and Context: Health Economics and Universal Health Coverage (UHC)</w:t>
      </w:r>
    </w:p>
    <w:p w:rsidR="71986C4A" w:rsidP="79D8372B" w:rsidRDefault="71986C4A" w14:paraId="1CA89A8B" w14:textId="57C59162">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Health economics is the study of how scarce resources are allocated within health systems to maximise health outcomes. It informs policy decisions related to cost-effectiveness, efficiency, equity, and resource allocation (GOV.UK, 2017). Universal Health Coverage (UHC), defined by WHO, ensures all individuals receive health services without financial hardship, covering preventive, curative, rehabilitative, and palliative care (WHO, 2024).</w:t>
      </w:r>
    </w:p>
    <w:p w:rsidR="71986C4A" w:rsidP="79D8372B" w:rsidRDefault="71986C4A" w14:paraId="5017826C" w14:textId="7EE3150A">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Globally, half of the world’s population lacks access to essential health services (World Bank &amp; WHO, 2023). Achieving UHC requires sustainable financing, such as taxation or mandatory insurance, alongside robust health infrastructure and workforce (GOV.UK, 2021). Countries must implement risk pooling and cross-subsidisation to ensure low-income and high-risk groups are not excluded (Nuffield, 2019 &amp; UK Parliament, 2009).</w:t>
      </w:r>
    </w:p>
    <w:p w:rsidR="71986C4A" w:rsidP="79D8372B" w:rsidRDefault="71986C4A" w14:paraId="6B8DBCE1" w14:textId="1B8E9CEF">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Legislation like the Health and Social Care Act 2022 and international goals like SDG 3.8 highlight commitments to UHC (GOV.UK, 2021). However, low-income countries face challenges, such as limited funding, high out-of-pocket costs, and weak healthcare systems (UK Parliament, 2008). In Sub-Saharan Africa, over 40% of health expenditure comes from out-of-pocket payments (WHO, 2022), which drives inequality and deters care-seeking behaviour (WHO, 2023).</w:t>
      </w:r>
    </w:p>
    <w:p w:rsidR="71986C4A" w:rsidP="79D8372B" w:rsidRDefault="71986C4A" w14:paraId="6B695AE9" w14:textId="3C6473A8">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International support, progressive financing, and policy reform are essential to overcoming these barriers. Health economics provides a framework to evaluate strategies, making UHC achievable, especially for countries struggling with access, affordability, and quality (World Bank Group, 2018).</w:t>
      </w:r>
    </w:p>
    <w:p w:rsidR="71986C4A" w:rsidP="79D8372B" w:rsidRDefault="71986C4A" w14:paraId="627923F1" w14:textId="3574A240">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1"/>
          <w:bCs w:val="1"/>
          <w:i w:val="0"/>
          <w:iCs w:val="0"/>
          <w:caps w:val="0"/>
          <w:smallCaps w:val="0"/>
          <w:noProof w:val="0"/>
          <w:color w:val="000000" w:themeColor="text1" w:themeTint="FF" w:themeShade="FF"/>
          <w:sz w:val="24"/>
          <w:szCs w:val="24"/>
          <w:lang w:val="en-GB"/>
        </w:rPr>
        <w:t>Financing Healthcare and Universal Health Coverage Through Social Insurance: The USA Example</w:t>
      </w:r>
    </w:p>
    <w:p w:rsidR="71986C4A" w:rsidP="79D8372B" w:rsidRDefault="71986C4A" w14:paraId="174C2DD0" w14:textId="1A8CB678">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Social (mandatory) insurance is a financing model requiring individuals to contribute to health insurance schemes, typically through payroll deductions shared by employers and employees. This approach aims to achieve UHC by pooling risk and ensuring equitable access.</w:t>
      </w:r>
    </w:p>
    <w:p w:rsidR="71986C4A" w:rsidP="79D8372B" w:rsidRDefault="71986C4A" w14:paraId="287946ED" w14:textId="0314F19C">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In the USA, healthcare is funded through mandatory and voluntary insurance mechanisms. Key programmes like Medicare (for those over 65 or with disabilities) and Medicaid (for low-income individuals) are funded via payroll taxes and federal-state contributions (Tax Center Policy, 2024). The Affordable Care Act (2010) expanded access by mandating coverage, offering subsidies for private insurance, and extending Medicaid in many states (U.S. Department of Health and Human Services, 2022).</w:t>
      </w:r>
    </w:p>
    <w:p w:rsidR="71986C4A" w:rsidP="79D8372B" w:rsidRDefault="71986C4A" w14:paraId="7BBD22BE" w14:textId="16FE0227">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Facilitators include income-based subsidies, employer mandates, and expanded Medicaid, which increased access. However, barriers persist—such as high administrative costs, policy variability, and the removal of the individual mandate penalty, weakening enforcement (American Hospital Association, 2024).</w:t>
      </w:r>
    </w:p>
    <w:p w:rsidR="71986C4A" w:rsidP="79D8372B" w:rsidRDefault="71986C4A" w14:paraId="14AD0EE0" w14:textId="430F2526">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Advantages of mandatory insurance include increased coverage, shared responsibility, and flexibility in provider choice. Disadvantages include fragmented coverage, reliance on employment status, and persistent inequalities in access. Despite these challenges, social insurance remains a scalable route to UHC when supported by regulation and funding (Nuffield Trust, 2022).</w:t>
      </w:r>
    </w:p>
    <w:p w:rsidR="71986C4A" w:rsidP="79D8372B" w:rsidRDefault="71986C4A" w14:paraId="2BF27AAD" w14:textId="12E0B001">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1"/>
          <w:bCs w:val="1"/>
          <w:i w:val="0"/>
          <w:iCs w:val="0"/>
          <w:caps w:val="0"/>
          <w:smallCaps w:val="0"/>
          <w:noProof w:val="0"/>
          <w:color w:val="000000" w:themeColor="text1" w:themeTint="FF" w:themeShade="FF"/>
          <w:sz w:val="24"/>
          <w:szCs w:val="24"/>
          <w:lang w:val="en-GB"/>
        </w:rPr>
        <w:t>Financing Healthcare and Universal Health Coverage Through Tax-Based Systems: The UK Example</w:t>
      </w:r>
    </w:p>
    <w:p w:rsidR="71986C4A" w:rsidP="79D8372B" w:rsidRDefault="71986C4A" w14:paraId="4C9429CD" w14:textId="6544A99A">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Tax-based healthcare financing is a model where services are funded through general taxation, aiming for UHC that is free at the point of use. This system relies on government allocation to ensure equitable access, regardless of income or employment status (Nuffield Trust, 2022 &amp; Health Foundation, 2024).</w:t>
      </w:r>
    </w:p>
    <w:p w:rsidR="71986C4A" w:rsidP="79D8372B" w:rsidRDefault="71986C4A" w14:paraId="07FFF314" w14:textId="0D98A5E8">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The UK’s NHS, established in 1948, is funded mainly through progressive income taxation, with additional National Insurance contributions. Services are centrally planned and largely free at delivery, ensuring access based on clinical need (GOV.UK, 2024).</w:t>
      </w:r>
    </w:p>
    <w:p w:rsidR="71986C4A" w:rsidP="79D8372B" w:rsidRDefault="71986C4A" w14:paraId="76EC1993" w14:textId="272641C0">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Facilitators include political support, a unified system that enables cost control and planning, and strong regulation. The NHS benefits from low administrative costs and widespread access (Department of Health and Social Care, 2025).</w:t>
      </w:r>
    </w:p>
    <w:p w:rsidR="71986C4A" w:rsidP="79D8372B" w:rsidRDefault="71986C4A" w14:paraId="5E8E8E6A" w14:textId="52E92155">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However, barriers include funding pressures from ageing populations, rising healthcare costs, and long waiting times. Tax-funded systems are vulnerable to economic downturns and political shifts that affect healthcare budgets (Health Foundation, 2023).</w:t>
      </w:r>
    </w:p>
    <w:p w:rsidR="71986C4A" w:rsidP="79D8372B" w:rsidRDefault="71986C4A" w14:paraId="17E9C326" w14:textId="5857E598">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Advantages include simplicity, universality, and equity. Disadvantages involve potential underfunding, limited choice, and service delays. Nonetheless, tax-based systems remain a proven model for delivering UHC (Health Foundation, 2024).</w:t>
      </w:r>
    </w:p>
    <w:p w:rsidR="71986C4A" w:rsidP="79D8372B" w:rsidRDefault="71986C4A" w14:paraId="427D2378" w14:textId="619A7AF1">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1"/>
          <w:bCs w:val="1"/>
          <w:i w:val="0"/>
          <w:iCs w:val="0"/>
          <w:caps w:val="0"/>
          <w:smallCaps w:val="0"/>
          <w:noProof w:val="0"/>
          <w:color w:val="000000" w:themeColor="text1" w:themeTint="FF" w:themeShade="FF"/>
          <w:sz w:val="24"/>
          <w:szCs w:val="24"/>
          <w:lang w:val="en-GB"/>
        </w:rPr>
        <w:t>Favouring Social (Mandatory) Insurance for Financing Health and Social Care</w:t>
      </w:r>
    </w:p>
    <w:p w:rsidR="71986C4A" w:rsidP="79D8372B" w:rsidRDefault="71986C4A" w14:paraId="194905B0" w14:textId="5799C937">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Of the two methods for financing health and social care, I favour social (mandatory) insurance due to its potential for sustainability, shared responsibility, and flexibility (World Economic Forum, 2024). This model requires all eligible individuals to contribute through income-based payroll deductions, creating a broad risk pool and ensuring financial protection for the population.</w:t>
      </w:r>
    </w:p>
    <w:p w:rsidR="71986C4A" w:rsidP="79D8372B" w:rsidRDefault="71986C4A" w14:paraId="6DC19045" w14:textId="1AE09176">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Unlike tax-funded systems, which are vulnerable to political shifts and economic fluctuations, social insurance mechanisms are more resilient, especially when embedded in legislation and supported by employer contributions (Foroughi et al., 2025). Systems like Germany’s show how mandatory insurance can provide universal coverage, promote patient choice, and maintain high service quality (Nuffield Trust, 2022). While the U.S. faces challenges in achieving UHC, the Affordable Care Act shows that even partial implementation of social insurance can expand coverage when supported by subsidies and regulation (The Health Foundation, 2021).</w:t>
      </w:r>
    </w:p>
    <w:p w:rsidR="71986C4A" w:rsidP="79D8372B" w:rsidRDefault="71986C4A" w14:paraId="0CD76ED5" w14:textId="6FBCE7C3">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1"/>
          <w:bCs w:val="1"/>
          <w:i w:val="0"/>
          <w:iCs w:val="0"/>
          <w:caps w:val="0"/>
          <w:smallCaps w:val="0"/>
          <w:noProof w:val="0"/>
          <w:color w:val="000000" w:themeColor="text1" w:themeTint="FF" w:themeShade="FF"/>
          <w:sz w:val="24"/>
          <w:szCs w:val="24"/>
          <w:lang w:val="en-GB"/>
        </w:rPr>
        <w:t>Recommendations:</w:t>
      </w:r>
    </w:p>
    <w:p w:rsidR="71986C4A" w:rsidP="79D8372B" w:rsidRDefault="71986C4A" w14:paraId="78DAE230" w14:textId="44A1AE66">
      <w:pPr>
        <w:pStyle w:val="ListParagraph"/>
        <w:numPr>
          <w:ilvl w:val="0"/>
          <w:numId w:val="1"/>
        </w:num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Strengthen mandates to ensure broad participation.</w:t>
      </w:r>
    </w:p>
    <w:p w:rsidR="71986C4A" w:rsidP="79D8372B" w:rsidRDefault="71986C4A" w14:paraId="2C07C91C" w14:textId="08CE7661">
      <w:pPr>
        <w:pStyle w:val="ListParagraph"/>
        <w:numPr>
          <w:ilvl w:val="0"/>
          <w:numId w:val="1"/>
        </w:num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Implement income-based subsidies for affordability.</w:t>
      </w:r>
    </w:p>
    <w:p w:rsidR="71986C4A" w:rsidP="79D8372B" w:rsidRDefault="71986C4A" w14:paraId="5587E437" w14:textId="66F63F01">
      <w:pPr>
        <w:pStyle w:val="ListParagraph"/>
        <w:numPr>
          <w:ilvl w:val="0"/>
          <w:numId w:val="1"/>
        </w:num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Promote employer-based contributions to share financial burdens.</w:t>
      </w:r>
    </w:p>
    <w:p w:rsidR="71986C4A" w:rsidP="79D8372B" w:rsidRDefault="71986C4A" w14:paraId="64329A2B" w14:textId="183265A0">
      <w:pPr>
        <w:pStyle w:val="ListParagraph"/>
        <w:numPr>
          <w:ilvl w:val="0"/>
          <w:numId w:val="1"/>
        </w:num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Ensure strong regulatory frameworks to control costs and guarantee essential services.</w:t>
      </w:r>
    </w:p>
    <w:p w:rsidR="71986C4A" w:rsidP="79D8372B" w:rsidRDefault="71986C4A" w14:paraId="4F8111FC" w14:textId="4F9C7B6A">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Policymakers benefit from a stable, accountable financing mechanism. Healthcare providers gain predictable funding and are incentivised to improve efficiency and quality. The general population benefits from financial protection, access to timely care, and more options in choosing providers (NHS Confederation, 2024; The Kings Fund, 2023; The Health Foundation, 2007).</w:t>
      </w:r>
    </w:p>
    <w:p w:rsidR="79D8372B" w:rsidP="79D8372B" w:rsidRDefault="79D8372B" w14:paraId="333E7CE2" w14:textId="738B4BCC">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79D8372B" w:rsidP="79D8372B" w:rsidRDefault="79D8372B" w14:paraId="1D5D638B" w14:textId="5B0F7780">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71986C4A" w:rsidP="79D8372B" w:rsidRDefault="71986C4A" w14:paraId="62A5F736" w14:textId="4738F727">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1"/>
          <w:bCs w:val="1"/>
          <w:i w:val="0"/>
          <w:iCs w:val="0"/>
          <w:caps w:val="0"/>
          <w:smallCaps w:val="0"/>
          <w:noProof w:val="0"/>
          <w:color w:val="000000" w:themeColor="text1" w:themeTint="FF" w:themeShade="FF"/>
          <w:sz w:val="24"/>
          <w:szCs w:val="24"/>
          <w:lang w:val="en-GB"/>
        </w:rPr>
        <w:t>Conclusion</w:t>
      </w:r>
    </w:p>
    <w:p w:rsidR="71986C4A" w:rsidP="79D8372B" w:rsidRDefault="71986C4A" w14:paraId="352D1D42" w14:textId="5D317395">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9D8372B" w:rsidR="71986C4A">
        <w:rPr>
          <w:rFonts w:ascii="Aptos" w:hAnsi="Aptos" w:eastAsia="Aptos" w:cs="Aptos"/>
          <w:b w:val="0"/>
          <w:bCs w:val="0"/>
          <w:i w:val="0"/>
          <w:iCs w:val="0"/>
          <w:caps w:val="0"/>
          <w:smallCaps w:val="0"/>
          <w:noProof w:val="0"/>
          <w:color w:val="000000" w:themeColor="text1" w:themeTint="FF" w:themeShade="FF"/>
          <w:sz w:val="24"/>
          <w:szCs w:val="24"/>
          <w:lang w:val="en-GB"/>
        </w:rPr>
        <w:t>This paper explored financing health and social care through social insurance, comparing the USA and UK’s NHS. Key themes included sustainability, equity, and shared responsibility inherent in mandatory insurance models, along with the barriers and facilitators in their implementation. Social insurance offers a resilient, adaptable path to UHC, particularly when supported by regulation and targeted subsidies. As health systems face rising demand and financial pressures, mandatory insurance remains a promising strategy for inclusive, sustainable healthcare.</w:t>
      </w:r>
    </w:p>
    <w:p w:rsidR="79D8372B" w:rsidP="79D8372B" w:rsidRDefault="79D8372B" w14:paraId="0F1E35C2" w14:textId="34F90E38">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9D8372B" w:rsidP="79D8372B" w:rsidRDefault="79D8372B" w14:paraId="3B39B076" w14:textId="4E7EE9FB">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9D8372B" w:rsidP="79D8372B" w:rsidRDefault="79D8372B" w14:paraId="40DD17EE" w14:textId="4B773F67">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9D8372B" w:rsidP="79D8372B" w:rsidRDefault="79D8372B" w14:paraId="47D844E2" w14:textId="5EACC13F">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9D8372B" w:rsidP="79D8372B" w:rsidRDefault="79D8372B" w14:paraId="318CB1F6" w14:textId="0F29CEA8">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9D8372B" w:rsidP="79D8372B" w:rsidRDefault="79D8372B" w14:paraId="1BE88CC7" w14:textId="743E88C2">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9D8372B" w:rsidP="79D8372B" w:rsidRDefault="79D8372B" w14:paraId="18D40886" w14:textId="73A775B0">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9D8372B" w:rsidP="79D8372B" w:rsidRDefault="79D8372B" w14:paraId="50BBED64" w14:textId="34A622D1">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9D8372B" w:rsidP="79D8372B" w:rsidRDefault="79D8372B" w14:paraId="627DD306" w14:textId="08FD68E0">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9D8372B" w:rsidP="79D8372B" w:rsidRDefault="79D8372B" w14:paraId="15ACBD6E" w14:textId="24771744">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9D8372B" w:rsidP="79D8372B" w:rsidRDefault="79D8372B" w14:paraId="08ADD251" w14:textId="179A332A">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9D8372B" w:rsidP="79D8372B" w:rsidRDefault="79D8372B" w14:paraId="64C91126" w14:textId="5ED3CD5A">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9D8372B" w:rsidP="79D8372B" w:rsidRDefault="79D8372B" w14:paraId="39596030" w14:textId="14E049AC">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9D8372B" w:rsidP="79D8372B" w:rsidRDefault="79D8372B" w14:paraId="0EE35C85" w14:textId="19D4F022">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9D8372B" w:rsidP="79D8372B" w:rsidRDefault="79D8372B" w14:paraId="2A2B8B22" w14:textId="4C6EDF78">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9D8372B" w:rsidP="79D8372B" w:rsidRDefault="79D8372B" w14:paraId="12D3D04F" w14:textId="2894CF29">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9D8372B" w:rsidP="79D8372B" w:rsidRDefault="79D8372B" w14:paraId="092C30E8" w14:textId="14B708BD">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1986C4A" w:rsidP="79D8372B" w:rsidRDefault="71986C4A" w14:paraId="108D31B5" w14:textId="0A87FB2A">
      <w:pPr>
        <w:pStyle w:val="Heading1"/>
        <w:keepNext w:val="1"/>
        <w:keepLines w:val="1"/>
        <w:spacing w:before="360" w:beforeAutospacing="off" w:after="80" w:afterAutospacing="off" w:line="257" w:lineRule="auto"/>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r w:rsidRPr="79D8372B" w:rsidR="71986C4A">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References</w:t>
      </w:r>
    </w:p>
    <w:p w:rsidR="71986C4A" w:rsidP="79D8372B" w:rsidRDefault="71986C4A" w14:paraId="72E6420D" w14:textId="72690876">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(WHO), W. B. G. &amp;. W. H. o., 2023.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Publication: Tracking Universal Health Coverage: 2023 Global Monitoring report.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475c782b38264151">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https://openknowledge.worldbank.org/entities/publication/1ced1b12-896e-49f1-ab6f-f1a95325f39b</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4526F8C7" w14:textId="685CCFC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(WHO), W. H. O., 2023. [Online]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2da72dadcd7443fa">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https://www.afro.who.int/pt/node/19801</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2D35E26C" w14:textId="3DC987CA">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(WHO), W. H. o., 2024.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Universal Health coverage day.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7d01125b99be4387">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https://www.who.int/nepal/news/events/uhc-nepal</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19B0FE4F" w14:textId="3B0EEC59">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Association, A. H., 2024.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Report: Skyrocketing hospital administrative costs, burdensome commercial insurer policies affecting patient care.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bf140aea30f445c0">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https://www.aha.org/news/headline/2024-09-10-report-skyrocketing-hospital-administrative-costs-burdensome-commercial-insurer-policies-affecting</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3818AAFD" w14:textId="4CF02180">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Care, D. o. H. a. S., 2025.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Health and Care Act (HCA) 2022 Section 95 Open Information Standards and Private.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19be0e6a76cb4cdf">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https://assets.publishing.service.gov.uk/media/67e13b8a0114b0b86e59f4b7/health-and-care-act-section-95-information-standards-impact-assessment.pdf</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2321FACD" w14:textId="5FF5E996">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Center, T. P., 2024.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What is the Medicare trust fund, and how is it financed?.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7142ec041fb94e21">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https://taxpolicycenter.org/briefing-book/what-medicare-trust-fund-and-how-it-financed</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329BEDF3" w14:textId="5C333B44">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Confederation, N., 2024.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Unlocking reform and financial sustainability: NHS payment mechanisms for the integrated care age.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6f676ab2b05445d5">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https://www.nhsconfed.org/publications/unlocking-reform-and-financial-sustainability</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276417B0" w14:textId="289123E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Foroughi, Z. E. P. Y. S. A. A. H. M. &amp;. M. M., 2025. Analysis for health system resilience against the economic crisis: a best-fit framework synthesis.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Health research policy and systems,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23(1).</w:t>
      </w:r>
    </w:p>
    <w:p w:rsidR="71986C4A" w:rsidP="79D8372B" w:rsidRDefault="71986C4A" w14:paraId="18C074EE" w14:textId="544E16B9">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Forum, W. E., 2024.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Insurance, wellbeing and social purpose: paving the way for a healthier future.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3f396a8381a448b9">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https://www.weforum.org/stories/2024/01/insurance-wellbeing-and-social-purpose-paving-the-way-for-a-healthier-future/</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0D69F57E" w14:textId="2A17A15C">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foundation, T. h., 2007.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Financial incentives, healthcare providers and quality improvments.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ff66bdce03124819">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https://www.health.org.uk/sites/default/files/FinancialIncentivesHealthcarePRovidersAndQualityImprovements.pdf</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7FB3F64B" w14:textId="6F8D565C">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Foundation, T. H., 2021.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If not now, when? The long overdue promise of social care reform.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20f5449b83904aa3">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https://www.health.org.uk/features-and-opinion/blogs/if-not-now-when-the-long-overdue-promise-of-social-care-reform</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1BEC168A" w14:textId="66F3A5B3">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Foundation, T. H., 2023.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Nine major challenges facing health and care in England.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6f5be6e11d9d4676">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https://www.health.org.uk/reports-and-analysis/briefings/nine-major-challenges-facing-health-and-care-in-england</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5B96498E" w14:textId="7DF80E0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Foundation, T. H., 2024.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How employment status affects our health.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2992b88001534616">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https://www.health.org.uk/evidence-hub/work/employment-and-unemployment/how-employment-status-affects-our-health</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795DC97B" w14:textId="04861BEA">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Foundation, T. H., 2024.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Is the grass really greener? Comparing how social insurance and tax-funded systems raise revenue.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8b3a781498b044cb">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https://www.health.org.uk/sites/default/files/upload/publications/2024/Is%20the%20grass%20really%20greener_WEB.pdf</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7602677A" w14:textId="6BE5F92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fund, T. K., 2023.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How does the NHS compare to the health care systems in other countries?.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ca724b075da54f2e">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https://assets.kingsfund.org.uk/f/256914/x/7cdf5ad1de/how_nhs_compares_other_countries_abpi_2023.pdf</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01762F02" w14:textId="4496F49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goup, W. B., 2018.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Third Annual UHC Financing Forum Greater Equity for Better Health and Financial Protection.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4f775dfd4b694671">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https://thedocs.worldbank.org/en/doc/870381524235352323-0090022018/original/HealthfinancingandequityframeworkFINAL201804171750.pdf</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40D0E393" w14:textId="7063C9A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GOV.UK, 2017.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Health Economics: a guide for public health terms.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c0a8e8807d404dcc">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https://www.gov.uk/guidance/health-economics-a-guide-for-public-health-teams</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5F662EB3" w14:textId="01D5C6A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GOV.UK, 2021.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Health systems strengthening for global health security and universal health coverage: FCDO position paper.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58d0a26f0de844bf">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https://www.gov.uk/government/publications/health-systems-strengthening-for-global-health-security-and-universal-health-coverage/health-systems-strengthening-for-global-health-security-and-universal-health-coverage-fcdo-position-paper</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550C082E" w14:textId="34D38BDA">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GOV.UK, 2024.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Build Back Better: Our Plan for Health and Social Care.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6850e3e8adfb45ba">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https://www.gov.uk/government/publications/build-back-better-our-plan-for-health-and-social-care/build-back-better-our-plan-for-health-and-social-care</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52572D40" w14:textId="0DC63386">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Parliament, U., 2008.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MORE THAN A MEDICAL PROBLEM: MATERNAL HEALTH AS A DEVELOPMENT issue.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9498b65d148548ed">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https://publications.parliament.uk/pa/cm200708/cmselect/cmintdev/66/6606.htm</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749E1310" w14:textId="4EAF2F7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Parliament, U., 2009.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Funding for health inequalities.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2dae652f959c4d64">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https://publications.parliament.uk/pa/cm200809/cmselect/cmhealth/286/28607.htm</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04ACF361" w14:textId="669EF1D3">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services, U. D. o. H. a. H., 2022.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About the Affordable Care Act.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6c37fd25ca1b467b">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https://www.hhs.gov/healthcare/about-the-aca/index.html</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36FCFCBE" w14:textId="45EC0170">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Trust, N., 2019.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What principles should underpin the funding system for social care?.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f742786a474e4b5b">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https://www.nuffieldtrust.org.uk/news-item/what-principles-should-underpin-the-funding-system-for-social-care</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4F689FC0" w14:textId="4A112BA4">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Trust, N., 2022.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Myth #3: “We should copy other countries and adopt a social insurance model.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81632bc83e2349f6">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https://www.nuffieldtrust.org.uk/news-item/myth-3-we-should-copy-other-countries-and-adopt-a-social-insurance-model</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2230970B" w14:textId="4DAFB5AA">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World Health Oraganisation, (., 2013.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Universal Health coverage.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9aacfb9fb0cd4d5b">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https://www.who.int/news-room/questions-and-answers/item/q-a-universal-health-coverage</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1986C4A" w:rsidP="79D8372B" w:rsidRDefault="71986C4A" w14:paraId="3C0DD788" w14:textId="16DB50BB">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World health organisation, (., 2014. </w:t>
      </w:r>
      <w:r w:rsidRPr="79D8372B" w:rsidR="71986C4A">
        <w:rPr>
          <w:rFonts w:ascii="Aptos" w:hAnsi="Aptos" w:eastAsia="Aptos" w:cs="Aptos"/>
          <w:b w:val="0"/>
          <w:bCs w:val="0"/>
          <w:i w:val="1"/>
          <w:iCs w:val="1"/>
          <w:caps w:val="0"/>
          <w:smallCaps w:val="0"/>
          <w:noProof w:val="0"/>
          <w:color w:val="000000" w:themeColor="text1" w:themeTint="FF" w:themeShade="FF"/>
          <w:sz w:val="22"/>
          <w:szCs w:val="22"/>
          <w:lang w:val="en-GB"/>
        </w:rPr>
        <w:t xml:space="preserve">Editorial: Benefits and pitfalls of social health insurance in pursuit of universal health coverage: lessons for the Eastern Mediterranean. </w:t>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[Online] </w:t>
      </w:r>
      <w:r>
        <w:br/>
      </w:r>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74b1b127b8374b73">
        <w:r w:rsidRPr="79D8372B" w:rsidR="71986C4A">
          <w:rPr>
            <w:rStyle w:val="Hyperlink"/>
            <w:rFonts w:ascii="Aptos" w:hAnsi="Aptos" w:eastAsia="Aptos" w:cs="Aptos"/>
            <w:b w:val="0"/>
            <w:bCs w:val="0"/>
            <w:i w:val="0"/>
            <w:iCs w:val="0"/>
            <w:caps w:val="0"/>
            <w:smallCaps w:val="0"/>
            <w:strike w:val="0"/>
            <w:dstrike w:val="0"/>
            <w:noProof w:val="0"/>
            <w:sz w:val="22"/>
            <w:szCs w:val="22"/>
            <w:lang w:val="en-GB"/>
          </w:rPr>
          <w:t>https://www.emro.who.int/emhj-vol-20-2014/volume-20-9/editorial-benefits-and-pitfalls-of-social-health-insurance-in-pursuit-of-universal-health-coverage-lessons-for-the-eastern-mediterranean.html</w:t>
        </w:r>
        <w:r>
          <w:br/>
        </w:r>
      </w:hyperlink>
      <w:r w:rsidRPr="79D8372B" w:rsidR="71986C4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19th April 2025].</w:t>
      </w:r>
    </w:p>
    <w:p w:rsidR="79D8372B" w:rsidP="79D8372B" w:rsidRDefault="79D8372B" w14:paraId="3F2CB4A8" w14:textId="71F4DC97">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79D8372B" w:rsidP="79D8372B" w:rsidRDefault="79D8372B" w14:paraId="55C2A18A" w14:textId="2393DEE5">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111717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7270A8"/>
    <w:rsid w:val="02C71EE8"/>
    <w:rsid w:val="04B65267"/>
    <w:rsid w:val="087270A8"/>
    <w:rsid w:val="122395B0"/>
    <w:rsid w:val="14C573E8"/>
    <w:rsid w:val="1638AD5E"/>
    <w:rsid w:val="2AE947BA"/>
    <w:rsid w:val="2BCB8197"/>
    <w:rsid w:val="3F9C3F8A"/>
    <w:rsid w:val="48A951B9"/>
    <w:rsid w:val="4D009F44"/>
    <w:rsid w:val="5175602C"/>
    <w:rsid w:val="5C3DFA86"/>
    <w:rsid w:val="5CAFAC50"/>
    <w:rsid w:val="71986C4A"/>
    <w:rsid w:val="79D8372B"/>
    <w:rsid w:val="7B5B90B3"/>
    <w:rsid w:val="7DA84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270A8"/>
  <w15:chartTrackingRefBased/>
  <w15:docId w15:val="{8AE9FCFA-E07C-4ACE-B136-B8DEA4ABD9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9D8372B"/>
    <w:pPr>
      <w:spacing/>
      <w:ind w:left="720"/>
      <w:contextualSpacing/>
    </w:pPr>
  </w:style>
  <w:style w:type="character" w:styleId="Hyperlink">
    <w:uiPriority w:val="99"/>
    <w:name w:val="Hyperlink"/>
    <w:basedOn w:val="DefaultParagraphFont"/>
    <w:unhideWhenUsed/>
    <w:rsid w:val="79D8372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832df55fb3f4099" /><Relationship Type="http://schemas.openxmlformats.org/officeDocument/2006/relationships/hyperlink" Target="https://openknowledge.worldbank.org/entities/publication/1ced1b12-896e-49f1-ab6f-f1a95325f39b" TargetMode="External" Id="R475c782b38264151" /><Relationship Type="http://schemas.openxmlformats.org/officeDocument/2006/relationships/hyperlink" Target="https://www.afro.who.int/pt/node/19801" TargetMode="External" Id="R2da72dadcd7443fa" /><Relationship Type="http://schemas.openxmlformats.org/officeDocument/2006/relationships/hyperlink" Target="https://www.who.int/nepal/news/events/uhc-nepal" TargetMode="External" Id="R7d01125b99be4387" /><Relationship Type="http://schemas.openxmlformats.org/officeDocument/2006/relationships/hyperlink" Target="https://www.aha.org/news/headline/2024-09-10-report-skyrocketing-hospital-administrative-costs-burdensome-commercial-insurer-policies-affecting" TargetMode="External" Id="Rbf140aea30f445c0" /><Relationship Type="http://schemas.openxmlformats.org/officeDocument/2006/relationships/hyperlink" Target="https://assets.publishing.service.gov.uk/media/67e13b8a0114b0b86e59f4b7/health-and-care-act-section-95-information-standards-impact-assessment.pdf" TargetMode="External" Id="R19be0e6a76cb4cdf" /><Relationship Type="http://schemas.openxmlformats.org/officeDocument/2006/relationships/hyperlink" Target="https://taxpolicycenter.org/briefing-book/what-medicare-trust-fund-and-how-it-financed" TargetMode="External" Id="R7142ec041fb94e21" /><Relationship Type="http://schemas.openxmlformats.org/officeDocument/2006/relationships/hyperlink" Target="https://www.nhsconfed.org/publications/unlocking-reform-and-financial-sustainability" TargetMode="External" Id="R6f676ab2b05445d5" /><Relationship Type="http://schemas.openxmlformats.org/officeDocument/2006/relationships/hyperlink" Target="https://www.weforum.org/stories/2024/01/insurance-wellbeing-and-social-purpose-paving-the-way-for-a-healthier-future/" TargetMode="External" Id="R3f396a8381a448b9" /><Relationship Type="http://schemas.openxmlformats.org/officeDocument/2006/relationships/hyperlink" Target="https://www.health.org.uk/sites/default/files/FinancialIncentivesHealthcarePRovidersAndQualityImprovements.pdf" TargetMode="External" Id="Rff66bdce03124819" /><Relationship Type="http://schemas.openxmlformats.org/officeDocument/2006/relationships/hyperlink" Target="https://www.health.org.uk/features-and-opinion/blogs/if-not-now-when-the-long-overdue-promise-of-social-care-reform" TargetMode="External" Id="R20f5449b83904aa3" /><Relationship Type="http://schemas.openxmlformats.org/officeDocument/2006/relationships/hyperlink" Target="https://www.health.org.uk/reports-and-analysis/briefings/nine-major-challenges-facing-health-and-care-in-england" TargetMode="External" Id="R6f5be6e11d9d4676" /><Relationship Type="http://schemas.openxmlformats.org/officeDocument/2006/relationships/hyperlink" Target="https://www.health.org.uk/evidence-hub/work/employment-and-unemployment/how-employment-status-affects-our-health" TargetMode="External" Id="R2992b88001534616" /><Relationship Type="http://schemas.openxmlformats.org/officeDocument/2006/relationships/hyperlink" Target="https://www.health.org.uk/sites/default/files/upload/publications/2024/Is%20the%20grass%20really%20greener_WEB.pdf" TargetMode="External" Id="R8b3a781498b044cb" /><Relationship Type="http://schemas.openxmlformats.org/officeDocument/2006/relationships/hyperlink" Target="https://assets.kingsfund.org.uk/f/256914/x/7cdf5ad1de/how_nhs_compares_other_countries_abpi_2023.pdf" TargetMode="External" Id="Rca724b075da54f2e" /><Relationship Type="http://schemas.openxmlformats.org/officeDocument/2006/relationships/hyperlink" Target="https://thedocs.worldbank.org/en/doc/870381524235352323-0090022018/original/HealthfinancingandequityframeworkFINAL201804171750.pdf" TargetMode="External" Id="R4f775dfd4b694671" /><Relationship Type="http://schemas.openxmlformats.org/officeDocument/2006/relationships/hyperlink" Target="https://www.gov.uk/guidance/health-economics-a-guide-for-public-health-teams" TargetMode="External" Id="Rc0a8e8807d404dcc" /><Relationship Type="http://schemas.openxmlformats.org/officeDocument/2006/relationships/hyperlink" Target="https://www.gov.uk/government/publications/health-systems-strengthening-for-global-health-security-and-universal-health-coverage/health-systems-strengthening-for-global-health-security-and-universal-health-coverage-fcdo-position-paper" TargetMode="External" Id="R58d0a26f0de844bf" /><Relationship Type="http://schemas.openxmlformats.org/officeDocument/2006/relationships/hyperlink" Target="https://www.gov.uk/government/publications/build-back-better-our-plan-for-health-and-social-care/build-back-better-our-plan-for-health-and-social-care" TargetMode="External" Id="R6850e3e8adfb45ba" /><Relationship Type="http://schemas.openxmlformats.org/officeDocument/2006/relationships/hyperlink" Target="https://publications.parliament.uk/pa/cm200708/cmselect/cmintdev/66/6606.htm" TargetMode="External" Id="R9498b65d148548ed" /><Relationship Type="http://schemas.openxmlformats.org/officeDocument/2006/relationships/hyperlink" Target="https://publications.parliament.uk/pa/cm200809/cmselect/cmhealth/286/28607.htm" TargetMode="External" Id="R2dae652f959c4d64" /><Relationship Type="http://schemas.openxmlformats.org/officeDocument/2006/relationships/hyperlink" Target="https://www.hhs.gov/healthcare/about-the-aca/index.html" TargetMode="External" Id="R6c37fd25ca1b467b" /><Relationship Type="http://schemas.openxmlformats.org/officeDocument/2006/relationships/hyperlink" Target="https://www.nuffieldtrust.org.uk/news-item/what-principles-should-underpin-the-funding-system-for-social-care" TargetMode="External" Id="Rf742786a474e4b5b" /><Relationship Type="http://schemas.openxmlformats.org/officeDocument/2006/relationships/hyperlink" Target="https://www.nuffieldtrust.org.uk/news-item/myth-3-we-should-copy-other-countries-and-adopt-a-social-insurance-model" TargetMode="External" Id="R81632bc83e2349f6" /><Relationship Type="http://schemas.openxmlformats.org/officeDocument/2006/relationships/hyperlink" Target="https://www.who.int/news-room/questions-and-answers/item/q-a-universal-health-coverage" TargetMode="External" Id="R9aacfb9fb0cd4d5b" /><Relationship Type="http://schemas.openxmlformats.org/officeDocument/2006/relationships/hyperlink" Target="https://www.emro.who.int/emhj-vol-20-2014/volume-20-9/editorial-benefits-and-pitfalls-of-social-health-insurance-in-pursuit-of-universal-health-coverage-lessons-for-the-eastern-mediterranean.html" TargetMode="External" Id="R74b1b127b8374b73" /><Relationship Type="http://schemas.openxmlformats.org/officeDocument/2006/relationships/numbering" Target="/word/numbering.xml" Id="R95c324dfafdc446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Stacey King (2114341)</dc:creator>
  <keywords/>
  <dc:description/>
  <lastModifiedBy>Stacey King (2114341)</lastModifiedBy>
  <revision>2</revision>
  <dcterms:created xsi:type="dcterms:W3CDTF">2025-04-19T14:31:13.9672293Z</dcterms:created>
  <dcterms:modified xsi:type="dcterms:W3CDTF">2025-04-19T14:42:52.7401977Z</dcterms:modified>
</coreProperties>
</file>