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8DE4D5" w14:textId="77777777" w:rsidR="00560E9C" w:rsidRPr="00E65086" w:rsidRDefault="00560E9C">
      <w:pPr>
        <w:rPr>
          <w:rFonts w:ascii="Arial" w:hAnsi="Arial" w:cs="Arial"/>
        </w:rPr>
      </w:pPr>
    </w:p>
    <w:p w14:paraId="03EA0474" w14:textId="77777777" w:rsidR="00E65086" w:rsidRPr="00E65086" w:rsidRDefault="00E65086">
      <w:pPr>
        <w:rPr>
          <w:rFonts w:ascii="Arial" w:hAnsi="Arial" w:cs="Arial"/>
        </w:rPr>
      </w:pPr>
    </w:p>
    <w:p w14:paraId="4231696E" w14:textId="77777777" w:rsidR="00E65086" w:rsidRPr="00E65086" w:rsidRDefault="00E65086">
      <w:pPr>
        <w:rPr>
          <w:rFonts w:ascii="Arial" w:hAnsi="Arial" w:cs="Arial"/>
        </w:rPr>
      </w:pPr>
    </w:p>
    <w:p w14:paraId="18F2E575" w14:textId="77777777" w:rsidR="00E65086" w:rsidRPr="00E65086" w:rsidRDefault="00E65086">
      <w:pPr>
        <w:rPr>
          <w:rFonts w:ascii="Arial" w:hAnsi="Arial" w:cs="Arial"/>
        </w:rPr>
      </w:pPr>
    </w:p>
    <w:p w14:paraId="3AE3FABF" w14:textId="77777777" w:rsidR="00E65086" w:rsidRPr="00E65086" w:rsidRDefault="00E65086">
      <w:pPr>
        <w:rPr>
          <w:rFonts w:ascii="Arial" w:hAnsi="Arial" w:cs="Arial"/>
        </w:rPr>
      </w:pPr>
    </w:p>
    <w:p w14:paraId="33D5FFEF" w14:textId="77777777" w:rsidR="00E65086" w:rsidRPr="00E65086" w:rsidRDefault="00E65086" w:rsidP="00E65086">
      <w:pPr>
        <w:jc w:val="center"/>
        <w:rPr>
          <w:rFonts w:ascii="Arial" w:hAnsi="Arial" w:cs="Arial"/>
        </w:rPr>
      </w:pPr>
    </w:p>
    <w:p w14:paraId="23616693" w14:textId="77777777" w:rsidR="00E65086" w:rsidRPr="00E65086" w:rsidRDefault="00E65086" w:rsidP="00E65086">
      <w:pPr>
        <w:jc w:val="center"/>
        <w:rPr>
          <w:rFonts w:ascii="Arial" w:hAnsi="Arial" w:cs="Arial"/>
        </w:rPr>
      </w:pPr>
    </w:p>
    <w:p w14:paraId="6A2EDA63" w14:textId="77777777" w:rsidR="00E65086" w:rsidRPr="00E65086" w:rsidRDefault="00E65086" w:rsidP="00E65086">
      <w:pPr>
        <w:jc w:val="center"/>
        <w:rPr>
          <w:rFonts w:ascii="Arial" w:hAnsi="Arial" w:cs="Arial"/>
          <w:sz w:val="28"/>
          <w:szCs w:val="28"/>
        </w:rPr>
      </w:pPr>
    </w:p>
    <w:p w14:paraId="30EBB417" w14:textId="6589CD47" w:rsidR="00E65086" w:rsidRPr="00E65086" w:rsidRDefault="00E65086" w:rsidP="00E65086">
      <w:pPr>
        <w:jc w:val="center"/>
        <w:rPr>
          <w:rFonts w:ascii="Arial" w:hAnsi="Arial" w:cs="Arial"/>
          <w:b/>
          <w:sz w:val="28"/>
          <w:szCs w:val="28"/>
        </w:rPr>
      </w:pPr>
      <w:r w:rsidRPr="00E65086">
        <w:rPr>
          <w:rFonts w:ascii="Arial" w:hAnsi="Arial" w:cs="Arial"/>
          <w:b/>
          <w:sz w:val="28"/>
          <w:szCs w:val="28"/>
        </w:rPr>
        <w:t>ECIE5007</w:t>
      </w:r>
    </w:p>
    <w:p w14:paraId="19B2E98D" w14:textId="77777777" w:rsidR="00E65086" w:rsidRPr="00E65086" w:rsidRDefault="00E65086" w:rsidP="00E65086">
      <w:pPr>
        <w:jc w:val="center"/>
        <w:rPr>
          <w:rFonts w:ascii="Arial" w:hAnsi="Arial" w:cs="Arial"/>
          <w:b/>
          <w:sz w:val="28"/>
          <w:szCs w:val="28"/>
        </w:rPr>
      </w:pPr>
      <w:r w:rsidRPr="00E65086">
        <w:rPr>
          <w:rFonts w:ascii="Arial" w:hAnsi="Arial" w:cs="Arial"/>
          <w:b/>
          <w:sz w:val="28"/>
          <w:szCs w:val="28"/>
        </w:rPr>
        <w:t>Component 2:</w:t>
      </w:r>
    </w:p>
    <w:p w14:paraId="673982FB" w14:textId="7FB68755" w:rsidR="00E65086" w:rsidRPr="00E65086" w:rsidRDefault="00E65086" w:rsidP="00E65086">
      <w:pPr>
        <w:jc w:val="center"/>
        <w:rPr>
          <w:rFonts w:ascii="Arial" w:hAnsi="Arial" w:cs="Arial"/>
          <w:b/>
          <w:bCs/>
          <w:sz w:val="28"/>
          <w:szCs w:val="28"/>
        </w:rPr>
      </w:pPr>
      <w:r w:rsidRPr="00E65086">
        <w:rPr>
          <w:rFonts w:ascii="Arial" w:hAnsi="Arial" w:cs="Arial"/>
          <w:b/>
          <w:bCs/>
          <w:sz w:val="28"/>
          <w:szCs w:val="28"/>
        </w:rPr>
        <w:t>Reflection</w:t>
      </w:r>
    </w:p>
    <w:p w14:paraId="3DD73621" w14:textId="2AD9AD6E" w:rsidR="00E65086" w:rsidRPr="00E65086" w:rsidRDefault="00E65086" w:rsidP="00E65086">
      <w:pPr>
        <w:jc w:val="center"/>
        <w:rPr>
          <w:rFonts w:ascii="Arial" w:hAnsi="Arial" w:cs="Arial"/>
          <w:b/>
          <w:bCs/>
          <w:sz w:val="28"/>
          <w:szCs w:val="28"/>
        </w:rPr>
      </w:pPr>
      <w:r w:rsidRPr="00E65086">
        <w:rPr>
          <w:rFonts w:ascii="Arial" w:hAnsi="Arial" w:cs="Arial"/>
          <w:b/>
          <w:bCs/>
          <w:sz w:val="28"/>
          <w:szCs w:val="28"/>
        </w:rPr>
        <w:t>Karen Cook</w:t>
      </w:r>
    </w:p>
    <w:p w14:paraId="38366CA2" w14:textId="79E96BE8" w:rsidR="00E65086" w:rsidRPr="00E65086" w:rsidRDefault="00E65086" w:rsidP="00E65086">
      <w:pPr>
        <w:jc w:val="center"/>
        <w:rPr>
          <w:rFonts w:ascii="Arial" w:hAnsi="Arial" w:cs="Arial"/>
          <w:sz w:val="28"/>
          <w:szCs w:val="28"/>
        </w:rPr>
      </w:pPr>
    </w:p>
    <w:p w14:paraId="0ADD8D62" w14:textId="77777777" w:rsidR="00E65086" w:rsidRPr="00E65086" w:rsidRDefault="00E65086">
      <w:pPr>
        <w:rPr>
          <w:rFonts w:ascii="Arial" w:hAnsi="Arial" w:cs="Arial"/>
          <w:sz w:val="28"/>
          <w:szCs w:val="28"/>
        </w:rPr>
      </w:pPr>
      <w:r w:rsidRPr="00E65086">
        <w:rPr>
          <w:rFonts w:ascii="Arial" w:hAnsi="Arial" w:cs="Arial"/>
          <w:sz w:val="28"/>
          <w:szCs w:val="28"/>
        </w:rPr>
        <w:br w:type="page"/>
      </w:r>
    </w:p>
    <w:p w14:paraId="5E8A4798" w14:textId="191851DD" w:rsidR="00E65086" w:rsidRDefault="00E65086" w:rsidP="00E65086">
      <w:pPr>
        <w:rPr>
          <w:rFonts w:ascii="Arial" w:hAnsi="Arial" w:cs="Arial"/>
          <w:sz w:val="24"/>
          <w:szCs w:val="24"/>
        </w:rPr>
      </w:pPr>
      <w:r w:rsidRPr="00E65086">
        <w:rPr>
          <w:rFonts w:ascii="Arial" w:hAnsi="Arial" w:cs="Arial"/>
          <w:sz w:val="24"/>
          <w:szCs w:val="24"/>
        </w:rPr>
        <w:lastRenderedPageBreak/>
        <w:t>Dr</w:t>
      </w:r>
      <w:r>
        <w:rPr>
          <w:rFonts w:ascii="Arial" w:hAnsi="Arial" w:cs="Arial"/>
          <w:sz w:val="24"/>
          <w:szCs w:val="24"/>
        </w:rPr>
        <w:t>iscoll’s (1994) reflection technique, often referred to as the “What? So what? Now what? framework, provides a structured approach for individuals to assess their experiences critically. This model encourages deep reflection by prompting users to explore three key questions: What happened during the experience? Why is this experience significant, and what can I learn from it? Finally, what actions will I take moving forward? This reflective practice is particularly beneficial for my educational journey through my foundation degree, as it allows me to systematically analyse me learning experiences, identify areas of growth, and plan for future deve</w:t>
      </w:r>
      <w:r w:rsidR="00552F9A">
        <w:rPr>
          <w:rFonts w:ascii="Arial" w:hAnsi="Arial" w:cs="Arial"/>
          <w:sz w:val="24"/>
          <w:szCs w:val="24"/>
        </w:rPr>
        <w:t>lopment. As Driscoll (1994) states, “Reflection is fundamental component of professional practice,” emphasising its importance in fostering continuous learning and improvement. By employing this framework, I aim to gain a clearer understanding of my achievements and challenges throughout my studies, ultimately enchanting my personal and academic growth.</w:t>
      </w:r>
    </w:p>
    <w:p w14:paraId="1F821092" w14:textId="7740CA1B" w:rsidR="00C552FB" w:rsidRDefault="00C552FB" w:rsidP="00E65086">
      <w:pPr>
        <w:rPr>
          <w:rFonts w:ascii="Arial" w:hAnsi="Arial" w:cs="Arial"/>
          <w:sz w:val="24"/>
          <w:szCs w:val="24"/>
        </w:rPr>
      </w:pPr>
      <w:r>
        <w:rPr>
          <w:rFonts w:ascii="Arial" w:hAnsi="Arial" w:cs="Arial"/>
          <w:sz w:val="24"/>
          <w:szCs w:val="24"/>
        </w:rPr>
        <w:t>The module ”Skills for employability for the 21</w:t>
      </w:r>
      <w:r w:rsidRPr="00C552FB">
        <w:rPr>
          <w:rFonts w:ascii="Arial" w:hAnsi="Arial" w:cs="Arial"/>
          <w:sz w:val="24"/>
          <w:szCs w:val="24"/>
          <w:vertAlign w:val="superscript"/>
        </w:rPr>
        <w:t>st</w:t>
      </w:r>
      <w:r>
        <w:rPr>
          <w:rFonts w:ascii="Arial" w:hAnsi="Arial" w:cs="Arial"/>
          <w:sz w:val="24"/>
          <w:szCs w:val="24"/>
        </w:rPr>
        <w:t xml:space="preserve"> Century” provides a comprehensive framework for students to develop essential skills that enhance their employability in a rapidly evolving job market. Throughout this module, we delved into crucial components such as crafting an effective CV, writing compelling cover letter and creating a Zanders letter directed to our future selves. These activities were designed not only to equip us with practical tools for our career advancement but also to foster self-reflection and personal grow</w:t>
      </w:r>
      <w:r w:rsidR="00C10E6E">
        <w:rPr>
          <w:rFonts w:ascii="Arial" w:hAnsi="Arial" w:cs="Arial"/>
          <w:sz w:val="24"/>
          <w:szCs w:val="24"/>
        </w:rPr>
        <w:t>th. Additionally, we engaged in reflective writing about our educational journeys, allowing us to critically assess our experiences and identify areas for future improvement.</w:t>
      </w:r>
    </w:p>
    <w:p w14:paraId="2696C8F0" w14:textId="24935A7D" w:rsidR="00C10E6E" w:rsidRDefault="00C10E6E" w:rsidP="00E65086">
      <w:pPr>
        <w:rPr>
          <w:rFonts w:ascii="Arial" w:hAnsi="Arial" w:cs="Arial"/>
          <w:sz w:val="24"/>
          <w:szCs w:val="24"/>
        </w:rPr>
      </w:pPr>
      <w:r>
        <w:rPr>
          <w:rFonts w:ascii="Arial" w:hAnsi="Arial" w:cs="Arial"/>
          <w:sz w:val="24"/>
          <w:szCs w:val="24"/>
        </w:rPr>
        <w:t xml:space="preserve">When I first embark on this course, I brought with me a mix of expectations and apprehensions. My academic journey has been nothing short of an emotional roller coaster, marked by significant challenges that have tested my resilience. There have been multiple instances when I considered quitting the course, feeling overwhelmed by the demands placed upon me. At times, I feared I had bitten off more than I could chew, grappling with the difficult balance between my studies and personal life. However, I recognise the importance of these skills in shaping my future and I am determined to continue to confront these challenges head-on, using them as opportunities for growth and learning. </w:t>
      </w:r>
    </w:p>
    <w:p w14:paraId="53BA10CD" w14:textId="5C6BA37F" w:rsidR="00B848DB" w:rsidRDefault="00B848DB" w:rsidP="00E65086">
      <w:pPr>
        <w:rPr>
          <w:rFonts w:ascii="Arial" w:hAnsi="Arial" w:cs="Arial"/>
          <w:sz w:val="24"/>
          <w:szCs w:val="24"/>
        </w:rPr>
      </w:pPr>
      <w:r>
        <w:rPr>
          <w:rFonts w:ascii="Arial" w:hAnsi="Arial" w:cs="Arial"/>
          <w:sz w:val="24"/>
          <w:szCs w:val="24"/>
        </w:rPr>
        <w:t>Initially, I felt quite awkward about the process of developing my existing employability skills and enhancing my ‘personal brand’. It has always been challenging for me to recognise anything positive about myself, often overshadowed by self-doubt and insecurities. However, as I began reflecting on the obstacles I have overcome since leaving high schoo</w:t>
      </w:r>
      <w:r w:rsidR="00BB1142">
        <w:rPr>
          <w:rFonts w:ascii="Arial" w:hAnsi="Arial" w:cs="Arial"/>
          <w:sz w:val="24"/>
          <w:szCs w:val="24"/>
        </w:rPr>
        <w:t>l, particularly my journey with dyslexia and the support I have received, I started to see a shift in my perspective. Acknowledging the progress I have made and the resilience I have developed has instilled a newfound sense of hope and optimism for my future. I now find myself closer to achieving my goal of becoming the teacher I so desperately needed during my own schooling. This shift allowed me to identify more positives then negatives, and when it came time to write my e-portfolio for component 1, I discovered that it was much easier than I had ever imagined. Embracing my journey has not only helped me understand my strengths but has also empowered me to share my story more confidently.</w:t>
      </w:r>
    </w:p>
    <w:p w14:paraId="44AEF3D6" w14:textId="42222D9E" w:rsidR="00745D79" w:rsidRDefault="00745D79" w:rsidP="00E65086">
      <w:pPr>
        <w:rPr>
          <w:rFonts w:ascii="Arial" w:hAnsi="Arial" w:cs="Arial"/>
          <w:sz w:val="24"/>
          <w:szCs w:val="24"/>
        </w:rPr>
      </w:pPr>
      <w:r>
        <w:rPr>
          <w:rFonts w:ascii="Arial" w:hAnsi="Arial" w:cs="Arial"/>
          <w:sz w:val="24"/>
          <w:szCs w:val="24"/>
        </w:rPr>
        <w:lastRenderedPageBreak/>
        <w:t>My engagement and involvement in sessions has been a complexed and often challenging experience for me. I struggle with the anxiety of speaking up in group settings, as I frequently feel that my contributions will be met with judgment or that I’ll say something foolish. This fear often leaves me feeling like I’m walking a tightrope, and when I hear someone else provide an answer, I can’t help but feel frustrated with myself for not having voiced my own thoughts, especially when I realise, I might have had the correct response all along. Despite these feelings, I do make a conscious effort to push myself to participate. However, few people are aware of how physically ill it makes me feel, my cheeks go red, my heart races, and my mouth goes dry. Although I managed to get the odd answer out, I often leave feeling that I fell short and that my input wasn’t worthwhile. I can’t shake the feeling that I should just allow others to take the lead, but I’m slowly learning the value of my perspective, even amidst the discomfort.</w:t>
      </w:r>
    </w:p>
    <w:p w14:paraId="1EA9F361" w14:textId="4B02F249" w:rsidR="00745D79" w:rsidRDefault="009D5B8C" w:rsidP="00E65086">
      <w:pPr>
        <w:rPr>
          <w:rFonts w:ascii="Arial" w:hAnsi="Arial" w:cs="Arial"/>
          <w:sz w:val="24"/>
          <w:szCs w:val="24"/>
        </w:rPr>
      </w:pPr>
      <w:r>
        <w:rPr>
          <w:rFonts w:ascii="Arial" w:hAnsi="Arial" w:cs="Arial"/>
          <w:sz w:val="24"/>
          <w:szCs w:val="24"/>
        </w:rPr>
        <w:t xml:space="preserve">Reflecting on my journey, I recognise that I have succeeded most in finding effective strategies to communicate my ideas, particularly in written form. Initially, I struggled to articulate my thoughts when it came to putting pen to paper, often feeling like I </w:t>
      </w:r>
      <w:r w:rsidR="0060504A">
        <w:rPr>
          <w:rFonts w:ascii="Arial" w:hAnsi="Arial" w:cs="Arial"/>
          <w:sz w:val="24"/>
          <w:szCs w:val="24"/>
        </w:rPr>
        <w:t>couldn’t</w:t>
      </w:r>
      <w:r>
        <w:rPr>
          <w:rFonts w:ascii="Arial" w:hAnsi="Arial" w:cs="Arial"/>
          <w:sz w:val="24"/>
          <w:szCs w:val="24"/>
        </w:rPr>
        <w:t xml:space="preserve"> convey my full point. This difficulty was frustrating and often left me feeling discouraged.</w:t>
      </w:r>
    </w:p>
    <w:p w14:paraId="1E338411" w14:textId="4D544520" w:rsidR="009D5B8C" w:rsidRDefault="009D5B8C" w:rsidP="00E65086">
      <w:pPr>
        <w:rPr>
          <w:rFonts w:ascii="Arial" w:hAnsi="Arial" w:cs="Arial"/>
          <w:sz w:val="24"/>
          <w:szCs w:val="24"/>
        </w:rPr>
      </w:pPr>
      <w:r>
        <w:rPr>
          <w:rFonts w:ascii="Arial" w:hAnsi="Arial" w:cs="Arial"/>
          <w:sz w:val="24"/>
          <w:szCs w:val="24"/>
        </w:rPr>
        <w:t>Despite these challenges, I discovered that printing out relevant information and highlighting key points significantly aids my understanding and clarity. This method allows me to visually organise my thoughts before attempting to write them down. Furthermore, having my computer read my writing back to me provides an additional layer of clarity. This auditory feedback enables me to identify areas for improvement, helping me decide what to add or delete. This process, although laborious and time consuming, has ultimately transformed my initial struggle into a method of success.</w:t>
      </w:r>
    </w:p>
    <w:p w14:paraId="7768CD2D" w14:textId="6531B44D" w:rsidR="009D5B8C" w:rsidRDefault="009D5B8C" w:rsidP="00E65086">
      <w:pPr>
        <w:rPr>
          <w:rFonts w:ascii="Arial" w:hAnsi="Arial" w:cs="Arial"/>
          <w:sz w:val="24"/>
          <w:szCs w:val="24"/>
        </w:rPr>
      </w:pPr>
      <w:r>
        <w:rPr>
          <w:rFonts w:ascii="Arial" w:hAnsi="Arial" w:cs="Arial"/>
          <w:sz w:val="24"/>
          <w:szCs w:val="24"/>
        </w:rPr>
        <w:t xml:space="preserve">Moving forward, I plan to continue refining this approach, even if it takes longer to complete tasks. I have learned to appreciate the journey of writing, rather </w:t>
      </w:r>
      <w:r w:rsidR="000A3696">
        <w:rPr>
          <w:rFonts w:ascii="Arial" w:hAnsi="Arial" w:cs="Arial"/>
          <w:sz w:val="24"/>
          <w:szCs w:val="24"/>
        </w:rPr>
        <w:t>than</w:t>
      </w:r>
      <w:r>
        <w:rPr>
          <w:rFonts w:ascii="Arial" w:hAnsi="Arial" w:cs="Arial"/>
          <w:sz w:val="24"/>
          <w:szCs w:val="24"/>
        </w:rPr>
        <w:t xml:space="preserve"> rushing to produce a finished product. Each step I take, highlighting, writing, and revising, helps solidify my understanding and boosts my confidence. I am comm</w:t>
      </w:r>
      <w:r w:rsidR="000A3696">
        <w:rPr>
          <w:rFonts w:ascii="Arial" w:hAnsi="Arial" w:cs="Arial"/>
          <w:sz w:val="24"/>
          <w:szCs w:val="24"/>
        </w:rPr>
        <w:t>itted to embracing this process, as it has proven to enhance my clarity of thought and overall communication skills. Though persistence and adaptability, I am turning what was once a significant hurdle into an asset in my educational journey.</w:t>
      </w:r>
    </w:p>
    <w:p w14:paraId="1B102029" w14:textId="17C1229E" w:rsidR="00AC468A" w:rsidRDefault="00AC468A" w:rsidP="00E65086">
      <w:pPr>
        <w:rPr>
          <w:rFonts w:ascii="Arial" w:hAnsi="Arial" w:cs="Arial"/>
          <w:sz w:val="24"/>
          <w:szCs w:val="24"/>
        </w:rPr>
      </w:pPr>
      <w:r>
        <w:rPr>
          <w:rFonts w:ascii="Arial" w:hAnsi="Arial" w:cs="Arial"/>
          <w:sz w:val="24"/>
          <w:szCs w:val="24"/>
        </w:rPr>
        <w:t>The ”Skills for employability for 21st Century” module has profoundly influenced my understanding of career progression and personal development. As part of this module, we engaged in a variety of activities designed to enhance our employability skills, including crafting CVs, writing cover letters, and participating in self-reflection exercises. One aspect that particularly stood out to me was the online quizzes recommended by Mel Hall, which were designed to help us identify our strengths and pre</w:t>
      </w:r>
      <w:r w:rsidR="00345991">
        <w:rPr>
          <w:rFonts w:ascii="Arial" w:hAnsi="Arial" w:cs="Arial"/>
          <w:sz w:val="24"/>
          <w:szCs w:val="24"/>
        </w:rPr>
        <w:t xml:space="preserve">ferences in relation to potential career paths. I was enthusiastic about our scheduled Teams meeting to gain further insights into making my CV more appealing to prospective employers, but unfortunately, Mel Hall didn’t attend our appointment or cancel it. She just didn’t show and has not responded to my emails to find out why this has happened. This left me feeling uncertain and underprepared as I had only half the time my classmates received to navigate the complexities of CV writing </w:t>
      </w:r>
      <w:r w:rsidR="00345991">
        <w:rPr>
          <w:rFonts w:ascii="Arial" w:hAnsi="Arial" w:cs="Arial"/>
          <w:sz w:val="24"/>
          <w:szCs w:val="24"/>
        </w:rPr>
        <w:lastRenderedPageBreak/>
        <w:t>independently. I was extremely grateful for the template that was provided on moddle.</w:t>
      </w:r>
    </w:p>
    <w:p w14:paraId="0CC5D539" w14:textId="5D9516B7" w:rsidR="004A393A" w:rsidRDefault="004A393A" w:rsidP="00E65086">
      <w:pPr>
        <w:rPr>
          <w:rFonts w:ascii="Arial" w:hAnsi="Arial" w:cs="Arial"/>
          <w:sz w:val="24"/>
          <w:szCs w:val="24"/>
        </w:rPr>
      </w:pPr>
      <w:r>
        <w:rPr>
          <w:rFonts w:ascii="Arial" w:hAnsi="Arial" w:cs="Arial"/>
          <w:sz w:val="24"/>
          <w:szCs w:val="24"/>
        </w:rPr>
        <w:t>Despite the initial setback, I realised that this experience became a pivotal moment in my learning journey. With little guidance available, I applied the techniques and knowledge I had accumulated throughout the module to create my CV. I dedicated significant time to understanding the intricacies of effective CV writing, focusing on my skills, experiences, and what I could uniquely offer to potential employers. Seeking feedback from colleagues at work proved invaluable, their encouragement and affirmations that they would “hire me in a heartbeat” validated the effort I had put into revamping my CV. This feedback not only boosted my confidence but also reinforced the notion that I possess the necessary skills and attributes to succeed in my chosen career path.</w:t>
      </w:r>
    </w:p>
    <w:p w14:paraId="69B280B7" w14:textId="65A43417" w:rsidR="004A393A" w:rsidRDefault="004A393A" w:rsidP="00E65086">
      <w:pPr>
        <w:rPr>
          <w:rFonts w:ascii="Arial" w:hAnsi="Arial" w:cs="Arial"/>
          <w:sz w:val="24"/>
          <w:szCs w:val="24"/>
        </w:rPr>
      </w:pPr>
      <w:r>
        <w:rPr>
          <w:rFonts w:ascii="Arial" w:hAnsi="Arial" w:cs="Arial"/>
          <w:sz w:val="24"/>
          <w:szCs w:val="24"/>
        </w:rPr>
        <w:t xml:space="preserve">One of the most significant revelations during this module was the emphasis on </w:t>
      </w:r>
      <w:r w:rsidR="000B14D4">
        <w:rPr>
          <w:rFonts w:ascii="Arial" w:hAnsi="Arial" w:cs="Arial"/>
          <w:sz w:val="24"/>
          <w:szCs w:val="24"/>
        </w:rPr>
        <w:t>self-awareness</w:t>
      </w:r>
      <w:r>
        <w:rPr>
          <w:rFonts w:ascii="Arial" w:hAnsi="Arial" w:cs="Arial"/>
          <w:sz w:val="24"/>
          <w:szCs w:val="24"/>
        </w:rPr>
        <w:t xml:space="preserve"> and personal branding. For the first time, I was encouraged to focus on my own strengths, career aspirations, and the unique qualities that set me apart from others. This reflective process has heightened my awareness of what I want in a career and how I can strategically position myself to achieve those goals. I learned that employability is not merely about having a polished CV and cover letter, it is about understanding ones</w:t>
      </w:r>
      <w:r w:rsidR="00694634">
        <w:rPr>
          <w:rFonts w:ascii="Arial" w:hAnsi="Arial" w:cs="Arial"/>
          <w:sz w:val="24"/>
          <w:szCs w:val="24"/>
        </w:rPr>
        <w:t>elf, recognising the value I can bring to an Organisation, and articulating that effectively to future employers.</w:t>
      </w:r>
    </w:p>
    <w:p w14:paraId="7D4D4DA6" w14:textId="317BAA1C" w:rsidR="00694634" w:rsidRDefault="00694634" w:rsidP="00E65086">
      <w:pPr>
        <w:rPr>
          <w:rFonts w:ascii="Arial" w:hAnsi="Arial" w:cs="Arial"/>
          <w:sz w:val="24"/>
          <w:szCs w:val="24"/>
        </w:rPr>
      </w:pPr>
      <w:r>
        <w:rPr>
          <w:rFonts w:ascii="Arial" w:hAnsi="Arial" w:cs="Arial"/>
          <w:sz w:val="24"/>
          <w:szCs w:val="24"/>
        </w:rPr>
        <w:t xml:space="preserve">The online quizzes facilitated a clearer understanding of my personal and professional preferences, allowing me to align my career goals with my strengths. I discovered areas of interest that I had previously overlooked and began to think about potential career paths within those realms. The module encouraged me to think critically about my future, breaking down the barriers and </w:t>
      </w:r>
      <w:r w:rsidR="000B14D4">
        <w:rPr>
          <w:rFonts w:ascii="Arial" w:hAnsi="Arial" w:cs="Arial"/>
          <w:sz w:val="24"/>
          <w:szCs w:val="24"/>
        </w:rPr>
        <w:t>self-doubt</w:t>
      </w:r>
      <w:r>
        <w:rPr>
          <w:rFonts w:ascii="Arial" w:hAnsi="Arial" w:cs="Arial"/>
          <w:sz w:val="24"/>
          <w:szCs w:val="24"/>
        </w:rPr>
        <w:t xml:space="preserve"> that had previously held me back. By focusing on my own aspirations, I gained a renewed sense of excitement and direction regarding my career progression.</w:t>
      </w:r>
    </w:p>
    <w:p w14:paraId="1CF22BB3" w14:textId="590A99D1" w:rsidR="00694634" w:rsidRDefault="00694634" w:rsidP="00E65086">
      <w:pPr>
        <w:rPr>
          <w:rFonts w:ascii="Arial" w:hAnsi="Arial" w:cs="Arial"/>
          <w:sz w:val="24"/>
          <w:szCs w:val="24"/>
        </w:rPr>
      </w:pPr>
      <w:r>
        <w:rPr>
          <w:rFonts w:ascii="Arial" w:hAnsi="Arial" w:cs="Arial"/>
          <w:sz w:val="24"/>
          <w:szCs w:val="24"/>
        </w:rPr>
        <w:t xml:space="preserve">Looking ahead, I am determined to continue leveraging the skills I have developed throughout this module. My next steps will involve actively seeking out opportunities to further refine my CV and cover letter writing skills. Furthermore, I will make a conscious effort to cultivate a personal brand that reflects my professional identity and career aspirations. This involves engaging on </w:t>
      </w:r>
      <w:r w:rsidR="00DE2355">
        <w:rPr>
          <w:rFonts w:ascii="Arial" w:hAnsi="Arial" w:cs="Arial"/>
          <w:sz w:val="24"/>
          <w:szCs w:val="24"/>
        </w:rPr>
        <w:t xml:space="preserve">professional platforms, such as </w:t>
      </w:r>
      <w:r w:rsidR="000B14D4">
        <w:rPr>
          <w:rFonts w:ascii="Arial" w:hAnsi="Arial" w:cs="Arial"/>
          <w:sz w:val="24"/>
          <w:szCs w:val="24"/>
        </w:rPr>
        <w:t>LinkedIn</w:t>
      </w:r>
      <w:r w:rsidR="00DE2355">
        <w:rPr>
          <w:rFonts w:ascii="Arial" w:hAnsi="Arial" w:cs="Arial"/>
          <w:sz w:val="24"/>
          <w:szCs w:val="24"/>
        </w:rPr>
        <w:t xml:space="preserve">, and continuing to seek feedback from peers and mentors. I also aim to engage in ongoing reflective practices, ensuring that I regularly assess my </w:t>
      </w:r>
      <w:r w:rsidR="00143898">
        <w:rPr>
          <w:rFonts w:ascii="Arial" w:hAnsi="Arial" w:cs="Arial"/>
          <w:sz w:val="24"/>
          <w:szCs w:val="24"/>
        </w:rPr>
        <w:t>progress</w:t>
      </w:r>
      <w:r w:rsidR="00DE2355">
        <w:rPr>
          <w:rFonts w:ascii="Arial" w:hAnsi="Arial" w:cs="Arial"/>
          <w:sz w:val="24"/>
          <w:szCs w:val="24"/>
        </w:rPr>
        <w:t xml:space="preserve"> and remain aligned with my career goals.</w:t>
      </w:r>
    </w:p>
    <w:p w14:paraId="3DC833A7" w14:textId="309A14CD" w:rsidR="000B14D4" w:rsidRDefault="000B14D4" w:rsidP="00E65086">
      <w:pPr>
        <w:rPr>
          <w:rFonts w:ascii="Arial" w:hAnsi="Arial" w:cs="Arial"/>
          <w:sz w:val="24"/>
          <w:szCs w:val="24"/>
        </w:rPr>
      </w:pPr>
      <w:r>
        <w:rPr>
          <w:rFonts w:ascii="Arial" w:hAnsi="Arial" w:cs="Arial"/>
          <w:sz w:val="24"/>
          <w:szCs w:val="24"/>
        </w:rPr>
        <w:t>In the journey of self-understanding and self-empowerment, the theory of reflection as articulated by Driscoll (1994) offers a vital framework for individuals navigating the challenges posed by dyslexia</w:t>
      </w:r>
      <w:r w:rsidR="00143898">
        <w:rPr>
          <w:rFonts w:ascii="Arial" w:hAnsi="Arial" w:cs="Arial"/>
          <w:sz w:val="24"/>
          <w:szCs w:val="24"/>
        </w:rPr>
        <w:t>, as with myself</w:t>
      </w:r>
      <w:r>
        <w:rPr>
          <w:rFonts w:ascii="Arial" w:hAnsi="Arial" w:cs="Arial"/>
          <w:sz w:val="24"/>
          <w:szCs w:val="24"/>
        </w:rPr>
        <w:t xml:space="preserve">. This approach encapsulates the iterative process of reflecting on experiences, which not only fosters insight but also cultivates a greater confidence in one’s abilities and decisions. Dyslexia often presents unique hurdles in academic and professional settings, leading to feeling of inadequacy and frustration. However, employing Driscoll’s structed reflective model can guide </w:t>
      </w:r>
      <w:r w:rsidR="00942DE2">
        <w:rPr>
          <w:rFonts w:ascii="Arial" w:hAnsi="Arial" w:cs="Arial"/>
          <w:sz w:val="24"/>
          <w:szCs w:val="24"/>
        </w:rPr>
        <w:t>us</w:t>
      </w:r>
      <w:r>
        <w:rPr>
          <w:rFonts w:ascii="Arial" w:hAnsi="Arial" w:cs="Arial"/>
          <w:sz w:val="24"/>
          <w:szCs w:val="24"/>
        </w:rPr>
        <w:t xml:space="preserve"> through these trials, enabling </w:t>
      </w:r>
      <w:r w:rsidR="00942DE2">
        <w:rPr>
          <w:rFonts w:ascii="Arial" w:hAnsi="Arial" w:cs="Arial"/>
          <w:sz w:val="24"/>
          <w:szCs w:val="24"/>
        </w:rPr>
        <w:t>us</w:t>
      </w:r>
      <w:r>
        <w:rPr>
          <w:rFonts w:ascii="Arial" w:hAnsi="Arial" w:cs="Arial"/>
          <w:sz w:val="24"/>
          <w:szCs w:val="24"/>
        </w:rPr>
        <w:t xml:space="preserve"> to articulate </w:t>
      </w:r>
      <w:r w:rsidR="00942DE2">
        <w:rPr>
          <w:rFonts w:ascii="Arial" w:hAnsi="Arial" w:cs="Arial"/>
          <w:sz w:val="24"/>
          <w:szCs w:val="24"/>
        </w:rPr>
        <w:t>our</w:t>
      </w:r>
      <w:r>
        <w:rPr>
          <w:rFonts w:ascii="Arial" w:hAnsi="Arial" w:cs="Arial"/>
          <w:sz w:val="24"/>
          <w:szCs w:val="24"/>
        </w:rPr>
        <w:t xml:space="preserve"> experiences, evaluate </w:t>
      </w:r>
      <w:r w:rsidR="00942DE2">
        <w:rPr>
          <w:rFonts w:ascii="Arial" w:hAnsi="Arial" w:cs="Arial"/>
          <w:sz w:val="24"/>
          <w:szCs w:val="24"/>
        </w:rPr>
        <w:t>our</w:t>
      </w:r>
      <w:r>
        <w:rPr>
          <w:rFonts w:ascii="Arial" w:hAnsi="Arial" w:cs="Arial"/>
          <w:sz w:val="24"/>
          <w:szCs w:val="24"/>
        </w:rPr>
        <w:t xml:space="preserve"> responses, and set informed goals for future actions.</w:t>
      </w:r>
    </w:p>
    <w:p w14:paraId="0E78BAC3" w14:textId="6CAB06FC" w:rsidR="000B14D4" w:rsidRDefault="000B14D4" w:rsidP="00E65086">
      <w:pPr>
        <w:rPr>
          <w:rFonts w:ascii="Arial" w:hAnsi="Arial" w:cs="Arial"/>
          <w:sz w:val="24"/>
          <w:szCs w:val="24"/>
        </w:rPr>
      </w:pPr>
      <w:r>
        <w:rPr>
          <w:rFonts w:ascii="Arial" w:hAnsi="Arial" w:cs="Arial"/>
          <w:sz w:val="24"/>
          <w:szCs w:val="24"/>
        </w:rPr>
        <w:lastRenderedPageBreak/>
        <w:t>Driscoll’s (1994) model emphasises three key questions, “What?” “So what?” and “Now what?” This systematic approach is c</w:t>
      </w:r>
      <w:r w:rsidR="00143898">
        <w:rPr>
          <w:rFonts w:ascii="Arial" w:hAnsi="Arial" w:cs="Arial"/>
          <w:sz w:val="24"/>
          <w:szCs w:val="24"/>
        </w:rPr>
        <w:t xml:space="preserve">rucial for someone with dyslexia, as it provides a clear pathway through complex thoughts and emotions. By beginning with “What?” </w:t>
      </w:r>
      <w:r w:rsidR="00942DE2">
        <w:rPr>
          <w:rFonts w:ascii="Arial" w:hAnsi="Arial" w:cs="Arial"/>
          <w:sz w:val="24"/>
          <w:szCs w:val="24"/>
        </w:rPr>
        <w:t>we</w:t>
      </w:r>
      <w:r w:rsidR="00143898">
        <w:rPr>
          <w:rFonts w:ascii="Arial" w:hAnsi="Arial" w:cs="Arial"/>
          <w:sz w:val="24"/>
          <w:szCs w:val="24"/>
        </w:rPr>
        <w:t xml:space="preserve"> can recount specific experiences associated with huge life changes, for me having dyslexia is a challenge I face and (hopefully) successfully overcome with each new module I undertake. This initial phase promotes analytical thinking, allowing myself to parse though feelings of defeat and recognise instances where I triumphed against the odds.</w:t>
      </w:r>
    </w:p>
    <w:p w14:paraId="4EC31237" w14:textId="5F8B597C" w:rsidR="00942DE2" w:rsidRDefault="00942DE2" w:rsidP="00E65086">
      <w:pPr>
        <w:rPr>
          <w:rFonts w:ascii="Arial" w:hAnsi="Arial" w:cs="Arial"/>
          <w:sz w:val="24"/>
          <w:szCs w:val="24"/>
        </w:rPr>
      </w:pPr>
      <w:r>
        <w:rPr>
          <w:rFonts w:ascii="Arial" w:hAnsi="Arial" w:cs="Arial"/>
          <w:sz w:val="24"/>
          <w:szCs w:val="24"/>
        </w:rPr>
        <w:t xml:space="preserve">Moving to the second question, “So what?” prompts deeper contemplation about the implications of these experiences. This stage allows us to connect our past struggles to our current self-perception and confidence. It provides an opportunity to analyse how anything, in my case dyslexia, has influenced my learning styles and coping mechanisms. Importantly, this reflective process can lead to the realisation that dyslexia is not a defining limitation but rather a unique aspect of my learning journey. Insights gained during this phase can illuminate personal strengths, such as creativity and problem-solving skills, that may otherwise remain unrecognised. For example, I have discovered that I have great imaginative thinking skills, that I have refined </w:t>
      </w:r>
      <w:r w:rsidR="00A82E10">
        <w:rPr>
          <w:rFonts w:ascii="Arial" w:hAnsi="Arial" w:cs="Arial"/>
          <w:sz w:val="24"/>
          <w:szCs w:val="24"/>
        </w:rPr>
        <w:t>through</w:t>
      </w:r>
      <w:r>
        <w:rPr>
          <w:rFonts w:ascii="Arial" w:hAnsi="Arial" w:cs="Arial"/>
          <w:sz w:val="24"/>
          <w:szCs w:val="24"/>
        </w:rPr>
        <w:t xml:space="preserve"> years of finding alternative methods to learn</w:t>
      </w:r>
      <w:r w:rsidR="00A82E10">
        <w:rPr>
          <w:rFonts w:ascii="Arial" w:hAnsi="Arial" w:cs="Arial"/>
          <w:sz w:val="24"/>
          <w:szCs w:val="24"/>
        </w:rPr>
        <w:t>ing</w:t>
      </w:r>
      <w:r>
        <w:rPr>
          <w:rFonts w:ascii="Arial" w:hAnsi="Arial" w:cs="Arial"/>
          <w:sz w:val="24"/>
          <w:szCs w:val="24"/>
        </w:rPr>
        <w:t>,</w:t>
      </w:r>
      <w:r w:rsidR="00A82E10">
        <w:rPr>
          <w:rFonts w:ascii="Arial" w:hAnsi="Arial" w:cs="Arial"/>
          <w:sz w:val="24"/>
          <w:szCs w:val="24"/>
        </w:rPr>
        <w:t xml:space="preserve"> which has contributed to my academic success so far.</w:t>
      </w:r>
    </w:p>
    <w:p w14:paraId="21D08601" w14:textId="71AF3204" w:rsidR="00A82E10" w:rsidRDefault="00A82E10" w:rsidP="00E65086">
      <w:pPr>
        <w:rPr>
          <w:rFonts w:ascii="Arial" w:hAnsi="Arial" w:cs="Arial"/>
          <w:sz w:val="24"/>
          <w:szCs w:val="24"/>
        </w:rPr>
      </w:pPr>
      <w:r>
        <w:rPr>
          <w:rFonts w:ascii="Arial" w:hAnsi="Arial" w:cs="Arial"/>
          <w:sz w:val="24"/>
          <w:szCs w:val="24"/>
        </w:rPr>
        <w:t xml:space="preserve">Finally, the question “Now what?” facilitates future planning. This </w:t>
      </w:r>
      <w:r w:rsidR="0060504A">
        <w:rPr>
          <w:rFonts w:ascii="Arial" w:hAnsi="Arial" w:cs="Arial"/>
          <w:sz w:val="24"/>
          <w:szCs w:val="24"/>
        </w:rPr>
        <w:t>forward-thinking</w:t>
      </w:r>
      <w:r>
        <w:rPr>
          <w:rFonts w:ascii="Arial" w:hAnsi="Arial" w:cs="Arial"/>
          <w:sz w:val="24"/>
          <w:szCs w:val="24"/>
        </w:rPr>
        <w:t xml:space="preserve"> mindset empowers us to set achievable goals and devise strategies for overcoming obstacles. By articulating a clear vision for my learning and personal development, myself and others with dyslexia can foster greater resilience and cultivate confidence in our abilities. I could implement specific strategies, such as using assistive technologies or by organising my study materials, to enhance my learning experience further.</w:t>
      </w:r>
    </w:p>
    <w:p w14:paraId="1A5B4AF1" w14:textId="654A10BE" w:rsidR="00A82E10" w:rsidRDefault="00A82E10" w:rsidP="00E65086">
      <w:pPr>
        <w:rPr>
          <w:rFonts w:ascii="Arial" w:hAnsi="Arial" w:cs="Arial"/>
          <w:sz w:val="24"/>
          <w:szCs w:val="24"/>
        </w:rPr>
      </w:pPr>
      <w:r>
        <w:rPr>
          <w:rFonts w:ascii="Arial" w:hAnsi="Arial" w:cs="Arial"/>
          <w:sz w:val="24"/>
          <w:szCs w:val="24"/>
        </w:rPr>
        <w:t>In conclusion, utilising Driscoll’s (1994) reflective model serves not only as a means of understanding my journey on this course and battling with my dyslexia, but also acts as a catalyst for building confidence and steering my personal growth. When applied consis</w:t>
      </w:r>
      <w:r w:rsidR="0060504A">
        <w:rPr>
          <w:rFonts w:ascii="Arial" w:hAnsi="Arial" w:cs="Arial"/>
          <w:sz w:val="24"/>
          <w:szCs w:val="24"/>
        </w:rPr>
        <w:t>tently, this structured reflection enabled me to confront my challenges head on, embraced my experiences and ultimately shaped a positive self-identity. By acknowledging my journey through thoughtful reflection, even with dyslexia I can transcend my limitations and emerge with a profound sense of self-efficacy and confidence.</w:t>
      </w:r>
    </w:p>
    <w:p w14:paraId="49058AAD" w14:textId="77777777" w:rsidR="00A82E10" w:rsidRDefault="00A82E10" w:rsidP="00E65086">
      <w:pPr>
        <w:rPr>
          <w:rFonts w:ascii="Arial" w:hAnsi="Arial" w:cs="Arial"/>
          <w:sz w:val="24"/>
          <w:szCs w:val="24"/>
        </w:rPr>
      </w:pPr>
    </w:p>
    <w:p w14:paraId="51CF20F4" w14:textId="77777777" w:rsidR="00A82E10" w:rsidRDefault="00A82E10" w:rsidP="000B14D4">
      <w:pPr>
        <w:rPr>
          <w:rFonts w:ascii="Arial" w:hAnsi="Arial" w:cs="Arial"/>
          <w:sz w:val="24"/>
          <w:szCs w:val="24"/>
        </w:rPr>
      </w:pPr>
    </w:p>
    <w:p w14:paraId="458ECDB1" w14:textId="77777777" w:rsidR="0060504A" w:rsidRDefault="0060504A" w:rsidP="000B14D4">
      <w:pPr>
        <w:rPr>
          <w:rFonts w:ascii="Arial" w:hAnsi="Arial" w:cs="Arial"/>
          <w:sz w:val="24"/>
          <w:szCs w:val="24"/>
        </w:rPr>
      </w:pPr>
    </w:p>
    <w:p w14:paraId="4DB09068" w14:textId="77777777" w:rsidR="0060504A" w:rsidRDefault="0060504A" w:rsidP="000B14D4">
      <w:pPr>
        <w:rPr>
          <w:rFonts w:ascii="Arial" w:hAnsi="Arial" w:cs="Arial"/>
          <w:sz w:val="24"/>
          <w:szCs w:val="24"/>
        </w:rPr>
      </w:pPr>
    </w:p>
    <w:p w14:paraId="760F5200" w14:textId="77777777" w:rsidR="0060504A" w:rsidRDefault="0060504A" w:rsidP="000B14D4">
      <w:pPr>
        <w:rPr>
          <w:rFonts w:ascii="Arial" w:hAnsi="Arial" w:cs="Arial"/>
          <w:sz w:val="24"/>
          <w:szCs w:val="24"/>
        </w:rPr>
      </w:pPr>
    </w:p>
    <w:p w14:paraId="0C0302C8" w14:textId="77777777" w:rsidR="0060504A" w:rsidRDefault="0060504A" w:rsidP="000B14D4">
      <w:pPr>
        <w:rPr>
          <w:rFonts w:ascii="Arial" w:hAnsi="Arial" w:cs="Arial"/>
          <w:sz w:val="24"/>
          <w:szCs w:val="24"/>
        </w:rPr>
      </w:pPr>
    </w:p>
    <w:p w14:paraId="565CD5E2" w14:textId="77777777" w:rsidR="00A82E10" w:rsidRDefault="00A82E10" w:rsidP="000B14D4">
      <w:pPr>
        <w:rPr>
          <w:rFonts w:ascii="Arial" w:hAnsi="Arial" w:cs="Arial"/>
          <w:sz w:val="24"/>
          <w:szCs w:val="24"/>
        </w:rPr>
      </w:pPr>
    </w:p>
    <w:p w14:paraId="2EAB3963" w14:textId="77777777" w:rsidR="00A82E10" w:rsidRPr="000B14D4" w:rsidRDefault="00A82E10" w:rsidP="000B14D4">
      <w:pPr>
        <w:rPr>
          <w:rFonts w:ascii="Arial" w:hAnsi="Arial" w:cs="Arial"/>
          <w:sz w:val="24"/>
          <w:szCs w:val="24"/>
        </w:rPr>
      </w:pPr>
    </w:p>
    <w:p w14:paraId="0B042EF9" w14:textId="77777777" w:rsidR="000B14D4" w:rsidRPr="000B14D4" w:rsidRDefault="000B14D4" w:rsidP="000B14D4">
      <w:pPr>
        <w:rPr>
          <w:rFonts w:ascii="Arial" w:hAnsi="Arial" w:cs="Arial"/>
          <w:sz w:val="24"/>
          <w:szCs w:val="24"/>
        </w:rPr>
      </w:pPr>
      <w:r w:rsidRPr="000B14D4">
        <w:rPr>
          <w:rFonts w:ascii="Arial" w:hAnsi="Arial" w:cs="Arial"/>
          <w:b/>
          <w:bCs/>
          <w:sz w:val="24"/>
          <w:szCs w:val="24"/>
        </w:rPr>
        <w:t>References</w:t>
      </w:r>
    </w:p>
    <w:p w14:paraId="3A8AB73C" w14:textId="77777777" w:rsidR="000B14D4" w:rsidRPr="000B14D4" w:rsidRDefault="000B14D4" w:rsidP="000B14D4">
      <w:pPr>
        <w:rPr>
          <w:rFonts w:ascii="Arial" w:hAnsi="Arial" w:cs="Arial"/>
          <w:sz w:val="24"/>
          <w:szCs w:val="24"/>
        </w:rPr>
      </w:pPr>
      <w:r w:rsidRPr="000B14D4">
        <w:rPr>
          <w:rFonts w:ascii="Arial" w:hAnsi="Arial" w:cs="Arial"/>
          <w:sz w:val="24"/>
          <w:szCs w:val="24"/>
        </w:rPr>
        <w:t xml:space="preserve">Driscoll, J. (1994). </w:t>
      </w:r>
      <w:r w:rsidRPr="000B14D4">
        <w:rPr>
          <w:rFonts w:ascii="Arial" w:hAnsi="Arial" w:cs="Arial"/>
          <w:i/>
          <w:iCs/>
          <w:sz w:val="24"/>
          <w:szCs w:val="24"/>
        </w:rPr>
        <w:t>Reflective practice in nursing</w:t>
      </w:r>
      <w:r w:rsidRPr="000B14D4">
        <w:rPr>
          <w:rFonts w:ascii="Arial" w:hAnsi="Arial" w:cs="Arial"/>
          <w:sz w:val="24"/>
          <w:szCs w:val="24"/>
        </w:rPr>
        <w:t xml:space="preserve"> (2nd ed.). Oxford: Blackwell Publishing.</w:t>
      </w:r>
    </w:p>
    <w:p w14:paraId="76A45C26" w14:textId="77777777" w:rsidR="000B14D4" w:rsidRPr="000B14D4" w:rsidRDefault="000B14D4" w:rsidP="000B14D4">
      <w:pPr>
        <w:rPr>
          <w:rFonts w:ascii="Arial" w:hAnsi="Arial" w:cs="Arial"/>
          <w:sz w:val="24"/>
          <w:szCs w:val="24"/>
        </w:rPr>
      </w:pPr>
      <w:r w:rsidRPr="000B14D4">
        <w:rPr>
          <w:rFonts w:ascii="Arial" w:hAnsi="Arial" w:cs="Arial"/>
          <w:sz w:val="24"/>
          <w:szCs w:val="24"/>
        </w:rPr>
        <w:t xml:space="preserve">Driscoll, J. (2000). </w:t>
      </w:r>
      <w:r w:rsidRPr="000B14D4">
        <w:rPr>
          <w:rFonts w:ascii="Arial" w:hAnsi="Arial" w:cs="Arial"/>
          <w:i/>
          <w:iCs/>
          <w:sz w:val="24"/>
          <w:szCs w:val="24"/>
        </w:rPr>
        <w:t>Practising clinical supervision: A reflective approach for healthcare professionals</w:t>
      </w:r>
      <w:r w:rsidRPr="000B14D4">
        <w:rPr>
          <w:rFonts w:ascii="Arial" w:hAnsi="Arial" w:cs="Arial"/>
          <w:sz w:val="24"/>
          <w:szCs w:val="24"/>
        </w:rPr>
        <w:t>. London: Bailliere Tindall.</w:t>
      </w:r>
    </w:p>
    <w:p w14:paraId="47AB3F38" w14:textId="77777777" w:rsidR="00C10E6E" w:rsidRDefault="00C10E6E" w:rsidP="00E65086">
      <w:pPr>
        <w:rPr>
          <w:rFonts w:ascii="Arial" w:hAnsi="Arial" w:cs="Arial"/>
          <w:sz w:val="24"/>
          <w:szCs w:val="24"/>
        </w:rPr>
      </w:pPr>
    </w:p>
    <w:p w14:paraId="6B43501E" w14:textId="77777777" w:rsidR="00552F9A" w:rsidRPr="00E65086" w:rsidRDefault="00552F9A" w:rsidP="00E65086">
      <w:pPr>
        <w:rPr>
          <w:rFonts w:ascii="Arial" w:hAnsi="Arial" w:cs="Arial"/>
          <w:sz w:val="24"/>
          <w:szCs w:val="24"/>
        </w:rPr>
      </w:pPr>
    </w:p>
    <w:p w14:paraId="51EC6F7D" w14:textId="77777777" w:rsidR="00E65086" w:rsidRDefault="00E65086" w:rsidP="00E65086">
      <w:pPr>
        <w:jc w:val="center"/>
        <w:rPr>
          <w:sz w:val="28"/>
          <w:szCs w:val="28"/>
        </w:rPr>
      </w:pPr>
    </w:p>
    <w:p w14:paraId="563B3CD2" w14:textId="77777777" w:rsidR="00E65086" w:rsidRDefault="00E65086" w:rsidP="00E65086">
      <w:pPr>
        <w:jc w:val="center"/>
        <w:rPr>
          <w:sz w:val="28"/>
          <w:szCs w:val="28"/>
        </w:rPr>
      </w:pPr>
    </w:p>
    <w:p w14:paraId="416DB1F0" w14:textId="77777777" w:rsidR="00E65086" w:rsidRPr="00E65086" w:rsidRDefault="00E65086" w:rsidP="00E65086">
      <w:pPr>
        <w:jc w:val="center"/>
        <w:rPr>
          <w:sz w:val="28"/>
          <w:szCs w:val="28"/>
        </w:rPr>
      </w:pPr>
    </w:p>
    <w:p w14:paraId="1C8ECA02" w14:textId="77777777" w:rsidR="00E65086" w:rsidRDefault="00E65086"/>
    <w:p w14:paraId="61B54AA7" w14:textId="77777777" w:rsidR="00E65086" w:rsidRDefault="00E65086"/>
    <w:p w14:paraId="5ECDAF9B" w14:textId="7566E47A" w:rsidR="00552F9A" w:rsidRDefault="00552F9A"/>
    <w:p w14:paraId="075817E1" w14:textId="0FA51738" w:rsidR="00552F9A" w:rsidRDefault="00552F9A"/>
    <w:p w14:paraId="60DD4D8A" w14:textId="77777777" w:rsidR="00552F9A" w:rsidRDefault="00552F9A">
      <w:pPr>
        <w:rPr>
          <w:b/>
          <w:u w:val="single"/>
        </w:rPr>
      </w:pPr>
    </w:p>
    <w:p w14:paraId="56ECF51F" w14:textId="77777777" w:rsidR="00552F9A" w:rsidRDefault="00552F9A">
      <w:pPr>
        <w:rPr>
          <w:b/>
          <w:u w:val="single"/>
        </w:rPr>
      </w:pPr>
    </w:p>
    <w:p w14:paraId="08AE4F08" w14:textId="77777777" w:rsidR="00552F9A" w:rsidRDefault="00552F9A">
      <w:pPr>
        <w:rPr>
          <w:b/>
          <w:u w:val="single"/>
        </w:rPr>
      </w:pPr>
    </w:p>
    <w:p w14:paraId="5C63A3AA" w14:textId="60CB64B1" w:rsidR="00E65086" w:rsidRDefault="00E65086"/>
    <w:sectPr w:rsidR="00E650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464EBC" w14:textId="77777777" w:rsidR="00DB36EE" w:rsidRDefault="00DB36EE" w:rsidP="00BB1142">
      <w:pPr>
        <w:spacing w:after="0" w:line="240" w:lineRule="auto"/>
      </w:pPr>
      <w:r>
        <w:separator/>
      </w:r>
    </w:p>
  </w:endnote>
  <w:endnote w:type="continuationSeparator" w:id="0">
    <w:p w14:paraId="5AACEA2B" w14:textId="77777777" w:rsidR="00DB36EE" w:rsidRDefault="00DB36EE" w:rsidP="00BB1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9A426D" w14:textId="77777777" w:rsidR="00DB36EE" w:rsidRDefault="00DB36EE" w:rsidP="00BB1142">
      <w:pPr>
        <w:spacing w:after="0" w:line="240" w:lineRule="auto"/>
      </w:pPr>
      <w:r>
        <w:separator/>
      </w:r>
    </w:p>
  </w:footnote>
  <w:footnote w:type="continuationSeparator" w:id="0">
    <w:p w14:paraId="4B707A13" w14:textId="77777777" w:rsidR="00DB36EE" w:rsidRDefault="00DB36EE" w:rsidP="00BB11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086"/>
    <w:rsid w:val="000A3696"/>
    <w:rsid w:val="000B14D4"/>
    <w:rsid w:val="00143898"/>
    <w:rsid w:val="00345991"/>
    <w:rsid w:val="004A393A"/>
    <w:rsid w:val="004C39A8"/>
    <w:rsid w:val="004D6E85"/>
    <w:rsid w:val="00552F9A"/>
    <w:rsid w:val="00560E9C"/>
    <w:rsid w:val="0060504A"/>
    <w:rsid w:val="00694634"/>
    <w:rsid w:val="006C660D"/>
    <w:rsid w:val="00745D79"/>
    <w:rsid w:val="00861B3C"/>
    <w:rsid w:val="00942DE2"/>
    <w:rsid w:val="009D5B8C"/>
    <w:rsid w:val="00A82E10"/>
    <w:rsid w:val="00AC468A"/>
    <w:rsid w:val="00B848DB"/>
    <w:rsid w:val="00BB1142"/>
    <w:rsid w:val="00C10E6E"/>
    <w:rsid w:val="00C552FB"/>
    <w:rsid w:val="00DB36EE"/>
    <w:rsid w:val="00DC7CDE"/>
    <w:rsid w:val="00DE2355"/>
    <w:rsid w:val="00E65086"/>
    <w:rsid w:val="00F82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67FB1"/>
  <w15:chartTrackingRefBased/>
  <w15:docId w15:val="{ABD94224-DDFB-43E7-85DD-AD26A69BB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0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50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50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50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50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50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0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0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0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0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50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50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50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50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50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0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0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086"/>
    <w:rPr>
      <w:rFonts w:eastAsiaTheme="majorEastAsia" w:cstheme="majorBidi"/>
      <w:color w:val="272727" w:themeColor="text1" w:themeTint="D8"/>
    </w:rPr>
  </w:style>
  <w:style w:type="paragraph" w:styleId="Title">
    <w:name w:val="Title"/>
    <w:basedOn w:val="Normal"/>
    <w:next w:val="Normal"/>
    <w:link w:val="TitleChar"/>
    <w:uiPriority w:val="10"/>
    <w:qFormat/>
    <w:rsid w:val="00E650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0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0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0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086"/>
    <w:pPr>
      <w:spacing w:before="160"/>
      <w:jc w:val="center"/>
    </w:pPr>
    <w:rPr>
      <w:i/>
      <w:iCs/>
      <w:color w:val="404040" w:themeColor="text1" w:themeTint="BF"/>
    </w:rPr>
  </w:style>
  <w:style w:type="character" w:customStyle="1" w:styleId="QuoteChar">
    <w:name w:val="Quote Char"/>
    <w:basedOn w:val="DefaultParagraphFont"/>
    <w:link w:val="Quote"/>
    <w:uiPriority w:val="29"/>
    <w:rsid w:val="00E65086"/>
    <w:rPr>
      <w:i/>
      <w:iCs/>
      <w:color w:val="404040" w:themeColor="text1" w:themeTint="BF"/>
    </w:rPr>
  </w:style>
  <w:style w:type="paragraph" w:styleId="ListParagraph">
    <w:name w:val="List Paragraph"/>
    <w:basedOn w:val="Normal"/>
    <w:uiPriority w:val="34"/>
    <w:qFormat/>
    <w:rsid w:val="00E65086"/>
    <w:pPr>
      <w:ind w:left="720"/>
      <w:contextualSpacing/>
    </w:pPr>
  </w:style>
  <w:style w:type="character" w:styleId="IntenseEmphasis">
    <w:name w:val="Intense Emphasis"/>
    <w:basedOn w:val="DefaultParagraphFont"/>
    <w:uiPriority w:val="21"/>
    <w:qFormat/>
    <w:rsid w:val="00E65086"/>
    <w:rPr>
      <w:i/>
      <w:iCs/>
      <w:color w:val="0F4761" w:themeColor="accent1" w:themeShade="BF"/>
    </w:rPr>
  </w:style>
  <w:style w:type="paragraph" w:styleId="IntenseQuote">
    <w:name w:val="Intense Quote"/>
    <w:basedOn w:val="Normal"/>
    <w:next w:val="Normal"/>
    <w:link w:val="IntenseQuoteChar"/>
    <w:uiPriority w:val="30"/>
    <w:qFormat/>
    <w:rsid w:val="00E650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5086"/>
    <w:rPr>
      <w:i/>
      <w:iCs/>
      <w:color w:val="0F4761" w:themeColor="accent1" w:themeShade="BF"/>
    </w:rPr>
  </w:style>
  <w:style w:type="character" w:styleId="IntenseReference">
    <w:name w:val="Intense Reference"/>
    <w:basedOn w:val="DefaultParagraphFont"/>
    <w:uiPriority w:val="32"/>
    <w:qFormat/>
    <w:rsid w:val="00E65086"/>
    <w:rPr>
      <w:b/>
      <w:bCs/>
      <w:smallCaps/>
      <w:color w:val="0F4761" w:themeColor="accent1" w:themeShade="BF"/>
      <w:spacing w:val="5"/>
    </w:rPr>
  </w:style>
  <w:style w:type="paragraph" w:styleId="Header">
    <w:name w:val="header"/>
    <w:basedOn w:val="Normal"/>
    <w:link w:val="HeaderChar"/>
    <w:uiPriority w:val="99"/>
    <w:unhideWhenUsed/>
    <w:rsid w:val="00BB11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142"/>
  </w:style>
  <w:style w:type="paragraph" w:styleId="Footer">
    <w:name w:val="footer"/>
    <w:basedOn w:val="Normal"/>
    <w:link w:val="FooterChar"/>
    <w:uiPriority w:val="99"/>
    <w:unhideWhenUsed/>
    <w:rsid w:val="00BB1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019648">
      <w:bodyDiv w:val="1"/>
      <w:marLeft w:val="0"/>
      <w:marRight w:val="0"/>
      <w:marTop w:val="0"/>
      <w:marBottom w:val="0"/>
      <w:divBdr>
        <w:top w:val="none" w:sz="0" w:space="0" w:color="auto"/>
        <w:left w:val="none" w:sz="0" w:space="0" w:color="auto"/>
        <w:bottom w:val="none" w:sz="0" w:space="0" w:color="auto"/>
        <w:right w:val="none" w:sz="0" w:space="0" w:color="auto"/>
      </w:divBdr>
    </w:div>
    <w:div w:id="655957633">
      <w:bodyDiv w:val="1"/>
      <w:marLeft w:val="0"/>
      <w:marRight w:val="0"/>
      <w:marTop w:val="0"/>
      <w:marBottom w:val="0"/>
      <w:divBdr>
        <w:top w:val="none" w:sz="0" w:space="0" w:color="auto"/>
        <w:left w:val="none" w:sz="0" w:space="0" w:color="auto"/>
        <w:bottom w:val="none" w:sz="0" w:space="0" w:color="auto"/>
        <w:right w:val="none" w:sz="0" w:space="0" w:color="auto"/>
      </w:divBdr>
    </w:div>
    <w:div w:id="828406771">
      <w:bodyDiv w:val="1"/>
      <w:marLeft w:val="0"/>
      <w:marRight w:val="0"/>
      <w:marTop w:val="0"/>
      <w:marBottom w:val="0"/>
      <w:divBdr>
        <w:top w:val="none" w:sz="0" w:space="0" w:color="auto"/>
        <w:left w:val="none" w:sz="0" w:space="0" w:color="auto"/>
        <w:bottom w:val="none" w:sz="0" w:space="0" w:color="auto"/>
        <w:right w:val="none" w:sz="0" w:space="0" w:color="auto"/>
      </w:divBdr>
    </w:div>
    <w:div w:id="877283260">
      <w:bodyDiv w:val="1"/>
      <w:marLeft w:val="0"/>
      <w:marRight w:val="0"/>
      <w:marTop w:val="0"/>
      <w:marBottom w:val="0"/>
      <w:divBdr>
        <w:top w:val="none" w:sz="0" w:space="0" w:color="auto"/>
        <w:left w:val="none" w:sz="0" w:space="0" w:color="auto"/>
        <w:bottom w:val="none" w:sz="0" w:space="0" w:color="auto"/>
        <w:right w:val="none" w:sz="0" w:space="0" w:color="auto"/>
      </w:divBdr>
    </w:div>
    <w:div w:id="894587529">
      <w:bodyDiv w:val="1"/>
      <w:marLeft w:val="0"/>
      <w:marRight w:val="0"/>
      <w:marTop w:val="0"/>
      <w:marBottom w:val="0"/>
      <w:divBdr>
        <w:top w:val="none" w:sz="0" w:space="0" w:color="auto"/>
        <w:left w:val="none" w:sz="0" w:space="0" w:color="auto"/>
        <w:bottom w:val="none" w:sz="0" w:space="0" w:color="auto"/>
        <w:right w:val="none" w:sz="0" w:space="0" w:color="auto"/>
      </w:divBdr>
    </w:div>
    <w:div w:id="1045371904">
      <w:bodyDiv w:val="1"/>
      <w:marLeft w:val="0"/>
      <w:marRight w:val="0"/>
      <w:marTop w:val="0"/>
      <w:marBottom w:val="0"/>
      <w:divBdr>
        <w:top w:val="none" w:sz="0" w:space="0" w:color="auto"/>
        <w:left w:val="none" w:sz="0" w:space="0" w:color="auto"/>
        <w:bottom w:val="none" w:sz="0" w:space="0" w:color="auto"/>
        <w:right w:val="none" w:sz="0" w:space="0" w:color="auto"/>
      </w:divBdr>
    </w:div>
    <w:div w:id="1055129911">
      <w:bodyDiv w:val="1"/>
      <w:marLeft w:val="0"/>
      <w:marRight w:val="0"/>
      <w:marTop w:val="0"/>
      <w:marBottom w:val="0"/>
      <w:divBdr>
        <w:top w:val="none" w:sz="0" w:space="0" w:color="auto"/>
        <w:left w:val="none" w:sz="0" w:space="0" w:color="auto"/>
        <w:bottom w:val="none" w:sz="0" w:space="0" w:color="auto"/>
        <w:right w:val="none" w:sz="0" w:space="0" w:color="auto"/>
      </w:divBdr>
    </w:div>
    <w:div w:id="1388184065">
      <w:bodyDiv w:val="1"/>
      <w:marLeft w:val="0"/>
      <w:marRight w:val="0"/>
      <w:marTop w:val="0"/>
      <w:marBottom w:val="0"/>
      <w:divBdr>
        <w:top w:val="none" w:sz="0" w:space="0" w:color="auto"/>
        <w:left w:val="none" w:sz="0" w:space="0" w:color="auto"/>
        <w:bottom w:val="none" w:sz="0" w:space="0" w:color="auto"/>
        <w:right w:val="none" w:sz="0" w:space="0" w:color="auto"/>
      </w:divBdr>
    </w:div>
    <w:div w:id="1825127238">
      <w:bodyDiv w:val="1"/>
      <w:marLeft w:val="0"/>
      <w:marRight w:val="0"/>
      <w:marTop w:val="0"/>
      <w:marBottom w:val="0"/>
      <w:divBdr>
        <w:top w:val="none" w:sz="0" w:space="0" w:color="auto"/>
        <w:left w:val="none" w:sz="0" w:space="0" w:color="auto"/>
        <w:bottom w:val="none" w:sz="0" w:space="0" w:color="auto"/>
        <w:right w:val="none" w:sz="0" w:space="0" w:color="auto"/>
      </w:divBdr>
    </w:div>
    <w:div w:id="182762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6</Pages>
  <Words>2043</Words>
  <Characters>11262</Characters>
  <Application>Microsoft Office Word</Application>
  <DocSecurity>0</DocSecurity>
  <Lines>208</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Cook (Fenton CP School)</dc:creator>
  <cp:keywords/>
  <dc:description/>
  <cp:lastModifiedBy>K Cook (Fenton CP School)</cp:lastModifiedBy>
  <cp:revision>3</cp:revision>
  <dcterms:created xsi:type="dcterms:W3CDTF">2024-11-03T20:20:00Z</dcterms:created>
  <dcterms:modified xsi:type="dcterms:W3CDTF">2024-11-04T00:02:00Z</dcterms:modified>
</cp:coreProperties>
</file>