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5463D" w14:textId="2FF5FA26" w:rsidR="00223C28" w:rsidRPr="00223C28" w:rsidRDefault="00223C28" w:rsidP="00223C28">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223C28">
        <w:rPr>
          <w:rFonts w:ascii="Times New Roman" w:eastAsia="Times New Roman" w:hAnsi="Times New Roman" w:cs="Times New Roman"/>
          <w:b/>
          <w:bCs/>
          <w:kern w:val="36"/>
          <w14:ligatures w14:val="none"/>
        </w:rPr>
        <w:t xml:space="preserve">1. Diane </w:t>
      </w:r>
      <w:proofErr w:type="gramStart"/>
      <w:r w:rsidRPr="00223C28">
        <w:rPr>
          <w:rFonts w:ascii="Times New Roman" w:eastAsia="Times New Roman" w:hAnsi="Times New Roman" w:cs="Times New Roman"/>
          <w:b/>
          <w:bCs/>
          <w:kern w:val="36"/>
          <w14:ligatures w14:val="none"/>
        </w:rPr>
        <w:t xml:space="preserve">Phillips </w:t>
      </w:r>
      <w:r w:rsidRPr="00223C28">
        <w:rPr>
          <w:rFonts w:ascii="Times New Roman" w:eastAsia="Times New Roman" w:hAnsi="Times New Roman" w:cs="Times New Roman"/>
          <w:b/>
          <w:bCs/>
          <w:kern w:val="36"/>
          <w14:ligatures w14:val="none"/>
        </w:rPr>
        <w:t xml:space="preserve"> -</w:t>
      </w:r>
      <w:proofErr w:type="gramEnd"/>
      <w:r w:rsidRPr="00223C28">
        <w:rPr>
          <w:rFonts w:ascii="Times New Roman" w:eastAsia="Times New Roman" w:hAnsi="Times New Roman" w:cs="Times New Roman"/>
          <w:b/>
          <w:bCs/>
          <w:kern w:val="36"/>
          <w14:ligatures w14:val="none"/>
        </w:rPr>
        <w:t xml:space="preserve"> </w:t>
      </w:r>
      <w:r w:rsidRPr="00223C28">
        <w:rPr>
          <w:rFonts w:ascii="Times New Roman" w:eastAsia="Times New Roman" w:hAnsi="Times New Roman" w:cs="Times New Roman"/>
          <w:b/>
          <w:bCs/>
          <w:kern w:val="36"/>
          <w14:ligatures w14:val="none"/>
        </w:rPr>
        <w:t xml:space="preserve"> Stopping the Revolving Door: An Interpretative Phenomenological Analysis of Lived Experiences and Staff Turnover in Welsh Healthcare</w:t>
      </w:r>
    </w:p>
    <w:p w14:paraId="64E43CDE"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Topic</w:t>
      </w:r>
      <w:r w:rsidRPr="00223C28">
        <w:rPr>
          <w:rFonts w:ascii="Times New Roman" w:eastAsia="Times New Roman" w:hAnsi="Times New Roman" w:cs="Times New Roman"/>
          <w:kern w:val="0"/>
          <w14:ligatures w14:val="none"/>
        </w:rPr>
        <w:br/>
        <w:t>The lived experiences of former Welsh healthcare workers who have voluntarily resigned, and how toxic workplace cultures interact with the systemic pressures of the devolved Welsh social care sector to drive staff turnover.</w:t>
      </w:r>
    </w:p>
    <w:p w14:paraId="22FFFF05"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Problem</w:t>
      </w:r>
      <w:r w:rsidRPr="00223C28">
        <w:rPr>
          <w:rFonts w:ascii="Times New Roman" w:eastAsia="Times New Roman" w:hAnsi="Times New Roman" w:cs="Times New Roman"/>
          <w:kern w:val="0"/>
          <w14:ligatures w14:val="none"/>
        </w:rPr>
        <w:br/>
        <w:t xml:space="preserve">Global employee attrition has reached unprecedented levels in healthcare, with staff citing inadequate pay, chronic stress, fatigue, and poor work life balance as reasons for leaving (Mishra et al., 2026), consequences that Beauvais et al. (2024), </w:t>
      </w:r>
      <w:proofErr w:type="spellStart"/>
      <w:r w:rsidRPr="00223C28">
        <w:rPr>
          <w:rFonts w:ascii="Times New Roman" w:eastAsia="Times New Roman" w:hAnsi="Times New Roman" w:cs="Times New Roman"/>
          <w:kern w:val="0"/>
          <w14:ligatures w14:val="none"/>
        </w:rPr>
        <w:t>Bowblis</w:t>
      </w:r>
      <w:proofErr w:type="spellEnd"/>
      <w:r w:rsidRPr="00223C28">
        <w:rPr>
          <w:rFonts w:ascii="Times New Roman" w:eastAsia="Times New Roman" w:hAnsi="Times New Roman" w:cs="Times New Roman"/>
          <w:kern w:val="0"/>
          <w14:ligatures w14:val="none"/>
        </w:rPr>
        <w:t xml:space="preserve"> et al. (2024), and Pradhan et al. (2024) link to reduced service efficiency, financial strain from agency staffing, and compromised patient care. Anjum and Ming (2018) and Rasool et al. (2021) describe such toxic workplace cultures as highly resilient once embedded, requiring radical intervention to dismantle, while Hom et al. (2017), Porter and Steers (1973), and Wiley (1997) note that around thirty per cent of voluntary departures stem from personal or unmapped motivations rather than organisational factors alone. The UK's ageing population, projected by the Office for National Statistics (2025) to grow from 12.5 million to 22 million people aged 65 and over by 2072, and Wales's legislative shift toward community based care (Bowden, 2026; </w:t>
      </w:r>
      <w:proofErr w:type="spellStart"/>
      <w:r w:rsidRPr="00223C28">
        <w:rPr>
          <w:rFonts w:ascii="Times New Roman" w:eastAsia="Times New Roman" w:hAnsi="Times New Roman" w:cs="Times New Roman"/>
          <w:kern w:val="0"/>
          <w14:ligatures w14:val="none"/>
        </w:rPr>
        <w:t>Senedd.wales</w:t>
      </w:r>
      <w:proofErr w:type="spellEnd"/>
      <w:r w:rsidRPr="00223C28">
        <w:rPr>
          <w:rFonts w:ascii="Times New Roman" w:eastAsia="Times New Roman" w:hAnsi="Times New Roman" w:cs="Times New Roman"/>
          <w:kern w:val="0"/>
          <w14:ligatures w14:val="none"/>
        </w:rPr>
        <w:t>, 2026) intensify pressure on the workforce, yet a critical gap remains in understanding how micro level toxic cultural behaviours interact with the unique systemic pressures of the devolved Welsh social care sector, a gap this study addresses (Taylor and Lobant, 2024).</w:t>
      </w:r>
    </w:p>
    <w:p w14:paraId="51E72BA5"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Objectives</w:t>
      </w:r>
    </w:p>
    <w:p w14:paraId="2C824810" w14:textId="77777777" w:rsidR="00223C28" w:rsidRPr="00223C28" w:rsidRDefault="00223C28" w:rsidP="00223C28">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critically review contemporary and historical literature surrounding healthcare attrition, organisational psychology, and toxic workplace cultures to establish a theoretical framework for analysing voluntary employee turnover (Anand, 2024; Rainey, 2014).</w:t>
      </w:r>
    </w:p>
    <w:p w14:paraId="1D134F9A" w14:textId="77777777" w:rsidR="00223C28" w:rsidRPr="00223C28" w:rsidRDefault="00223C28" w:rsidP="00223C28">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conduct in depth, semi structured qualitative interviews using an IPA framework with a homogenous sample of former Welsh healthcare workers (Smith et al., 2022).</w:t>
      </w:r>
    </w:p>
    <w:p w14:paraId="08E18CDB" w14:textId="77777777" w:rsidR="00223C28" w:rsidRPr="00223C28" w:rsidRDefault="00223C28" w:rsidP="00223C28">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identify and interpret how specific lived experiences, both micro level cultural catalysts such as bullying and macro level systemic pressures such as shifting public care expectations, fuel the revolving door phenomenon in Wales (Giga et al., 2020; Royal College of Nursing, 2025).</w:t>
      </w:r>
    </w:p>
    <w:p w14:paraId="4FE57317" w14:textId="77777777" w:rsidR="00223C28" w:rsidRPr="00223C28" w:rsidRDefault="00223C28" w:rsidP="00223C28">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 xml:space="preserve">To formulate localised, </w:t>
      </w:r>
      <w:proofErr w:type="gramStart"/>
      <w:r w:rsidRPr="00223C28">
        <w:rPr>
          <w:rFonts w:ascii="Times New Roman" w:eastAsia="Times New Roman" w:hAnsi="Times New Roman" w:cs="Times New Roman"/>
          <w:kern w:val="0"/>
          <w14:ligatures w14:val="none"/>
        </w:rPr>
        <w:t>evidence based</w:t>
      </w:r>
      <w:proofErr w:type="gramEnd"/>
      <w:r w:rsidRPr="00223C28">
        <w:rPr>
          <w:rFonts w:ascii="Times New Roman" w:eastAsia="Times New Roman" w:hAnsi="Times New Roman" w:cs="Times New Roman"/>
          <w:kern w:val="0"/>
          <w14:ligatures w14:val="none"/>
        </w:rPr>
        <w:t xml:space="preserve"> recommendations and retention frameworks tailored to the Welsh healthcare environment (Health Education and Improvement Wales, 2023).</w:t>
      </w:r>
    </w:p>
    <w:p w14:paraId="307D28C6"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Aim (in place of research questions)</w:t>
      </w:r>
      <w:r w:rsidRPr="00223C28">
        <w:rPr>
          <w:rFonts w:ascii="Times New Roman" w:eastAsia="Times New Roman" w:hAnsi="Times New Roman" w:cs="Times New Roman"/>
          <w:kern w:val="0"/>
          <w14:ligatures w14:val="none"/>
        </w:rPr>
        <w:br/>
        <w:t>To critically explore and interpret the lived experiences of healthcare workers in Wales who have voluntarily resigned, using an IPA framework to uncover the hidden retention drivers, unmapped personal motivations, and subjective psychological tipping points behind their decision to leave (Smith et al., 2022; Smith and Nizza, 2021).</w:t>
      </w:r>
    </w:p>
    <w:p w14:paraId="4C921197"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Paradigm</w:t>
      </w:r>
      <w:r w:rsidRPr="00223C28">
        <w:rPr>
          <w:rFonts w:ascii="Times New Roman" w:eastAsia="Times New Roman" w:hAnsi="Times New Roman" w:cs="Times New Roman"/>
          <w:kern w:val="0"/>
          <w14:ligatures w14:val="none"/>
        </w:rPr>
        <w:br/>
        <w:t xml:space="preserve">Interpretivist, qualitative, phenomenological. The study is grounded in Interpretative Phenomenological Analysis, built on three pillars, drawing on Smith and Nizza (2021): the </w:t>
      </w:r>
      <w:r w:rsidRPr="00223C28">
        <w:rPr>
          <w:rFonts w:ascii="Times New Roman" w:eastAsia="Times New Roman" w:hAnsi="Times New Roman" w:cs="Times New Roman"/>
          <w:kern w:val="0"/>
          <w14:ligatures w14:val="none"/>
        </w:rPr>
        <w:lastRenderedPageBreak/>
        <w:t>phenomenological (capturing workplace stress as lived), the hermeneutic (a double hermeneutic, following Smith and Osborn, 2008, and McCammon et al., 2024, interpreting how participants make sense of their own distress), and the idiographic (honouring small, individual accounts rather than seeking generalisation, following Eatough and Smith, 2017).</w:t>
      </w:r>
    </w:p>
    <w:p w14:paraId="1AB9A9A5" w14:textId="74D926EB" w:rsidR="00223C28" w:rsidRPr="00223C28" w:rsidRDefault="00223C28" w:rsidP="00223C28">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223C28">
        <w:rPr>
          <w:rFonts w:ascii="Times New Roman" w:eastAsia="Times New Roman" w:hAnsi="Times New Roman" w:cs="Times New Roman"/>
          <w:b/>
          <w:bCs/>
          <w:kern w:val="36"/>
          <w14:ligatures w14:val="none"/>
        </w:rPr>
        <w:t xml:space="preserve">2. Qian </w:t>
      </w:r>
      <w:proofErr w:type="gramStart"/>
      <w:r w:rsidRPr="00223C28">
        <w:rPr>
          <w:rFonts w:ascii="Times New Roman" w:eastAsia="Times New Roman" w:hAnsi="Times New Roman" w:cs="Times New Roman"/>
          <w:b/>
          <w:bCs/>
          <w:kern w:val="36"/>
          <w14:ligatures w14:val="none"/>
        </w:rPr>
        <w:t xml:space="preserve">Tao </w:t>
      </w:r>
      <w:r w:rsidRPr="00223C28">
        <w:rPr>
          <w:rFonts w:ascii="Times New Roman" w:eastAsia="Times New Roman" w:hAnsi="Times New Roman" w:cs="Times New Roman"/>
          <w:b/>
          <w:bCs/>
          <w:kern w:val="36"/>
          <w14:ligatures w14:val="none"/>
        </w:rPr>
        <w:t xml:space="preserve"> -</w:t>
      </w:r>
      <w:proofErr w:type="gramEnd"/>
      <w:r w:rsidRPr="00223C28">
        <w:rPr>
          <w:rFonts w:ascii="Times New Roman" w:eastAsia="Times New Roman" w:hAnsi="Times New Roman" w:cs="Times New Roman"/>
          <w:b/>
          <w:bCs/>
          <w:kern w:val="36"/>
          <w14:ligatures w14:val="none"/>
        </w:rPr>
        <w:t xml:space="preserve"> </w:t>
      </w:r>
      <w:r w:rsidRPr="00223C28">
        <w:rPr>
          <w:rFonts w:ascii="Times New Roman" w:eastAsia="Times New Roman" w:hAnsi="Times New Roman" w:cs="Times New Roman"/>
          <w:b/>
          <w:bCs/>
          <w:kern w:val="36"/>
          <w14:ligatures w14:val="none"/>
        </w:rPr>
        <w:t xml:space="preserve"> AI and Knowledge Sharing Culture: A Qualitative Study of Organisational Learning in Chinese Technology Firms</w:t>
      </w:r>
    </w:p>
    <w:p w14:paraId="5FADE5F9"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Topic</w:t>
      </w:r>
      <w:r w:rsidRPr="00223C28">
        <w:rPr>
          <w:rFonts w:ascii="Times New Roman" w:eastAsia="Times New Roman" w:hAnsi="Times New Roman" w:cs="Times New Roman"/>
          <w:kern w:val="0"/>
          <w14:ligatures w14:val="none"/>
        </w:rPr>
        <w:br/>
        <w:t>How AI enabled knowledge management systems reshape organisational learning practices in Chinese technology firms, and how Chinese cultural dynamics, particularly power distance and guanxi, shape their adoption.</w:t>
      </w:r>
    </w:p>
    <w:p w14:paraId="2D5C62CA"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Problem</w:t>
      </w:r>
      <w:r w:rsidRPr="00223C28">
        <w:rPr>
          <w:rFonts w:ascii="Times New Roman" w:eastAsia="Times New Roman" w:hAnsi="Times New Roman" w:cs="Times New Roman"/>
          <w:kern w:val="0"/>
          <w14:ligatures w14:val="none"/>
        </w:rPr>
        <w:br/>
        <w:t xml:space="preserve">Chinese technology firms report 40 to 60 per cent adoption failure rates for AI enabled knowledge management systems, with employees reverting to informal networks such as WeChat groups for knowledge sharing (Wang et al., 2023; Liu and Zhang, 2024). Chen et al. (2024) and Zhang and Liu (2023) show that AI systems designed for low power distance, individualistic contexts often clash with Chinese hierarchical structures, where knowledge equates to power, while Huang et al. (2023) describe how guanxi, </w:t>
      </w:r>
      <w:proofErr w:type="gramStart"/>
      <w:r w:rsidRPr="00223C28">
        <w:rPr>
          <w:rFonts w:ascii="Times New Roman" w:eastAsia="Times New Roman" w:hAnsi="Times New Roman" w:cs="Times New Roman"/>
          <w:kern w:val="0"/>
          <w14:ligatures w14:val="none"/>
        </w:rPr>
        <w:t>relationship based</w:t>
      </w:r>
      <w:proofErr w:type="gramEnd"/>
      <w:r w:rsidRPr="00223C28">
        <w:rPr>
          <w:rFonts w:ascii="Times New Roman" w:eastAsia="Times New Roman" w:hAnsi="Times New Roman" w:cs="Times New Roman"/>
          <w:kern w:val="0"/>
          <w14:ligatures w14:val="none"/>
        </w:rPr>
        <w:t xml:space="preserve"> networks governed by trust and reciprocity, can be disrupted by AI systems built for transparency and standardisation. Li et al. (2024) note that middle managers face dual pressures between visible AI adoption and employees' scepticism toward systems perceived as symbolic. Current scholarship has largely focused on AI's technical capabilities (Dwivedi et al., 2021) and generic knowledge management models (von Krogh et al., 2024), insufficiently addressing the socio-cultural dynamics that shape adoption outcomes in non-Western contexts.</w:t>
      </w:r>
    </w:p>
    <w:p w14:paraId="4C46B759"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Questions</w:t>
      </w:r>
    </w:p>
    <w:p w14:paraId="4FF4B49D" w14:textId="77777777" w:rsidR="00223C28" w:rsidRPr="00223C28" w:rsidRDefault="00223C28" w:rsidP="00223C28">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How do AI technologies transform knowledge sharing practices and organisational learning within Chinese technology firms?</w:t>
      </w:r>
    </w:p>
    <w:p w14:paraId="79C1B85C" w14:textId="77777777" w:rsidR="00223C28" w:rsidRPr="00223C28" w:rsidRDefault="00223C28" w:rsidP="00223C28">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What cultural and organisational factors shape how AI driven knowledge management initiatives are adopted and experienced?</w:t>
      </w:r>
    </w:p>
    <w:p w14:paraId="17CA8CA6" w14:textId="77777777" w:rsidR="00223C28" w:rsidRPr="00223C28" w:rsidRDefault="00223C28" w:rsidP="00223C28">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How do employees at different organisational levels experience and adapt to AI mediated knowledge systems?</w:t>
      </w:r>
    </w:p>
    <w:p w14:paraId="50826D15" w14:textId="77777777" w:rsidR="00223C28" w:rsidRPr="00223C28" w:rsidRDefault="00223C28" w:rsidP="00223C28">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How can managers effectively implement AI enabled knowledge sharing systems to support organisational learning and cultural alignment?</w:t>
      </w:r>
    </w:p>
    <w:p w14:paraId="369FA1FC"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Objectives</w:t>
      </w:r>
    </w:p>
    <w:p w14:paraId="251614D8" w14:textId="77777777" w:rsidR="00223C28" w:rsidRPr="00223C28" w:rsidRDefault="00223C28" w:rsidP="00223C28">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analyse how AI technologies reconfigure knowledge sharing practices and organisational learning processes in Chinese technology firms.</w:t>
      </w:r>
    </w:p>
    <w:p w14:paraId="5B2A6335" w14:textId="77777777" w:rsidR="00223C28" w:rsidRPr="00223C28" w:rsidRDefault="00223C28" w:rsidP="00223C28">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examine cultural and organisational factors shaping how AI knowledge management systems are adopted and used in practice.</w:t>
      </w:r>
    </w:p>
    <w:p w14:paraId="042CBFB3" w14:textId="77777777" w:rsidR="00223C28" w:rsidRPr="00223C28" w:rsidRDefault="00223C28" w:rsidP="00223C28">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explore employee experiences and adaptations across hierarchical levels in response to AI mediated knowledge practices.</w:t>
      </w:r>
    </w:p>
    <w:p w14:paraId="43C2E887" w14:textId="77777777" w:rsidR="00223C28" w:rsidRPr="00223C28" w:rsidRDefault="00223C28" w:rsidP="00223C28">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inform the development of a practical implementation framework guiding managers in deploying AI knowledge systems within Chinese organisational contexts.</w:t>
      </w:r>
    </w:p>
    <w:p w14:paraId="275F6D38"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lastRenderedPageBreak/>
        <w:t>Paradigm</w:t>
      </w:r>
      <w:r w:rsidRPr="00223C28">
        <w:rPr>
          <w:rFonts w:ascii="Times New Roman" w:eastAsia="Times New Roman" w:hAnsi="Times New Roman" w:cs="Times New Roman"/>
          <w:kern w:val="0"/>
          <w14:ligatures w14:val="none"/>
        </w:rPr>
        <w:br/>
        <w:t xml:space="preserve">Interpretivist qualitative approach, drawing on Kuhn (1970) and Lincoln and Guba (1985), using a multiple case study design (Yin, 2018) across three Beijing technology firms, chosen to support in depth within case analysis and cross case pattern identification (Eisenhardt and Graebner, 2007). The paradigm treats knowledge transformation as socially constructed and interpretive within specific cultural contexts (Creswell and </w:t>
      </w:r>
      <w:proofErr w:type="spellStart"/>
      <w:r w:rsidRPr="00223C28">
        <w:rPr>
          <w:rFonts w:ascii="Times New Roman" w:eastAsia="Times New Roman" w:hAnsi="Times New Roman" w:cs="Times New Roman"/>
          <w:kern w:val="0"/>
          <w14:ligatures w14:val="none"/>
        </w:rPr>
        <w:t>Poth</w:t>
      </w:r>
      <w:proofErr w:type="spellEnd"/>
      <w:r w:rsidRPr="00223C28">
        <w:rPr>
          <w:rFonts w:ascii="Times New Roman" w:eastAsia="Times New Roman" w:hAnsi="Times New Roman" w:cs="Times New Roman"/>
          <w:kern w:val="0"/>
          <w14:ligatures w14:val="none"/>
        </w:rPr>
        <w:t xml:space="preserve">, 2018), consistent with the study's use of Nonaka and Takeuchi's (1995) SECI model, </w:t>
      </w:r>
      <w:proofErr w:type="spellStart"/>
      <w:r w:rsidRPr="00223C28">
        <w:rPr>
          <w:rFonts w:ascii="Times New Roman" w:eastAsia="Times New Roman" w:hAnsi="Times New Roman" w:cs="Times New Roman"/>
          <w:kern w:val="0"/>
          <w14:ligatures w14:val="none"/>
        </w:rPr>
        <w:t>Szulanski's</w:t>
      </w:r>
      <w:proofErr w:type="spellEnd"/>
      <w:r w:rsidRPr="00223C28">
        <w:rPr>
          <w:rFonts w:ascii="Times New Roman" w:eastAsia="Times New Roman" w:hAnsi="Times New Roman" w:cs="Times New Roman"/>
          <w:kern w:val="0"/>
          <w14:ligatures w14:val="none"/>
        </w:rPr>
        <w:t xml:space="preserve"> (1996) theory of knowledge stickiness, and Hofstede's (2001) power distance concept together with Chen and Chen's (2004) guanxi theory as a contextual lens.</w:t>
      </w:r>
    </w:p>
    <w:p w14:paraId="12EDBF95" w14:textId="0C1318F3" w:rsidR="00223C28" w:rsidRPr="00223C28" w:rsidRDefault="00223C28" w:rsidP="00223C28">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223C28">
        <w:rPr>
          <w:rFonts w:ascii="Times New Roman" w:eastAsia="Times New Roman" w:hAnsi="Times New Roman" w:cs="Times New Roman"/>
          <w:b/>
          <w:bCs/>
          <w:kern w:val="36"/>
          <w14:ligatures w14:val="none"/>
        </w:rPr>
        <w:t xml:space="preserve">3. Xinyi </w:t>
      </w:r>
      <w:proofErr w:type="gramStart"/>
      <w:r w:rsidRPr="00223C28">
        <w:rPr>
          <w:rFonts w:ascii="Times New Roman" w:eastAsia="Times New Roman" w:hAnsi="Times New Roman" w:cs="Times New Roman"/>
          <w:b/>
          <w:bCs/>
          <w:kern w:val="36"/>
          <w14:ligatures w14:val="none"/>
        </w:rPr>
        <w:t xml:space="preserve">Xu </w:t>
      </w:r>
      <w:r w:rsidRPr="00223C28">
        <w:rPr>
          <w:rFonts w:ascii="Times New Roman" w:eastAsia="Times New Roman" w:hAnsi="Times New Roman" w:cs="Times New Roman"/>
          <w:b/>
          <w:bCs/>
          <w:kern w:val="36"/>
          <w14:ligatures w14:val="none"/>
        </w:rPr>
        <w:t xml:space="preserve"> -</w:t>
      </w:r>
      <w:proofErr w:type="gramEnd"/>
      <w:r w:rsidRPr="00223C28">
        <w:rPr>
          <w:rFonts w:ascii="Times New Roman" w:eastAsia="Times New Roman" w:hAnsi="Times New Roman" w:cs="Times New Roman"/>
          <w:b/>
          <w:bCs/>
          <w:kern w:val="36"/>
          <w14:ligatures w14:val="none"/>
        </w:rPr>
        <w:t xml:space="preserve"> </w:t>
      </w:r>
      <w:r w:rsidRPr="00223C28">
        <w:rPr>
          <w:rFonts w:ascii="Times New Roman" w:eastAsia="Times New Roman" w:hAnsi="Times New Roman" w:cs="Times New Roman"/>
          <w:b/>
          <w:bCs/>
          <w:kern w:val="36"/>
          <w14:ligatures w14:val="none"/>
        </w:rPr>
        <w:t xml:space="preserve"> Navigating AI's Impact: Academic Practice and Career Prospects of Chinese Postgraduate Students in the UK</w:t>
      </w:r>
    </w:p>
    <w:p w14:paraId="45DB807C"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Topic</w:t>
      </w:r>
      <w:r w:rsidRPr="00223C28">
        <w:rPr>
          <w:rFonts w:ascii="Times New Roman" w:eastAsia="Times New Roman" w:hAnsi="Times New Roman" w:cs="Times New Roman"/>
          <w:kern w:val="0"/>
          <w14:ligatures w14:val="none"/>
        </w:rPr>
        <w:br/>
        <w:t>How Chinese postgraduate students in the UK perceive and navigate the impact of generative AI on their academic practice, academic integrity, and career prospects.</w:t>
      </w:r>
    </w:p>
    <w:p w14:paraId="10DCE838"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Problem</w:t>
      </w:r>
      <w:r w:rsidRPr="00223C28">
        <w:rPr>
          <w:rFonts w:ascii="Times New Roman" w:eastAsia="Times New Roman" w:hAnsi="Times New Roman" w:cs="Times New Roman"/>
          <w:kern w:val="0"/>
          <w14:ligatures w14:val="none"/>
        </w:rPr>
        <w:br/>
        <w:t xml:space="preserve">Gmyrek (2025) and Stahl et al. (2023) frame AI as a transformative technology reshaping organisational structures and labour markets, while Petropoulos (2018) and </w:t>
      </w:r>
      <w:proofErr w:type="spellStart"/>
      <w:r w:rsidRPr="00223C28">
        <w:rPr>
          <w:rFonts w:ascii="Times New Roman" w:eastAsia="Times New Roman" w:hAnsi="Times New Roman" w:cs="Times New Roman"/>
          <w:kern w:val="0"/>
          <w14:ligatures w14:val="none"/>
        </w:rPr>
        <w:t>Poba-Nzaou</w:t>
      </w:r>
      <w:proofErr w:type="spellEnd"/>
      <w:r w:rsidRPr="00223C28">
        <w:rPr>
          <w:rFonts w:ascii="Times New Roman" w:eastAsia="Times New Roman" w:hAnsi="Times New Roman" w:cs="Times New Roman"/>
          <w:kern w:val="0"/>
          <w14:ligatures w14:val="none"/>
        </w:rPr>
        <w:t xml:space="preserve"> et al. (2021) note growing questions around job restructuring and workforce adaptation. In higher education, </w:t>
      </w:r>
      <w:proofErr w:type="spellStart"/>
      <w:r w:rsidRPr="00223C28">
        <w:rPr>
          <w:rFonts w:ascii="Times New Roman" w:eastAsia="Times New Roman" w:hAnsi="Times New Roman" w:cs="Times New Roman"/>
          <w:kern w:val="0"/>
          <w14:ligatures w14:val="none"/>
        </w:rPr>
        <w:t>Popenici</w:t>
      </w:r>
      <w:proofErr w:type="spellEnd"/>
      <w:r w:rsidRPr="00223C28">
        <w:rPr>
          <w:rFonts w:ascii="Times New Roman" w:eastAsia="Times New Roman" w:hAnsi="Times New Roman" w:cs="Times New Roman"/>
          <w:kern w:val="0"/>
          <w14:ligatures w14:val="none"/>
        </w:rPr>
        <w:t xml:space="preserve"> and Kerr (2017) suggest AI could improve personalised learning, while Malinka et al. (2023) raise concerns about academic integrity and assessment design as generative tools such as ChatGPT become widespread, and Yang (2025) reports that students perceive AI as influencing their learning behaviour, motivation, and psychological wellbeing. According to HESA (2026), Chinese postgraduate students remain the largest non-EU student group in UK advanced degree programmes (Chai, 2022), yet Zhu and Zhang (2023) note that existing research mainly focuses on institutional innovation and technological implementation rather than students' everyday experiences, academic writing, assessment, academic integrity reasoning, supervisor interactions, and career planning, a gap this study addresses.</w:t>
      </w:r>
    </w:p>
    <w:p w14:paraId="05C577A7"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Questions</w:t>
      </w:r>
    </w:p>
    <w:p w14:paraId="038BE3D7" w14:textId="77777777" w:rsidR="00223C28" w:rsidRPr="00223C28" w:rsidRDefault="00223C28" w:rsidP="00223C28">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How do Chinese postgraduate students in the UK perceive the impact of Artificial Intelligence on their academic practices?</w:t>
      </w:r>
    </w:p>
    <w:p w14:paraId="28B05BFD" w14:textId="77777777" w:rsidR="00223C28" w:rsidRPr="00223C28" w:rsidRDefault="00223C28" w:rsidP="00223C28">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What strategies do Chinese postgraduate students in the UK develop to adapt to and utilise AI tools in their academic practice?</w:t>
      </w:r>
    </w:p>
    <w:p w14:paraId="10C5CB2F" w14:textId="77777777" w:rsidR="00223C28" w:rsidRPr="00223C28" w:rsidRDefault="00223C28" w:rsidP="00223C28">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How do Chinese postgraduate students studying in the UK perceive the impact of artificial intelligence on their future career prospects and employability?</w:t>
      </w:r>
    </w:p>
    <w:p w14:paraId="0F108E7D"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Objectives</w:t>
      </w:r>
    </w:p>
    <w:p w14:paraId="0936FEAC" w14:textId="77777777" w:rsidR="00223C28" w:rsidRPr="00223C28" w:rsidRDefault="00223C28" w:rsidP="00223C28">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identify and categorise the spectrum of perceptions and attitudes held by Chinese postgraduate students in the UK regarding the impact of AI on their academic practices.</w:t>
      </w:r>
    </w:p>
    <w:p w14:paraId="1DD4B4E0" w14:textId="77777777" w:rsidR="00223C28" w:rsidRPr="00223C28" w:rsidRDefault="00223C28" w:rsidP="00223C28">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 xml:space="preserve">To analyse the adaptive strategies for AI tool utilisation developed by these students, and to evaluate their understanding of and responses to relevant UK </w:t>
      </w:r>
      <w:proofErr w:type="gramStart"/>
      <w:r w:rsidRPr="00223C28">
        <w:rPr>
          <w:rFonts w:ascii="Times New Roman" w:eastAsia="Times New Roman" w:hAnsi="Times New Roman" w:cs="Times New Roman"/>
          <w:kern w:val="0"/>
          <w14:ligatures w14:val="none"/>
        </w:rPr>
        <w:t>university</w:t>
      </w:r>
      <w:proofErr w:type="gramEnd"/>
      <w:r w:rsidRPr="00223C28">
        <w:rPr>
          <w:rFonts w:ascii="Times New Roman" w:eastAsia="Times New Roman" w:hAnsi="Times New Roman" w:cs="Times New Roman"/>
          <w:kern w:val="0"/>
          <w14:ligatures w14:val="none"/>
        </w:rPr>
        <w:t xml:space="preserve"> academic policies.</w:t>
      </w:r>
    </w:p>
    <w:p w14:paraId="042BA52F" w14:textId="77777777" w:rsidR="00223C28" w:rsidRPr="00223C28" w:rsidRDefault="00223C28" w:rsidP="00223C28">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lastRenderedPageBreak/>
        <w:t>To investigate their perceptions of how AI shapes their future career prospects and influences their perceived employability.</w:t>
      </w:r>
    </w:p>
    <w:p w14:paraId="196CAB35" w14:textId="77777777" w:rsidR="00223C28" w:rsidRPr="00223C28" w:rsidRDefault="00223C28" w:rsidP="00223C28">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explore the opportunities and challenges that Chinese postgraduate students in the UK perceive when using AI in their studies and future careers.</w:t>
      </w:r>
    </w:p>
    <w:p w14:paraId="78F0CD64"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Paradigm</w:t>
      </w:r>
      <w:r w:rsidRPr="00223C28">
        <w:rPr>
          <w:rFonts w:ascii="Times New Roman" w:eastAsia="Times New Roman" w:hAnsi="Times New Roman" w:cs="Times New Roman"/>
          <w:kern w:val="0"/>
          <w14:ligatures w14:val="none"/>
        </w:rPr>
        <w:br/>
        <w:t>Social constructivist, following Crotty (1998). Reality is understood as shaped through human interaction, cultural background, and shared meanings, with knowledge co-constructed through social interaction, which the proposal ties directly, following Bryman (2016), to its choice of semi-structured interviews and focus groups as methods that let participants articulate and negotiate meaning collaboratively.</w:t>
      </w:r>
    </w:p>
    <w:p w14:paraId="49047DEC" w14:textId="43FC2827" w:rsidR="00223C28" w:rsidRPr="00223C28" w:rsidRDefault="00223C28" w:rsidP="00223C28">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223C28">
        <w:rPr>
          <w:rFonts w:ascii="Times New Roman" w:eastAsia="Times New Roman" w:hAnsi="Times New Roman" w:cs="Times New Roman"/>
          <w:b/>
          <w:bCs/>
          <w:kern w:val="36"/>
          <w14:ligatures w14:val="none"/>
        </w:rPr>
        <w:t xml:space="preserve">4. Mahendra </w:t>
      </w:r>
      <w:proofErr w:type="gramStart"/>
      <w:r w:rsidRPr="00223C28">
        <w:rPr>
          <w:rFonts w:ascii="Times New Roman" w:eastAsia="Times New Roman" w:hAnsi="Times New Roman" w:cs="Times New Roman"/>
          <w:b/>
          <w:bCs/>
          <w:kern w:val="36"/>
          <w14:ligatures w14:val="none"/>
        </w:rPr>
        <w:t xml:space="preserve">Tamang </w:t>
      </w:r>
      <w:r w:rsidRPr="00223C28">
        <w:rPr>
          <w:rFonts w:ascii="Times New Roman" w:eastAsia="Times New Roman" w:hAnsi="Times New Roman" w:cs="Times New Roman"/>
          <w:b/>
          <w:bCs/>
          <w:kern w:val="36"/>
          <w14:ligatures w14:val="none"/>
        </w:rPr>
        <w:t xml:space="preserve"> -</w:t>
      </w:r>
      <w:proofErr w:type="gramEnd"/>
      <w:r w:rsidRPr="00223C28">
        <w:rPr>
          <w:rFonts w:ascii="Times New Roman" w:eastAsia="Times New Roman" w:hAnsi="Times New Roman" w:cs="Times New Roman"/>
          <w:b/>
          <w:bCs/>
          <w:kern w:val="36"/>
          <w14:ligatures w14:val="none"/>
        </w:rPr>
        <w:t xml:space="preserve"> </w:t>
      </w:r>
      <w:r w:rsidRPr="00223C28">
        <w:rPr>
          <w:rFonts w:ascii="Times New Roman" w:eastAsia="Times New Roman" w:hAnsi="Times New Roman" w:cs="Times New Roman"/>
          <w:b/>
          <w:bCs/>
          <w:kern w:val="36"/>
          <w14:ligatures w14:val="none"/>
        </w:rPr>
        <w:t xml:space="preserve"> Trekking Tourism as a Tool for Community Empowerment and Economic Progress in Annapurna Circuit and Everest Region of Nepal</w:t>
      </w:r>
    </w:p>
    <w:p w14:paraId="4C5FA5AB"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Topic</w:t>
      </w:r>
      <w:r w:rsidRPr="00223C28">
        <w:rPr>
          <w:rFonts w:ascii="Times New Roman" w:eastAsia="Times New Roman" w:hAnsi="Times New Roman" w:cs="Times New Roman"/>
          <w:kern w:val="0"/>
          <w14:ligatures w14:val="none"/>
        </w:rPr>
        <w:br/>
        <w:t>Whether and how trekking tourism contributes to community empowerment, across economic, psychological, social, and political dimensions, and to economic progress in Nepal's Annapurna Circuit and Everest regions.</w:t>
      </w:r>
    </w:p>
    <w:p w14:paraId="0C637049"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Problem</w:t>
      </w:r>
      <w:r w:rsidRPr="00223C28">
        <w:rPr>
          <w:rFonts w:ascii="Times New Roman" w:eastAsia="Times New Roman" w:hAnsi="Times New Roman" w:cs="Times New Roman"/>
          <w:kern w:val="0"/>
          <w14:ligatures w14:val="none"/>
        </w:rPr>
        <w:br/>
      </w:r>
      <w:proofErr w:type="spellStart"/>
      <w:r w:rsidRPr="00223C28">
        <w:rPr>
          <w:rFonts w:ascii="Times New Roman" w:eastAsia="Times New Roman" w:hAnsi="Times New Roman" w:cs="Times New Roman"/>
          <w:kern w:val="0"/>
          <w14:ligatures w14:val="none"/>
        </w:rPr>
        <w:t>Scheyvens</w:t>
      </w:r>
      <w:proofErr w:type="spellEnd"/>
      <w:r w:rsidRPr="00223C28">
        <w:rPr>
          <w:rFonts w:ascii="Times New Roman" w:eastAsia="Times New Roman" w:hAnsi="Times New Roman" w:cs="Times New Roman"/>
          <w:kern w:val="0"/>
          <w14:ligatures w14:val="none"/>
        </w:rPr>
        <w:t xml:space="preserve"> (2000), Dangi and Jamal (2016), and Bhattarai et al. (2021) frame trekking tourism as a development strategy capable of generating income and fostering cultural exchange, but </w:t>
      </w:r>
      <w:proofErr w:type="spellStart"/>
      <w:r w:rsidRPr="00223C28">
        <w:rPr>
          <w:rFonts w:ascii="Times New Roman" w:eastAsia="Times New Roman" w:hAnsi="Times New Roman" w:cs="Times New Roman"/>
          <w:kern w:val="0"/>
          <w14:ligatures w14:val="none"/>
        </w:rPr>
        <w:t>Mbaiwa</w:t>
      </w:r>
      <w:proofErr w:type="spellEnd"/>
      <w:r w:rsidRPr="00223C28">
        <w:rPr>
          <w:rFonts w:ascii="Times New Roman" w:eastAsia="Times New Roman" w:hAnsi="Times New Roman" w:cs="Times New Roman"/>
          <w:kern w:val="0"/>
          <w14:ligatures w14:val="none"/>
        </w:rPr>
        <w:t xml:space="preserve"> (2005), Saarinen (2015), and Bennike and Nielsen (2024) show that global evidence points to unevenly distributed benefits, with cases in Botswana and Peru (Larson and Poudyal, 2012; </w:t>
      </w:r>
      <w:proofErr w:type="spellStart"/>
      <w:r w:rsidRPr="00223C28">
        <w:rPr>
          <w:rFonts w:ascii="Times New Roman" w:eastAsia="Times New Roman" w:hAnsi="Times New Roman" w:cs="Times New Roman"/>
          <w:kern w:val="0"/>
          <w14:ligatures w14:val="none"/>
        </w:rPr>
        <w:t>Mbaiwa</w:t>
      </w:r>
      <w:proofErr w:type="spellEnd"/>
      <w:r w:rsidRPr="00223C28">
        <w:rPr>
          <w:rFonts w:ascii="Times New Roman" w:eastAsia="Times New Roman" w:hAnsi="Times New Roman" w:cs="Times New Roman"/>
          <w:kern w:val="0"/>
          <w14:ligatures w14:val="none"/>
        </w:rPr>
        <w:t xml:space="preserve">, 2005) where outside operators captured most of the economic benefit while local communities remained marginal to decision making. In Nepal, Law and Roadway (2008), Hillman (2021), and Ghimire et al. (2024) document guides and porters working under physically demanding, risky conditions, while Nepal (2007), </w:t>
      </w:r>
      <w:proofErr w:type="spellStart"/>
      <w:r w:rsidRPr="00223C28">
        <w:rPr>
          <w:rFonts w:ascii="Times New Roman" w:eastAsia="Times New Roman" w:hAnsi="Times New Roman" w:cs="Times New Roman"/>
          <w:kern w:val="0"/>
          <w14:ligatures w14:val="none"/>
        </w:rPr>
        <w:t>Scheyvens</w:t>
      </w:r>
      <w:proofErr w:type="spellEnd"/>
      <w:r w:rsidRPr="00223C28">
        <w:rPr>
          <w:rFonts w:ascii="Times New Roman" w:eastAsia="Times New Roman" w:hAnsi="Times New Roman" w:cs="Times New Roman"/>
          <w:kern w:val="0"/>
          <w14:ligatures w14:val="none"/>
        </w:rPr>
        <w:t xml:space="preserve"> (2002), and Bennike and Nielsen (2024) note persistent economic leakage and unequal power relations that challenge assumptions of inclusive development. Despite this literature, no study to date has examined community empowerment across all four of </w:t>
      </w:r>
      <w:proofErr w:type="spellStart"/>
      <w:r w:rsidRPr="00223C28">
        <w:rPr>
          <w:rFonts w:ascii="Times New Roman" w:eastAsia="Times New Roman" w:hAnsi="Times New Roman" w:cs="Times New Roman"/>
          <w:kern w:val="0"/>
          <w14:ligatures w14:val="none"/>
        </w:rPr>
        <w:t>Scheyvens</w:t>
      </w:r>
      <w:proofErr w:type="spellEnd"/>
      <w:r w:rsidRPr="00223C28">
        <w:rPr>
          <w:rFonts w:ascii="Times New Roman" w:eastAsia="Times New Roman" w:hAnsi="Times New Roman" w:cs="Times New Roman"/>
          <w:kern w:val="0"/>
          <w14:ligatures w14:val="none"/>
        </w:rPr>
        <w:t>' (2000) dimensions simultaneously in the Annapurna Circuit and Everest Region using an integrated mixed methods design, a gap this study addresses.</w:t>
      </w:r>
    </w:p>
    <w:p w14:paraId="5DD747DB"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Questions</w:t>
      </w:r>
    </w:p>
    <w:p w14:paraId="26EC8443" w14:textId="77777777" w:rsidR="00223C28" w:rsidRPr="00223C28" w:rsidRDefault="00223C28" w:rsidP="00223C28">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What are the economic impacts of trekking tourism on local households, workers, and tourism related businesses in the Annapurna Circuit and Everest Region?</w:t>
      </w:r>
    </w:p>
    <w:p w14:paraId="5A9AC0CD" w14:textId="77777777" w:rsidR="00223C28" w:rsidRPr="00223C28" w:rsidRDefault="00223C28" w:rsidP="00223C28">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what extent does trekking tourism generate measurable empowerment outcomes across economic, psychological, social, and political dimensions among stakeholders in the Annapurna Circuit and Everest Region?</w:t>
      </w:r>
    </w:p>
    <w:p w14:paraId="7DE356BB" w14:textId="77777777" w:rsidR="00223C28" w:rsidRPr="00223C28" w:rsidRDefault="00223C28" w:rsidP="00223C28">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How do local stakeholders construct and experience empowerment and disempowerment through trekking tourism, and what structural or relational factors shape those experiences?</w:t>
      </w:r>
    </w:p>
    <w:p w14:paraId="1583311B" w14:textId="77777777" w:rsidR="00223C28" w:rsidRPr="00223C28" w:rsidRDefault="00223C28" w:rsidP="00223C28">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What are the key challenges and opportunities within the trekking tourism system that affect inclusive growth, labour welfare, and environmental sustainability?</w:t>
      </w:r>
    </w:p>
    <w:p w14:paraId="64FFA54F" w14:textId="77777777" w:rsidR="00223C28" w:rsidRPr="00223C28" w:rsidRDefault="00223C28" w:rsidP="00223C28">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 xml:space="preserve">What </w:t>
      </w:r>
      <w:proofErr w:type="gramStart"/>
      <w:r w:rsidRPr="00223C28">
        <w:rPr>
          <w:rFonts w:ascii="Times New Roman" w:eastAsia="Times New Roman" w:hAnsi="Times New Roman" w:cs="Times New Roman"/>
          <w:kern w:val="0"/>
          <w14:ligatures w14:val="none"/>
        </w:rPr>
        <w:t>evidence based</w:t>
      </w:r>
      <w:proofErr w:type="gramEnd"/>
      <w:r w:rsidRPr="00223C28">
        <w:rPr>
          <w:rFonts w:ascii="Times New Roman" w:eastAsia="Times New Roman" w:hAnsi="Times New Roman" w:cs="Times New Roman"/>
          <w:kern w:val="0"/>
          <w14:ligatures w14:val="none"/>
        </w:rPr>
        <w:t xml:space="preserve"> policy and practice recommendations can enhance trekking tourism as a tool for inclusive community empowerment and </w:t>
      </w:r>
      <w:proofErr w:type="gramStart"/>
      <w:r w:rsidRPr="00223C28">
        <w:rPr>
          <w:rFonts w:ascii="Times New Roman" w:eastAsia="Times New Roman" w:hAnsi="Times New Roman" w:cs="Times New Roman"/>
          <w:kern w:val="0"/>
          <w14:ligatures w14:val="none"/>
        </w:rPr>
        <w:t>long term</w:t>
      </w:r>
      <w:proofErr w:type="gramEnd"/>
      <w:r w:rsidRPr="00223C28">
        <w:rPr>
          <w:rFonts w:ascii="Times New Roman" w:eastAsia="Times New Roman" w:hAnsi="Times New Roman" w:cs="Times New Roman"/>
          <w:kern w:val="0"/>
          <w14:ligatures w14:val="none"/>
        </w:rPr>
        <w:t xml:space="preserve"> economic development in Nepal's mountain regions?</w:t>
      </w:r>
    </w:p>
    <w:p w14:paraId="3E75B2FF"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lastRenderedPageBreak/>
        <w:t>Research Objectives</w:t>
      </w:r>
    </w:p>
    <w:p w14:paraId="4460BEAC" w14:textId="77777777" w:rsidR="00223C28" w:rsidRPr="00223C28" w:rsidRDefault="00223C28" w:rsidP="00223C28">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assess the economic impacts of trekking tourism on local households, workers, and tourism related businesses in the Annapurna Circuit and Everest Region.</w:t>
      </w:r>
    </w:p>
    <w:p w14:paraId="4E7FA4C0" w14:textId="77777777" w:rsidR="00223C28" w:rsidRPr="00223C28" w:rsidRDefault="00223C28" w:rsidP="00223C28">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 xml:space="preserve">To measure levels of community empowerment across </w:t>
      </w:r>
      <w:proofErr w:type="spellStart"/>
      <w:r w:rsidRPr="00223C28">
        <w:rPr>
          <w:rFonts w:ascii="Times New Roman" w:eastAsia="Times New Roman" w:hAnsi="Times New Roman" w:cs="Times New Roman"/>
          <w:kern w:val="0"/>
          <w14:ligatures w14:val="none"/>
        </w:rPr>
        <w:t>Scheyvens</w:t>
      </w:r>
      <w:proofErr w:type="spellEnd"/>
      <w:r w:rsidRPr="00223C28">
        <w:rPr>
          <w:rFonts w:ascii="Times New Roman" w:eastAsia="Times New Roman" w:hAnsi="Times New Roman" w:cs="Times New Roman"/>
          <w:kern w:val="0"/>
          <w14:ligatures w14:val="none"/>
        </w:rPr>
        <w:t>' (2000) economic, psychological, social, and political dimensions among trekking tourism stakeholders in both regions.</w:t>
      </w:r>
    </w:p>
    <w:p w14:paraId="11E0328B" w14:textId="77777777" w:rsidR="00223C28" w:rsidRPr="00223C28" w:rsidRDefault="00223C28" w:rsidP="00223C28">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explore how local stakeholders, residents, guides, porters, and entrepreneurs, construct and experience empowerment and disempowerment, and to identify the structural and relational factors that shape those experiences.</w:t>
      </w:r>
    </w:p>
    <w:p w14:paraId="60FFBB56" w14:textId="77777777" w:rsidR="00223C28" w:rsidRPr="00223C28" w:rsidRDefault="00223C28" w:rsidP="00223C28">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identify key challenges and opportunities in the current trekking tourism system that affect inclusive growth, labour welfare, and environmental sustainability.</w:t>
      </w:r>
    </w:p>
    <w:p w14:paraId="4DC2BEF6" w14:textId="77777777" w:rsidR="00223C28" w:rsidRPr="00223C28" w:rsidRDefault="00223C28" w:rsidP="00223C28">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 xml:space="preserve">To develop </w:t>
      </w:r>
      <w:proofErr w:type="gramStart"/>
      <w:r w:rsidRPr="00223C28">
        <w:rPr>
          <w:rFonts w:ascii="Times New Roman" w:eastAsia="Times New Roman" w:hAnsi="Times New Roman" w:cs="Times New Roman"/>
          <w:kern w:val="0"/>
          <w14:ligatures w14:val="none"/>
        </w:rPr>
        <w:t>evidence based</w:t>
      </w:r>
      <w:proofErr w:type="gramEnd"/>
      <w:r w:rsidRPr="00223C28">
        <w:rPr>
          <w:rFonts w:ascii="Times New Roman" w:eastAsia="Times New Roman" w:hAnsi="Times New Roman" w:cs="Times New Roman"/>
          <w:kern w:val="0"/>
          <w14:ligatures w14:val="none"/>
        </w:rPr>
        <w:t xml:space="preserve"> recommendations for policy and practice that strengthen trekking tourism as a vehicle for inclusive community empowerment and </w:t>
      </w:r>
      <w:proofErr w:type="gramStart"/>
      <w:r w:rsidRPr="00223C28">
        <w:rPr>
          <w:rFonts w:ascii="Times New Roman" w:eastAsia="Times New Roman" w:hAnsi="Times New Roman" w:cs="Times New Roman"/>
          <w:kern w:val="0"/>
          <w14:ligatures w14:val="none"/>
        </w:rPr>
        <w:t>long term</w:t>
      </w:r>
      <w:proofErr w:type="gramEnd"/>
      <w:r w:rsidRPr="00223C28">
        <w:rPr>
          <w:rFonts w:ascii="Times New Roman" w:eastAsia="Times New Roman" w:hAnsi="Times New Roman" w:cs="Times New Roman"/>
          <w:kern w:val="0"/>
          <w14:ligatures w14:val="none"/>
        </w:rPr>
        <w:t xml:space="preserve"> economic progress.</w:t>
      </w:r>
    </w:p>
    <w:p w14:paraId="4324D2B6"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 xml:space="preserve">Note: an earlier, differently worded </w:t>
      </w:r>
      <w:proofErr w:type="gramStart"/>
      <w:r w:rsidRPr="00223C28">
        <w:rPr>
          <w:rFonts w:ascii="Times New Roman" w:eastAsia="Times New Roman" w:hAnsi="Times New Roman" w:cs="Times New Roman"/>
          <w:kern w:val="0"/>
          <w14:ligatures w14:val="none"/>
        </w:rPr>
        <w:t>four point</w:t>
      </w:r>
      <w:proofErr w:type="gramEnd"/>
      <w:r w:rsidRPr="00223C28">
        <w:rPr>
          <w:rFonts w:ascii="Times New Roman" w:eastAsia="Times New Roman" w:hAnsi="Times New Roman" w:cs="Times New Roman"/>
          <w:kern w:val="0"/>
          <w14:ligatures w14:val="none"/>
        </w:rPr>
        <w:t xml:space="preserve"> objective set (marked in the document as suggested by Dr Ernest) also appears alongside this </w:t>
      </w:r>
      <w:proofErr w:type="gramStart"/>
      <w:r w:rsidRPr="00223C28">
        <w:rPr>
          <w:rFonts w:ascii="Times New Roman" w:eastAsia="Times New Roman" w:hAnsi="Times New Roman" w:cs="Times New Roman"/>
          <w:kern w:val="0"/>
          <w14:ligatures w14:val="none"/>
        </w:rPr>
        <w:t>five point</w:t>
      </w:r>
      <w:proofErr w:type="gramEnd"/>
      <w:r w:rsidRPr="00223C28">
        <w:rPr>
          <w:rFonts w:ascii="Times New Roman" w:eastAsia="Times New Roman" w:hAnsi="Times New Roman" w:cs="Times New Roman"/>
          <w:kern w:val="0"/>
          <w14:ligatures w14:val="none"/>
        </w:rPr>
        <w:t xml:space="preserve"> set, so you may want to confirm with the student which version is final before </w:t>
      </w:r>
      <w:proofErr w:type="gramStart"/>
      <w:r w:rsidRPr="00223C28">
        <w:rPr>
          <w:rFonts w:ascii="Times New Roman" w:eastAsia="Times New Roman" w:hAnsi="Times New Roman" w:cs="Times New Roman"/>
          <w:kern w:val="0"/>
          <w14:ligatures w14:val="none"/>
        </w:rPr>
        <w:t>sign</w:t>
      </w:r>
      <w:proofErr w:type="gramEnd"/>
      <w:r w:rsidRPr="00223C28">
        <w:rPr>
          <w:rFonts w:ascii="Times New Roman" w:eastAsia="Times New Roman" w:hAnsi="Times New Roman" w:cs="Times New Roman"/>
          <w:kern w:val="0"/>
          <w14:ligatures w14:val="none"/>
        </w:rPr>
        <w:t xml:space="preserve"> off.</w:t>
      </w:r>
    </w:p>
    <w:p w14:paraId="76B466CE"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Paradigm</w:t>
      </w:r>
      <w:r w:rsidRPr="00223C28">
        <w:rPr>
          <w:rFonts w:ascii="Times New Roman" w:eastAsia="Times New Roman" w:hAnsi="Times New Roman" w:cs="Times New Roman"/>
          <w:kern w:val="0"/>
          <w14:ligatures w14:val="none"/>
        </w:rPr>
        <w:br/>
        <w:t xml:space="preserve">Pragmatic, mixed methods, using a convergent parallel design (Creswell and Plano Clark, 2017; </w:t>
      </w:r>
      <w:proofErr w:type="spellStart"/>
      <w:r w:rsidRPr="00223C28">
        <w:rPr>
          <w:rFonts w:ascii="Times New Roman" w:eastAsia="Times New Roman" w:hAnsi="Times New Roman" w:cs="Times New Roman"/>
          <w:kern w:val="0"/>
          <w14:ligatures w14:val="none"/>
        </w:rPr>
        <w:t>Tashakkori</w:t>
      </w:r>
      <w:proofErr w:type="spellEnd"/>
      <w:r w:rsidRPr="00223C28">
        <w:rPr>
          <w:rFonts w:ascii="Times New Roman" w:eastAsia="Times New Roman" w:hAnsi="Times New Roman" w:cs="Times New Roman"/>
          <w:kern w:val="0"/>
          <w14:ligatures w14:val="none"/>
        </w:rPr>
        <w:t xml:space="preserve"> and Teddlie, 2021). The proposal argues, drawing on Durkheim (1985) and Tabachnick and Fidell (2019) for the quantitative strand and Creswell (2003), Creswell and Creswell (2017), and Denzin and Lincoln (2011) for the qualitative strand, that the topic is too complex a socio-economic phenomenon to be understood through a single method, with the convergent design supporting triangulation between statistical evidence and lived experience rather than prioritising one data type over the other.</w:t>
      </w:r>
    </w:p>
    <w:p w14:paraId="01D8F31D" w14:textId="75D75F2B" w:rsidR="00223C28" w:rsidRPr="00223C28" w:rsidRDefault="00223C28" w:rsidP="00223C28">
      <w:pPr>
        <w:spacing w:before="100" w:beforeAutospacing="1" w:after="100" w:afterAutospacing="1" w:line="240" w:lineRule="auto"/>
        <w:outlineLvl w:val="0"/>
        <w:rPr>
          <w:rFonts w:ascii="Times New Roman" w:eastAsia="Times New Roman" w:hAnsi="Times New Roman" w:cs="Times New Roman"/>
          <w:b/>
          <w:bCs/>
          <w:kern w:val="36"/>
          <w14:ligatures w14:val="none"/>
        </w:rPr>
      </w:pPr>
      <w:r w:rsidRPr="00223C28">
        <w:rPr>
          <w:rFonts w:ascii="Times New Roman" w:eastAsia="Times New Roman" w:hAnsi="Times New Roman" w:cs="Times New Roman"/>
          <w:b/>
          <w:bCs/>
          <w:kern w:val="36"/>
          <w14:ligatures w14:val="none"/>
        </w:rPr>
        <w:t xml:space="preserve">5. </w:t>
      </w:r>
      <w:proofErr w:type="gramStart"/>
      <w:r w:rsidRPr="00223C28">
        <w:rPr>
          <w:rFonts w:ascii="Times New Roman" w:eastAsia="Times New Roman" w:hAnsi="Times New Roman" w:cs="Times New Roman"/>
          <w:b/>
          <w:bCs/>
          <w:kern w:val="36"/>
          <w14:ligatures w14:val="none"/>
        </w:rPr>
        <w:t xml:space="preserve">Jiyu </w:t>
      </w:r>
      <w:r w:rsidRPr="00223C28">
        <w:rPr>
          <w:rFonts w:ascii="Times New Roman" w:eastAsia="Times New Roman" w:hAnsi="Times New Roman" w:cs="Times New Roman"/>
          <w:b/>
          <w:bCs/>
          <w:kern w:val="36"/>
          <w14:ligatures w14:val="none"/>
        </w:rPr>
        <w:t xml:space="preserve"> -</w:t>
      </w:r>
      <w:proofErr w:type="gramEnd"/>
      <w:r w:rsidRPr="00223C28">
        <w:rPr>
          <w:rFonts w:ascii="Times New Roman" w:eastAsia="Times New Roman" w:hAnsi="Times New Roman" w:cs="Times New Roman"/>
          <w:b/>
          <w:bCs/>
          <w:kern w:val="36"/>
          <w14:ligatures w14:val="none"/>
        </w:rPr>
        <w:t xml:space="preserve"> </w:t>
      </w:r>
      <w:r w:rsidRPr="00223C28">
        <w:rPr>
          <w:rFonts w:ascii="Times New Roman" w:eastAsia="Times New Roman" w:hAnsi="Times New Roman" w:cs="Times New Roman"/>
          <w:b/>
          <w:bCs/>
          <w:kern w:val="36"/>
          <w14:ligatures w14:val="none"/>
        </w:rPr>
        <w:t xml:space="preserve"> A Critical Analysis of Understanding Social Media's Influence on Pet Product Market Consumer Behaviour in Northeast China</w:t>
      </w:r>
    </w:p>
    <w:p w14:paraId="7AF33FD3"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Topic</w:t>
      </w:r>
      <w:r w:rsidRPr="00223C28">
        <w:rPr>
          <w:rFonts w:ascii="Times New Roman" w:eastAsia="Times New Roman" w:hAnsi="Times New Roman" w:cs="Times New Roman"/>
          <w:kern w:val="0"/>
          <w14:ligatures w14:val="none"/>
        </w:rPr>
        <w:br/>
        <w:t>How social media platforms shape the purchasing behaviour of pet owners in Northeast China, and how this influence differs across generational or age groups.</w:t>
      </w:r>
    </w:p>
    <w:p w14:paraId="60E48CDF"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Problem</w:t>
      </w:r>
      <w:r w:rsidRPr="00223C28">
        <w:rPr>
          <w:rFonts w:ascii="Times New Roman" w:eastAsia="Times New Roman" w:hAnsi="Times New Roman" w:cs="Times New Roman"/>
          <w:kern w:val="0"/>
          <w14:ligatures w14:val="none"/>
        </w:rPr>
        <w:br/>
        <w:t xml:space="preserve">Gong et al. (2020) and Doi and Pettier (2018) trace how China's pet ownership shifted from functional animal keeping toward pets kept for companionship, accelerated by China's economic development and urbanisation, while Wu, Liu, and Yang (2024) and Zang (2015) link this shift partly to declining marriage rates and a growing single population. </w:t>
      </w:r>
      <w:proofErr w:type="spellStart"/>
      <w:r w:rsidRPr="00223C28">
        <w:rPr>
          <w:rFonts w:ascii="Times New Roman" w:eastAsia="Times New Roman" w:hAnsi="Times New Roman" w:cs="Times New Roman"/>
          <w:kern w:val="0"/>
          <w14:ligatures w14:val="none"/>
        </w:rPr>
        <w:t>HadoopPet</w:t>
      </w:r>
      <w:proofErr w:type="spellEnd"/>
      <w:r w:rsidRPr="00223C28">
        <w:rPr>
          <w:rFonts w:ascii="Times New Roman" w:eastAsia="Times New Roman" w:hAnsi="Times New Roman" w:cs="Times New Roman"/>
          <w:kern w:val="0"/>
          <w14:ligatures w14:val="none"/>
        </w:rPr>
        <w:t xml:space="preserve"> (2024) reports China's pet economy reached 92.88 billion yuan in 2023, and Bi (2025) and Janssens et al. (2020) document pet ownership's positive effects on wellbeing and reduced psychological stress, effects heightened during COVID-19 (Wall, 2020; </w:t>
      </w:r>
      <w:proofErr w:type="spellStart"/>
      <w:r w:rsidRPr="00223C28">
        <w:rPr>
          <w:rFonts w:ascii="Times New Roman" w:eastAsia="Times New Roman" w:hAnsi="Times New Roman" w:cs="Times New Roman"/>
          <w:kern w:val="0"/>
          <w14:ligatures w14:val="none"/>
        </w:rPr>
        <w:t>Onyeaka</w:t>
      </w:r>
      <w:proofErr w:type="spellEnd"/>
      <w:r w:rsidRPr="00223C28">
        <w:rPr>
          <w:rFonts w:ascii="Times New Roman" w:eastAsia="Times New Roman" w:hAnsi="Times New Roman" w:cs="Times New Roman"/>
          <w:kern w:val="0"/>
          <w14:ligatures w14:val="none"/>
        </w:rPr>
        <w:t xml:space="preserve"> et al., 2021; Park et al., 2022). Separately, Carr and Hayes (2015) and Fang et al. (2024) describe social media's growing role in shaping consumption and trend following behaviour, with Peng et al. (2017) and </w:t>
      </w:r>
      <w:proofErr w:type="spellStart"/>
      <w:r w:rsidRPr="00223C28">
        <w:rPr>
          <w:rFonts w:ascii="Times New Roman" w:eastAsia="Times New Roman" w:hAnsi="Times New Roman" w:cs="Times New Roman"/>
          <w:kern w:val="0"/>
          <w14:ligatures w14:val="none"/>
        </w:rPr>
        <w:t>Apaolaza</w:t>
      </w:r>
      <w:proofErr w:type="spellEnd"/>
      <w:r w:rsidRPr="00223C28">
        <w:rPr>
          <w:rFonts w:ascii="Times New Roman" w:eastAsia="Times New Roman" w:hAnsi="Times New Roman" w:cs="Times New Roman"/>
          <w:kern w:val="0"/>
          <w14:ligatures w14:val="none"/>
        </w:rPr>
        <w:t xml:space="preserve"> et al. (2022) identifying social influence and psychological pressure as mechanisms driving purchase behaviour on these platforms. Despite this, studies specifically examining the influence of social media on pet owners' consumption behaviour remain limited, a gap this research seeks to address.</w:t>
      </w:r>
    </w:p>
    <w:p w14:paraId="3AFD244C"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lastRenderedPageBreak/>
        <w:t>Research Questions</w:t>
      </w:r>
    </w:p>
    <w:p w14:paraId="1C6656EC" w14:textId="77777777" w:rsidR="00223C28" w:rsidRPr="00223C28" w:rsidRDefault="00223C28" w:rsidP="00223C2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How do different social media platforms influence pet related purchasing decisions across age demographics in Northeast China?</w:t>
      </w:r>
    </w:p>
    <w:p w14:paraId="1D215103" w14:textId="77777777" w:rsidR="00223C28" w:rsidRPr="00223C28" w:rsidRDefault="00223C28" w:rsidP="00223C2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How do the significant differences in social media affect pet owners of different ages?</w:t>
      </w:r>
    </w:p>
    <w:p w14:paraId="222D9930" w14:textId="77777777" w:rsidR="00223C28" w:rsidRPr="00223C28" w:rsidRDefault="00223C28" w:rsidP="00223C2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What is the relationship between pet consumer behaviour and engagement on social media?</w:t>
      </w:r>
    </w:p>
    <w:p w14:paraId="4A5A89A6"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Research Objectives</w:t>
      </w:r>
    </w:p>
    <w:p w14:paraId="0E5F7C86" w14:textId="77777777" w:rsidR="00223C28" w:rsidRPr="00223C28" w:rsidRDefault="00223C28" w:rsidP="00223C28">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identify the drivers of the increasing pet economy and the differences among pet owners.</w:t>
      </w:r>
    </w:p>
    <w:p w14:paraId="0038E4A5" w14:textId="77777777" w:rsidR="00223C28" w:rsidRPr="00223C28" w:rsidRDefault="00223C28" w:rsidP="00223C28">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explore the specific mechanisms through which social media influences pet owner consumption behaviour, and to analyse how age affects the choice of these behavioural pathways.</w:t>
      </w:r>
    </w:p>
    <w:p w14:paraId="21A837C1" w14:textId="77777777" w:rsidR="00223C28" w:rsidRPr="00223C28" w:rsidRDefault="00223C28" w:rsidP="00223C28">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To investigate how age specific social media platforms influence pet consumption behaviour among different age groups.</w:t>
      </w:r>
    </w:p>
    <w:p w14:paraId="4D6FA83A" w14:textId="77777777" w:rsidR="00223C28" w:rsidRPr="00223C28" w:rsidRDefault="00223C28" w:rsidP="00223C28">
      <w:pPr>
        <w:spacing w:before="100" w:beforeAutospacing="1" w:after="100" w:afterAutospacing="1" w:line="240" w:lineRule="auto"/>
        <w:rPr>
          <w:rFonts w:ascii="Times New Roman" w:eastAsia="Times New Roman" w:hAnsi="Times New Roman" w:cs="Times New Roman"/>
          <w:kern w:val="0"/>
          <w14:ligatures w14:val="none"/>
        </w:rPr>
      </w:pPr>
      <w:r w:rsidRPr="00223C28">
        <w:rPr>
          <w:rFonts w:ascii="Times New Roman" w:eastAsia="Times New Roman" w:hAnsi="Times New Roman" w:cs="Times New Roman"/>
          <w:kern w:val="0"/>
          <w14:ligatures w14:val="none"/>
        </w:rPr>
        <w:t>Paradigm</w:t>
      </w:r>
      <w:r w:rsidRPr="00223C28">
        <w:rPr>
          <w:rFonts w:ascii="Times New Roman" w:eastAsia="Times New Roman" w:hAnsi="Times New Roman" w:cs="Times New Roman"/>
          <w:kern w:val="0"/>
          <w14:ligatures w14:val="none"/>
        </w:rPr>
        <w:br/>
        <w:t xml:space="preserve">Qualitative, grounded in social constructivism, following Guba and Lincoln (1994). The proposal explains, drawing on Lave and Wenger (1991) and Amineh and Asl (2015), that social constructivism focuses on how individuals interpret and understand their experiences within social and historical contexts, shaped through language, shared ideas, and mediated interaction, which the researcher uses to justify semi-structured, in depth interviews (Creswell and </w:t>
      </w:r>
      <w:proofErr w:type="spellStart"/>
      <w:r w:rsidRPr="00223C28">
        <w:rPr>
          <w:rFonts w:ascii="Times New Roman" w:eastAsia="Times New Roman" w:hAnsi="Times New Roman" w:cs="Times New Roman"/>
          <w:kern w:val="0"/>
          <w14:ligatures w14:val="none"/>
        </w:rPr>
        <w:t>Poth</w:t>
      </w:r>
      <w:proofErr w:type="spellEnd"/>
      <w:r w:rsidRPr="00223C28">
        <w:rPr>
          <w:rFonts w:ascii="Times New Roman" w:eastAsia="Times New Roman" w:hAnsi="Times New Roman" w:cs="Times New Roman"/>
          <w:kern w:val="0"/>
          <w14:ligatures w14:val="none"/>
        </w:rPr>
        <w:t>, 2016) analysed through Braun and Clarke's (2006) six-step thematic analysis, having explicitly ruled out phenomenology, since the phenomenon is treated as observable, analysable behaviour rather than lived phenomenological experience (Moran, 2002), and grounded theory, since the study does not aim to generate new theory (Rieger, 2019).</w:t>
      </w:r>
    </w:p>
    <w:p w14:paraId="11289CBE" w14:textId="77777777" w:rsidR="000204A9" w:rsidRPr="00223C28" w:rsidRDefault="000204A9">
      <w:pPr>
        <w:rPr>
          <w:rFonts w:ascii="Times New Roman" w:hAnsi="Times New Roman" w:cs="Times New Roman"/>
        </w:rPr>
      </w:pPr>
    </w:p>
    <w:sectPr w:rsidR="000204A9" w:rsidRPr="00223C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63444"/>
    <w:multiLevelType w:val="multilevel"/>
    <w:tmpl w:val="97647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735791"/>
    <w:multiLevelType w:val="multilevel"/>
    <w:tmpl w:val="2E225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BC54DE"/>
    <w:multiLevelType w:val="multilevel"/>
    <w:tmpl w:val="3CD41A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C8235F"/>
    <w:multiLevelType w:val="multilevel"/>
    <w:tmpl w:val="6FC2D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8A5C16"/>
    <w:multiLevelType w:val="multilevel"/>
    <w:tmpl w:val="F92EE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597CDA"/>
    <w:multiLevelType w:val="multilevel"/>
    <w:tmpl w:val="21E81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8D0448"/>
    <w:multiLevelType w:val="multilevel"/>
    <w:tmpl w:val="BF3AC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CE291A"/>
    <w:multiLevelType w:val="multilevel"/>
    <w:tmpl w:val="E9367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E57ED2"/>
    <w:multiLevelType w:val="multilevel"/>
    <w:tmpl w:val="27A44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0908730">
    <w:abstractNumId w:val="5"/>
  </w:num>
  <w:num w:numId="2" w16cid:durableId="671299327">
    <w:abstractNumId w:val="0"/>
  </w:num>
  <w:num w:numId="3" w16cid:durableId="341055626">
    <w:abstractNumId w:val="1"/>
  </w:num>
  <w:num w:numId="4" w16cid:durableId="147131679">
    <w:abstractNumId w:val="4"/>
  </w:num>
  <w:num w:numId="5" w16cid:durableId="974530092">
    <w:abstractNumId w:val="8"/>
  </w:num>
  <w:num w:numId="6" w16cid:durableId="1150949939">
    <w:abstractNumId w:val="3"/>
  </w:num>
  <w:num w:numId="7" w16cid:durableId="1352300932">
    <w:abstractNumId w:val="6"/>
  </w:num>
  <w:num w:numId="8" w16cid:durableId="751198100">
    <w:abstractNumId w:val="2"/>
  </w:num>
  <w:num w:numId="9" w16cid:durableId="12372052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C28"/>
    <w:rsid w:val="000204A9"/>
    <w:rsid w:val="00223C28"/>
    <w:rsid w:val="00B275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DABAD"/>
  <w15:chartTrackingRefBased/>
  <w15:docId w15:val="{C3D0C733-57CF-4261-B092-E2F486D77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3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3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3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3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3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3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3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3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3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3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3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3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3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3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3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3C28"/>
    <w:rPr>
      <w:rFonts w:eastAsiaTheme="majorEastAsia" w:cstheme="majorBidi"/>
      <w:color w:val="272727" w:themeColor="text1" w:themeTint="D8"/>
    </w:rPr>
  </w:style>
  <w:style w:type="paragraph" w:styleId="Title">
    <w:name w:val="Title"/>
    <w:basedOn w:val="Normal"/>
    <w:next w:val="Normal"/>
    <w:link w:val="TitleChar"/>
    <w:uiPriority w:val="10"/>
    <w:qFormat/>
    <w:rsid w:val="00223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3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3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3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3C28"/>
    <w:pPr>
      <w:spacing w:before="160"/>
      <w:jc w:val="center"/>
    </w:pPr>
    <w:rPr>
      <w:i/>
      <w:iCs/>
      <w:color w:val="404040" w:themeColor="text1" w:themeTint="BF"/>
    </w:rPr>
  </w:style>
  <w:style w:type="character" w:customStyle="1" w:styleId="QuoteChar">
    <w:name w:val="Quote Char"/>
    <w:basedOn w:val="DefaultParagraphFont"/>
    <w:link w:val="Quote"/>
    <w:uiPriority w:val="29"/>
    <w:rsid w:val="00223C28"/>
    <w:rPr>
      <w:i/>
      <w:iCs/>
      <w:color w:val="404040" w:themeColor="text1" w:themeTint="BF"/>
    </w:rPr>
  </w:style>
  <w:style w:type="paragraph" w:styleId="ListParagraph">
    <w:name w:val="List Paragraph"/>
    <w:basedOn w:val="Normal"/>
    <w:uiPriority w:val="34"/>
    <w:qFormat/>
    <w:rsid w:val="00223C28"/>
    <w:pPr>
      <w:ind w:left="720"/>
      <w:contextualSpacing/>
    </w:pPr>
  </w:style>
  <w:style w:type="character" w:styleId="IntenseEmphasis">
    <w:name w:val="Intense Emphasis"/>
    <w:basedOn w:val="DefaultParagraphFont"/>
    <w:uiPriority w:val="21"/>
    <w:qFormat/>
    <w:rsid w:val="00223C28"/>
    <w:rPr>
      <w:i/>
      <w:iCs/>
      <w:color w:val="0F4761" w:themeColor="accent1" w:themeShade="BF"/>
    </w:rPr>
  </w:style>
  <w:style w:type="paragraph" w:styleId="IntenseQuote">
    <w:name w:val="Intense Quote"/>
    <w:basedOn w:val="Normal"/>
    <w:next w:val="Normal"/>
    <w:link w:val="IntenseQuoteChar"/>
    <w:uiPriority w:val="30"/>
    <w:qFormat/>
    <w:rsid w:val="00223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3C28"/>
    <w:rPr>
      <w:i/>
      <w:iCs/>
      <w:color w:val="0F4761" w:themeColor="accent1" w:themeShade="BF"/>
    </w:rPr>
  </w:style>
  <w:style w:type="character" w:styleId="IntenseReference">
    <w:name w:val="Intense Reference"/>
    <w:basedOn w:val="DefaultParagraphFont"/>
    <w:uiPriority w:val="32"/>
    <w:qFormat/>
    <w:rsid w:val="00223C28"/>
    <w:rPr>
      <w:b/>
      <w:bCs/>
      <w:smallCaps/>
      <w:color w:val="0F4761" w:themeColor="accent1" w:themeShade="BF"/>
      <w:spacing w:val="5"/>
    </w:rPr>
  </w:style>
  <w:style w:type="paragraph" w:styleId="NormalWeb">
    <w:name w:val="Normal (Web)"/>
    <w:basedOn w:val="Normal"/>
    <w:uiPriority w:val="99"/>
    <w:semiHidden/>
    <w:unhideWhenUsed/>
    <w:rsid w:val="00223C28"/>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2507</Words>
  <Characters>14291</Characters>
  <Application>Microsoft Office Word</Application>
  <DocSecurity>0</DocSecurity>
  <Lines>119</Lines>
  <Paragraphs>33</Paragraphs>
  <ScaleCrop>false</ScaleCrop>
  <Company/>
  <LinksUpToDate>false</LinksUpToDate>
  <CharactersWithSpaces>16765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cp:revision>
  <dcterms:created xsi:type="dcterms:W3CDTF">2026-09-21T09:22:00Z</dcterms:created>
  <dcterms:modified xsi:type="dcterms:W3CDTF">2026-09-21T09:28:00Z</dcterms:modified>
</cp:coreProperties>
</file>