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59939142"/>
        <w:docPartObj>
          <w:docPartGallery w:val="Table of Contents"/>
          <w:docPartUnique/>
        </w:docPartObj>
      </w:sdtPr>
      <w:sdtEndPr>
        <w:rPr>
          <w:rFonts w:asciiTheme="minorHAnsi" w:eastAsiaTheme="minorHAnsi" w:hAnsiTheme="minorHAnsi" w:cstheme="minorBidi"/>
          <w:b/>
          <w:bCs/>
          <w:noProof/>
          <w:color w:val="auto"/>
          <w:kern w:val="2"/>
          <w:sz w:val="22"/>
          <w:szCs w:val="22"/>
          <w:lang w:val="en-IN"/>
          <w14:ligatures w14:val="standardContextual"/>
        </w:rPr>
      </w:sdtEndPr>
      <w:sdtContent>
        <w:p w14:paraId="330BE547" w14:textId="5D2854F8" w:rsidR="005A561D" w:rsidRDefault="005A561D">
          <w:pPr>
            <w:pStyle w:val="TOCHeading"/>
          </w:pPr>
          <w:r>
            <w:t>Table of Contents</w:t>
          </w:r>
        </w:p>
        <w:p w14:paraId="0C0CC6FC" w14:textId="589BA29C" w:rsidR="005A561D" w:rsidRDefault="005A561D">
          <w:pPr>
            <w:pStyle w:val="TOC1"/>
            <w:tabs>
              <w:tab w:val="right" w:leader="dot" w:pos="9016"/>
            </w:tabs>
            <w:rPr>
              <w:rFonts w:eastAsiaTheme="minorEastAsia"/>
              <w:noProof/>
              <w:sz w:val="24"/>
              <w:szCs w:val="24"/>
              <w:lang w:eastAsia="en-IN"/>
            </w:rPr>
          </w:pPr>
          <w:r>
            <w:fldChar w:fldCharType="begin"/>
          </w:r>
          <w:r>
            <w:instrText xml:space="preserve"> TOC \o "1-3" \h \z \u </w:instrText>
          </w:r>
          <w:r>
            <w:fldChar w:fldCharType="separate"/>
          </w:r>
          <w:hyperlink w:anchor="_Toc217064051" w:history="1">
            <w:r w:rsidRPr="002008E7">
              <w:rPr>
                <w:rStyle w:val="Hyperlink"/>
                <w:noProof/>
              </w:rPr>
              <w:t>Task 1</w:t>
            </w:r>
            <w:r>
              <w:rPr>
                <w:noProof/>
                <w:webHidden/>
              </w:rPr>
              <w:tab/>
            </w:r>
            <w:r>
              <w:rPr>
                <w:noProof/>
                <w:webHidden/>
              </w:rPr>
              <w:fldChar w:fldCharType="begin"/>
            </w:r>
            <w:r>
              <w:rPr>
                <w:noProof/>
                <w:webHidden/>
              </w:rPr>
              <w:instrText xml:space="preserve"> PAGEREF _Toc217064051 \h </w:instrText>
            </w:r>
            <w:r>
              <w:rPr>
                <w:noProof/>
                <w:webHidden/>
              </w:rPr>
            </w:r>
            <w:r>
              <w:rPr>
                <w:noProof/>
                <w:webHidden/>
              </w:rPr>
              <w:fldChar w:fldCharType="separate"/>
            </w:r>
            <w:r>
              <w:rPr>
                <w:noProof/>
                <w:webHidden/>
              </w:rPr>
              <w:t>2</w:t>
            </w:r>
            <w:r>
              <w:rPr>
                <w:noProof/>
                <w:webHidden/>
              </w:rPr>
              <w:fldChar w:fldCharType="end"/>
            </w:r>
          </w:hyperlink>
        </w:p>
        <w:p w14:paraId="613A6DB6" w14:textId="311E9B54" w:rsidR="005A561D" w:rsidRDefault="005A561D">
          <w:pPr>
            <w:pStyle w:val="TOC2"/>
            <w:tabs>
              <w:tab w:val="right" w:leader="dot" w:pos="9016"/>
            </w:tabs>
            <w:rPr>
              <w:rFonts w:eastAsiaTheme="minorEastAsia"/>
              <w:noProof/>
              <w:sz w:val="24"/>
              <w:szCs w:val="24"/>
              <w:lang w:eastAsia="en-IN"/>
            </w:rPr>
          </w:pPr>
          <w:hyperlink w:anchor="_Toc217064052" w:history="1">
            <w:r w:rsidRPr="002008E7">
              <w:rPr>
                <w:rStyle w:val="Hyperlink"/>
                <w:noProof/>
              </w:rPr>
              <w:t>1.Security Frameworks and Models for NatureGreen’s Cloud and Wireless Environment</w:t>
            </w:r>
            <w:r>
              <w:rPr>
                <w:noProof/>
                <w:webHidden/>
              </w:rPr>
              <w:tab/>
            </w:r>
            <w:r>
              <w:rPr>
                <w:noProof/>
                <w:webHidden/>
              </w:rPr>
              <w:fldChar w:fldCharType="begin"/>
            </w:r>
            <w:r>
              <w:rPr>
                <w:noProof/>
                <w:webHidden/>
              </w:rPr>
              <w:instrText xml:space="preserve"> PAGEREF _Toc217064052 \h </w:instrText>
            </w:r>
            <w:r>
              <w:rPr>
                <w:noProof/>
                <w:webHidden/>
              </w:rPr>
            </w:r>
            <w:r>
              <w:rPr>
                <w:noProof/>
                <w:webHidden/>
              </w:rPr>
              <w:fldChar w:fldCharType="separate"/>
            </w:r>
            <w:r>
              <w:rPr>
                <w:noProof/>
                <w:webHidden/>
              </w:rPr>
              <w:t>2</w:t>
            </w:r>
            <w:r>
              <w:rPr>
                <w:noProof/>
                <w:webHidden/>
              </w:rPr>
              <w:fldChar w:fldCharType="end"/>
            </w:r>
          </w:hyperlink>
        </w:p>
        <w:p w14:paraId="198FD9DA" w14:textId="0732A5F6" w:rsidR="005A561D" w:rsidRDefault="005A561D">
          <w:pPr>
            <w:pStyle w:val="TOC2"/>
            <w:tabs>
              <w:tab w:val="right" w:leader="dot" w:pos="9016"/>
            </w:tabs>
            <w:rPr>
              <w:rFonts w:eastAsiaTheme="minorEastAsia"/>
              <w:noProof/>
              <w:sz w:val="24"/>
              <w:szCs w:val="24"/>
              <w:lang w:eastAsia="en-IN"/>
            </w:rPr>
          </w:pPr>
          <w:hyperlink w:anchor="_Toc217064053" w:history="1">
            <w:r w:rsidRPr="002008E7">
              <w:rPr>
                <w:rStyle w:val="Hyperlink"/>
                <w:noProof/>
              </w:rPr>
              <w:t>Governance and Strategic Alignment: COBIT and ISO/IEC 38500</w:t>
            </w:r>
            <w:r>
              <w:rPr>
                <w:noProof/>
                <w:webHidden/>
              </w:rPr>
              <w:tab/>
            </w:r>
            <w:r>
              <w:rPr>
                <w:noProof/>
                <w:webHidden/>
              </w:rPr>
              <w:fldChar w:fldCharType="begin"/>
            </w:r>
            <w:r>
              <w:rPr>
                <w:noProof/>
                <w:webHidden/>
              </w:rPr>
              <w:instrText xml:space="preserve"> PAGEREF _Toc217064053 \h </w:instrText>
            </w:r>
            <w:r>
              <w:rPr>
                <w:noProof/>
                <w:webHidden/>
              </w:rPr>
            </w:r>
            <w:r>
              <w:rPr>
                <w:noProof/>
                <w:webHidden/>
              </w:rPr>
              <w:fldChar w:fldCharType="separate"/>
            </w:r>
            <w:r>
              <w:rPr>
                <w:noProof/>
                <w:webHidden/>
              </w:rPr>
              <w:t>2</w:t>
            </w:r>
            <w:r>
              <w:rPr>
                <w:noProof/>
                <w:webHidden/>
              </w:rPr>
              <w:fldChar w:fldCharType="end"/>
            </w:r>
          </w:hyperlink>
        </w:p>
        <w:p w14:paraId="3EA547E7" w14:textId="7C039A12" w:rsidR="005A561D" w:rsidRDefault="005A561D">
          <w:pPr>
            <w:pStyle w:val="TOC2"/>
            <w:tabs>
              <w:tab w:val="right" w:leader="dot" w:pos="9016"/>
            </w:tabs>
            <w:rPr>
              <w:rFonts w:eastAsiaTheme="minorEastAsia"/>
              <w:noProof/>
              <w:sz w:val="24"/>
              <w:szCs w:val="24"/>
              <w:lang w:eastAsia="en-IN"/>
            </w:rPr>
          </w:pPr>
          <w:hyperlink w:anchor="_Toc217064054" w:history="1">
            <w:r w:rsidRPr="002008E7">
              <w:rPr>
                <w:rStyle w:val="Hyperlink"/>
                <w:noProof/>
              </w:rPr>
              <w:t>Information Security Management: The ISO/IEC 27000 Series</w:t>
            </w:r>
            <w:r>
              <w:rPr>
                <w:noProof/>
                <w:webHidden/>
              </w:rPr>
              <w:tab/>
            </w:r>
            <w:r>
              <w:rPr>
                <w:noProof/>
                <w:webHidden/>
              </w:rPr>
              <w:fldChar w:fldCharType="begin"/>
            </w:r>
            <w:r>
              <w:rPr>
                <w:noProof/>
                <w:webHidden/>
              </w:rPr>
              <w:instrText xml:space="preserve"> PAGEREF _Toc217064054 \h </w:instrText>
            </w:r>
            <w:r>
              <w:rPr>
                <w:noProof/>
                <w:webHidden/>
              </w:rPr>
            </w:r>
            <w:r>
              <w:rPr>
                <w:noProof/>
                <w:webHidden/>
              </w:rPr>
              <w:fldChar w:fldCharType="separate"/>
            </w:r>
            <w:r>
              <w:rPr>
                <w:noProof/>
                <w:webHidden/>
              </w:rPr>
              <w:t>2</w:t>
            </w:r>
            <w:r>
              <w:rPr>
                <w:noProof/>
                <w:webHidden/>
              </w:rPr>
              <w:fldChar w:fldCharType="end"/>
            </w:r>
          </w:hyperlink>
        </w:p>
        <w:p w14:paraId="65C43C3C" w14:textId="3042309E" w:rsidR="005A561D" w:rsidRDefault="005A561D">
          <w:pPr>
            <w:pStyle w:val="TOC2"/>
            <w:tabs>
              <w:tab w:val="right" w:leader="dot" w:pos="9016"/>
            </w:tabs>
            <w:rPr>
              <w:rFonts w:eastAsiaTheme="minorEastAsia"/>
              <w:noProof/>
              <w:sz w:val="24"/>
              <w:szCs w:val="24"/>
              <w:lang w:eastAsia="en-IN"/>
            </w:rPr>
          </w:pPr>
          <w:hyperlink w:anchor="_Toc217064055" w:history="1">
            <w:r w:rsidRPr="002008E7">
              <w:rPr>
                <w:rStyle w:val="Hyperlink"/>
                <w:noProof/>
              </w:rPr>
              <w:t>Cloud-Specific Security Frameworks: CSA Guidance and ENISA Risk Assessment</w:t>
            </w:r>
            <w:r>
              <w:rPr>
                <w:noProof/>
                <w:webHidden/>
              </w:rPr>
              <w:tab/>
            </w:r>
            <w:r>
              <w:rPr>
                <w:noProof/>
                <w:webHidden/>
              </w:rPr>
              <w:fldChar w:fldCharType="begin"/>
            </w:r>
            <w:r>
              <w:rPr>
                <w:noProof/>
                <w:webHidden/>
              </w:rPr>
              <w:instrText xml:space="preserve"> PAGEREF _Toc217064055 \h </w:instrText>
            </w:r>
            <w:r>
              <w:rPr>
                <w:noProof/>
                <w:webHidden/>
              </w:rPr>
            </w:r>
            <w:r>
              <w:rPr>
                <w:noProof/>
                <w:webHidden/>
              </w:rPr>
              <w:fldChar w:fldCharType="separate"/>
            </w:r>
            <w:r>
              <w:rPr>
                <w:noProof/>
                <w:webHidden/>
              </w:rPr>
              <w:t>3</w:t>
            </w:r>
            <w:r>
              <w:rPr>
                <w:noProof/>
                <w:webHidden/>
              </w:rPr>
              <w:fldChar w:fldCharType="end"/>
            </w:r>
          </w:hyperlink>
        </w:p>
        <w:p w14:paraId="3447C967" w14:textId="74C41138" w:rsidR="005A561D" w:rsidRDefault="005A561D">
          <w:pPr>
            <w:pStyle w:val="TOC2"/>
            <w:tabs>
              <w:tab w:val="right" w:leader="dot" w:pos="9016"/>
            </w:tabs>
            <w:rPr>
              <w:rFonts w:eastAsiaTheme="minorEastAsia"/>
              <w:noProof/>
              <w:sz w:val="24"/>
              <w:szCs w:val="24"/>
              <w:lang w:eastAsia="en-IN"/>
            </w:rPr>
          </w:pPr>
          <w:hyperlink w:anchor="_Toc217064056" w:history="1">
            <w:r w:rsidRPr="002008E7">
              <w:rPr>
                <w:rStyle w:val="Hyperlink"/>
                <w:noProof/>
              </w:rPr>
              <w:t>Integrating Security into Service Lifecycle: ITIL and ISGcloud</w:t>
            </w:r>
            <w:r>
              <w:rPr>
                <w:noProof/>
                <w:webHidden/>
              </w:rPr>
              <w:tab/>
            </w:r>
            <w:r>
              <w:rPr>
                <w:noProof/>
                <w:webHidden/>
              </w:rPr>
              <w:fldChar w:fldCharType="begin"/>
            </w:r>
            <w:r>
              <w:rPr>
                <w:noProof/>
                <w:webHidden/>
              </w:rPr>
              <w:instrText xml:space="preserve"> PAGEREF _Toc217064056 \h </w:instrText>
            </w:r>
            <w:r>
              <w:rPr>
                <w:noProof/>
                <w:webHidden/>
              </w:rPr>
            </w:r>
            <w:r>
              <w:rPr>
                <w:noProof/>
                <w:webHidden/>
              </w:rPr>
              <w:fldChar w:fldCharType="separate"/>
            </w:r>
            <w:r>
              <w:rPr>
                <w:noProof/>
                <w:webHidden/>
              </w:rPr>
              <w:t>4</w:t>
            </w:r>
            <w:r>
              <w:rPr>
                <w:noProof/>
                <w:webHidden/>
              </w:rPr>
              <w:fldChar w:fldCharType="end"/>
            </w:r>
          </w:hyperlink>
        </w:p>
        <w:p w14:paraId="410634B5" w14:textId="3849A721" w:rsidR="005A561D" w:rsidRDefault="005A561D">
          <w:pPr>
            <w:pStyle w:val="TOC2"/>
            <w:tabs>
              <w:tab w:val="right" w:leader="dot" w:pos="9016"/>
            </w:tabs>
            <w:rPr>
              <w:rFonts w:eastAsiaTheme="minorEastAsia"/>
              <w:noProof/>
              <w:sz w:val="24"/>
              <w:szCs w:val="24"/>
              <w:lang w:eastAsia="en-IN"/>
            </w:rPr>
          </w:pPr>
          <w:hyperlink w:anchor="_Toc217064057" w:history="1">
            <w:r w:rsidRPr="002008E7">
              <w:rPr>
                <w:rStyle w:val="Hyperlink"/>
                <w:noProof/>
              </w:rPr>
              <w:t>Risk Management and Compliance: A Unified Approach</w:t>
            </w:r>
            <w:r>
              <w:rPr>
                <w:noProof/>
                <w:webHidden/>
              </w:rPr>
              <w:tab/>
            </w:r>
            <w:r>
              <w:rPr>
                <w:noProof/>
                <w:webHidden/>
              </w:rPr>
              <w:fldChar w:fldCharType="begin"/>
            </w:r>
            <w:r>
              <w:rPr>
                <w:noProof/>
                <w:webHidden/>
              </w:rPr>
              <w:instrText xml:space="preserve"> PAGEREF _Toc217064057 \h </w:instrText>
            </w:r>
            <w:r>
              <w:rPr>
                <w:noProof/>
                <w:webHidden/>
              </w:rPr>
            </w:r>
            <w:r>
              <w:rPr>
                <w:noProof/>
                <w:webHidden/>
              </w:rPr>
              <w:fldChar w:fldCharType="separate"/>
            </w:r>
            <w:r>
              <w:rPr>
                <w:noProof/>
                <w:webHidden/>
              </w:rPr>
              <w:t>5</w:t>
            </w:r>
            <w:r>
              <w:rPr>
                <w:noProof/>
                <w:webHidden/>
              </w:rPr>
              <w:fldChar w:fldCharType="end"/>
            </w:r>
          </w:hyperlink>
        </w:p>
        <w:p w14:paraId="2620D7C0" w14:textId="3FCA95DA" w:rsidR="005A561D" w:rsidRDefault="005A561D">
          <w:pPr>
            <w:pStyle w:val="TOC1"/>
            <w:tabs>
              <w:tab w:val="right" w:leader="dot" w:pos="9016"/>
            </w:tabs>
            <w:rPr>
              <w:rFonts w:eastAsiaTheme="minorEastAsia"/>
              <w:noProof/>
              <w:sz w:val="24"/>
              <w:szCs w:val="24"/>
              <w:lang w:eastAsia="en-IN"/>
            </w:rPr>
          </w:pPr>
          <w:hyperlink w:anchor="_Toc217064058" w:history="1">
            <w:r w:rsidRPr="002008E7">
              <w:rPr>
                <w:rStyle w:val="Hyperlink"/>
                <w:noProof/>
              </w:rPr>
              <w:t>Task 2</w:t>
            </w:r>
            <w:r>
              <w:rPr>
                <w:noProof/>
                <w:webHidden/>
              </w:rPr>
              <w:tab/>
            </w:r>
            <w:r>
              <w:rPr>
                <w:noProof/>
                <w:webHidden/>
              </w:rPr>
              <w:fldChar w:fldCharType="begin"/>
            </w:r>
            <w:r>
              <w:rPr>
                <w:noProof/>
                <w:webHidden/>
              </w:rPr>
              <w:instrText xml:space="preserve"> PAGEREF _Toc217064058 \h </w:instrText>
            </w:r>
            <w:r>
              <w:rPr>
                <w:noProof/>
                <w:webHidden/>
              </w:rPr>
            </w:r>
            <w:r>
              <w:rPr>
                <w:noProof/>
                <w:webHidden/>
              </w:rPr>
              <w:fldChar w:fldCharType="separate"/>
            </w:r>
            <w:r>
              <w:rPr>
                <w:noProof/>
                <w:webHidden/>
              </w:rPr>
              <w:t>6</w:t>
            </w:r>
            <w:r>
              <w:rPr>
                <w:noProof/>
                <w:webHidden/>
              </w:rPr>
              <w:fldChar w:fldCharType="end"/>
            </w:r>
          </w:hyperlink>
        </w:p>
        <w:p w14:paraId="5501ABFA" w14:textId="0D263BCA" w:rsidR="005A561D" w:rsidRDefault="005A561D">
          <w:pPr>
            <w:pStyle w:val="TOC2"/>
            <w:tabs>
              <w:tab w:val="right" w:leader="dot" w:pos="9016"/>
            </w:tabs>
            <w:rPr>
              <w:rFonts w:eastAsiaTheme="minorEastAsia"/>
              <w:noProof/>
              <w:sz w:val="24"/>
              <w:szCs w:val="24"/>
              <w:lang w:eastAsia="en-IN"/>
            </w:rPr>
          </w:pPr>
          <w:hyperlink w:anchor="_Toc217064059" w:history="1">
            <w:r w:rsidRPr="002008E7">
              <w:rPr>
                <w:rStyle w:val="Hyperlink"/>
                <w:noProof/>
              </w:rPr>
              <w:t>A. Designing an Integrated Security, Governance, and Compliance Approach for NatureGreen</w:t>
            </w:r>
            <w:r>
              <w:rPr>
                <w:noProof/>
                <w:webHidden/>
              </w:rPr>
              <w:tab/>
            </w:r>
            <w:r>
              <w:rPr>
                <w:noProof/>
                <w:webHidden/>
              </w:rPr>
              <w:fldChar w:fldCharType="begin"/>
            </w:r>
            <w:r>
              <w:rPr>
                <w:noProof/>
                <w:webHidden/>
              </w:rPr>
              <w:instrText xml:space="preserve"> PAGEREF _Toc217064059 \h </w:instrText>
            </w:r>
            <w:r>
              <w:rPr>
                <w:noProof/>
                <w:webHidden/>
              </w:rPr>
            </w:r>
            <w:r>
              <w:rPr>
                <w:noProof/>
                <w:webHidden/>
              </w:rPr>
              <w:fldChar w:fldCharType="separate"/>
            </w:r>
            <w:r>
              <w:rPr>
                <w:noProof/>
                <w:webHidden/>
              </w:rPr>
              <w:t>6</w:t>
            </w:r>
            <w:r>
              <w:rPr>
                <w:noProof/>
                <w:webHidden/>
              </w:rPr>
              <w:fldChar w:fldCharType="end"/>
            </w:r>
          </w:hyperlink>
        </w:p>
        <w:p w14:paraId="3C2F7DBF" w14:textId="6E329D50" w:rsidR="005A561D" w:rsidRDefault="005A561D">
          <w:pPr>
            <w:pStyle w:val="TOC2"/>
            <w:tabs>
              <w:tab w:val="right" w:leader="dot" w:pos="9016"/>
            </w:tabs>
            <w:rPr>
              <w:rFonts w:eastAsiaTheme="minorEastAsia"/>
              <w:noProof/>
              <w:sz w:val="24"/>
              <w:szCs w:val="24"/>
              <w:lang w:eastAsia="en-IN"/>
            </w:rPr>
          </w:pPr>
          <w:hyperlink w:anchor="_Toc217064060" w:history="1">
            <w:r w:rsidRPr="002008E7">
              <w:rPr>
                <w:rStyle w:val="Hyperlink"/>
                <w:noProof/>
              </w:rPr>
              <w:t>Compliance (Laws and Ethics)</w:t>
            </w:r>
            <w:r>
              <w:rPr>
                <w:noProof/>
                <w:webHidden/>
              </w:rPr>
              <w:tab/>
            </w:r>
            <w:r>
              <w:rPr>
                <w:noProof/>
                <w:webHidden/>
              </w:rPr>
              <w:fldChar w:fldCharType="begin"/>
            </w:r>
            <w:r>
              <w:rPr>
                <w:noProof/>
                <w:webHidden/>
              </w:rPr>
              <w:instrText xml:space="preserve"> PAGEREF _Toc217064060 \h </w:instrText>
            </w:r>
            <w:r>
              <w:rPr>
                <w:noProof/>
                <w:webHidden/>
              </w:rPr>
            </w:r>
            <w:r>
              <w:rPr>
                <w:noProof/>
                <w:webHidden/>
              </w:rPr>
              <w:fldChar w:fldCharType="separate"/>
            </w:r>
            <w:r>
              <w:rPr>
                <w:noProof/>
                <w:webHidden/>
              </w:rPr>
              <w:t>6</w:t>
            </w:r>
            <w:r>
              <w:rPr>
                <w:noProof/>
                <w:webHidden/>
              </w:rPr>
              <w:fldChar w:fldCharType="end"/>
            </w:r>
          </w:hyperlink>
        </w:p>
        <w:p w14:paraId="04F7DFC2" w14:textId="2D5F8779" w:rsidR="005A561D" w:rsidRDefault="005A561D">
          <w:pPr>
            <w:pStyle w:val="TOC2"/>
            <w:tabs>
              <w:tab w:val="right" w:leader="dot" w:pos="9016"/>
            </w:tabs>
            <w:rPr>
              <w:rFonts w:eastAsiaTheme="minorEastAsia"/>
              <w:noProof/>
              <w:sz w:val="24"/>
              <w:szCs w:val="24"/>
              <w:lang w:eastAsia="en-IN"/>
            </w:rPr>
          </w:pPr>
          <w:hyperlink w:anchor="_Toc217064061" w:history="1">
            <w:r w:rsidRPr="002008E7">
              <w:rPr>
                <w:rStyle w:val="Hyperlink"/>
                <w:noProof/>
              </w:rPr>
              <w:t>Governance and Strategic Planning for Security</w:t>
            </w:r>
            <w:r>
              <w:rPr>
                <w:noProof/>
                <w:webHidden/>
              </w:rPr>
              <w:tab/>
            </w:r>
            <w:r>
              <w:rPr>
                <w:noProof/>
                <w:webHidden/>
              </w:rPr>
              <w:fldChar w:fldCharType="begin"/>
            </w:r>
            <w:r>
              <w:rPr>
                <w:noProof/>
                <w:webHidden/>
              </w:rPr>
              <w:instrText xml:space="preserve"> PAGEREF _Toc217064061 \h </w:instrText>
            </w:r>
            <w:r>
              <w:rPr>
                <w:noProof/>
                <w:webHidden/>
              </w:rPr>
            </w:r>
            <w:r>
              <w:rPr>
                <w:noProof/>
                <w:webHidden/>
              </w:rPr>
              <w:fldChar w:fldCharType="separate"/>
            </w:r>
            <w:r>
              <w:rPr>
                <w:noProof/>
                <w:webHidden/>
              </w:rPr>
              <w:t>6</w:t>
            </w:r>
            <w:r>
              <w:rPr>
                <w:noProof/>
                <w:webHidden/>
              </w:rPr>
              <w:fldChar w:fldCharType="end"/>
            </w:r>
          </w:hyperlink>
        </w:p>
        <w:p w14:paraId="344FC103" w14:textId="6A4720B9" w:rsidR="005A561D" w:rsidRDefault="005A561D">
          <w:pPr>
            <w:pStyle w:val="TOC2"/>
            <w:tabs>
              <w:tab w:val="right" w:leader="dot" w:pos="9016"/>
            </w:tabs>
            <w:rPr>
              <w:rFonts w:eastAsiaTheme="minorEastAsia"/>
              <w:noProof/>
              <w:sz w:val="24"/>
              <w:szCs w:val="24"/>
              <w:lang w:eastAsia="en-IN"/>
            </w:rPr>
          </w:pPr>
          <w:hyperlink w:anchor="_Toc217064062" w:history="1">
            <w:r w:rsidRPr="002008E7">
              <w:rPr>
                <w:rStyle w:val="Hyperlink"/>
                <w:noProof/>
              </w:rPr>
              <w:t>Security Policies</w:t>
            </w:r>
            <w:r>
              <w:rPr>
                <w:noProof/>
                <w:webHidden/>
              </w:rPr>
              <w:tab/>
            </w:r>
            <w:r>
              <w:rPr>
                <w:noProof/>
                <w:webHidden/>
              </w:rPr>
              <w:fldChar w:fldCharType="begin"/>
            </w:r>
            <w:r>
              <w:rPr>
                <w:noProof/>
                <w:webHidden/>
              </w:rPr>
              <w:instrText xml:space="preserve"> PAGEREF _Toc217064062 \h </w:instrText>
            </w:r>
            <w:r>
              <w:rPr>
                <w:noProof/>
                <w:webHidden/>
              </w:rPr>
            </w:r>
            <w:r>
              <w:rPr>
                <w:noProof/>
                <w:webHidden/>
              </w:rPr>
              <w:fldChar w:fldCharType="separate"/>
            </w:r>
            <w:r>
              <w:rPr>
                <w:noProof/>
                <w:webHidden/>
              </w:rPr>
              <w:t>7</w:t>
            </w:r>
            <w:r>
              <w:rPr>
                <w:noProof/>
                <w:webHidden/>
              </w:rPr>
              <w:fldChar w:fldCharType="end"/>
            </w:r>
          </w:hyperlink>
        </w:p>
        <w:p w14:paraId="72AC5805" w14:textId="58BC03FB" w:rsidR="005A561D" w:rsidRDefault="005A561D">
          <w:pPr>
            <w:pStyle w:val="TOC2"/>
            <w:tabs>
              <w:tab w:val="right" w:leader="dot" w:pos="9016"/>
            </w:tabs>
            <w:rPr>
              <w:rFonts w:eastAsiaTheme="minorEastAsia"/>
              <w:noProof/>
              <w:sz w:val="24"/>
              <w:szCs w:val="24"/>
              <w:lang w:eastAsia="en-IN"/>
            </w:rPr>
          </w:pPr>
          <w:hyperlink w:anchor="_Toc217064063" w:history="1">
            <w:r w:rsidRPr="002008E7">
              <w:rPr>
                <w:rStyle w:val="Hyperlink"/>
                <w:noProof/>
              </w:rPr>
              <w:t>Risk Management</w:t>
            </w:r>
            <w:r>
              <w:rPr>
                <w:noProof/>
                <w:webHidden/>
              </w:rPr>
              <w:tab/>
            </w:r>
            <w:r>
              <w:rPr>
                <w:noProof/>
                <w:webHidden/>
              </w:rPr>
              <w:fldChar w:fldCharType="begin"/>
            </w:r>
            <w:r>
              <w:rPr>
                <w:noProof/>
                <w:webHidden/>
              </w:rPr>
              <w:instrText xml:space="preserve"> PAGEREF _Toc217064063 \h </w:instrText>
            </w:r>
            <w:r>
              <w:rPr>
                <w:noProof/>
                <w:webHidden/>
              </w:rPr>
            </w:r>
            <w:r>
              <w:rPr>
                <w:noProof/>
                <w:webHidden/>
              </w:rPr>
              <w:fldChar w:fldCharType="separate"/>
            </w:r>
            <w:r>
              <w:rPr>
                <w:noProof/>
                <w:webHidden/>
              </w:rPr>
              <w:t>7</w:t>
            </w:r>
            <w:r>
              <w:rPr>
                <w:noProof/>
                <w:webHidden/>
              </w:rPr>
              <w:fldChar w:fldCharType="end"/>
            </w:r>
          </w:hyperlink>
        </w:p>
        <w:p w14:paraId="58B9A00A" w14:textId="30A030D4" w:rsidR="005A561D" w:rsidRDefault="005A561D">
          <w:pPr>
            <w:pStyle w:val="TOC2"/>
            <w:tabs>
              <w:tab w:val="right" w:leader="dot" w:pos="9016"/>
            </w:tabs>
            <w:rPr>
              <w:rFonts w:eastAsiaTheme="minorEastAsia"/>
              <w:noProof/>
              <w:sz w:val="24"/>
              <w:szCs w:val="24"/>
              <w:lang w:eastAsia="en-IN"/>
            </w:rPr>
          </w:pPr>
          <w:hyperlink w:anchor="_Toc217064064" w:history="1">
            <w:r w:rsidRPr="002008E7">
              <w:rPr>
                <w:rStyle w:val="Hyperlink"/>
                <w:noProof/>
              </w:rPr>
              <w:t>Security Management Models and Practices</w:t>
            </w:r>
            <w:r>
              <w:rPr>
                <w:noProof/>
                <w:webHidden/>
              </w:rPr>
              <w:tab/>
            </w:r>
            <w:r>
              <w:rPr>
                <w:noProof/>
                <w:webHidden/>
              </w:rPr>
              <w:fldChar w:fldCharType="begin"/>
            </w:r>
            <w:r>
              <w:rPr>
                <w:noProof/>
                <w:webHidden/>
              </w:rPr>
              <w:instrText xml:space="preserve"> PAGEREF _Toc217064064 \h </w:instrText>
            </w:r>
            <w:r>
              <w:rPr>
                <w:noProof/>
                <w:webHidden/>
              </w:rPr>
            </w:r>
            <w:r>
              <w:rPr>
                <w:noProof/>
                <w:webHidden/>
              </w:rPr>
              <w:fldChar w:fldCharType="separate"/>
            </w:r>
            <w:r>
              <w:rPr>
                <w:noProof/>
                <w:webHidden/>
              </w:rPr>
              <w:t>7</w:t>
            </w:r>
            <w:r>
              <w:rPr>
                <w:noProof/>
                <w:webHidden/>
              </w:rPr>
              <w:fldChar w:fldCharType="end"/>
            </w:r>
          </w:hyperlink>
        </w:p>
        <w:p w14:paraId="643D92F2" w14:textId="57F07D0D" w:rsidR="005A561D" w:rsidRDefault="005A561D">
          <w:pPr>
            <w:pStyle w:val="TOC2"/>
            <w:tabs>
              <w:tab w:val="right" w:leader="dot" w:pos="9016"/>
            </w:tabs>
            <w:rPr>
              <w:rFonts w:eastAsiaTheme="minorEastAsia"/>
              <w:noProof/>
              <w:sz w:val="24"/>
              <w:szCs w:val="24"/>
              <w:lang w:eastAsia="en-IN"/>
            </w:rPr>
          </w:pPr>
          <w:hyperlink w:anchor="_Toc217064065" w:history="1">
            <w:r w:rsidRPr="002008E7">
              <w:rPr>
                <w:rStyle w:val="Hyperlink"/>
                <w:noProof/>
              </w:rPr>
              <w:t>Contingency Planning</w:t>
            </w:r>
            <w:r>
              <w:rPr>
                <w:noProof/>
                <w:webHidden/>
              </w:rPr>
              <w:tab/>
            </w:r>
            <w:r>
              <w:rPr>
                <w:noProof/>
                <w:webHidden/>
              </w:rPr>
              <w:fldChar w:fldCharType="begin"/>
            </w:r>
            <w:r>
              <w:rPr>
                <w:noProof/>
                <w:webHidden/>
              </w:rPr>
              <w:instrText xml:space="preserve"> PAGEREF _Toc217064065 \h </w:instrText>
            </w:r>
            <w:r>
              <w:rPr>
                <w:noProof/>
                <w:webHidden/>
              </w:rPr>
            </w:r>
            <w:r>
              <w:rPr>
                <w:noProof/>
                <w:webHidden/>
              </w:rPr>
              <w:fldChar w:fldCharType="separate"/>
            </w:r>
            <w:r>
              <w:rPr>
                <w:noProof/>
                <w:webHidden/>
              </w:rPr>
              <w:t>8</w:t>
            </w:r>
            <w:r>
              <w:rPr>
                <w:noProof/>
                <w:webHidden/>
              </w:rPr>
              <w:fldChar w:fldCharType="end"/>
            </w:r>
          </w:hyperlink>
        </w:p>
        <w:p w14:paraId="293B3CA9" w14:textId="012CD5B7" w:rsidR="005A561D" w:rsidRDefault="005A561D">
          <w:pPr>
            <w:pStyle w:val="TOC2"/>
            <w:tabs>
              <w:tab w:val="right" w:leader="dot" w:pos="9016"/>
            </w:tabs>
            <w:rPr>
              <w:rFonts w:eastAsiaTheme="minorEastAsia"/>
              <w:noProof/>
              <w:sz w:val="24"/>
              <w:szCs w:val="24"/>
              <w:lang w:eastAsia="en-IN"/>
            </w:rPr>
          </w:pPr>
          <w:hyperlink w:anchor="_Toc217064066" w:history="1">
            <w:r w:rsidRPr="002008E7">
              <w:rPr>
                <w:rStyle w:val="Hyperlink"/>
                <w:noProof/>
              </w:rPr>
              <w:t>Protection Mechanisms</w:t>
            </w:r>
            <w:r>
              <w:rPr>
                <w:noProof/>
                <w:webHidden/>
              </w:rPr>
              <w:tab/>
            </w:r>
            <w:r>
              <w:rPr>
                <w:noProof/>
                <w:webHidden/>
              </w:rPr>
              <w:fldChar w:fldCharType="begin"/>
            </w:r>
            <w:r>
              <w:rPr>
                <w:noProof/>
                <w:webHidden/>
              </w:rPr>
              <w:instrText xml:space="preserve"> PAGEREF _Toc217064066 \h </w:instrText>
            </w:r>
            <w:r>
              <w:rPr>
                <w:noProof/>
                <w:webHidden/>
              </w:rPr>
            </w:r>
            <w:r>
              <w:rPr>
                <w:noProof/>
                <w:webHidden/>
              </w:rPr>
              <w:fldChar w:fldCharType="separate"/>
            </w:r>
            <w:r>
              <w:rPr>
                <w:noProof/>
                <w:webHidden/>
              </w:rPr>
              <w:t>8</w:t>
            </w:r>
            <w:r>
              <w:rPr>
                <w:noProof/>
                <w:webHidden/>
              </w:rPr>
              <w:fldChar w:fldCharType="end"/>
            </w:r>
          </w:hyperlink>
        </w:p>
        <w:p w14:paraId="6092E4B4" w14:textId="5E2C24AB" w:rsidR="005A561D" w:rsidRDefault="005A561D">
          <w:pPr>
            <w:pStyle w:val="TOC2"/>
            <w:tabs>
              <w:tab w:val="right" w:leader="dot" w:pos="9016"/>
            </w:tabs>
            <w:rPr>
              <w:rFonts w:eastAsiaTheme="minorEastAsia"/>
              <w:noProof/>
              <w:sz w:val="24"/>
              <w:szCs w:val="24"/>
              <w:lang w:eastAsia="en-IN"/>
            </w:rPr>
          </w:pPr>
          <w:hyperlink w:anchor="_Toc217064067" w:history="1">
            <w:r w:rsidRPr="002008E7">
              <w:rPr>
                <w:rStyle w:val="Hyperlink"/>
                <w:noProof/>
              </w:rPr>
              <w:t>Service Level Agreement (SLA) Management</w:t>
            </w:r>
            <w:r>
              <w:rPr>
                <w:noProof/>
                <w:webHidden/>
              </w:rPr>
              <w:tab/>
            </w:r>
            <w:r>
              <w:rPr>
                <w:noProof/>
                <w:webHidden/>
              </w:rPr>
              <w:fldChar w:fldCharType="begin"/>
            </w:r>
            <w:r>
              <w:rPr>
                <w:noProof/>
                <w:webHidden/>
              </w:rPr>
              <w:instrText xml:space="preserve"> PAGEREF _Toc217064067 \h </w:instrText>
            </w:r>
            <w:r>
              <w:rPr>
                <w:noProof/>
                <w:webHidden/>
              </w:rPr>
            </w:r>
            <w:r>
              <w:rPr>
                <w:noProof/>
                <w:webHidden/>
              </w:rPr>
              <w:fldChar w:fldCharType="separate"/>
            </w:r>
            <w:r>
              <w:rPr>
                <w:noProof/>
                <w:webHidden/>
              </w:rPr>
              <w:t>8</w:t>
            </w:r>
            <w:r>
              <w:rPr>
                <w:noProof/>
                <w:webHidden/>
              </w:rPr>
              <w:fldChar w:fldCharType="end"/>
            </w:r>
          </w:hyperlink>
        </w:p>
        <w:p w14:paraId="7E5CA7E7" w14:textId="11201AC9" w:rsidR="005A561D" w:rsidRDefault="005A561D">
          <w:pPr>
            <w:pStyle w:val="TOC2"/>
            <w:tabs>
              <w:tab w:val="right" w:leader="dot" w:pos="9016"/>
            </w:tabs>
            <w:rPr>
              <w:rFonts w:eastAsiaTheme="minorEastAsia"/>
              <w:noProof/>
              <w:sz w:val="24"/>
              <w:szCs w:val="24"/>
              <w:lang w:eastAsia="en-IN"/>
            </w:rPr>
          </w:pPr>
          <w:hyperlink w:anchor="_Toc217064068" w:history="1">
            <w:r w:rsidRPr="002008E7">
              <w:rPr>
                <w:rStyle w:val="Hyperlink"/>
                <w:noProof/>
              </w:rPr>
              <w:t>B. Critique and Analysis: The Necessity of Evolving Regulations and Standards</w:t>
            </w:r>
            <w:r>
              <w:rPr>
                <w:noProof/>
                <w:webHidden/>
              </w:rPr>
              <w:tab/>
            </w:r>
            <w:r>
              <w:rPr>
                <w:noProof/>
                <w:webHidden/>
              </w:rPr>
              <w:fldChar w:fldCharType="begin"/>
            </w:r>
            <w:r>
              <w:rPr>
                <w:noProof/>
                <w:webHidden/>
              </w:rPr>
              <w:instrText xml:space="preserve"> PAGEREF _Toc217064068 \h </w:instrText>
            </w:r>
            <w:r>
              <w:rPr>
                <w:noProof/>
                <w:webHidden/>
              </w:rPr>
            </w:r>
            <w:r>
              <w:rPr>
                <w:noProof/>
                <w:webHidden/>
              </w:rPr>
              <w:fldChar w:fldCharType="separate"/>
            </w:r>
            <w:r>
              <w:rPr>
                <w:noProof/>
                <w:webHidden/>
              </w:rPr>
              <w:t>8</w:t>
            </w:r>
            <w:r>
              <w:rPr>
                <w:noProof/>
                <w:webHidden/>
              </w:rPr>
              <w:fldChar w:fldCharType="end"/>
            </w:r>
          </w:hyperlink>
        </w:p>
        <w:p w14:paraId="43A232F1" w14:textId="61714019" w:rsidR="005A561D" w:rsidRDefault="005A561D">
          <w:pPr>
            <w:pStyle w:val="TOC2"/>
            <w:tabs>
              <w:tab w:val="right" w:leader="dot" w:pos="9016"/>
            </w:tabs>
            <w:rPr>
              <w:rFonts w:eastAsiaTheme="minorEastAsia"/>
              <w:noProof/>
              <w:sz w:val="24"/>
              <w:szCs w:val="24"/>
              <w:lang w:eastAsia="en-IN"/>
            </w:rPr>
          </w:pPr>
          <w:hyperlink w:anchor="_Toc217064069" w:history="1">
            <w:r w:rsidRPr="002008E7">
              <w:rPr>
                <w:rStyle w:val="Hyperlink"/>
                <w:noProof/>
              </w:rPr>
              <w:t>Addressing Emerging Technological Threats and Paradigms</w:t>
            </w:r>
            <w:r>
              <w:rPr>
                <w:noProof/>
                <w:webHidden/>
              </w:rPr>
              <w:tab/>
            </w:r>
            <w:r>
              <w:rPr>
                <w:noProof/>
                <w:webHidden/>
              </w:rPr>
              <w:fldChar w:fldCharType="begin"/>
            </w:r>
            <w:r>
              <w:rPr>
                <w:noProof/>
                <w:webHidden/>
              </w:rPr>
              <w:instrText xml:space="preserve"> PAGEREF _Toc217064069 \h </w:instrText>
            </w:r>
            <w:r>
              <w:rPr>
                <w:noProof/>
                <w:webHidden/>
              </w:rPr>
            </w:r>
            <w:r>
              <w:rPr>
                <w:noProof/>
                <w:webHidden/>
              </w:rPr>
              <w:fldChar w:fldCharType="separate"/>
            </w:r>
            <w:r>
              <w:rPr>
                <w:noProof/>
                <w:webHidden/>
              </w:rPr>
              <w:t>9</w:t>
            </w:r>
            <w:r>
              <w:rPr>
                <w:noProof/>
                <w:webHidden/>
              </w:rPr>
              <w:fldChar w:fldCharType="end"/>
            </w:r>
          </w:hyperlink>
        </w:p>
        <w:p w14:paraId="4089224A" w14:textId="4867FF93" w:rsidR="005A561D" w:rsidRDefault="005A561D">
          <w:pPr>
            <w:pStyle w:val="TOC2"/>
            <w:tabs>
              <w:tab w:val="right" w:leader="dot" w:pos="9016"/>
            </w:tabs>
            <w:rPr>
              <w:rFonts w:eastAsiaTheme="minorEastAsia"/>
              <w:noProof/>
              <w:sz w:val="24"/>
              <w:szCs w:val="24"/>
              <w:lang w:eastAsia="en-IN"/>
            </w:rPr>
          </w:pPr>
          <w:hyperlink w:anchor="_Toc217064070" w:history="1">
            <w:r w:rsidRPr="002008E7">
              <w:rPr>
                <w:rStyle w:val="Hyperlink"/>
                <w:noProof/>
              </w:rPr>
              <w:t>Closing Governance Gaps in Outsourced and Distributed Models</w:t>
            </w:r>
            <w:r>
              <w:rPr>
                <w:noProof/>
                <w:webHidden/>
              </w:rPr>
              <w:tab/>
            </w:r>
            <w:r>
              <w:rPr>
                <w:noProof/>
                <w:webHidden/>
              </w:rPr>
              <w:fldChar w:fldCharType="begin"/>
            </w:r>
            <w:r>
              <w:rPr>
                <w:noProof/>
                <w:webHidden/>
              </w:rPr>
              <w:instrText xml:space="preserve"> PAGEREF _Toc217064070 \h </w:instrText>
            </w:r>
            <w:r>
              <w:rPr>
                <w:noProof/>
                <w:webHidden/>
              </w:rPr>
            </w:r>
            <w:r>
              <w:rPr>
                <w:noProof/>
                <w:webHidden/>
              </w:rPr>
              <w:fldChar w:fldCharType="separate"/>
            </w:r>
            <w:r>
              <w:rPr>
                <w:noProof/>
                <w:webHidden/>
              </w:rPr>
              <w:t>9</w:t>
            </w:r>
            <w:r>
              <w:rPr>
                <w:noProof/>
                <w:webHidden/>
              </w:rPr>
              <w:fldChar w:fldCharType="end"/>
            </w:r>
          </w:hyperlink>
        </w:p>
        <w:p w14:paraId="67F54972" w14:textId="058256AA" w:rsidR="005A561D" w:rsidRDefault="005A561D">
          <w:pPr>
            <w:pStyle w:val="TOC2"/>
            <w:tabs>
              <w:tab w:val="right" w:leader="dot" w:pos="9016"/>
            </w:tabs>
            <w:rPr>
              <w:rFonts w:eastAsiaTheme="minorEastAsia"/>
              <w:noProof/>
              <w:sz w:val="24"/>
              <w:szCs w:val="24"/>
              <w:lang w:eastAsia="en-IN"/>
            </w:rPr>
          </w:pPr>
          <w:hyperlink w:anchor="_Toc217064071" w:history="1">
            <w:r w:rsidRPr="002008E7">
              <w:rPr>
                <w:rStyle w:val="Hyperlink"/>
                <w:noProof/>
              </w:rPr>
              <w:t>Harmonising Global Operations and Enabling Market Access</w:t>
            </w:r>
            <w:r>
              <w:rPr>
                <w:noProof/>
                <w:webHidden/>
              </w:rPr>
              <w:tab/>
            </w:r>
            <w:r>
              <w:rPr>
                <w:noProof/>
                <w:webHidden/>
              </w:rPr>
              <w:fldChar w:fldCharType="begin"/>
            </w:r>
            <w:r>
              <w:rPr>
                <w:noProof/>
                <w:webHidden/>
              </w:rPr>
              <w:instrText xml:space="preserve"> PAGEREF _Toc217064071 \h </w:instrText>
            </w:r>
            <w:r>
              <w:rPr>
                <w:noProof/>
                <w:webHidden/>
              </w:rPr>
            </w:r>
            <w:r>
              <w:rPr>
                <w:noProof/>
                <w:webHidden/>
              </w:rPr>
              <w:fldChar w:fldCharType="separate"/>
            </w:r>
            <w:r>
              <w:rPr>
                <w:noProof/>
                <w:webHidden/>
              </w:rPr>
              <w:t>9</w:t>
            </w:r>
            <w:r>
              <w:rPr>
                <w:noProof/>
                <w:webHidden/>
              </w:rPr>
              <w:fldChar w:fldCharType="end"/>
            </w:r>
          </w:hyperlink>
        </w:p>
        <w:p w14:paraId="480F8F14" w14:textId="5B8696AC" w:rsidR="005A561D" w:rsidRDefault="005A561D">
          <w:pPr>
            <w:pStyle w:val="TOC2"/>
            <w:tabs>
              <w:tab w:val="right" w:leader="dot" w:pos="9016"/>
            </w:tabs>
            <w:rPr>
              <w:rFonts w:eastAsiaTheme="minorEastAsia"/>
              <w:noProof/>
              <w:sz w:val="24"/>
              <w:szCs w:val="24"/>
              <w:lang w:eastAsia="en-IN"/>
            </w:rPr>
          </w:pPr>
          <w:hyperlink w:anchor="_Toc217064072" w:history="1">
            <w:r w:rsidRPr="002008E7">
              <w:rPr>
                <w:rStyle w:val="Hyperlink"/>
                <w:noProof/>
              </w:rPr>
              <w:t>Fostering a Culture of Proactive Risk Management and Innovation</w:t>
            </w:r>
            <w:r>
              <w:rPr>
                <w:noProof/>
                <w:webHidden/>
              </w:rPr>
              <w:tab/>
            </w:r>
            <w:r>
              <w:rPr>
                <w:noProof/>
                <w:webHidden/>
              </w:rPr>
              <w:fldChar w:fldCharType="begin"/>
            </w:r>
            <w:r>
              <w:rPr>
                <w:noProof/>
                <w:webHidden/>
              </w:rPr>
              <w:instrText xml:space="preserve"> PAGEREF _Toc217064072 \h </w:instrText>
            </w:r>
            <w:r>
              <w:rPr>
                <w:noProof/>
                <w:webHidden/>
              </w:rPr>
            </w:r>
            <w:r>
              <w:rPr>
                <w:noProof/>
                <w:webHidden/>
              </w:rPr>
              <w:fldChar w:fldCharType="separate"/>
            </w:r>
            <w:r>
              <w:rPr>
                <w:noProof/>
                <w:webHidden/>
              </w:rPr>
              <w:t>10</w:t>
            </w:r>
            <w:r>
              <w:rPr>
                <w:noProof/>
                <w:webHidden/>
              </w:rPr>
              <w:fldChar w:fldCharType="end"/>
            </w:r>
          </w:hyperlink>
        </w:p>
        <w:p w14:paraId="17F0C4FD" w14:textId="589898D2" w:rsidR="005A561D" w:rsidRDefault="005A561D">
          <w:pPr>
            <w:pStyle w:val="TOC2"/>
            <w:tabs>
              <w:tab w:val="right" w:leader="dot" w:pos="9016"/>
            </w:tabs>
            <w:rPr>
              <w:rFonts w:eastAsiaTheme="minorEastAsia"/>
              <w:noProof/>
              <w:sz w:val="24"/>
              <w:szCs w:val="24"/>
              <w:lang w:eastAsia="en-IN"/>
            </w:rPr>
          </w:pPr>
          <w:hyperlink w:anchor="_Toc217064073" w:history="1">
            <w:r w:rsidRPr="002008E7">
              <w:rPr>
                <w:rStyle w:val="Hyperlink"/>
                <w:noProof/>
              </w:rPr>
              <w:t>Enhancing Legal Defensibility and Stakeholder Trust</w:t>
            </w:r>
            <w:r>
              <w:rPr>
                <w:noProof/>
                <w:webHidden/>
              </w:rPr>
              <w:tab/>
            </w:r>
            <w:r>
              <w:rPr>
                <w:noProof/>
                <w:webHidden/>
              </w:rPr>
              <w:fldChar w:fldCharType="begin"/>
            </w:r>
            <w:r>
              <w:rPr>
                <w:noProof/>
                <w:webHidden/>
              </w:rPr>
              <w:instrText xml:space="preserve"> PAGEREF _Toc217064073 \h </w:instrText>
            </w:r>
            <w:r>
              <w:rPr>
                <w:noProof/>
                <w:webHidden/>
              </w:rPr>
            </w:r>
            <w:r>
              <w:rPr>
                <w:noProof/>
                <w:webHidden/>
              </w:rPr>
              <w:fldChar w:fldCharType="separate"/>
            </w:r>
            <w:r>
              <w:rPr>
                <w:noProof/>
                <w:webHidden/>
              </w:rPr>
              <w:t>10</w:t>
            </w:r>
            <w:r>
              <w:rPr>
                <w:noProof/>
                <w:webHidden/>
              </w:rPr>
              <w:fldChar w:fldCharType="end"/>
            </w:r>
          </w:hyperlink>
        </w:p>
        <w:p w14:paraId="0AC1E5C5" w14:textId="316702BE" w:rsidR="005A561D" w:rsidRDefault="005A561D">
          <w:pPr>
            <w:pStyle w:val="TOC1"/>
            <w:tabs>
              <w:tab w:val="right" w:leader="dot" w:pos="9016"/>
            </w:tabs>
            <w:rPr>
              <w:rFonts w:eastAsiaTheme="minorEastAsia"/>
              <w:noProof/>
              <w:sz w:val="24"/>
              <w:szCs w:val="24"/>
              <w:lang w:eastAsia="en-IN"/>
            </w:rPr>
          </w:pPr>
          <w:hyperlink w:anchor="_Toc217064074" w:history="1">
            <w:r w:rsidRPr="002008E7">
              <w:rPr>
                <w:rStyle w:val="Hyperlink"/>
                <w:noProof/>
              </w:rPr>
              <w:t>References</w:t>
            </w:r>
            <w:r>
              <w:rPr>
                <w:noProof/>
                <w:webHidden/>
              </w:rPr>
              <w:tab/>
            </w:r>
            <w:r>
              <w:rPr>
                <w:noProof/>
                <w:webHidden/>
              </w:rPr>
              <w:fldChar w:fldCharType="begin"/>
            </w:r>
            <w:r>
              <w:rPr>
                <w:noProof/>
                <w:webHidden/>
              </w:rPr>
              <w:instrText xml:space="preserve"> PAGEREF _Toc217064074 \h </w:instrText>
            </w:r>
            <w:r>
              <w:rPr>
                <w:noProof/>
                <w:webHidden/>
              </w:rPr>
            </w:r>
            <w:r>
              <w:rPr>
                <w:noProof/>
                <w:webHidden/>
              </w:rPr>
              <w:fldChar w:fldCharType="separate"/>
            </w:r>
            <w:r>
              <w:rPr>
                <w:noProof/>
                <w:webHidden/>
              </w:rPr>
              <w:t>11</w:t>
            </w:r>
            <w:r>
              <w:rPr>
                <w:noProof/>
                <w:webHidden/>
              </w:rPr>
              <w:fldChar w:fldCharType="end"/>
            </w:r>
          </w:hyperlink>
        </w:p>
        <w:p w14:paraId="6A67A5F0" w14:textId="4B987176" w:rsidR="005A561D" w:rsidRDefault="005A561D">
          <w:r>
            <w:rPr>
              <w:b/>
              <w:bCs/>
              <w:noProof/>
            </w:rPr>
            <w:fldChar w:fldCharType="end"/>
          </w:r>
        </w:p>
      </w:sdtContent>
    </w:sdt>
    <w:p w14:paraId="3CB77660" w14:textId="77777777" w:rsidR="005A561D" w:rsidRDefault="005A561D" w:rsidP="005A561D">
      <w:pPr>
        <w:pStyle w:val="NoSpacing"/>
      </w:pPr>
    </w:p>
    <w:p w14:paraId="409D0415" w14:textId="77777777" w:rsidR="005A561D" w:rsidRDefault="005A561D" w:rsidP="005A561D">
      <w:pPr>
        <w:pStyle w:val="NoSpacing"/>
      </w:pPr>
    </w:p>
    <w:p w14:paraId="7055932C" w14:textId="77777777" w:rsidR="005A561D" w:rsidRDefault="005A561D" w:rsidP="005A561D">
      <w:pPr>
        <w:pStyle w:val="NoSpacing"/>
      </w:pPr>
    </w:p>
    <w:p w14:paraId="1B5FAD51" w14:textId="77777777" w:rsidR="005A561D" w:rsidRDefault="005A561D" w:rsidP="005A561D">
      <w:pPr>
        <w:pStyle w:val="NoSpacing"/>
      </w:pPr>
    </w:p>
    <w:p w14:paraId="778A04D9" w14:textId="77777777" w:rsidR="005A561D" w:rsidRDefault="005A561D" w:rsidP="005A561D">
      <w:pPr>
        <w:pStyle w:val="NoSpacing"/>
      </w:pPr>
    </w:p>
    <w:p w14:paraId="06BC837A" w14:textId="77777777" w:rsidR="005A561D" w:rsidRDefault="005A561D" w:rsidP="005A561D">
      <w:pPr>
        <w:pStyle w:val="NoSpacing"/>
      </w:pPr>
    </w:p>
    <w:p w14:paraId="209DEF38" w14:textId="77777777" w:rsidR="005A561D" w:rsidRDefault="005A561D" w:rsidP="005A561D">
      <w:pPr>
        <w:pStyle w:val="NoSpacing"/>
      </w:pPr>
    </w:p>
    <w:p w14:paraId="53A07D56" w14:textId="1E91069D" w:rsidR="005A561D" w:rsidRDefault="005A561D" w:rsidP="005A561D">
      <w:pPr>
        <w:pStyle w:val="Heading1"/>
      </w:pPr>
      <w:bookmarkStart w:id="0" w:name="_Toc217064051"/>
      <w:r>
        <w:lastRenderedPageBreak/>
        <w:t>Task 1</w:t>
      </w:r>
      <w:bookmarkEnd w:id="0"/>
    </w:p>
    <w:p w14:paraId="4EC151CB" w14:textId="45FB455B" w:rsidR="00242203" w:rsidRPr="00DD01E9" w:rsidRDefault="00DD01E9" w:rsidP="005A561D">
      <w:pPr>
        <w:pStyle w:val="Heading2"/>
      </w:pPr>
      <w:bookmarkStart w:id="1" w:name="_Toc217064052"/>
      <w:r>
        <w:t>1.</w:t>
      </w:r>
      <w:r w:rsidR="00242203" w:rsidRPr="00DD01E9">
        <w:t xml:space="preserve">Security Frameworks and Models for </w:t>
      </w:r>
      <w:proofErr w:type="spellStart"/>
      <w:r w:rsidR="00242203" w:rsidRPr="00DD01E9">
        <w:t>NatureGreen’s</w:t>
      </w:r>
      <w:proofErr w:type="spellEnd"/>
      <w:r w:rsidR="00242203" w:rsidRPr="00DD01E9">
        <w:t xml:space="preserve"> Cloud and Wireless Environment</w:t>
      </w:r>
      <w:bookmarkEnd w:id="1"/>
    </w:p>
    <w:p w14:paraId="61F729F3" w14:textId="122DCB15" w:rsidR="00242203" w:rsidRDefault="00242203" w:rsidP="00242203">
      <w:pPr>
        <w:spacing w:line="360" w:lineRule="auto"/>
        <w:jc w:val="both"/>
        <w:rPr>
          <w:rFonts w:ascii="Times New Roman" w:hAnsi="Times New Roman" w:cs="Times New Roman"/>
          <w:sz w:val="24"/>
          <w:szCs w:val="24"/>
        </w:rPr>
      </w:pPr>
      <w:r w:rsidRPr="00242203">
        <w:rPr>
          <w:rFonts w:ascii="Times New Roman" w:hAnsi="Times New Roman" w:cs="Times New Roman"/>
          <w:sz w:val="24"/>
          <w:szCs w:val="24"/>
        </w:rPr>
        <w:t xml:space="preserve">In order to meet the multi-faceted security requirements of the case of </w:t>
      </w:r>
      <w:proofErr w:type="spellStart"/>
      <w:r w:rsidRPr="00242203">
        <w:rPr>
          <w:rFonts w:ascii="Times New Roman" w:hAnsi="Times New Roman" w:cs="Times New Roman"/>
          <w:sz w:val="24"/>
          <w:szCs w:val="24"/>
        </w:rPr>
        <w:t>NatureGreen</w:t>
      </w:r>
      <w:proofErr w:type="spellEnd"/>
      <w:r w:rsidRPr="00242203">
        <w:rPr>
          <w:rFonts w:ascii="Times New Roman" w:hAnsi="Times New Roman" w:cs="Times New Roman"/>
          <w:sz w:val="24"/>
          <w:szCs w:val="24"/>
        </w:rPr>
        <w:t xml:space="preserve"> (NG), which is a globally known brand heavily dependent on clouds and with a 95 percent wireless network, it is critical to embrace a multi-pronged security governance. Lack of formal security policy has been combined with the pressures to accommodate BYOD to staff and customers thus posing great risks to breach of data and theft of intellectual property. An effective plan must combine various proven structures and models, which will deal with governance, risk management, and technical controls to be applied in cloud and mobile environments. Based on authoritative literature, the following frameworks are important in developing the security posture of NG.</w:t>
      </w:r>
    </w:p>
    <w:p w14:paraId="62113960" w14:textId="3F651218" w:rsidR="00242203" w:rsidRPr="00242203" w:rsidRDefault="00242203" w:rsidP="005A561D">
      <w:pPr>
        <w:pStyle w:val="Heading2"/>
      </w:pPr>
      <w:bookmarkStart w:id="2" w:name="_Toc217064053"/>
      <w:r w:rsidRPr="00242203">
        <w:t>Governance and Strategic Alignment: COBIT and ISO/IEC 38500</w:t>
      </w:r>
      <w:bookmarkEnd w:id="2"/>
    </w:p>
    <w:p w14:paraId="3DBABDB4" w14:textId="01D4A9CB" w:rsidR="00242203" w:rsidRPr="00242203" w:rsidRDefault="00242203" w:rsidP="00242203">
      <w:pPr>
        <w:spacing w:line="360" w:lineRule="auto"/>
        <w:jc w:val="both"/>
        <w:rPr>
          <w:rFonts w:ascii="Times New Roman" w:hAnsi="Times New Roman" w:cs="Times New Roman"/>
          <w:sz w:val="24"/>
          <w:szCs w:val="24"/>
        </w:rPr>
      </w:pPr>
      <w:r w:rsidRPr="00242203">
        <w:rPr>
          <w:rFonts w:ascii="Times New Roman" w:hAnsi="Times New Roman" w:cs="Times New Roman"/>
          <w:sz w:val="24"/>
          <w:szCs w:val="24"/>
        </w:rPr>
        <w:t>The top-down approach should control effective information security, and it should be in line with business goals. COBIT Control Objectives of Information and associated Technology (COBIT) framework has an overall list of IT governance and management practices (ITGI, 2012). Namely, COBIT 5 assists organizations such as NG in creating value out of IT through balancing the benefits achievement and the risk optimization levels. It encompasses governance as a part of enterprise strategy, which is essential in the context of dealing with such disparate assets as customer data and billion-dollar intellectual property over the world of cloud services. To augment COBIT, a corporate governance of IT standard, ISO/IEC 38500 standard provides a principle-based framework with which senior executives can assess, regulate, and oversee IT utilization (ISO/IEC, 2008). In the case of NG, the implementation of these governance frameworks will also help make security not an IT problem but a business strategic necessity, which gives strong guidance and accountability frameworks is in place prior to the implementation of technical controls.</w:t>
      </w:r>
    </w:p>
    <w:p w14:paraId="400C7530" w14:textId="36EAA60C" w:rsidR="00242203" w:rsidRPr="00242203" w:rsidRDefault="00242203" w:rsidP="005A561D">
      <w:pPr>
        <w:pStyle w:val="Heading2"/>
      </w:pPr>
      <w:bookmarkStart w:id="3" w:name="_Toc217064054"/>
      <w:r w:rsidRPr="00242203">
        <w:t>Information Security Management: The ISO/IEC 27000 Series</w:t>
      </w:r>
      <w:bookmarkEnd w:id="3"/>
    </w:p>
    <w:p w14:paraId="3083C47A" w14:textId="568276F5" w:rsidR="00242203" w:rsidRPr="00242203" w:rsidRDefault="00242203" w:rsidP="00242203">
      <w:pPr>
        <w:spacing w:line="360" w:lineRule="auto"/>
        <w:jc w:val="both"/>
        <w:rPr>
          <w:rFonts w:ascii="Times New Roman" w:hAnsi="Times New Roman" w:cs="Times New Roman"/>
          <w:sz w:val="24"/>
          <w:szCs w:val="24"/>
        </w:rPr>
      </w:pPr>
      <w:r w:rsidRPr="00242203">
        <w:rPr>
          <w:rFonts w:ascii="Times New Roman" w:hAnsi="Times New Roman" w:cs="Times New Roman"/>
          <w:sz w:val="24"/>
          <w:szCs w:val="24"/>
        </w:rPr>
        <w:t xml:space="preserve">The family of standards known as ISO/IEC 27000 can be used to establish the core of such NG technical and operational security controls. The ISO/IEC 27001 defines the prerequisites of setting up, applying, upholding and continuous enhancement of an Information Security Management System (ISMS) (ISO/IEC, 2005). This risk-based methodology is necessary in order to ensure that the confidentiality, integrity and availability of information is systematically safeguarded. Since NG is concerned about staff and client data, the control objectives of ISO/IEC 27002 provide feasible guidelines of security measures starting with </w:t>
      </w:r>
      <w:r w:rsidRPr="00242203">
        <w:rPr>
          <w:rFonts w:ascii="Times New Roman" w:hAnsi="Times New Roman" w:cs="Times New Roman"/>
          <w:sz w:val="24"/>
          <w:szCs w:val="24"/>
        </w:rPr>
        <w:lastRenderedPageBreak/>
        <w:t xml:space="preserve">access control to cryptography and incident management. As </w:t>
      </w:r>
      <w:proofErr w:type="spellStart"/>
      <w:r w:rsidRPr="00242203">
        <w:rPr>
          <w:rFonts w:ascii="Times New Roman" w:hAnsi="Times New Roman" w:cs="Times New Roman"/>
          <w:sz w:val="24"/>
          <w:szCs w:val="24"/>
        </w:rPr>
        <w:t>Bisong</w:t>
      </w:r>
      <w:proofErr w:type="spellEnd"/>
      <w:r w:rsidRPr="00242203">
        <w:rPr>
          <w:rFonts w:ascii="Times New Roman" w:hAnsi="Times New Roman" w:cs="Times New Roman"/>
          <w:sz w:val="24"/>
          <w:szCs w:val="24"/>
        </w:rPr>
        <w:t xml:space="preserve"> and Rahman (2011) opine, the adoption of an ISMS assists an enterprise to handle security issues in a wholesome manner particularly in cases where new technologies such as cloud computing are being embraced. In the case of a company that has a huge online and social media base, operations security (such as malware protection) and communications security (wireless network security) controls apply directly. Application of this series would bring NG out of a disorganized state of affairs to a structured, auditable, and perpetually improving security environment.</w:t>
      </w:r>
    </w:p>
    <w:p w14:paraId="4A154DB1" w14:textId="70E98C77" w:rsidR="00242203" w:rsidRPr="00242203" w:rsidRDefault="00242203" w:rsidP="005A561D">
      <w:pPr>
        <w:pStyle w:val="Heading2"/>
      </w:pPr>
      <w:bookmarkStart w:id="4" w:name="_Toc217064055"/>
      <w:r w:rsidRPr="00242203">
        <w:t>Cloud-Specific Security Frameworks: CSA Guidance and ENISA Risk Assessment</w:t>
      </w:r>
      <w:bookmarkEnd w:id="4"/>
    </w:p>
    <w:p w14:paraId="29B3BA6C" w14:textId="661A8745" w:rsidR="00242203" w:rsidRDefault="00242203" w:rsidP="00242203">
      <w:pPr>
        <w:spacing w:line="360" w:lineRule="auto"/>
        <w:jc w:val="both"/>
        <w:rPr>
          <w:rFonts w:ascii="Times New Roman" w:hAnsi="Times New Roman" w:cs="Times New Roman"/>
          <w:sz w:val="24"/>
          <w:szCs w:val="24"/>
        </w:rPr>
      </w:pPr>
      <w:r w:rsidRPr="00242203">
        <w:rPr>
          <w:rFonts w:ascii="Times New Roman" w:hAnsi="Times New Roman" w:cs="Times New Roman"/>
          <w:sz w:val="24"/>
          <w:szCs w:val="24"/>
        </w:rPr>
        <w:t>Since NG relies on the use of cloud services as a means of providing IT resources, generic security models would not be adequate; frameworks aimed at the cloud need to be implemented. The Cloud Security Alliance (CSA) guidance is an iconic document providing significant areas of concern that include governance, risk management, and technical controls such as identity and access management to cloud environments (Cloud Security Alliance, 2009). This is an important piece of advice that NG should be aware of the shared responsibility model that cloud computing entails and that its cloud providers are highly compliant to the security requirements. In addition, a detailed Cloud Computing Security Risk Assessment framework is offered by the European Network and Information Security Agency (ENISA) (</w:t>
      </w:r>
      <w:proofErr w:type="spellStart"/>
      <w:r w:rsidRPr="00242203">
        <w:rPr>
          <w:rFonts w:ascii="Times New Roman" w:hAnsi="Times New Roman" w:cs="Times New Roman"/>
          <w:sz w:val="24"/>
          <w:szCs w:val="24"/>
        </w:rPr>
        <w:t>Catteddu</w:t>
      </w:r>
      <w:proofErr w:type="spellEnd"/>
      <w:r w:rsidRPr="00242203">
        <w:rPr>
          <w:rFonts w:ascii="Times New Roman" w:hAnsi="Times New Roman" w:cs="Times New Roman"/>
          <w:sz w:val="24"/>
          <w:szCs w:val="24"/>
        </w:rPr>
        <w:t xml:space="preserve"> &amp; Hogben, 2009). This framework will help organizations to find out and assess cloud-related risks, i.e. lock-in, loss of governance, and insecure interfaces and provide recommendations on how these risks can be addressed. According to Rong, Nguyen, and </w:t>
      </w:r>
      <w:proofErr w:type="spellStart"/>
      <w:r w:rsidRPr="00242203">
        <w:rPr>
          <w:rFonts w:ascii="Times New Roman" w:hAnsi="Times New Roman" w:cs="Times New Roman"/>
          <w:sz w:val="24"/>
          <w:szCs w:val="24"/>
        </w:rPr>
        <w:t>Jaatun</w:t>
      </w:r>
      <w:proofErr w:type="spellEnd"/>
      <w:r w:rsidRPr="00242203">
        <w:rPr>
          <w:rFonts w:ascii="Times New Roman" w:hAnsi="Times New Roman" w:cs="Times New Roman"/>
          <w:sz w:val="24"/>
          <w:szCs w:val="24"/>
        </w:rPr>
        <w:t xml:space="preserve"> (2013), cloud computing generates special security issues, which require special evaluation instruments. Implementing the ENISA framework would allow NG to perform a comprehensive risk assessment of its cloud implementations, in the case of the intended BYOD access, so that the data residency and segregation and recovery requirements can be bound contractually to providers.</w:t>
      </w:r>
    </w:p>
    <w:p w14:paraId="050A94A1" w14:textId="21091E4D" w:rsidR="005A561D" w:rsidRDefault="005A561D" w:rsidP="005A561D">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5DC2180" wp14:editId="11A53D22">
            <wp:extent cx="5731510" cy="4039235"/>
            <wp:effectExtent l="0" t="0" r="2540" b="0"/>
            <wp:docPr id="705173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17352" name="Picture 70517352"/>
                    <pic:cNvPicPr/>
                  </pic:nvPicPr>
                  <pic:blipFill>
                    <a:blip r:embed="rId6">
                      <a:extLst>
                        <a:ext uri="{28A0092B-C50C-407E-A947-70E740481C1C}">
                          <a14:useLocalDpi xmlns:a14="http://schemas.microsoft.com/office/drawing/2010/main" val="0"/>
                        </a:ext>
                      </a:extLst>
                    </a:blip>
                    <a:stretch>
                      <a:fillRect/>
                    </a:stretch>
                  </pic:blipFill>
                  <pic:spPr>
                    <a:xfrm>
                      <a:off x="0" y="0"/>
                      <a:ext cx="5731510" cy="4039235"/>
                    </a:xfrm>
                    <a:prstGeom prst="rect">
                      <a:avLst/>
                    </a:prstGeom>
                  </pic:spPr>
                </pic:pic>
              </a:graphicData>
            </a:graphic>
          </wp:inline>
        </w:drawing>
      </w:r>
    </w:p>
    <w:p w14:paraId="73067E1B" w14:textId="2491FF3A" w:rsidR="005A561D" w:rsidRPr="00242203" w:rsidRDefault="005A561D" w:rsidP="005A561D">
      <w:pPr>
        <w:spacing w:line="360" w:lineRule="auto"/>
        <w:jc w:val="center"/>
        <w:rPr>
          <w:rFonts w:ascii="Times New Roman" w:hAnsi="Times New Roman" w:cs="Times New Roman"/>
          <w:sz w:val="24"/>
          <w:szCs w:val="24"/>
        </w:rPr>
      </w:pPr>
      <w:r>
        <w:rPr>
          <w:rFonts w:ascii="Times New Roman" w:hAnsi="Times New Roman" w:cs="Times New Roman"/>
          <w:sz w:val="24"/>
          <w:szCs w:val="24"/>
        </w:rPr>
        <w:t>Cloud storage framework</w:t>
      </w:r>
    </w:p>
    <w:p w14:paraId="6F038B7C" w14:textId="4EF9F789" w:rsidR="00242203" w:rsidRPr="00242203" w:rsidRDefault="00242203" w:rsidP="005A561D">
      <w:pPr>
        <w:pStyle w:val="Heading2"/>
      </w:pPr>
      <w:bookmarkStart w:id="5" w:name="_Toc217064056"/>
      <w:r w:rsidRPr="00242203">
        <w:t xml:space="preserve">Integrating Security into Service Lifecycle: ITIL and </w:t>
      </w:r>
      <w:proofErr w:type="spellStart"/>
      <w:r w:rsidRPr="00242203">
        <w:t>ISGcloud</w:t>
      </w:r>
      <w:bookmarkEnd w:id="5"/>
      <w:proofErr w:type="spellEnd"/>
    </w:p>
    <w:p w14:paraId="221D4CB0" w14:textId="22C452FC" w:rsidR="00242203" w:rsidRDefault="00242203" w:rsidP="00242203">
      <w:pPr>
        <w:spacing w:line="360" w:lineRule="auto"/>
        <w:jc w:val="both"/>
        <w:rPr>
          <w:rFonts w:ascii="Times New Roman" w:hAnsi="Times New Roman" w:cs="Times New Roman"/>
          <w:sz w:val="24"/>
          <w:szCs w:val="24"/>
        </w:rPr>
      </w:pPr>
      <w:r w:rsidRPr="00242203">
        <w:rPr>
          <w:rFonts w:ascii="Times New Roman" w:hAnsi="Times New Roman" w:cs="Times New Roman"/>
          <w:sz w:val="24"/>
          <w:szCs w:val="24"/>
        </w:rPr>
        <w:t xml:space="preserve">In order to address security as a subset of IT service delivery, NG must embrace service-oriented frameworks. Information Technology Infrastructure Library (ITIL) is not a security framework per se, but some important security management practices are included in the service design and transition phases of the library. The approach taken by ITIL makes sure that security is factored in across the lifecycle of the service, including strategy to operation which will be essential to the cloud-delivered services of NG. To implement a more focused cloud-centric governance, the </w:t>
      </w:r>
      <w:proofErr w:type="spellStart"/>
      <w:r w:rsidRPr="00242203">
        <w:rPr>
          <w:rFonts w:ascii="Times New Roman" w:hAnsi="Times New Roman" w:cs="Times New Roman"/>
          <w:sz w:val="24"/>
          <w:szCs w:val="24"/>
        </w:rPr>
        <w:t>ISGcloud</w:t>
      </w:r>
      <w:proofErr w:type="spellEnd"/>
      <w:r w:rsidRPr="00242203">
        <w:rPr>
          <w:rFonts w:ascii="Times New Roman" w:hAnsi="Times New Roman" w:cs="Times New Roman"/>
          <w:sz w:val="24"/>
          <w:szCs w:val="24"/>
        </w:rPr>
        <w:t xml:space="preserve"> design can be used to provide the process-driven model based on the cloud service lifecycle (Rebollo et al., 2015). </w:t>
      </w:r>
      <w:proofErr w:type="spellStart"/>
      <w:r w:rsidRPr="00242203">
        <w:rPr>
          <w:rFonts w:ascii="Times New Roman" w:hAnsi="Times New Roman" w:cs="Times New Roman"/>
          <w:sz w:val="24"/>
          <w:szCs w:val="24"/>
        </w:rPr>
        <w:t>ISGcloud</w:t>
      </w:r>
      <w:proofErr w:type="spellEnd"/>
      <w:r w:rsidRPr="00242203">
        <w:rPr>
          <w:rFonts w:ascii="Times New Roman" w:hAnsi="Times New Roman" w:cs="Times New Roman"/>
          <w:sz w:val="24"/>
          <w:szCs w:val="24"/>
        </w:rPr>
        <w:t xml:space="preserve"> organises operations into stages like Planning/Strategy Definition, Cloud Security Analysis and Secure Cloud Operation, which provides governance processes throughout the beginning. This model focuses on constant monitoring and communication and will meet the requirement of NG to constantly monitor its activities in a dynamic wireless and cloud-based environment. The fact that cloud services are on-demand as emphasized by Subashini and Kavitha (2011) demands modified security management approaches which the conventional model might not offer in its entirety. </w:t>
      </w:r>
      <w:proofErr w:type="spellStart"/>
      <w:r w:rsidRPr="00242203">
        <w:rPr>
          <w:rFonts w:ascii="Times New Roman" w:hAnsi="Times New Roman" w:cs="Times New Roman"/>
          <w:sz w:val="24"/>
          <w:szCs w:val="24"/>
        </w:rPr>
        <w:t>ISGcloud</w:t>
      </w:r>
      <w:proofErr w:type="spellEnd"/>
      <w:r w:rsidRPr="00242203">
        <w:rPr>
          <w:rFonts w:ascii="Times New Roman" w:hAnsi="Times New Roman" w:cs="Times New Roman"/>
          <w:sz w:val="24"/>
          <w:szCs w:val="24"/>
        </w:rPr>
        <w:t xml:space="preserve"> attempts to fill this gap by providing tasks and artifacts per lifecycle stage in detail.</w:t>
      </w:r>
    </w:p>
    <w:p w14:paraId="462F371F" w14:textId="77DF12F1" w:rsidR="005A561D" w:rsidRDefault="005A561D" w:rsidP="005A561D">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C50398F" wp14:editId="588B6CF0">
            <wp:extent cx="4808220" cy="3698240"/>
            <wp:effectExtent l="0" t="0" r="0" b="0"/>
            <wp:docPr id="1026886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886002" name="Picture 1026886002"/>
                    <pic:cNvPicPr/>
                  </pic:nvPicPr>
                  <pic:blipFill rotWithShape="1">
                    <a:blip r:embed="rId7">
                      <a:extLst>
                        <a:ext uri="{28A0092B-C50C-407E-A947-70E740481C1C}">
                          <a14:useLocalDpi xmlns:a14="http://schemas.microsoft.com/office/drawing/2010/main" val="0"/>
                        </a:ext>
                      </a:extLst>
                    </a:blip>
                    <a:srcRect l="5411" r="13292"/>
                    <a:stretch>
                      <a:fillRect/>
                    </a:stretch>
                  </pic:blipFill>
                  <pic:spPr bwMode="auto">
                    <a:xfrm>
                      <a:off x="0" y="0"/>
                      <a:ext cx="4808220" cy="3698240"/>
                    </a:xfrm>
                    <a:prstGeom prst="rect">
                      <a:avLst/>
                    </a:prstGeom>
                    <a:ln>
                      <a:noFill/>
                    </a:ln>
                    <a:extLst>
                      <a:ext uri="{53640926-AAD7-44D8-BBD7-CCE9431645EC}">
                        <a14:shadowObscured xmlns:a14="http://schemas.microsoft.com/office/drawing/2010/main"/>
                      </a:ext>
                    </a:extLst>
                  </pic:spPr>
                </pic:pic>
              </a:graphicData>
            </a:graphic>
          </wp:inline>
        </w:drawing>
      </w:r>
    </w:p>
    <w:p w14:paraId="1C626E55" w14:textId="77777777" w:rsidR="005A561D" w:rsidRPr="00242203" w:rsidRDefault="005A561D" w:rsidP="005A561D">
      <w:pPr>
        <w:spacing w:line="360" w:lineRule="auto"/>
        <w:jc w:val="center"/>
        <w:rPr>
          <w:rFonts w:ascii="Times New Roman" w:hAnsi="Times New Roman" w:cs="Times New Roman"/>
          <w:sz w:val="24"/>
          <w:szCs w:val="24"/>
        </w:rPr>
      </w:pPr>
      <w:r>
        <w:rPr>
          <w:rFonts w:ascii="Times New Roman" w:hAnsi="Times New Roman" w:cs="Times New Roman"/>
          <w:sz w:val="24"/>
          <w:szCs w:val="24"/>
        </w:rPr>
        <w:t>Fig 1: ISG cloud framework</w:t>
      </w:r>
    </w:p>
    <w:p w14:paraId="03895284" w14:textId="77777777" w:rsidR="005A561D" w:rsidRPr="00242203" w:rsidRDefault="005A561D" w:rsidP="005A561D">
      <w:pPr>
        <w:spacing w:line="360" w:lineRule="auto"/>
        <w:jc w:val="center"/>
        <w:rPr>
          <w:rFonts w:ascii="Times New Roman" w:hAnsi="Times New Roman" w:cs="Times New Roman"/>
          <w:sz w:val="24"/>
          <w:szCs w:val="24"/>
        </w:rPr>
      </w:pPr>
    </w:p>
    <w:p w14:paraId="5913B09C" w14:textId="50848963" w:rsidR="00242203" w:rsidRPr="00242203" w:rsidRDefault="00242203" w:rsidP="005A561D">
      <w:pPr>
        <w:pStyle w:val="Heading2"/>
      </w:pPr>
      <w:bookmarkStart w:id="6" w:name="_Toc217064057"/>
      <w:r w:rsidRPr="00242203">
        <w:t>Risk Management and Compliance: A Unified Approach</w:t>
      </w:r>
      <w:bookmarkEnd w:id="6"/>
    </w:p>
    <w:p w14:paraId="636B451C" w14:textId="77777777" w:rsidR="00242203" w:rsidRDefault="00242203" w:rsidP="00242203">
      <w:pPr>
        <w:spacing w:line="360" w:lineRule="auto"/>
        <w:jc w:val="both"/>
        <w:rPr>
          <w:rFonts w:ascii="Times New Roman" w:hAnsi="Times New Roman" w:cs="Times New Roman"/>
          <w:sz w:val="24"/>
          <w:szCs w:val="24"/>
        </w:rPr>
      </w:pPr>
      <w:r w:rsidRPr="00242203">
        <w:rPr>
          <w:rFonts w:ascii="Times New Roman" w:hAnsi="Times New Roman" w:cs="Times New Roman"/>
          <w:sz w:val="24"/>
          <w:szCs w:val="24"/>
        </w:rPr>
        <w:t xml:space="preserve">Finally, the security posture of NG is reliant on the successful integration of governance, management, and compliance. Frameworks are not to exist independently. Combination of the governance objectives of COBIT, the risk management processes of ISO 27001, as well as the cloud controls of CSA form a defendable security architecture. To meet the requirements of international laws and ethics, which is a requirement of a global company, these frameworks offer the framework to chart controls on regulations such as GDPR. In addition, the choice of the most appropriate risk treatments is essential in optimizing resources as described by Varela-Vaca and Gasca (2013) in relation to business processes. NG needs to create a Security Governance Committee, roles and responsibilities are defined (as proposed by </w:t>
      </w:r>
      <w:proofErr w:type="spellStart"/>
      <w:r w:rsidRPr="00242203">
        <w:rPr>
          <w:rFonts w:ascii="Times New Roman" w:hAnsi="Times New Roman" w:cs="Times New Roman"/>
          <w:sz w:val="24"/>
          <w:szCs w:val="24"/>
        </w:rPr>
        <w:t>ISGcloud</w:t>
      </w:r>
      <w:proofErr w:type="spellEnd"/>
      <w:r w:rsidRPr="00242203">
        <w:rPr>
          <w:rFonts w:ascii="Times New Roman" w:hAnsi="Times New Roman" w:cs="Times New Roman"/>
          <w:sz w:val="24"/>
          <w:szCs w:val="24"/>
        </w:rPr>
        <w:t>), and continuous monitoring is provided through SLAs with cloud providers. It is this comprehensive strategy that is making security adapt to changes in the threat environment, safeguarding not only the data of the customers but also the priceless intellectual property as the company continues to expand its online and wireless solutions.</w:t>
      </w:r>
    </w:p>
    <w:p w14:paraId="71B579BD" w14:textId="77777777" w:rsidR="005A561D" w:rsidRDefault="005A561D" w:rsidP="00242203">
      <w:pPr>
        <w:spacing w:line="360" w:lineRule="auto"/>
        <w:jc w:val="both"/>
        <w:rPr>
          <w:rFonts w:ascii="Times New Roman" w:hAnsi="Times New Roman" w:cs="Times New Roman"/>
          <w:sz w:val="24"/>
          <w:szCs w:val="24"/>
        </w:rPr>
      </w:pPr>
    </w:p>
    <w:p w14:paraId="52D718B9" w14:textId="51A870C6" w:rsidR="005A561D" w:rsidRPr="00242203" w:rsidRDefault="005A561D" w:rsidP="005A561D">
      <w:pPr>
        <w:pStyle w:val="Heading1"/>
      </w:pPr>
      <w:bookmarkStart w:id="7" w:name="_Toc217064058"/>
      <w:r>
        <w:lastRenderedPageBreak/>
        <w:t>Task 2</w:t>
      </w:r>
      <w:bookmarkEnd w:id="7"/>
    </w:p>
    <w:p w14:paraId="58B3EAEB" w14:textId="598D37D9" w:rsidR="00242203" w:rsidRPr="00242203" w:rsidRDefault="005A561D" w:rsidP="005A561D">
      <w:pPr>
        <w:pStyle w:val="Heading2"/>
      </w:pPr>
      <w:r>
        <w:t xml:space="preserve"> </w:t>
      </w:r>
      <w:bookmarkStart w:id="8" w:name="_Toc217064059"/>
      <w:r w:rsidR="00242203" w:rsidRPr="00242203">
        <w:t xml:space="preserve">A. Designing an Integrated Security, Governance, and Compliance Approach for </w:t>
      </w:r>
      <w:proofErr w:type="spellStart"/>
      <w:r w:rsidR="00242203" w:rsidRPr="00242203">
        <w:t>NatureGreen</w:t>
      </w:r>
      <w:bookmarkEnd w:id="8"/>
      <w:proofErr w:type="spellEnd"/>
    </w:p>
    <w:p w14:paraId="63BE49F8" w14:textId="43E6AD00" w:rsidR="00DD01E9" w:rsidRPr="00242203" w:rsidRDefault="00242203" w:rsidP="00242203">
      <w:pPr>
        <w:spacing w:line="360" w:lineRule="auto"/>
        <w:jc w:val="both"/>
        <w:rPr>
          <w:rFonts w:ascii="Times New Roman" w:hAnsi="Times New Roman" w:cs="Times New Roman"/>
          <w:sz w:val="24"/>
          <w:szCs w:val="24"/>
        </w:rPr>
      </w:pPr>
      <w:r w:rsidRPr="00242203">
        <w:rPr>
          <w:rFonts w:ascii="Times New Roman" w:hAnsi="Times New Roman" w:cs="Times New Roman"/>
          <w:sz w:val="24"/>
          <w:szCs w:val="24"/>
        </w:rPr>
        <w:t xml:space="preserve">The design of a tailored approach for </w:t>
      </w:r>
      <w:proofErr w:type="spellStart"/>
      <w:r w:rsidRPr="00242203">
        <w:rPr>
          <w:rFonts w:ascii="Times New Roman" w:hAnsi="Times New Roman" w:cs="Times New Roman"/>
          <w:sz w:val="24"/>
          <w:szCs w:val="24"/>
        </w:rPr>
        <w:t>NatureGreen</w:t>
      </w:r>
      <w:proofErr w:type="spellEnd"/>
      <w:r w:rsidRPr="00242203">
        <w:rPr>
          <w:rFonts w:ascii="Times New Roman" w:hAnsi="Times New Roman" w:cs="Times New Roman"/>
          <w:sz w:val="24"/>
          <w:szCs w:val="24"/>
        </w:rPr>
        <w:t xml:space="preserve"> (NG) must synthesize governance, technical controls, and continuous compliance into a coherent, actionable framework. This proposed </w:t>
      </w:r>
      <w:proofErr w:type="spellStart"/>
      <w:r w:rsidRPr="00242203">
        <w:rPr>
          <w:rFonts w:ascii="Times New Roman" w:hAnsi="Times New Roman" w:cs="Times New Roman"/>
          <w:sz w:val="24"/>
          <w:szCs w:val="24"/>
        </w:rPr>
        <w:t>NatureGreen</w:t>
      </w:r>
      <w:proofErr w:type="spellEnd"/>
      <w:r w:rsidRPr="00242203">
        <w:rPr>
          <w:rFonts w:ascii="Times New Roman" w:hAnsi="Times New Roman" w:cs="Times New Roman"/>
          <w:sz w:val="24"/>
          <w:szCs w:val="24"/>
        </w:rPr>
        <w:t xml:space="preserve"> Security Governance Framework (NG-SGF) is built upon eight interdependent pillars, each addressing a critical factor from the scenario and research, and is designed to operate as a continuous lifecycle of evaluation, direction, and monitoring.</w:t>
      </w:r>
    </w:p>
    <w:p w14:paraId="5033A577" w14:textId="3DE85141" w:rsidR="00242203" w:rsidRPr="00242203" w:rsidRDefault="00242203" w:rsidP="005A561D">
      <w:pPr>
        <w:pStyle w:val="Heading2"/>
      </w:pPr>
      <w:bookmarkStart w:id="9" w:name="_Toc217064060"/>
      <w:r w:rsidRPr="00242203">
        <w:t>Compliance (Laws and Ethics)</w:t>
      </w:r>
      <w:bookmarkEnd w:id="9"/>
    </w:p>
    <w:p w14:paraId="39B76B40" w14:textId="2C0CCDAF" w:rsidR="00242203" w:rsidRPr="00242203" w:rsidRDefault="00242203" w:rsidP="00242203">
      <w:pPr>
        <w:spacing w:line="360" w:lineRule="auto"/>
        <w:jc w:val="both"/>
        <w:rPr>
          <w:rFonts w:ascii="Times New Roman" w:hAnsi="Times New Roman" w:cs="Times New Roman"/>
          <w:sz w:val="24"/>
          <w:szCs w:val="24"/>
        </w:rPr>
      </w:pPr>
      <w:r w:rsidRPr="00242203">
        <w:rPr>
          <w:rFonts w:ascii="Times New Roman" w:hAnsi="Times New Roman" w:cs="Times New Roman"/>
          <w:sz w:val="24"/>
          <w:szCs w:val="24"/>
        </w:rPr>
        <w:t>The model begins with a Compliance Mapping Engine. Since NG operates on the global scale, it has to comply with the intricate network of regulations such as the GDPR, national data protection legislation, and professional ethical codes. This strategy entails establishment of a central database on regulation wherein every legal condition is directly mapped with particular technical and administrative provisions in the NG-SGF. This makes demonstrable compliance not an isolated audit practice built into operations. A model-driven compliance in any service-oriented architecture is necessary as suggested by Tran et al. (2012) to ensure more diverse sources of compliance are managed efficiently. Such engine will generate obligatory sets of control in any new project related to personal or proprietary data, which will systematically cover the main sources of concern of the company on the question of staff and client data security on a legal perspective.</w:t>
      </w:r>
    </w:p>
    <w:p w14:paraId="4C9A59E7" w14:textId="03FDADD0" w:rsidR="00242203" w:rsidRPr="00242203" w:rsidRDefault="00242203" w:rsidP="005A561D">
      <w:pPr>
        <w:pStyle w:val="Heading2"/>
      </w:pPr>
      <w:bookmarkStart w:id="10" w:name="_Toc217064061"/>
      <w:r w:rsidRPr="00242203">
        <w:t>Governance and Strategic Planning for Security</w:t>
      </w:r>
      <w:bookmarkEnd w:id="10"/>
    </w:p>
    <w:p w14:paraId="0A4F999D" w14:textId="1628917A" w:rsidR="00242203" w:rsidRDefault="00242203" w:rsidP="00242203">
      <w:pPr>
        <w:spacing w:line="360" w:lineRule="auto"/>
        <w:jc w:val="both"/>
        <w:rPr>
          <w:rFonts w:ascii="Times New Roman" w:hAnsi="Times New Roman" w:cs="Times New Roman"/>
          <w:sz w:val="24"/>
          <w:szCs w:val="24"/>
        </w:rPr>
      </w:pPr>
      <w:r w:rsidRPr="00242203">
        <w:rPr>
          <w:rFonts w:ascii="Times New Roman" w:hAnsi="Times New Roman" w:cs="Times New Roman"/>
          <w:sz w:val="24"/>
          <w:szCs w:val="24"/>
        </w:rPr>
        <w:t xml:space="preserve">An emerging Information Security Steering Committee (ISSC), which is made up of C-level executives, business executives, and others, offers strategic direction. This committee has the mandate of establishing the </w:t>
      </w:r>
      <w:proofErr w:type="gramStart"/>
      <w:r w:rsidRPr="00242203">
        <w:rPr>
          <w:rFonts w:ascii="Times New Roman" w:hAnsi="Times New Roman" w:cs="Times New Roman"/>
          <w:sz w:val="24"/>
          <w:szCs w:val="24"/>
        </w:rPr>
        <w:t>enterprise wide</w:t>
      </w:r>
      <w:proofErr w:type="gramEnd"/>
      <w:r w:rsidRPr="00242203">
        <w:rPr>
          <w:rFonts w:ascii="Times New Roman" w:hAnsi="Times New Roman" w:cs="Times New Roman"/>
          <w:sz w:val="24"/>
          <w:szCs w:val="24"/>
        </w:rPr>
        <w:t xml:space="preserve"> security strategy, carrying out the policy approvals, and aligning security investments to the business objectives in order to safeguard the </w:t>
      </w:r>
      <w:proofErr w:type="gramStart"/>
      <w:r w:rsidRPr="00242203">
        <w:rPr>
          <w:rFonts w:ascii="Times New Roman" w:hAnsi="Times New Roman" w:cs="Times New Roman"/>
          <w:sz w:val="24"/>
          <w:szCs w:val="24"/>
        </w:rPr>
        <w:t>billion dollar</w:t>
      </w:r>
      <w:proofErr w:type="gramEnd"/>
      <w:r w:rsidRPr="00242203">
        <w:rPr>
          <w:rFonts w:ascii="Times New Roman" w:hAnsi="Times New Roman" w:cs="Times New Roman"/>
          <w:sz w:val="24"/>
          <w:szCs w:val="24"/>
        </w:rPr>
        <w:t xml:space="preserve"> intellectual property portfolio. The ISSC will utilize a tailored governance model inspired by process-oriented frameworks, which integrate core governance processes of Evaluate, Direct, and Monitor throughout the cloud service lifecycle (Rebollo et al., 2015). The first deliverable of this committee will be a document about Corporate Information Security Strategy, and therein, the business goals will be translated into security requirements, and the definitive basis of all other policies and controls will be provided, which will solve the situation of bewilderment.</w:t>
      </w:r>
    </w:p>
    <w:p w14:paraId="1CBF942E" w14:textId="77777777" w:rsidR="005A561D" w:rsidRPr="00242203" w:rsidRDefault="005A561D" w:rsidP="00242203">
      <w:pPr>
        <w:spacing w:line="360" w:lineRule="auto"/>
        <w:jc w:val="both"/>
        <w:rPr>
          <w:rFonts w:ascii="Times New Roman" w:hAnsi="Times New Roman" w:cs="Times New Roman"/>
          <w:sz w:val="24"/>
          <w:szCs w:val="24"/>
        </w:rPr>
      </w:pPr>
    </w:p>
    <w:p w14:paraId="2AC4CE9D" w14:textId="5955AF00" w:rsidR="00242203" w:rsidRPr="00242203" w:rsidRDefault="00242203" w:rsidP="005A561D">
      <w:pPr>
        <w:pStyle w:val="Heading2"/>
      </w:pPr>
      <w:bookmarkStart w:id="11" w:name="_Toc217064062"/>
      <w:r w:rsidRPr="00242203">
        <w:lastRenderedPageBreak/>
        <w:t>Security Policies</w:t>
      </w:r>
      <w:bookmarkEnd w:id="11"/>
    </w:p>
    <w:p w14:paraId="6DFF3B0A" w14:textId="2D61BBC1" w:rsidR="00242203" w:rsidRPr="00242203" w:rsidRDefault="00242203" w:rsidP="00242203">
      <w:pPr>
        <w:spacing w:line="360" w:lineRule="auto"/>
        <w:jc w:val="both"/>
        <w:rPr>
          <w:rFonts w:ascii="Times New Roman" w:hAnsi="Times New Roman" w:cs="Times New Roman"/>
          <w:sz w:val="24"/>
          <w:szCs w:val="24"/>
        </w:rPr>
      </w:pPr>
      <w:r w:rsidRPr="00242203">
        <w:rPr>
          <w:rFonts w:ascii="Times New Roman" w:hAnsi="Times New Roman" w:cs="Times New Roman"/>
          <w:sz w:val="24"/>
          <w:szCs w:val="24"/>
        </w:rPr>
        <w:t xml:space="preserve">A Policy Framework will be hierarchical and carry out the strategic mandate. This involves an Information Security Policy at a high level approved by the ISSC, which has a </w:t>
      </w:r>
      <w:proofErr w:type="spellStart"/>
      <w:proofErr w:type="gramStart"/>
      <w:r w:rsidRPr="00242203">
        <w:rPr>
          <w:rFonts w:ascii="Times New Roman" w:hAnsi="Times New Roman" w:cs="Times New Roman"/>
          <w:sz w:val="24"/>
          <w:szCs w:val="24"/>
        </w:rPr>
        <w:t>trickle down</w:t>
      </w:r>
      <w:proofErr w:type="spellEnd"/>
      <w:proofErr w:type="gramEnd"/>
      <w:r w:rsidRPr="00242203">
        <w:rPr>
          <w:rFonts w:ascii="Times New Roman" w:hAnsi="Times New Roman" w:cs="Times New Roman"/>
          <w:sz w:val="24"/>
          <w:szCs w:val="24"/>
        </w:rPr>
        <w:t xml:space="preserve"> effect in specific and enforceable sub-policies. The conditions that are paramount to the context of NG are a Cloud and Third-Party Security Policy, BYOD and Mobile Device Policy, and Data Classification and Handling Policy. The documents need to be transparent, easily available and implemented. They will formally enforce the use of the cloud services of the company on strict security conditions and establish acceptable use of the 95% wireless network. These policies should be developed with the understanding of the special security concerns of the cloud service delivery models that can have a shared responsibility and lack of visibility (Subashini and Kavitha 2011). Consciousness campaigns will be conducted frequently to educate all staff in their role towards such policies.</w:t>
      </w:r>
    </w:p>
    <w:p w14:paraId="7388DEB9" w14:textId="09EBDE32" w:rsidR="00242203" w:rsidRPr="00242203" w:rsidRDefault="005A561D" w:rsidP="005A561D">
      <w:pPr>
        <w:pStyle w:val="Heading2"/>
      </w:pPr>
      <w:r>
        <w:t xml:space="preserve"> </w:t>
      </w:r>
      <w:bookmarkStart w:id="12" w:name="_Toc217064063"/>
      <w:r w:rsidR="00242203" w:rsidRPr="00242203">
        <w:t>Risk Management</w:t>
      </w:r>
      <w:bookmarkEnd w:id="12"/>
    </w:p>
    <w:p w14:paraId="6733227A" w14:textId="196CAB10" w:rsidR="00242203" w:rsidRPr="00242203" w:rsidRDefault="00242203" w:rsidP="00242203">
      <w:pPr>
        <w:spacing w:line="360" w:lineRule="auto"/>
        <w:jc w:val="both"/>
        <w:rPr>
          <w:rFonts w:ascii="Times New Roman" w:hAnsi="Times New Roman" w:cs="Times New Roman"/>
          <w:sz w:val="24"/>
          <w:szCs w:val="24"/>
        </w:rPr>
      </w:pPr>
      <w:r w:rsidRPr="00242203">
        <w:rPr>
          <w:rFonts w:ascii="Times New Roman" w:hAnsi="Times New Roman" w:cs="Times New Roman"/>
          <w:sz w:val="24"/>
          <w:szCs w:val="24"/>
        </w:rPr>
        <w:t>A dynamic, cloud-centric Risk Management Programme forms the analytical core of the NG-SGF. This programme mandates quarterly risk assessments following a methodology like the ENISA Cloud Computing Risk Assessment, which provides a structured way to evaluate threats specific to cloud deployments, such as lock-in, loss of governance, and insecure interfaces (</w:t>
      </w:r>
      <w:proofErr w:type="spellStart"/>
      <w:r w:rsidRPr="00242203">
        <w:rPr>
          <w:rFonts w:ascii="Times New Roman" w:hAnsi="Times New Roman" w:cs="Times New Roman"/>
          <w:sz w:val="24"/>
          <w:szCs w:val="24"/>
        </w:rPr>
        <w:t>Catteddu</w:t>
      </w:r>
      <w:proofErr w:type="spellEnd"/>
      <w:r w:rsidRPr="00242203">
        <w:rPr>
          <w:rFonts w:ascii="Times New Roman" w:hAnsi="Times New Roman" w:cs="Times New Roman"/>
          <w:sz w:val="24"/>
          <w:szCs w:val="24"/>
        </w:rPr>
        <w:t xml:space="preserve"> &amp; Hogben, 2009). Risks shall be listed in a corporate risk register and evaluated based on their impact and probability on both corporate and client data and handled based on a risk appetite that is established by the ISSC. This has the effect of directly touching on the pressure to permit personal devices by compelling an organized assessment of the involved risk (e.g., information leakage, introduction of malware) prior to any access being given so that the decision is rooted in risk and not an impromptu concession.</w:t>
      </w:r>
    </w:p>
    <w:p w14:paraId="2FBE9A0F" w14:textId="414D7488" w:rsidR="00242203" w:rsidRPr="00242203" w:rsidRDefault="00242203" w:rsidP="005A561D">
      <w:pPr>
        <w:pStyle w:val="Heading2"/>
      </w:pPr>
      <w:bookmarkStart w:id="13" w:name="_Toc217064064"/>
      <w:r w:rsidRPr="00242203">
        <w:t>Security Management Models and Practices</w:t>
      </w:r>
      <w:bookmarkEnd w:id="13"/>
    </w:p>
    <w:p w14:paraId="43645871" w14:textId="78EB5761" w:rsidR="00242203" w:rsidRPr="00242203" w:rsidRDefault="00242203" w:rsidP="00242203">
      <w:pPr>
        <w:spacing w:line="360" w:lineRule="auto"/>
        <w:jc w:val="both"/>
        <w:rPr>
          <w:rFonts w:ascii="Times New Roman" w:hAnsi="Times New Roman" w:cs="Times New Roman"/>
          <w:sz w:val="24"/>
          <w:szCs w:val="24"/>
        </w:rPr>
      </w:pPr>
      <w:r w:rsidRPr="00242203">
        <w:rPr>
          <w:rFonts w:ascii="Times New Roman" w:hAnsi="Times New Roman" w:cs="Times New Roman"/>
          <w:sz w:val="24"/>
          <w:szCs w:val="24"/>
        </w:rPr>
        <w:t>The NG-SGF will be a hybrid of management model that combines the plan-do-check-act (PDCA) cycle of ISO/IEC 27001 with the cloud-specific activities. A special position of Cloud Security Manager will be developed that will supervise the deployment of controls in all cloud services. Such practices will involve the mandatory definition of security requirements when any new cloud service is purchased, regular reviews of the access, and drills related to the incident management. This is in line with the necessity of modified security management strategies in the cloud systems that bear definite distinguishing characteristics compared to the traditional IT (Rosado et al., 2012). The model makes sure that security management is not fixed but it changes with the dynamic cloud and mobile environment of NG.</w:t>
      </w:r>
    </w:p>
    <w:p w14:paraId="7BA1B14D" w14:textId="5F3BE51C" w:rsidR="00242203" w:rsidRPr="00242203" w:rsidRDefault="00242203" w:rsidP="005A561D">
      <w:pPr>
        <w:pStyle w:val="Heading2"/>
      </w:pPr>
      <w:bookmarkStart w:id="14" w:name="_Toc217064065"/>
      <w:r w:rsidRPr="00242203">
        <w:lastRenderedPageBreak/>
        <w:t>Contingency Planning</w:t>
      </w:r>
      <w:bookmarkEnd w:id="14"/>
    </w:p>
    <w:p w14:paraId="18234AC9" w14:textId="77842AE2" w:rsidR="00242203" w:rsidRPr="00242203" w:rsidRDefault="00242203" w:rsidP="00242203">
      <w:pPr>
        <w:spacing w:line="360" w:lineRule="auto"/>
        <w:jc w:val="both"/>
        <w:rPr>
          <w:rFonts w:ascii="Times New Roman" w:hAnsi="Times New Roman" w:cs="Times New Roman"/>
          <w:sz w:val="24"/>
          <w:szCs w:val="24"/>
        </w:rPr>
      </w:pPr>
      <w:r w:rsidRPr="00242203">
        <w:rPr>
          <w:rFonts w:ascii="Times New Roman" w:hAnsi="Times New Roman" w:cs="Times New Roman"/>
          <w:sz w:val="24"/>
          <w:szCs w:val="24"/>
        </w:rPr>
        <w:t>The fact that the company is dependent on cloud services requires that NG formulates Cloud-Aware Business Continuity and Disaster Recovery (BCDR) Plan. In addition to the conventional data centre failure, this plan will cover things like the extended outage of one of the primary providers of the cloud services, a security breach in the provider that causes the corruption of the data, or a disruption of the wireless network in the entire region. The plan should also provide Recovery Time Objectives (RTOs) and Recovery Point Objectives (RPOs) of key systems, data restoration testing of data stored in the clouds and fallback plan. This turns contingency planning from an IT exercise into a core component of business resilience.</w:t>
      </w:r>
    </w:p>
    <w:p w14:paraId="1CF8B59F" w14:textId="68234062" w:rsidR="00242203" w:rsidRPr="00242203" w:rsidRDefault="00242203" w:rsidP="005A561D">
      <w:pPr>
        <w:pStyle w:val="Heading2"/>
      </w:pPr>
      <w:bookmarkStart w:id="15" w:name="_Toc217064066"/>
      <w:r w:rsidRPr="00242203">
        <w:t>Protection Mechanisms</w:t>
      </w:r>
      <w:bookmarkEnd w:id="15"/>
    </w:p>
    <w:p w14:paraId="4E3D3BF3" w14:textId="246E09AD" w:rsidR="00242203" w:rsidRPr="00242203" w:rsidRDefault="00242203" w:rsidP="00242203">
      <w:pPr>
        <w:spacing w:line="360" w:lineRule="auto"/>
        <w:jc w:val="both"/>
        <w:rPr>
          <w:rFonts w:ascii="Times New Roman" w:hAnsi="Times New Roman" w:cs="Times New Roman"/>
          <w:sz w:val="24"/>
          <w:szCs w:val="24"/>
        </w:rPr>
      </w:pPr>
      <w:r w:rsidRPr="00242203">
        <w:rPr>
          <w:rFonts w:ascii="Times New Roman" w:hAnsi="Times New Roman" w:cs="Times New Roman"/>
          <w:sz w:val="24"/>
          <w:szCs w:val="24"/>
        </w:rPr>
        <w:t>The technical implementation of the framework will deploy layered protection mechanisms. In the case of wireless network, this would involve the implementation of WPA3-Enterprise that uses certificate-based authentication to substitute any weaker protocols. In the case of BYOD, Unified Endpoint Management (UEM) solution will be deployed, which will enforce a high level of containerization to guarantee a secure and encrypted workspace in personal devices that can be wiped remotely without impacting on personal information. For cloud data, protection mechanisms will mandate end-to-end encryption for sensitive intellectual property, using customer-managed keys where possible. These processes are the operational controls which effect the policy and risk treatment options.</w:t>
      </w:r>
    </w:p>
    <w:p w14:paraId="1E31AD20" w14:textId="3E24F2B0" w:rsidR="00242203" w:rsidRPr="00242203" w:rsidRDefault="005A561D" w:rsidP="005A561D">
      <w:pPr>
        <w:pStyle w:val="Heading2"/>
      </w:pPr>
      <w:r>
        <w:t xml:space="preserve"> </w:t>
      </w:r>
      <w:bookmarkStart w:id="16" w:name="_Toc217064067"/>
      <w:r w:rsidR="00242203" w:rsidRPr="00242203">
        <w:t>Service Level Agreement (SLA) Management</w:t>
      </w:r>
      <w:bookmarkEnd w:id="16"/>
    </w:p>
    <w:p w14:paraId="767609C3" w14:textId="72CB61EA" w:rsidR="00E8155F" w:rsidRDefault="00242203" w:rsidP="00242203">
      <w:pPr>
        <w:spacing w:line="360" w:lineRule="auto"/>
        <w:jc w:val="both"/>
        <w:rPr>
          <w:rFonts w:ascii="Times New Roman" w:hAnsi="Times New Roman" w:cs="Times New Roman"/>
          <w:sz w:val="24"/>
          <w:szCs w:val="24"/>
        </w:rPr>
      </w:pPr>
      <w:r w:rsidRPr="00242203">
        <w:rPr>
          <w:rFonts w:ascii="Times New Roman" w:hAnsi="Times New Roman" w:cs="Times New Roman"/>
          <w:sz w:val="24"/>
          <w:szCs w:val="24"/>
        </w:rPr>
        <w:t>Finally, governance and protection must be contractually enforced. Security SLA Annex is part of the NG-SGF that all contracts with cloud providers must include. Measurable security metrics that will be specified in this annex include incident response time, timelines within which security patches are to be implemented, timelines within which data breaches are to be notified (stricter than the legal minimums), and the independent security audit (by NG or by a third party) requirements. Since the most important aspects of cloud relationships are trust and accountability, technical and policy-based strategies have to be documented in contracts (Ko et al., 2011). These SLAs transform cloud contracts from mere service descriptions into key governance instruments, holding providers accountable as extensions of NG’s security perimeter.</w:t>
      </w:r>
    </w:p>
    <w:p w14:paraId="7DFF4C00" w14:textId="77777777" w:rsidR="00242203" w:rsidRPr="00242203" w:rsidRDefault="00242203" w:rsidP="005A561D">
      <w:pPr>
        <w:pStyle w:val="Heading2"/>
      </w:pPr>
      <w:bookmarkStart w:id="17" w:name="_Toc217064068"/>
      <w:r w:rsidRPr="00242203">
        <w:t>B. Critique and Analysis: The Necessity of Evolving Regulations and Standards</w:t>
      </w:r>
      <w:bookmarkEnd w:id="17"/>
    </w:p>
    <w:p w14:paraId="783CD591" w14:textId="2C760924" w:rsidR="00242203" w:rsidRPr="00242203" w:rsidRDefault="00242203" w:rsidP="00242203">
      <w:pPr>
        <w:spacing w:line="360" w:lineRule="auto"/>
        <w:jc w:val="both"/>
        <w:rPr>
          <w:rFonts w:ascii="Times New Roman" w:hAnsi="Times New Roman" w:cs="Times New Roman"/>
          <w:sz w:val="24"/>
          <w:szCs w:val="24"/>
        </w:rPr>
      </w:pPr>
      <w:r w:rsidRPr="00242203">
        <w:rPr>
          <w:rFonts w:ascii="Times New Roman" w:hAnsi="Times New Roman" w:cs="Times New Roman"/>
          <w:sz w:val="24"/>
          <w:szCs w:val="24"/>
        </w:rPr>
        <w:t xml:space="preserve">Information security regulation and standards continuously developing is not a compliance overhead but an actual key to a strong and efficient security governance. With a cloud-based </w:t>
      </w:r>
      <w:r w:rsidRPr="00242203">
        <w:rPr>
          <w:rFonts w:ascii="Times New Roman" w:hAnsi="Times New Roman" w:cs="Times New Roman"/>
          <w:sz w:val="24"/>
          <w:szCs w:val="24"/>
        </w:rPr>
        <w:lastRenderedPageBreak/>
        <w:t xml:space="preserve">and global enterprise, such as </w:t>
      </w:r>
      <w:proofErr w:type="spellStart"/>
      <w:r w:rsidRPr="00242203">
        <w:rPr>
          <w:rFonts w:ascii="Times New Roman" w:hAnsi="Times New Roman" w:cs="Times New Roman"/>
          <w:sz w:val="24"/>
          <w:szCs w:val="24"/>
        </w:rPr>
        <w:t>NatureGreen</w:t>
      </w:r>
      <w:proofErr w:type="spellEnd"/>
      <w:r w:rsidRPr="00242203">
        <w:rPr>
          <w:rFonts w:ascii="Times New Roman" w:hAnsi="Times New Roman" w:cs="Times New Roman"/>
          <w:sz w:val="24"/>
          <w:szCs w:val="24"/>
        </w:rPr>
        <w:t>, these updates are necessary to be seen as a positive and dynamic power that will ensure security and competitive benefit in the long-term.</w:t>
      </w:r>
    </w:p>
    <w:p w14:paraId="50DA1881" w14:textId="77777777" w:rsidR="00242203" w:rsidRPr="00242203" w:rsidRDefault="00242203" w:rsidP="005A561D">
      <w:pPr>
        <w:pStyle w:val="Heading2"/>
      </w:pPr>
      <w:bookmarkStart w:id="18" w:name="_Toc217064069"/>
      <w:r w:rsidRPr="00242203">
        <w:t>Addressing Emerging Technological Threats and Paradigms</w:t>
      </w:r>
      <w:bookmarkEnd w:id="18"/>
    </w:p>
    <w:p w14:paraId="272DB033" w14:textId="47497502" w:rsidR="00242203" w:rsidRPr="00242203" w:rsidRDefault="00242203" w:rsidP="00242203">
      <w:pPr>
        <w:spacing w:line="360" w:lineRule="auto"/>
        <w:jc w:val="both"/>
        <w:rPr>
          <w:rFonts w:ascii="Times New Roman" w:hAnsi="Times New Roman" w:cs="Times New Roman"/>
          <w:sz w:val="24"/>
          <w:szCs w:val="24"/>
        </w:rPr>
      </w:pPr>
      <w:r w:rsidRPr="00242203">
        <w:rPr>
          <w:rFonts w:ascii="Times New Roman" w:hAnsi="Times New Roman" w:cs="Times New Roman"/>
          <w:sz w:val="24"/>
          <w:szCs w:val="24"/>
        </w:rPr>
        <w:t xml:space="preserve">The main reason behind new standards is the blistering technological change, which creates new vulnerability. The old standards, which were created prior to ubiquitous cloud computing, large-scale wireless, and the BYOD culture, do not have the specificity to respond to their risk profile. Revised regulations are a communal reaction to the novel-attack vectors. According to the description made by Rong, Nguyen, and </w:t>
      </w:r>
      <w:proofErr w:type="spellStart"/>
      <w:r w:rsidRPr="00242203">
        <w:rPr>
          <w:rFonts w:ascii="Times New Roman" w:hAnsi="Times New Roman" w:cs="Times New Roman"/>
          <w:sz w:val="24"/>
          <w:szCs w:val="24"/>
        </w:rPr>
        <w:t>Jaatun</w:t>
      </w:r>
      <w:proofErr w:type="spellEnd"/>
      <w:r w:rsidRPr="00242203">
        <w:rPr>
          <w:rFonts w:ascii="Times New Roman" w:hAnsi="Times New Roman" w:cs="Times New Roman"/>
          <w:sz w:val="24"/>
          <w:szCs w:val="24"/>
        </w:rPr>
        <w:t xml:space="preserve"> (2013), cloud computing presents a different category of security threats than traditional computing, such as the problem of multi-tenancy, security of virtual machines, and malware on the cloud. The fixed standards would place organizations such as NG in application of unsuitable or insufficient controls to current infrastructures. New frameworks like cloud security extensions to ISO/IEC 27001 also offer the required direction on how to ensure the safety of these emerging paradigms.</w:t>
      </w:r>
    </w:p>
    <w:p w14:paraId="1ECD49A7" w14:textId="77777777" w:rsidR="00242203" w:rsidRPr="00242203" w:rsidRDefault="00242203" w:rsidP="005A561D">
      <w:pPr>
        <w:pStyle w:val="Heading2"/>
      </w:pPr>
      <w:bookmarkStart w:id="19" w:name="_Toc217064070"/>
      <w:r w:rsidRPr="00242203">
        <w:t>Closing Governance Gaps in Outsourced and Distributed Models</w:t>
      </w:r>
      <w:bookmarkEnd w:id="19"/>
    </w:p>
    <w:p w14:paraId="4AF6EC41" w14:textId="681A99C7" w:rsidR="00242203" w:rsidRPr="00242203" w:rsidRDefault="00242203" w:rsidP="00242203">
      <w:pPr>
        <w:spacing w:line="360" w:lineRule="auto"/>
        <w:jc w:val="both"/>
        <w:rPr>
          <w:rFonts w:ascii="Times New Roman" w:hAnsi="Times New Roman" w:cs="Times New Roman"/>
          <w:sz w:val="24"/>
          <w:szCs w:val="24"/>
        </w:rPr>
      </w:pPr>
      <w:r w:rsidRPr="00242203">
        <w:rPr>
          <w:rFonts w:ascii="Times New Roman" w:hAnsi="Times New Roman" w:cs="Times New Roman"/>
          <w:sz w:val="24"/>
          <w:szCs w:val="24"/>
        </w:rPr>
        <w:t>Contemporary business models that are typified by high levels of outsourcing and distributed workforce present major governance loopholes. The conventional perimeter-based security models are outdated where the data is stored on third party clouds and accessed on personal devices around the globe. This is directly challenged by new and updated regulations, including the GDPR, which focus on data controller responsibility in spite of the location of the processor. They require such practices as the impact assessment of the protection of data and strict clauses on the management of vendors. This development is paramount because the loss of direct control becomes one of the key threats of cloud migration (Rosado et al., 2012). The changing requirements compel the organizations to introduce strict measures to govern their entire digital supply chain so that a potential technical vulnerability becomes a controlled risk to a business.</w:t>
      </w:r>
    </w:p>
    <w:p w14:paraId="7DD25014" w14:textId="77777777" w:rsidR="00242203" w:rsidRPr="00242203" w:rsidRDefault="00242203" w:rsidP="005A561D">
      <w:pPr>
        <w:pStyle w:val="Heading2"/>
      </w:pPr>
      <w:bookmarkStart w:id="20" w:name="_Toc217064071"/>
      <w:r w:rsidRPr="00242203">
        <w:t>Harmonising Global Operations and Enabling Market Access</w:t>
      </w:r>
      <w:bookmarkEnd w:id="20"/>
    </w:p>
    <w:p w14:paraId="0CC019F3" w14:textId="5F8A4F24" w:rsidR="00242203" w:rsidRPr="00242203" w:rsidRDefault="00242203" w:rsidP="00242203">
      <w:pPr>
        <w:spacing w:line="360" w:lineRule="auto"/>
        <w:jc w:val="both"/>
        <w:rPr>
          <w:rFonts w:ascii="Times New Roman" w:hAnsi="Times New Roman" w:cs="Times New Roman"/>
          <w:sz w:val="24"/>
          <w:szCs w:val="24"/>
        </w:rPr>
      </w:pPr>
      <w:r w:rsidRPr="00242203">
        <w:rPr>
          <w:rFonts w:ascii="Times New Roman" w:hAnsi="Times New Roman" w:cs="Times New Roman"/>
          <w:sz w:val="24"/>
          <w:szCs w:val="24"/>
        </w:rPr>
        <w:t xml:space="preserve">In the case of multinational corporations such as NG, which have to operate on an assortment of national laws that are contradictory and stagnant, it would not be feasible. With the development of international standards to be more harmonised, it becomes easier to comply internationally. The compliance to globally accepted, revised standards such as the ISO/IEC 27000 series acts as a passport of conducting business internationally since it illustrates a </w:t>
      </w:r>
      <w:proofErr w:type="gramStart"/>
      <w:r w:rsidRPr="00242203">
        <w:rPr>
          <w:rFonts w:ascii="Times New Roman" w:hAnsi="Times New Roman" w:cs="Times New Roman"/>
          <w:sz w:val="24"/>
          <w:szCs w:val="24"/>
        </w:rPr>
        <w:t>minimum security</w:t>
      </w:r>
      <w:proofErr w:type="gramEnd"/>
      <w:r w:rsidRPr="00242203">
        <w:rPr>
          <w:rFonts w:ascii="Times New Roman" w:hAnsi="Times New Roman" w:cs="Times New Roman"/>
          <w:sz w:val="24"/>
          <w:szCs w:val="24"/>
        </w:rPr>
        <w:t xml:space="preserve"> assurance to the business partners and customers around the globe. Moreover, with the cloud market maturity, there are industry-specific standards (e.g., healthcare or financial cloud services). By choosing to adopt these emerging standards </w:t>
      </w:r>
      <w:r w:rsidRPr="00242203">
        <w:rPr>
          <w:rFonts w:ascii="Times New Roman" w:hAnsi="Times New Roman" w:cs="Times New Roman"/>
          <w:sz w:val="24"/>
          <w:szCs w:val="24"/>
        </w:rPr>
        <w:lastRenderedPageBreak/>
        <w:t>proactively, NG will be able to access new markets or make strategic alliances with provable compliance and transform regulatory evolution into a business enabling factor instead of a restricting one.</w:t>
      </w:r>
    </w:p>
    <w:p w14:paraId="40B0439D" w14:textId="77777777" w:rsidR="00242203" w:rsidRPr="00242203" w:rsidRDefault="00242203" w:rsidP="005A561D">
      <w:pPr>
        <w:pStyle w:val="Heading2"/>
      </w:pPr>
      <w:bookmarkStart w:id="21" w:name="_Toc217064072"/>
      <w:r w:rsidRPr="00242203">
        <w:t>Fostering a Culture of Proactive Risk Management and Innovation</w:t>
      </w:r>
      <w:bookmarkEnd w:id="21"/>
    </w:p>
    <w:p w14:paraId="4486F4CF" w14:textId="580B0ED7" w:rsidR="00242203" w:rsidRPr="00242203" w:rsidRDefault="00242203" w:rsidP="00242203">
      <w:pPr>
        <w:spacing w:line="360" w:lineRule="auto"/>
        <w:jc w:val="both"/>
        <w:rPr>
          <w:rFonts w:ascii="Times New Roman" w:hAnsi="Times New Roman" w:cs="Times New Roman"/>
          <w:sz w:val="24"/>
          <w:szCs w:val="24"/>
        </w:rPr>
      </w:pPr>
      <w:r w:rsidRPr="00242203">
        <w:rPr>
          <w:rFonts w:ascii="Times New Roman" w:hAnsi="Times New Roman" w:cs="Times New Roman"/>
          <w:sz w:val="24"/>
          <w:szCs w:val="24"/>
        </w:rPr>
        <w:t xml:space="preserve">The existence of a stable regulatory environment creates complacency and results in a checklist mentality where security is an exercise of a point in time audit. On the contrary, dynamic standards must force re-evaluation and adaptation of the risk and control. This formalises a </w:t>
      </w:r>
      <w:proofErr w:type="spellStart"/>
      <w:r w:rsidRPr="00242203">
        <w:rPr>
          <w:rFonts w:ascii="Times New Roman" w:hAnsi="Times New Roman" w:cs="Times New Roman"/>
          <w:sz w:val="24"/>
          <w:szCs w:val="24"/>
        </w:rPr>
        <w:t>preemptive</w:t>
      </w:r>
      <w:proofErr w:type="spellEnd"/>
      <w:r w:rsidRPr="00242203">
        <w:rPr>
          <w:rFonts w:ascii="Times New Roman" w:hAnsi="Times New Roman" w:cs="Times New Roman"/>
          <w:sz w:val="24"/>
          <w:szCs w:val="24"/>
        </w:rPr>
        <w:t xml:space="preserve"> security stance. Even the process of getting used to a new standard presupposes that an organization has to re-evaluate the threat landscape, the effectiveness of the existing controls, and invest in its further improvement. This is a cyclical reflection of the iterative process of governance which is necessary to achieve effective security (Rebollo et al., 2015). Quite to the contrary, this dynamic environment may also drive innovation, as companies are after efficient, automated methods of satisfying the new needs, thus raising their overall level of security maturity to a level that a static regime would have prohibited.</w:t>
      </w:r>
    </w:p>
    <w:p w14:paraId="086A7EFF" w14:textId="77777777" w:rsidR="00242203" w:rsidRPr="00242203" w:rsidRDefault="00242203" w:rsidP="005A561D">
      <w:pPr>
        <w:pStyle w:val="Heading2"/>
      </w:pPr>
      <w:bookmarkStart w:id="22" w:name="_Toc217064073"/>
      <w:r w:rsidRPr="00242203">
        <w:t>Enhancing Legal Defensibility and Stakeholder Trust</w:t>
      </w:r>
      <w:bookmarkEnd w:id="22"/>
    </w:p>
    <w:p w14:paraId="35BD7BEA" w14:textId="7896AF49" w:rsidR="00242203" w:rsidRDefault="00242203" w:rsidP="00242203">
      <w:pPr>
        <w:spacing w:line="360" w:lineRule="auto"/>
        <w:jc w:val="both"/>
        <w:rPr>
          <w:rFonts w:ascii="Times New Roman" w:hAnsi="Times New Roman" w:cs="Times New Roman"/>
          <w:sz w:val="24"/>
          <w:szCs w:val="24"/>
        </w:rPr>
      </w:pPr>
      <w:r w:rsidRPr="00242203">
        <w:rPr>
          <w:rFonts w:ascii="Times New Roman" w:hAnsi="Times New Roman" w:cs="Times New Roman"/>
          <w:sz w:val="24"/>
          <w:szCs w:val="24"/>
        </w:rPr>
        <w:t>Compliance with existing, accepted standards and regulations is one of the foundations of legal defensibility in the event of a security incident. It demonstrates that the organization applied what could be termed as reasonable security measures based on what the state of the art was at the time. The use of old standards can be said to amount to negligence. Besides, trust is currency in the digital economy. There is a growing trend in the savviness of customers and investors on the issue of data security. An official declaration of, and certification to, the most recent standards (e.g., ISO 27001:2022) is a very strong signal of trust. It conveys the message that the leadership of NG takes special care forefront security practices to safeguard the information and intellectual property of the client it considers as its highest priority that maximizes the brand image and stakeholder trust in a highly digitalized age of continuous digital threat.</w:t>
      </w:r>
    </w:p>
    <w:p w14:paraId="6CF7BFDE" w14:textId="77777777" w:rsidR="005A561D" w:rsidRDefault="005A561D" w:rsidP="00242203">
      <w:pPr>
        <w:spacing w:line="360" w:lineRule="auto"/>
        <w:jc w:val="both"/>
        <w:rPr>
          <w:rFonts w:ascii="Times New Roman" w:hAnsi="Times New Roman" w:cs="Times New Roman"/>
          <w:sz w:val="24"/>
          <w:szCs w:val="24"/>
        </w:rPr>
      </w:pPr>
    </w:p>
    <w:p w14:paraId="5145C063" w14:textId="77777777" w:rsidR="005A561D" w:rsidRDefault="005A561D" w:rsidP="00242203">
      <w:pPr>
        <w:spacing w:line="360" w:lineRule="auto"/>
        <w:jc w:val="both"/>
        <w:rPr>
          <w:rFonts w:ascii="Times New Roman" w:hAnsi="Times New Roman" w:cs="Times New Roman"/>
          <w:sz w:val="24"/>
          <w:szCs w:val="24"/>
        </w:rPr>
      </w:pPr>
    </w:p>
    <w:p w14:paraId="1ECF027A" w14:textId="77777777" w:rsidR="005A561D" w:rsidRDefault="005A561D" w:rsidP="00242203">
      <w:pPr>
        <w:spacing w:line="360" w:lineRule="auto"/>
        <w:jc w:val="both"/>
        <w:rPr>
          <w:rFonts w:ascii="Times New Roman" w:hAnsi="Times New Roman" w:cs="Times New Roman"/>
          <w:sz w:val="24"/>
          <w:szCs w:val="24"/>
        </w:rPr>
      </w:pPr>
    </w:p>
    <w:p w14:paraId="12749BFD" w14:textId="77777777" w:rsidR="005A561D" w:rsidRDefault="005A561D" w:rsidP="00242203">
      <w:pPr>
        <w:spacing w:line="360" w:lineRule="auto"/>
        <w:jc w:val="both"/>
        <w:rPr>
          <w:rFonts w:ascii="Times New Roman" w:hAnsi="Times New Roman" w:cs="Times New Roman"/>
          <w:sz w:val="24"/>
          <w:szCs w:val="24"/>
        </w:rPr>
      </w:pPr>
    </w:p>
    <w:p w14:paraId="06D4140C" w14:textId="58BAE243" w:rsidR="005A561D" w:rsidRDefault="005A561D" w:rsidP="005A561D">
      <w:pPr>
        <w:pStyle w:val="Heading1"/>
      </w:pPr>
      <w:bookmarkStart w:id="23" w:name="_Toc217064074"/>
      <w:r>
        <w:lastRenderedPageBreak/>
        <w:t>References</w:t>
      </w:r>
      <w:bookmarkEnd w:id="23"/>
    </w:p>
    <w:p w14:paraId="2ADA7C60" w14:textId="77777777" w:rsidR="005A561D" w:rsidRPr="00F35428" w:rsidRDefault="005A561D" w:rsidP="005A561D">
      <w:pPr>
        <w:pStyle w:val="ListParagraph"/>
        <w:numPr>
          <w:ilvl w:val="0"/>
          <w:numId w:val="2"/>
        </w:numPr>
        <w:jc w:val="both"/>
        <w:rPr>
          <w:rFonts w:ascii="Times New Roman" w:hAnsi="Times New Roman" w:cs="Times New Roman"/>
          <w:sz w:val="24"/>
          <w:szCs w:val="24"/>
        </w:rPr>
      </w:pPr>
      <w:proofErr w:type="spellStart"/>
      <w:r w:rsidRPr="00F35428">
        <w:rPr>
          <w:rFonts w:ascii="Times New Roman" w:hAnsi="Times New Roman" w:cs="Times New Roman"/>
          <w:sz w:val="24"/>
          <w:szCs w:val="24"/>
        </w:rPr>
        <w:t>Bisong</w:t>
      </w:r>
      <w:proofErr w:type="spellEnd"/>
      <w:r w:rsidRPr="00F35428">
        <w:rPr>
          <w:rFonts w:ascii="Times New Roman" w:hAnsi="Times New Roman" w:cs="Times New Roman"/>
          <w:sz w:val="24"/>
          <w:szCs w:val="24"/>
        </w:rPr>
        <w:t>, A. and Rahman, M., 2011. An overview of the security concerns in enterprise cloud computing. </w:t>
      </w:r>
      <w:proofErr w:type="spellStart"/>
      <w:r w:rsidRPr="00F35428">
        <w:rPr>
          <w:rFonts w:ascii="Times New Roman" w:hAnsi="Times New Roman" w:cs="Times New Roman"/>
          <w:i/>
          <w:iCs/>
          <w:sz w:val="24"/>
          <w:szCs w:val="24"/>
        </w:rPr>
        <w:t>arXiv</w:t>
      </w:r>
      <w:proofErr w:type="spellEnd"/>
      <w:r w:rsidRPr="00F35428">
        <w:rPr>
          <w:rFonts w:ascii="Times New Roman" w:hAnsi="Times New Roman" w:cs="Times New Roman"/>
          <w:i/>
          <w:iCs/>
          <w:sz w:val="24"/>
          <w:szCs w:val="24"/>
        </w:rPr>
        <w:t xml:space="preserve"> preprint arXiv:1101.5613</w:t>
      </w:r>
      <w:r w:rsidRPr="00F35428">
        <w:rPr>
          <w:rFonts w:ascii="Times New Roman" w:hAnsi="Times New Roman" w:cs="Times New Roman"/>
          <w:sz w:val="24"/>
          <w:szCs w:val="24"/>
        </w:rPr>
        <w:t>.</w:t>
      </w:r>
    </w:p>
    <w:p w14:paraId="1AE243B2" w14:textId="77777777" w:rsidR="005A561D" w:rsidRPr="00F35428" w:rsidRDefault="005A561D" w:rsidP="005A561D">
      <w:pPr>
        <w:pStyle w:val="ListParagraph"/>
        <w:numPr>
          <w:ilvl w:val="0"/>
          <w:numId w:val="2"/>
        </w:numPr>
        <w:jc w:val="both"/>
        <w:rPr>
          <w:rFonts w:ascii="Times New Roman" w:hAnsi="Times New Roman" w:cs="Times New Roman"/>
          <w:sz w:val="24"/>
          <w:szCs w:val="24"/>
        </w:rPr>
      </w:pPr>
      <w:r w:rsidRPr="00F35428">
        <w:rPr>
          <w:rFonts w:ascii="Times New Roman" w:hAnsi="Times New Roman" w:cs="Times New Roman"/>
          <w:sz w:val="24"/>
          <w:szCs w:val="24"/>
        </w:rPr>
        <w:t xml:space="preserve">D. </w:t>
      </w:r>
      <w:proofErr w:type="spellStart"/>
      <w:r w:rsidRPr="00F35428">
        <w:rPr>
          <w:rFonts w:ascii="Times New Roman" w:hAnsi="Times New Roman" w:cs="Times New Roman"/>
          <w:sz w:val="24"/>
          <w:szCs w:val="24"/>
        </w:rPr>
        <w:t>Catteddu</w:t>
      </w:r>
      <w:proofErr w:type="spellEnd"/>
      <w:r w:rsidRPr="00F35428">
        <w:rPr>
          <w:rFonts w:ascii="Times New Roman" w:hAnsi="Times New Roman" w:cs="Times New Roman"/>
          <w:sz w:val="24"/>
          <w:szCs w:val="24"/>
        </w:rPr>
        <w:t xml:space="preserve"> and G. Hogben (2009). </w:t>
      </w:r>
      <w:r w:rsidRPr="00F35428">
        <w:rPr>
          <w:rFonts w:ascii="Times New Roman" w:hAnsi="Times New Roman" w:cs="Times New Roman"/>
          <w:i/>
          <w:iCs/>
          <w:sz w:val="24"/>
          <w:szCs w:val="24"/>
        </w:rPr>
        <w:t>Cloud Computing: Benefits, risks and recommendations for information security</w:t>
      </w:r>
      <w:r w:rsidRPr="00F35428">
        <w:rPr>
          <w:rFonts w:ascii="Times New Roman" w:hAnsi="Times New Roman" w:cs="Times New Roman"/>
          <w:sz w:val="24"/>
          <w:szCs w:val="24"/>
        </w:rPr>
        <w:t>. [online] Available at: https://www.researchgate.net/publication/285830747_Cloud_Computing_Benefits_risks_and_recommendations_for_information_security.</w:t>
      </w:r>
    </w:p>
    <w:p w14:paraId="754BCED0" w14:textId="77777777" w:rsidR="005A561D" w:rsidRPr="00F35428" w:rsidRDefault="005A561D" w:rsidP="005A561D">
      <w:pPr>
        <w:pStyle w:val="ListParagraph"/>
        <w:numPr>
          <w:ilvl w:val="0"/>
          <w:numId w:val="2"/>
        </w:numPr>
        <w:jc w:val="both"/>
        <w:rPr>
          <w:rFonts w:ascii="Times New Roman" w:hAnsi="Times New Roman" w:cs="Times New Roman"/>
          <w:sz w:val="24"/>
          <w:szCs w:val="24"/>
        </w:rPr>
      </w:pPr>
      <w:r w:rsidRPr="00F35428">
        <w:rPr>
          <w:rFonts w:ascii="Times New Roman" w:hAnsi="Times New Roman" w:cs="Times New Roman"/>
          <w:sz w:val="24"/>
          <w:szCs w:val="24"/>
        </w:rPr>
        <w:t>‌</w:t>
      </w:r>
      <w:r w:rsidRPr="00F35428">
        <w:rPr>
          <w:rFonts w:ascii="Times New Roman" w:hAnsi="Times New Roman" w:cs="Times New Roman"/>
          <w:color w:val="222222"/>
          <w:sz w:val="24"/>
          <w:szCs w:val="24"/>
          <w:shd w:val="clear" w:color="auto" w:fill="FFFFFF"/>
        </w:rPr>
        <w:t xml:space="preserve"> </w:t>
      </w:r>
      <w:r w:rsidRPr="00F35428">
        <w:rPr>
          <w:rFonts w:ascii="Times New Roman" w:hAnsi="Times New Roman" w:cs="Times New Roman"/>
          <w:sz w:val="24"/>
          <w:szCs w:val="24"/>
        </w:rPr>
        <w:t>Alliance, C.C., 2009. Security Guidance form Critical Areas of Focus in Cloud Computing V2. 1. </w:t>
      </w:r>
      <w:r w:rsidRPr="00F35428">
        <w:rPr>
          <w:rFonts w:ascii="Times New Roman" w:hAnsi="Times New Roman" w:cs="Times New Roman"/>
          <w:i/>
          <w:iCs/>
          <w:sz w:val="24"/>
          <w:szCs w:val="24"/>
        </w:rPr>
        <w:t>Cloud Security Alliance</w:t>
      </w:r>
      <w:r w:rsidRPr="00F35428">
        <w:rPr>
          <w:rFonts w:ascii="Times New Roman" w:hAnsi="Times New Roman" w:cs="Times New Roman"/>
          <w:sz w:val="24"/>
          <w:szCs w:val="24"/>
        </w:rPr>
        <w:t>.</w:t>
      </w:r>
    </w:p>
    <w:p w14:paraId="784A08E1" w14:textId="77777777" w:rsidR="005A561D" w:rsidRPr="00F35428" w:rsidRDefault="005A561D" w:rsidP="005A561D">
      <w:pPr>
        <w:pStyle w:val="ListParagraph"/>
        <w:numPr>
          <w:ilvl w:val="0"/>
          <w:numId w:val="2"/>
        </w:numPr>
        <w:jc w:val="both"/>
        <w:rPr>
          <w:rFonts w:ascii="Times New Roman" w:hAnsi="Times New Roman" w:cs="Times New Roman"/>
          <w:sz w:val="24"/>
          <w:szCs w:val="24"/>
        </w:rPr>
      </w:pPr>
      <w:r w:rsidRPr="00F35428">
        <w:rPr>
          <w:rFonts w:ascii="Times New Roman" w:hAnsi="Times New Roman" w:cs="Times New Roman"/>
          <w:sz w:val="24"/>
          <w:szCs w:val="24"/>
        </w:rPr>
        <w:t xml:space="preserve">Documentation, T.P.S. and Logical, C., 2005. Information technology-Security </w:t>
      </w:r>
      <w:proofErr w:type="gramStart"/>
      <w:r w:rsidRPr="00F35428">
        <w:rPr>
          <w:rFonts w:ascii="Times New Roman" w:hAnsi="Times New Roman" w:cs="Times New Roman"/>
          <w:sz w:val="24"/>
          <w:szCs w:val="24"/>
        </w:rPr>
        <w:t>techniques</w:t>
      </w:r>
      <w:proofErr w:type="gramEnd"/>
      <w:r w:rsidRPr="00F35428">
        <w:rPr>
          <w:rFonts w:ascii="Times New Roman" w:hAnsi="Times New Roman" w:cs="Times New Roman"/>
          <w:sz w:val="24"/>
          <w:szCs w:val="24"/>
        </w:rPr>
        <w:t>-Information security management systems-Requirements.</w:t>
      </w:r>
    </w:p>
    <w:p w14:paraId="4B43A1BD" w14:textId="77777777" w:rsidR="005A561D" w:rsidRPr="00F35428" w:rsidRDefault="005A561D" w:rsidP="005A561D">
      <w:pPr>
        <w:pStyle w:val="ListParagraph"/>
        <w:numPr>
          <w:ilvl w:val="0"/>
          <w:numId w:val="2"/>
        </w:numPr>
        <w:jc w:val="both"/>
        <w:rPr>
          <w:rFonts w:ascii="Times New Roman" w:hAnsi="Times New Roman" w:cs="Times New Roman"/>
          <w:sz w:val="24"/>
          <w:szCs w:val="24"/>
        </w:rPr>
      </w:pPr>
      <w:r w:rsidRPr="00F35428">
        <w:rPr>
          <w:rFonts w:ascii="Times New Roman" w:hAnsi="Times New Roman" w:cs="Times New Roman"/>
          <w:sz w:val="24"/>
          <w:szCs w:val="24"/>
        </w:rPr>
        <w:t>ISO/IEC 38500: 2008, 2008. Corporate governance of information technology. </w:t>
      </w:r>
      <w:r w:rsidRPr="00F35428">
        <w:rPr>
          <w:rFonts w:ascii="Times New Roman" w:hAnsi="Times New Roman" w:cs="Times New Roman"/>
          <w:i/>
          <w:iCs/>
          <w:sz w:val="24"/>
          <w:szCs w:val="24"/>
        </w:rPr>
        <w:t>International Organization for Standardization</w:t>
      </w:r>
      <w:r w:rsidRPr="00F35428">
        <w:rPr>
          <w:rFonts w:ascii="Times New Roman" w:hAnsi="Times New Roman" w:cs="Times New Roman"/>
          <w:sz w:val="24"/>
          <w:szCs w:val="24"/>
        </w:rPr>
        <w:t>.</w:t>
      </w:r>
    </w:p>
    <w:p w14:paraId="7CA0AF31" w14:textId="77777777" w:rsidR="005A561D" w:rsidRPr="00F35428" w:rsidRDefault="005A561D" w:rsidP="005A561D">
      <w:pPr>
        <w:pStyle w:val="ListParagraph"/>
        <w:numPr>
          <w:ilvl w:val="0"/>
          <w:numId w:val="2"/>
        </w:numPr>
        <w:jc w:val="both"/>
        <w:rPr>
          <w:rFonts w:ascii="Times New Roman" w:hAnsi="Times New Roman" w:cs="Times New Roman"/>
          <w:sz w:val="24"/>
          <w:szCs w:val="24"/>
        </w:rPr>
      </w:pPr>
      <w:r w:rsidRPr="00F35428">
        <w:rPr>
          <w:rFonts w:ascii="Times New Roman" w:hAnsi="Times New Roman" w:cs="Times New Roman"/>
          <w:sz w:val="24"/>
          <w:szCs w:val="24"/>
        </w:rPr>
        <w:t>Rebollo, O., Mellado, D., Fernández-Medina, E. and Mouratidis, H., 2015. Empirical evaluation of a cloud computing information security governance framework. </w:t>
      </w:r>
      <w:r w:rsidRPr="00F35428">
        <w:rPr>
          <w:rFonts w:ascii="Times New Roman" w:hAnsi="Times New Roman" w:cs="Times New Roman"/>
          <w:i/>
          <w:iCs/>
          <w:sz w:val="24"/>
          <w:szCs w:val="24"/>
        </w:rPr>
        <w:t>Information and Software Technology</w:t>
      </w:r>
      <w:r w:rsidRPr="00F35428">
        <w:rPr>
          <w:rFonts w:ascii="Times New Roman" w:hAnsi="Times New Roman" w:cs="Times New Roman"/>
          <w:sz w:val="24"/>
          <w:szCs w:val="24"/>
        </w:rPr>
        <w:t>, </w:t>
      </w:r>
      <w:r w:rsidRPr="00F35428">
        <w:rPr>
          <w:rFonts w:ascii="Times New Roman" w:hAnsi="Times New Roman" w:cs="Times New Roman"/>
          <w:i/>
          <w:iCs/>
          <w:sz w:val="24"/>
          <w:szCs w:val="24"/>
        </w:rPr>
        <w:t>58</w:t>
      </w:r>
      <w:r w:rsidRPr="00F35428">
        <w:rPr>
          <w:rFonts w:ascii="Times New Roman" w:hAnsi="Times New Roman" w:cs="Times New Roman"/>
          <w:sz w:val="24"/>
          <w:szCs w:val="24"/>
        </w:rPr>
        <w:t>, pp.44-57.</w:t>
      </w:r>
    </w:p>
    <w:p w14:paraId="3B6DDB58" w14:textId="77777777" w:rsidR="005A561D" w:rsidRPr="00F35428" w:rsidRDefault="005A561D" w:rsidP="005A561D">
      <w:pPr>
        <w:pStyle w:val="ListParagraph"/>
        <w:numPr>
          <w:ilvl w:val="0"/>
          <w:numId w:val="2"/>
        </w:numPr>
        <w:jc w:val="both"/>
        <w:rPr>
          <w:rFonts w:ascii="Times New Roman" w:hAnsi="Times New Roman" w:cs="Times New Roman"/>
          <w:sz w:val="24"/>
          <w:szCs w:val="24"/>
        </w:rPr>
      </w:pPr>
      <w:r w:rsidRPr="00F35428">
        <w:rPr>
          <w:rFonts w:ascii="Times New Roman" w:hAnsi="Times New Roman" w:cs="Times New Roman"/>
          <w:sz w:val="24"/>
          <w:szCs w:val="24"/>
        </w:rPr>
        <w:t xml:space="preserve">Rong, C., Nguyen, S.T. and </w:t>
      </w:r>
      <w:proofErr w:type="spellStart"/>
      <w:r w:rsidRPr="00F35428">
        <w:rPr>
          <w:rFonts w:ascii="Times New Roman" w:hAnsi="Times New Roman" w:cs="Times New Roman"/>
          <w:sz w:val="24"/>
          <w:szCs w:val="24"/>
        </w:rPr>
        <w:t>Jaatun</w:t>
      </w:r>
      <w:proofErr w:type="spellEnd"/>
      <w:r w:rsidRPr="00F35428">
        <w:rPr>
          <w:rFonts w:ascii="Times New Roman" w:hAnsi="Times New Roman" w:cs="Times New Roman"/>
          <w:sz w:val="24"/>
          <w:szCs w:val="24"/>
        </w:rPr>
        <w:t>, M.G. (2013). Beyond lightning: A survey on security challenges in cloud computing. </w:t>
      </w:r>
      <w:r w:rsidRPr="00F35428">
        <w:rPr>
          <w:rFonts w:ascii="Times New Roman" w:hAnsi="Times New Roman" w:cs="Times New Roman"/>
          <w:i/>
          <w:iCs/>
          <w:sz w:val="24"/>
          <w:szCs w:val="24"/>
        </w:rPr>
        <w:t>Computers &amp; Electrical Engineering</w:t>
      </w:r>
      <w:r w:rsidRPr="00F35428">
        <w:rPr>
          <w:rFonts w:ascii="Times New Roman" w:hAnsi="Times New Roman" w:cs="Times New Roman"/>
          <w:sz w:val="24"/>
          <w:szCs w:val="24"/>
        </w:rPr>
        <w:t xml:space="preserve">, [online] 39(1), pp.47–54. </w:t>
      </w:r>
      <w:proofErr w:type="spellStart"/>
      <w:proofErr w:type="gramStart"/>
      <w:r w:rsidRPr="00F35428">
        <w:rPr>
          <w:rFonts w:ascii="Times New Roman" w:hAnsi="Times New Roman" w:cs="Times New Roman"/>
          <w:sz w:val="24"/>
          <w:szCs w:val="24"/>
        </w:rPr>
        <w:t>doi:https</w:t>
      </w:r>
      <w:proofErr w:type="spellEnd"/>
      <w:r w:rsidRPr="00F35428">
        <w:rPr>
          <w:rFonts w:ascii="Times New Roman" w:hAnsi="Times New Roman" w:cs="Times New Roman"/>
          <w:sz w:val="24"/>
          <w:szCs w:val="24"/>
        </w:rPr>
        <w:t>://doi.org/10.1016/j.compeleceng.2012.04.015</w:t>
      </w:r>
      <w:proofErr w:type="gramEnd"/>
      <w:r w:rsidRPr="00F35428">
        <w:rPr>
          <w:rFonts w:ascii="Times New Roman" w:hAnsi="Times New Roman" w:cs="Times New Roman"/>
          <w:sz w:val="24"/>
          <w:szCs w:val="24"/>
        </w:rPr>
        <w:t>.</w:t>
      </w:r>
    </w:p>
    <w:p w14:paraId="00849238" w14:textId="77777777" w:rsidR="005A561D" w:rsidRPr="00F35428" w:rsidRDefault="005A561D" w:rsidP="005A561D">
      <w:pPr>
        <w:pStyle w:val="ListParagraph"/>
        <w:numPr>
          <w:ilvl w:val="0"/>
          <w:numId w:val="2"/>
        </w:numPr>
        <w:jc w:val="both"/>
        <w:rPr>
          <w:rFonts w:ascii="Times New Roman" w:hAnsi="Times New Roman" w:cs="Times New Roman"/>
          <w:sz w:val="24"/>
          <w:szCs w:val="24"/>
        </w:rPr>
      </w:pPr>
      <w:r w:rsidRPr="00F35428">
        <w:rPr>
          <w:rFonts w:ascii="Times New Roman" w:hAnsi="Times New Roman" w:cs="Times New Roman"/>
          <w:sz w:val="24"/>
          <w:szCs w:val="24"/>
        </w:rPr>
        <w:t>‌</w:t>
      </w:r>
      <w:r w:rsidRPr="00F35428">
        <w:rPr>
          <w:rFonts w:ascii="Times New Roman" w:eastAsia="Times New Roman" w:hAnsi="Times New Roman" w:cs="Times New Roman"/>
          <w:color w:val="000000"/>
          <w:kern w:val="0"/>
          <w:sz w:val="24"/>
          <w:szCs w:val="24"/>
          <w:lang w:eastAsia="en-IN"/>
          <w14:ligatures w14:val="none"/>
        </w:rPr>
        <w:t xml:space="preserve"> </w:t>
      </w:r>
      <w:r w:rsidRPr="00F35428">
        <w:rPr>
          <w:rFonts w:ascii="Times New Roman" w:hAnsi="Times New Roman" w:cs="Times New Roman"/>
          <w:sz w:val="24"/>
          <w:szCs w:val="24"/>
        </w:rPr>
        <w:t>Subashini, S. and Kavitha, V. (2011). A Survey on Security Issues in Service Delivery Models of Cloud Computing. </w:t>
      </w:r>
      <w:r w:rsidRPr="00F35428">
        <w:rPr>
          <w:rFonts w:ascii="Times New Roman" w:hAnsi="Times New Roman" w:cs="Times New Roman"/>
          <w:i/>
          <w:iCs/>
          <w:sz w:val="24"/>
          <w:szCs w:val="24"/>
        </w:rPr>
        <w:t>Journal of Network and Computer Applications</w:t>
      </w:r>
      <w:r w:rsidRPr="00F35428">
        <w:rPr>
          <w:rFonts w:ascii="Times New Roman" w:hAnsi="Times New Roman" w:cs="Times New Roman"/>
          <w:sz w:val="24"/>
          <w:szCs w:val="24"/>
        </w:rPr>
        <w:t xml:space="preserve">, [online] 34(1), pp.1–11. </w:t>
      </w:r>
      <w:proofErr w:type="spellStart"/>
      <w:proofErr w:type="gramStart"/>
      <w:r w:rsidRPr="00F35428">
        <w:rPr>
          <w:rFonts w:ascii="Times New Roman" w:hAnsi="Times New Roman" w:cs="Times New Roman"/>
          <w:sz w:val="24"/>
          <w:szCs w:val="24"/>
        </w:rPr>
        <w:t>doi:https</w:t>
      </w:r>
      <w:proofErr w:type="spellEnd"/>
      <w:r w:rsidRPr="00F35428">
        <w:rPr>
          <w:rFonts w:ascii="Times New Roman" w:hAnsi="Times New Roman" w:cs="Times New Roman"/>
          <w:sz w:val="24"/>
          <w:szCs w:val="24"/>
        </w:rPr>
        <w:t>://doi.org/10.1016/j.jnca.2010.07.006</w:t>
      </w:r>
      <w:proofErr w:type="gramEnd"/>
      <w:r w:rsidRPr="00F35428">
        <w:rPr>
          <w:rFonts w:ascii="Times New Roman" w:hAnsi="Times New Roman" w:cs="Times New Roman"/>
          <w:sz w:val="24"/>
          <w:szCs w:val="24"/>
        </w:rPr>
        <w:t>.</w:t>
      </w:r>
    </w:p>
    <w:p w14:paraId="78EA1A40" w14:textId="77777777" w:rsidR="005A561D" w:rsidRPr="00F35428" w:rsidRDefault="005A561D" w:rsidP="005A561D">
      <w:pPr>
        <w:pStyle w:val="ListParagraph"/>
        <w:numPr>
          <w:ilvl w:val="0"/>
          <w:numId w:val="2"/>
        </w:numPr>
        <w:jc w:val="both"/>
        <w:rPr>
          <w:rFonts w:ascii="Times New Roman" w:hAnsi="Times New Roman" w:cs="Times New Roman"/>
          <w:sz w:val="24"/>
          <w:szCs w:val="24"/>
        </w:rPr>
      </w:pPr>
      <w:r w:rsidRPr="00F35428">
        <w:rPr>
          <w:rFonts w:ascii="Times New Roman" w:hAnsi="Times New Roman" w:cs="Times New Roman"/>
          <w:sz w:val="24"/>
          <w:szCs w:val="24"/>
        </w:rPr>
        <w:t>‌</w:t>
      </w:r>
      <w:r w:rsidRPr="00F35428">
        <w:rPr>
          <w:rFonts w:ascii="Times New Roman" w:eastAsia="Times New Roman" w:hAnsi="Times New Roman" w:cs="Times New Roman"/>
          <w:color w:val="000000"/>
          <w:kern w:val="0"/>
          <w:sz w:val="24"/>
          <w:szCs w:val="24"/>
          <w:lang w:eastAsia="en-IN"/>
          <w14:ligatures w14:val="none"/>
        </w:rPr>
        <w:t xml:space="preserve"> </w:t>
      </w:r>
      <w:r w:rsidRPr="00F35428">
        <w:rPr>
          <w:rFonts w:ascii="Times New Roman" w:hAnsi="Times New Roman" w:cs="Times New Roman"/>
          <w:sz w:val="24"/>
          <w:szCs w:val="24"/>
        </w:rPr>
        <w:t xml:space="preserve">Ángel Jesús Varela-Vaca and Gasca, R.M. (2013). Towards the automatic and optimal selection of risk treatments for business processes using a constraint programming approach. 55(11), pp.1948–1973. </w:t>
      </w:r>
      <w:proofErr w:type="spellStart"/>
      <w:proofErr w:type="gramStart"/>
      <w:r w:rsidRPr="00F35428">
        <w:rPr>
          <w:rFonts w:ascii="Times New Roman" w:hAnsi="Times New Roman" w:cs="Times New Roman"/>
          <w:sz w:val="24"/>
          <w:szCs w:val="24"/>
        </w:rPr>
        <w:t>doi:https</w:t>
      </w:r>
      <w:proofErr w:type="spellEnd"/>
      <w:r w:rsidRPr="00F35428">
        <w:rPr>
          <w:rFonts w:ascii="Times New Roman" w:hAnsi="Times New Roman" w:cs="Times New Roman"/>
          <w:sz w:val="24"/>
          <w:szCs w:val="24"/>
        </w:rPr>
        <w:t>://doi.org/10.1016/j.infsof.2013.05.007</w:t>
      </w:r>
      <w:proofErr w:type="gramEnd"/>
      <w:r w:rsidRPr="00F35428">
        <w:rPr>
          <w:rFonts w:ascii="Times New Roman" w:hAnsi="Times New Roman" w:cs="Times New Roman"/>
          <w:sz w:val="24"/>
          <w:szCs w:val="24"/>
        </w:rPr>
        <w:t>.</w:t>
      </w:r>
    </w:p>
    <w:p w14:paraId="47FDF406" w14:textId="77777777" w:rsidR="005A561D" w:rsidRPr="00F35428" w:rsidRDefault="005A561D" w:rsidP="005A561D">
      <w:pPr>
        <w:pStyle w:val="ListParagraph"/>
        <w:numPr>
          <w:ilvl w:val="0"/>
          <w:numId w:val="2"/>
        </w:numPr>
        <w:jc w:val="both"/>
        <w:rPr>
          <w:rFonts w:ascii="Times New Roman" w:hAnsi="Times New Roman" w:cs="Times New Roman"/>
          <w:sz w:val="24"/>
          <w:szCs w:val="24"/>
        </w:rPr>
      </w:pPr>
      <w:r w:rsidRPr="00F35428">
        <w:rPr>
          <w:rFonts w:ascii="Times New Roman" w:hAnsi="Times New Roman" w:cs="Times New Roman"/>
          <w:sz w:val="24"/>
          <w:szCs w:val="24"/>
        </w:rPr>
        <w:t xml:space="preserve">Ko, R.K., </w:t>
      </w:r>
      <w:proofErr w:type="spellStart"/>
      <w:r w:rsidRPr="00F35428">
        <w:rPr>
          <w:rFonts w:ascii="Times New Roman" w:hAnsi="Times New Roman" w:cs="Times New Roman"/>
          <w:sz w:val="24"/>
          <w:szCs w:val="24"/>
        </w:rPr>
        <w:t>Jagadpramana</w:t>
      </w:r>
      <w:proofErr w:type="spellEnd"/>
      <w:r w:rsidRPr="00F35428">
        <w:rPr>
          <w:rFonts w:ascii="Times New Roman" w:hAnsi="Times New Roman" w:cs="Times New Roman"/>
          <w:sz w:val="24"/>
          <w:szCs w:val="24"/>
        </w:rPr>
        <w:t xml:space="preserve">, P., Mowbray, M., Pearson, S., Kirchberg, M., Liang, Q. and Lee, B.S., 2011, July. </w:t>
      </w:r>
      <w:proofErr w:type="spellStart"/>
      <w:r w:rsidRPr="00F35428">
        <w:rPr>
          <w:rFonts w:ascii="Times New Roman" w:hAnsi="Times New Roman" w:cs="Times New Roman"/>
          <w:sz w:val="24"/>
          <w:szCs w:val="24"/>
        </w:rPr>
        <w:t>TrustCloud</w:t>
      </w:r>
      <w:proofErr w:type="spellEnd"/>
      <w:r w:rsidRPr="00F35428">
        <w:rPr>
          <w:rFonts w:ascii="Times New Roman" w:hAnsi="Times New Roman" w:cs="Times New Roman"/>
          <w:sz w:val="24"/>
          <w:szCs w:val="24"/>
        </w:rPr>
        <w:t>: A framework for accountability and trust in cloud computing. In </w:t>
      </w:r>
      <w:r w:rsidRPr="00F35428">
        <w:rPr>
          <w:rFonts w:ascii="Times New Roman" w:hAnsi="Times New Roman" w:cs="Times New Roman"/>
          <w:i/>
          <w:iCs/>
          <w:sz w:val="24"/>
          <w:szCs w:val="24"/>
        </w:rPr>
        <w:t>2011 IEEE World Congress on Services</w:t>
      </w:r>
      <w:r w:rsidRPr="00F35428">
        <w:rPr>
          <w:rFonts w:ascii="Times New Roman" w:hAnsi="Times New Roman" w:cs="Times New Roman"/>
          <w:sz w:val="24"/>
          <w:szCs w:val="24"/>
        </w:rPr>
        <w:t> (pp. 584-588). IEEE.</w:t>
      </w:r>
    </w:p>
    <w:p w14:paraId="74876969" w14:textId="77777777" w:rsidR="005A561D" w:rsidRPr="00F35428" w:rsidRDefault="005A561D" w:rsidP="005A561D">
      <w:pPr>
        <w:pStyle w:val="ListParagraph"/>
        <w:numPr>
          <w:ilvl w:val="0"/>
          <w:numId w:val="2"/>
        </w:numPr>
        <w:jc w:val="both"/>
        <w:rPr>
          <w:rFonts w:ascii="Times New Roman" w:hAnsi="Times New Roman" w:cs="Times New Roman"/>
          <w:sz w:val="24"/>
          <w:szCs w:val="24"/>
        </w:rPr>
      </w:pPr>
      <w:r w:rsidRPr="00F35428">
        <w:rPr>
          <w:rFonts w:ascii="Times New Roman" w:hAnsi="Times New Roman" w:cs="Times New Roman"/>
          <w:sz w:val="24"/>
          <w:szCs w:val="24"/>
        </w:rPr>
        <w:t>Rosado, D.G., Gómez, R., Mellado, D. and Fernández-Medina, E. (2012). Security Analysis in the Migration to Cloud Environments. </w:t>
      </w:r>
      <w:r w:rsidRPr="00F35428">
        <w:rPr>
          <w:rFonts w:ascii="Times New Roman" w:hAnsi="Times New Roman" w:cs="Times New Roman"/>
          <w:i/>
          <w:iCs/>
          <w:sz w:val="24"/>
          <w:szCs w:val="24"/>
        </w:rPr>
        <w:t>Future Internet</w:t>
      </w:r>
      <w:r w:rsidRPr="00F35428">
        <w:rPr>
          <w:rFonts w:ascii="Times New Roman" w:hAnsi="Times New Roman" w:cs="Times New Roman"/>
          <w:sz w:val="24"/>
          <w:szCs w:val="24"/>
        </w:rPr>
        <w:t xml:space="preserve">, 4(2), pp.469–487. </w:t>
      </w:r>
      <w:proofErr w:type="spellStart"/>
      <w:proofErr w:type="gramStart"/>
      <w:r w:rsidRPr="00F35428">
        <w:rPr>
          <w:rFonts w:ascii="Times New Roman" w:hAnsi="Times New Roman" w:cs="Times New Roman"/>
          <w:sz w:val="24"/>
          <w:szCs w:val="24"/>
        </w:rPr>
        <w:t>doi:https</w:t>
      </w:r>
      <w:proofErr w:type="spellEnd"/>
      <w:r w:rsidRPr="00F35428">
        <w:rPr>
          <w:rFonts w:ascii="Times New Roman" w:hAnsi="Times New Roman" w:cs="Times New Roman"/>
          <w:sz w:val="24"/>
          <w:szCs w:val="24"/>
        </w:rPr>
        <w:t>://doi.org/10.3390/fi4020469</w:t>
      </w:r>
      <w:proofErr w:type="gramEnd"/>
      <w:r w:rsidRPr="00F35428">
        <w:rPr>
          <w:rFonts w:ascii="Times New Roman" w:hAnsi="Times New Roman" w:cs="Times New Roman"/>
          <w:sz w:val="24"/>
          <w:szCs w:val="24"/>
        </w:rPr>
        <w:t>.</w:t>
      </w:r>
    </w:p>
    <w:p w14:paraId="09E3DC2E" w14:textId="77777777" w:rsidR="005A561D" w:rsidRPr="00F35428" w:rsidRDefault="005A561D" w:rsidP="005A561D">
      <w:pPr>
        <w:pStyle w:val="ListParagraph"/>
        <w:numPr>
          <w:ilvl w:val="0"/>
          <w:numId w:val="2"/>
        </w:numPr>
        <w:jc w:val="both"/>
        <w:rPr>
          <w:rFonts w:ascii="Times New Roman" w:hAnsi="Times New Roman" w:cs="Times New Roman"/>
          <w:sz w:val="24"/>
          <w:szCs w:val="24"/>
        </w:rPr>
      </w:pPr>
      <w:r w:rsidRPr="00F35428">
        <w:rPr>
          <w:rFonts w:ascii="Times New Roman" w:hAnsi="Times New Roman" w:cs="Times New Roman"/>
          <w:sz w:val="24"/>
          <w:szCs w:val="24"/>
        </w:rPr>
        <w:t>‌</w:t>
      </w:r>
      <w:r w:rsidRPr="00F35428">
        <w:rPr>
          <w:rFonts w:ascii="Times New Roman" w:eastAsia="Times New Roman" w:hAnsi="Times New Roman" w:cs="Times New Roman"/>
          <w:color w:val="000000"/>
          <w:kern w:val="0"/>
          <w:sz w:val="24"/>
          <w:szCs w:val="24"/>
          <w:lang w:eastAsia="en-IN"/>
          <w14:ligatures w14:val="none"/>
        </w:rPr>
        <w:t xml:space="preserve"> </w:t>
      </w:r>
      <w:r w:rsidRPr="00F35428">
        <w:rPr>
          <w:rFonts w:ascii="Times New Roman" w:hAnsi="Times New Roman" w:cs="Times New Roman"/>
          <w:sz w:val="24"/>
          <w:szCs w:val="24"/>
        </w:rPr>
        <w:t xml:space="preserve">Tran, H., Zdun, U., Holmes, T., </w:t>
      </w:r>
      <w:proofErr w:type="spellStart"/>
      <w:r w:rsidRPr="00F35428">
        <w:rPr>
          <w:rFonts w:ascii="Times New Roman" w:hAnsi="Times New Roman" w:cs="Times New Roman"/>
          <w:sz w:val="24"/>
          <w:szCs w:val="24"/>
        </w:rPr>
        <w:t>Oberortner</w:t>
      </w:r>
      <w:proofErr w:type="spellEnd"/>
      <w:r w:rsidRPr="00F35428">
        <w:rPr>
          <w:rFonts w:ascii="Times New Roman" w:hAnsi="Times New Roman" w:cs="Times New Roman"/>
          <w:sz w:val="24"/>
          <w:szCs w:val="24"/>
        </w:rPr>
        <w:t xml:space="preserve">, E., </w:t>
      </w:r>
      <w:proofErr w:type="spellStart"/>
      <w:r w:rsidRPr="00F35428">
        <w:rPr>
          <w:rFonts w:ascii="Times New Roman" w:hAnsi="Times New Roman" w:cs="Times New Roman"/>
          <w:sz w:val="24"/>
          <w:szCs w:val="24"/>
        </w:rPr>
        <w:t>Mulo</w:t>
      </w:r>
      <w:proofErr w:type="spellEnd"/>
      <w:r w:rsidRPr="00F35428">
        <w:rPr>
          <w:rFonts w:ascii="Times New Roman" w:hAnsi="Times New Roman" w:cs="Times New Roman"/>
          <w:sz w:val="24"/>
          <w:szCs w:val="24"/>
        </w:rPr>
        <w:t xml:space="preserve">, E. and </w:t>
      </w:r>
      <w:proofErr w:type="spellStart"/>
      <w:r w:rsidRPr="00F35428">
        <w:rPr>
          <w:rFonts w:ascii="Times New Roman" w:hAnsi="Times New Roman" w:cs="Times New Roman"/>
          <w:sz w:val="24"/>
          <w:szCs w:val="24"/>
        </w:rPr>
        <w:t>Dustdar</w:t>
      </w:r>
      <w:proofErr w:type="spellEnd"/>
      <w:r w:rsidRPr="00F35428">
        <w:rPr>
          <w:rFonts w:ascii="Times New Roman" w:hAnsi="Times New Roman" w:cs="Times New Roman"/>
          <w:sz w:val="24"/>
          <w:szCs w:val="24"/>
        </w:rPr>
        <w:t>, S. (2012). Compliance in service-oriented architectures: A model-driven and view-based approach. </w:t>
      </w:r>
      <w:r w:rsidRPr="00F35428">
        <w:rPr>
          <w:rFonts w:ascii="Times New Roman" w:hAnsi="Times New Roman" w:cs="Times New Roman"/>
          <w:i/>
          <w:iCs/>
          <w:sz w:val="24"/>
          <w:szCs w:val="24"/>
        </w:rPr>
        <w:t>Information and Software Technology</w:t>
      </w:r>
      <w:r w:rsidRPr="00F35428">
        <w:rPr>
          <w:rFonts w:ascii="Times New Roman" w:hAnsi="Times New Roman" w:cs="Times New Roman"/>
          <w:sz w:val="24"/>
          <w:szCs w:val="24"/>
        </w:rPr>
        <w:t xml:space="preserve">, 54(6), pp.531–552. </w:t>
      </w:r>
      <w:proofErr w:type="spellStart"/>
      <w:proofErr w:type="gramStart"/>
      <w:r w:rsidRPr="00F35428">
        <w:rPr>
          <w:rFonts w:ascii="Times New Roman" w:hAnsi="Times New Roman" w:cs="Times New Roman"/>
          <w:sz w:val="24"/>
          <w:szCs w:val="24"/>
        </w:rPr>
        <w:t>doi:https</w:t>
      </w:r>
      <w:proofErr w:type="spellEnd"/>
      <w:r w:rsidRPr="00F35428">
        <w:rPr>
          <w:rFonts w:ascii="Times New Roman" w:hAnsi="Times New Roman" w:cs="Times New Roman"/>
          <w:sz w:val="24"/>
          <w:szCs w:val="24"/>
        </w:rPr>
        <w:t>://doi.org/10.1016/j.infsof.2012.01.001</w:t>
      </w:r>
      <w:proofErr w:type="gramEnd"/>
      <w:r w:rsidRPr="00F35428">
        <w:rPr>
          <w:rFonts w:ascii="Times New Roman" w:hAnsi="Times New Roman" w:cs="Times New Roman"/>
          <w:sz w:val="24"/>
          <w:szCs w:val="24"/>
        </w:rPr>
        <w:t>.</w:t>
      </w:r>
    </w:p>
    <w:p w14:paraId="05828E15" w14:textId="77777777" w:rsidR="005A561D" w:rsidRPr="00F35428" w:rsidRDefault="005A561D" w:rsidP="005A561D">
      <w:pPr>
        <w:ind w:left="360"/>
        <w:jc w:val="both"/>
        <w:rPr>
          <w:rFonts w:ascii="Times New Roman" w:hAnsi="Times New Roman" w:cs="Times New Roman"/>
          <w:sz w:val="24"/>
          <w:szCs w:val="24"/>
        </w:rPr>
      </w:pPr>
    </w:p>
    <w:p w14:paraId="7C916609" w14:textId="77777777" w:rsidR="005A561D" w:rsidRPr="005723B2" w:rsidRDefault="005A561D" w:rsidP="005A561D">
      <w:pPr>
        <w:jc w:val="both"/>
        <w:rPr>
          <w:rFonts w:ascii="Times New Roman" w:hAnsi="Times New Roman" w:cs="Times New Roman"/>
          <w:sz w:val="24"/>
          <w:szCs w:val="24"/>
        </w:rPr>
      </w:pPr>
    </w:p>
    <w:p w14:paraId="71046020" w14:textId="77777777" w:rsidR="005A561D" w:rsidRPr="005723B2" w:rsidRDefault="005A561D" w:rsidP="005A561D">
      <w:pPr>
        <w:jc w:val="both"/>
        <w:rPr>
          <w:rFonts w:ascii="Times New Roman" w:hAnsi="Times New Roman" w:cs="Times New Roman"/>
          <w:sz w:val="24"/>
          <w:szCs w:val="24"/>
        </w:rPr>
      </w:pPr>
    </w:p>
    <w:p w14:paraId="4FE8AB61" w14:textId="77777777" w:rsidR="005A561D" w:rsidRPr="005723B2" w:rsidRDefault="005A561D" w:rsidP="005A561D">
      <w:pPr>
        <w:jc w:val="both"/>
        <w:rPr>
          <w:rFonts w:ascii="Times New Roman" w:hAnsi="Times New Roman" w:cs="Times New Roman"/>
          <w:sz w:val="24"/>
          <w:szCs w:val="24"/>
        </w:rPr>
      </w:pPr>
    </w:p>
    <w:p w14:paraId="2C03768A" w14:textId="77777777" w:rsidR="005A561D" w:rsidRPr="00F35428" w:rsidRDefault="005A561D" w:rsidP="005A561D">
      <w:pPr>
        <w:jc w:val="both"/>
        <w:rPr>
          <w:rFonts w:ascii="Times New Roman" w:hAnsi="Times New Roman" w:cs="Times New Roman"/>
          <w:sz w:val="24"/>
          <w:szCs w:val="24"/>
        </w:rPr>
      </w:pPr>
    </w:p>
    <w:p w14:paraId="6BCBB383" w14:textId="77777777" w:rsidR="005A561D" w:rsidRPr="005A561D" w:rsidRDefault="005A561D" w:rsidP="005A561D"/>
    <w:p w14:paraId="015C7E08" w14:textId="77777777" w:rsidR="005A561D" w:rsidRPr="00242203" w:rsidRDefault="005A561D" w:rsidP="00242203">
      <w:pPr>
        <w:spacing w:line="360" w:lineRule="auto"/>
        <w:jc w:val="both"/>
        <w:rPr>
          <w:rFonts w:ascii="Times New Roman" w:hAnsi="Times New Roman" w:cs="Times New Roman"/>
          <w:sz w:val="24"/>
          <w:szCs w:val="24"/>
        </w:rPr>
      </w:pPr>
    </w:p>
    <w:sectPr w:rsidR="005A561D" w:rsidRPr="002422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A23D22"/>
    <w:multiLevelType w:val="hybridMultilevel"/>
    <w:tmpl w:val="E406714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78D41DC1"/>
    <w:multiLevelType w:val="hybridMultilevel"/>
    <w:tmpl w:val="51DA85A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56582954">
    <w:abstractNumId w:val="0"/>
  </w:num>
  <w:num w:numId="2" w16cid:durableId="116890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203"/>
    <w:rsid w:val="001F6B2F"/>
    <w:rsid w:val="00242203"/>
    <w:rsid w:val="002D624E"/>
    <w:rsid w:val="00406AE4"/>
    <w:rsid w:val="00570A3D"/>
    <w:rsid w:val="005A561D"/>
    <w:rsid w:val="00647CFE"/>
    <w:rsid w:val="00701B52"/>
    <w:rsid w:val="007B1EA9"/>
    <w:rsid w:val="008149B8"/>
    <w:rsid w:val="008F5F32"/>
    <w:rsid w:val="009230FF"/>
    <w:rsid w:val="00A20DE6"/>
    <w:rsid w:val="00A5587C"/>
    <w:rsid w:val="00B946BC"/>
    <w:rsid w:val="00CB5A92"/>
    <w:rsid w:val="00CE09A4"/>
    <w:rsid w:val="00DD01E9"/>
    <w:rsid w:val="00E8155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2DC17"/>
  <w15:chartTrackingRefBased/>
  <w15:docId w15:val="{2FB5A3C2-1C9E-41B3-BCE7-54FBA7C8A1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647CFE"/>
    <w:pPr>
      <w:keepNext/>
      <w:keepLines/>
      <w:spacing w:before="240" w:after="0" w:line="276" w:lineRule="auto"/>
      <w:jc w:val="both"/>
      <w:outlineLvl w:val="0"/>
    </w:pPr>
    <w:rPr>
      <w:rFonts w:ascii="Times New Roman" w:eastAsiaTheme="majorEastAsia" w:hAnsi="Times New Roman"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647CFE"/>
    <w:pPr>
      <w:keepNext/>
      <w:keepLines/>
      <w:spacing w:before="40" w:after="0" w:line="276" w:lineRule="auto"/>
      <w:jc w:val="both"/>
      <w:outlineLvl w:val="1"/>
    </w:pPr>
    <w:rPr>
      <w:rFonts w:ascii="Times New Roman" w:eastAsiaTheme="majorEastAsia" w:hAnsi="Times New Roman" w:cstheme="majorBidi"/>
      <w:b/>
      <w:color w:val="2F5496" w:themeColor="accent1" w:themeShade="BF"/>
      <w:sz w:val="24"/>
      <w:szCs w:val="26"/>
    </w:rPr>
  </w:style>
  <w:style w:type="paragraph" w:styleId="Heading3">
    <w:name w:val="heading 3"/>
    <w:basedOn w:val="Normal"/>
    <w:next w:val="Normal"/>
    <w:link w:val="Heading3Char"/>
    <w:autoRedefine/>
    <w:uiPriority w:val="9"/>
    <w:semiHidden/>
    <w:unhideWhenUsed/>
    <w:qFormat/>
    <w:rsid w:val="00A5587C"/>
    <w:pPr>
      <w:keepNext/>
      <w:keepLines/>
      <w:spacing w:before="40" w:after="0"/>
      <w:jc w:val="both"/>
      <w:outlineLvl w:val="2"/>
    </w:pPr>
    <w:rPr>
      <w:rFonts w:ascii="Times New Roman" w:eastAsiaTheme="majorEastAsia" w:hAnsi="Times New Roman"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4220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4220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422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22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22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22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7CFE"/>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647CFE"/>
    <w:rPr>
      <w:rFonts w:ascii="Times New Roman" w:eastAsiaTheme="majorEastAsia" w:hAnsi="Times New Roman" w:cstheme="majorBidi"/>
      <w:b/>
      <w:color w:val="2F5496" w:themeColor="accent1" w:themeShade="BF"/>
      <w:sz w:val="24"/>
      <w:szCs w:val="26"/>
    </w:rPr>
  </w:style>
  <w:style w:type="character" w:customStyle="1" w:styleId="Heading3Char">
    <w:name w:val="Heading 3 Char"/>
    <w:basedOn w:val="DefaultParagraphFont"/>
    <w:link w:val="Heading3"/>
    <w:uiPriority w:val="9"/>
    <w:semiHidden/>
    <w:rsid w:val="00A5587C"/>
    <w:rPr>
      <w:rFonts w:ascii="Times New Roman" w:eastAsiaTheme="majorEastAsia" w:hAnsi="Times New Roman"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24220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4220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422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22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22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2203"/>
    <w:rPr>
      <w:rFonts w:eastAsiaTheme="majorEastAsia" w:cstheme="majorBidi"/>
      <w:color w:val="272727" w:themeColor="text1" w:themeTint="D8"/>
    </w:rPr>
  </w:style>
  <w:style w:type="paragraph" w:styleId="Title">
    <w:name w:val="Title"/>
    <w:basedOn w:val="Normal"/>
    <w:next w:val="Normal"/>
    <w:link w:val="TitleChar"/>
    <w:uiPriority w:val="10"/>
    <w:qFormat/>
    <w:rsid w:val="002422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22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22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22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2203"/>
    <w:pPr>
      <w:spacing w:before="160"/>
      <w:jc w:val="center"/>
    </w:pPr>
    <w:rPr>
      <w:i/>
      <w:iCs/>
      <w:color w:val="404040" w:themeColor="text1" w:themeTint="BF"/>
    </w:rPr>
  </w:style>
  <w:style w:type="character" w:customStyle="1" w:styleId="QuoteChar">
    <w:name w:val="Quote Char"/>
    <w:basedOn w:val="DefaultParagraphFont"/>
    <w:link w:val="Quote"/>
    <w:uiPriority w:val="29"/>
    <w:rsid w:val="00242203"/>
    <w:rPr>
      <w:i/>
      <w:iCs/>
      <w:color w:val="404040" w:themeColor="text1" w:themeTint="BF"/>
    </w:rPr>
  </w:style>
  <w:style w:type="paragraph" w:styleId="ListParagraph">
    <w:name w:val="List Paragraph"/>
    <w:basedOn w:val="Normal"/>
    <w:uiPriority w:val="34"/>
    <w:qFormat/>
    <w:rsid w:val="00242203"/>
    <w:pPr>
      <w:ind w:left="720"/>
      <w:contextualSpacing/>
    </w:pPr>
  </w:style>
  <w:style w:type="character" w:styleId="IntenseEmphasis">
    <w:name w:val="Intense Emphasis"/>
    <w:basedOn w:val="DefaultParagraphFont"/>
    <w:uiPriority w:val="21"/>
    <w:qFormat/>
    <w:rsid w:val="00242203"/>
    <w:rPr>
      <w:i/>
      <w:iCs/>
      <w:color w:val="2F5496" w:themeColor="accent1" w:themeShade="BF"/>
    </w:rPr>
  </w:style>
  <w:style w:type="paragraph" w:styleId="IntenseQuote">
    <w:name w:val="Intense Quote"/>
    <w:basedOn w:val="Normal"/>
    <w:next w:val="Normal"/>
    <w:link w:val="IntenseQuoteChar"/>
    <w:uiPriority w:val="30"/>
    <w:qFormat/>
    <w:rsid w:val="0024220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42203"/>
    <w:rPr>
      <w:i/>
      <w:iCs/>
      <w:color w:val="2F5496" w:themeColor="accent1" w:themeShade="BF"/>
    </w:rPr>
  </w:style>
  <w:style w:type="character" w:styleId="IntenseReference">
    <w:name w:val="Intense Reference"/>
    <w:basedOn w:val="DefaultParagraphFont"/>
    <w:uiPriority w:val="32"/>
    <w:qFormat/>
    <w:rsid w:val="00242203"/>
    <w:rPr>
      <w:b/>
      <w:bCs/>
      <w:smallCaps/>
      <w:color w:val="2F5496" w:themeColor="accent1" w:themeShade="BF"/>
      <w:spacing w:val="5"/>
    </w:rPr>
  </w:style>
  <w:style w:type="paragraph" w:styleId="NoSpacing">
    <w:name w:val="No Spacing"/>
    <w:uiPriority w:val="1"/>
    <w:qFormat/>
    <w:rsid w:val="005A561D"/>
    <w:pPr>
      <w:spacing w:after="0" w:line="240" w:lineRule="auto"/>
    </w:pPr>
  </w:style>
  <w:style w:type="paragraph" w:styleId="TOCHeading">
    <w:name w:val="TOC Heading"/>
    <w:basedOn w:val="Heading1"/>
    <w:next w:val="Normal"/>
    <w:uiPriority w:val="39"/>
    <w:unhideWhenUsed/>
    <w:qFormat/>
    <w:rsid w:val="005A561D"/>
    <w:pPr>
      <w:spacing w:line="259" w:lineRule="auto"/>
      <w:jc w:val="left"/>
      <w:outlineLvl w:val="9"/>
    </w:pPr>
    <w:rPr>
      <w:rFonts w:asciiTheme="majorHAnsi" w:hAnsiTheme="majorHAnsi"/>
      <w:b w:val="0"/>
      <w:kern w:val="0"/>
      <w:lang w:val="en-US"/>
      <w14:ligatures w14:val="none"/>
    </w:rPr>
  </w:style>
  <w:style w:type="paragraph" w:styleId="TOC1">
    <w:name w:val="toc 1"/>
    <w:basedOn w:val="Normal"/>
    <w:next w:val="Normal"/>
    <w:autoRedefine/>
    <w:uiPriority w:val="39"/>
    <w:unhideWhenUsed/>
    <w:rsid w:val="005A561D"/>
    <w:pPr>
      <w:spacing w:after="100"/>
    </w:pPr>
  </w:style>
  <w:style w:type="paragraph" w:styleId="TOC2">
    <w:name w:val="toc 2"/>
    <w:basedOn w:val="Normal"/>
    <w:next w:val="Normal"/>
    <w:autoRedefine/>
    <w:uiPriority w:val="39"/>
    <w:unhideWhenUsed/>
    <w:rsid w:val="005A561D"/>
    <w:pPr>
      <w:spacing w:after="100"/>
      <w:ind w:left="220"/>
    </w:pPr>
  </w:style>
  <w:style w:type="character" w:styleId="Hyperlink">
    <w:name w:val="Hyperlink"/>
    <w:basedOn w:val="DefaultParagraphFont"/>
    <w:uiPriority w:val="99"/>
    <w:unhideWhenUsed/>
    <w:rsid w:val="005A561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3CA749-5EA9-4071-80BF-12420C61E1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11</Pages>
  <Words>3864</Words>
  <Characters>22026</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Anandhu M</dc:creator>
  <cp:keywords/>
  <dc:description/>
  <cp:lastModifiedBy>Anandhu M</cp:lastModifiedBy>
  <cp:revision>1</cp:revision>
  <dcterms:created xsi:type="dcterms:W3CDTF">2025-12-19T13:13:00Z</dcterms:created>
  <dcterms:modified xsi:type="dcterms:W3CDTF">2025-12-19T13:43:00Z</dcterms:modified>
</cp:coreProperties>
</file>