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4AC671" w14:textId="77777777" w:rsidR="003D70D5" w:rsidRDefault="003D70D5">
      <w:pPr>
        <w:jc w:val="center"/>
        <w:rPr>
          <w:b/>
          <w:sz w:val="36"/>
          <w:szCs w:val="36"/>
        </w:rPr>
      </w:pPr>
    </w:p>
    <w:p w14:paraId="53ABB11F" w14:textId="77777777" w:rsidR="003D70D5" w:rsidRDefault="00000000">
      <w:pPr>
        <w:jc w:val="center"/>
        <w:rPr>
          <w:b/>
          <w:sz w:val="36"/>
          <w:szCs w:val="36"/>
        </w:rPr>
      </w:pPr>
      <w:r>
        <w:rPr>
          <w:b/>
          <w:noProof/>
          <w:sz w:val="36"/>
          <w:szCs w:val="36"/>
        </w:rPr>
        <w:drawing>
          <wp:inline distT="0" distB="0" distL="0" distR="0" wp14:anchorId="7CA5F0AD" wp14:editId="050F1EDA">
            <wp:extent cx="1767993" cy="693480"/>
            <wp:effectExtent l="0" t="0" r="0" b="0"/>
            <wp:docPr id="47208890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767993" cy="693480"/>
                    </a:xfrm>
                    <a:prstGeom prst="rect">
                      <a:avLst/>
                    </a:prstGeom>
                    <a:ln/>
                  </pic:spPr>
                </pic:pic>
              </a:graphicData>
            </a:graphic>
          </wp:inline>
        </w:drawing>
      </w:r>
    </w:p>
    <w:p w14:paraId="7CB6C474" w14:textId="77777777" w:rsidR="003D70D5" w:rsidRDefault="003D70D5">
      <w:pPr>
        <w:jc w:val="center"/>
        <w:rPr>
          <w:b/>
          <w:sz w:val="36"/>
          <w:szCs w:val="36"/>
        </w:rPr>
      </w:pPr>
    </w:p>
    <w:p w14:paraId="0A9BA050" w14:textId="77777777" w:rsidR="003D70D5" w:rsidRDefault="003D70D5">
      <w:pPr>
        <w:jc w:val="center"/>
        <w:rPr>
          <w:b/>
          <w:sz w:val="36"/>
          <w:szCs w:val="36"/>
        </w:rPr>
      </w:pPr>
    </w:p>
    <w:p w14:paraId="0F61CE72" w14:textId="77777777" w:rsidR="003D70D5" w:rsidRDefault="00000000">
      <w:pPr>
        <w:jc w:val="center"/>
        <w:rPr>
          <w:b/>
          <w:sz w:val="40"/>
          <w:szCs w:val="40"/>
        </w:rPr>
      </w:pPr>
      <w:r>
        <w:rPr>
          <w:b/>
          <w:sz w:val="40"/>
          <w:szCs w:val="40"/>
        </w:rPr>
        <w:t>Module Name:</w:t>
      </w:r>
      <w:r>
        <w:rPr>
          <w:sz w:val="28"/>
          <w:szCs w:val="28"/>
        </w:rPr>
        <w:t xml:space="preserve"> </w:t>
      </w:r>
      <w:r>
        <w:rPr>
          <w:b/>
          <w:sz w:val="40"/>
          <w:szCs w:val="40"/>
        </w:rPr>
        <w:t>International Financial Management</w:t>
      </w:r>
    </w:p>
    <w:p w14:paraId="3639936D" w14:textId="77777777" w:rsidR="003D70D5" w:rsidRDefault="00000000">
      <w:pPr>
        <w:jc w:val="center"/>
        <w:rPr>
          <w:b/>
          <w:sz w:val="40"/>
          <w:szCs w:val="40"/>
        </w:rPr>
      </w:pPr>
      <w:r>
        <w:rPr>
          <w:b/>
          <w:sz w:val="40"/>
          <w:szCs w:val="40"/>
        </w:rPr>
        <w:t>(LCBB6002)</w:t>
      </w:r>
    </w:p>
    <w:p w14:paraId="59D99649" w14:textId="77777777" w:rsidR="003D70D5" w:rsidRDefault="00000000">
      <w:pPr>
        <w:jc w:val="center"/>
        <w:rPr>
          <w:b/>
        </w:rPr>
      </w:pPr>
      <w:r>
        <w:rPr>
          <w:b/>
        </w:rPr>
        <w:t>Assignment Type: Written Report (C1)</w:t>
      </w:r>
    </w:p>
    <w:p w14:paraId="0B67589F" w14:textId="63D700B4" w:rsidR="003D70D5" w:rsidRDefault="00000000">
      <w:pPr>
        <w:jc w:val="center"/>
      </w:pPr>
      <w:r>
        <w:t xml:space="preserve">Student Name: </w:t>
      </w:r>
      <w:r w:rsidR="007614AC">
        <w:t>Constantin Marian Grigoras</w:t>
      </w:r>
    </w:p>
    <w:p w14:paraId="16BF8708" w14:textId="0EB32957" w:rsidR="003D70D5" w:rsidRDefault="00000000">
      <w:pPr>
        <w:jc w:val="center"/>
      </w:pPr>
      <w:r>
        <w:t>Student ID:</w:t>
      </w:r>
      <w:r w:rsidR="007614AC">
        <w:t xml:space="preserve"> 2124074</w:t>
      </w:r>
    </w:p>
    <w:p w14:paraId="4CAC0B62" w14:textId="77777777" w:rsidR="003D70D5" w:rsidRDefault="00000000">
      <w:pPr>
        <w:pStyle w:val="Heading1"/>
      </w:pPr>
      <w:r>
        <w:br w:type="page"/>
      </w:r>
    </w:p>
    <w:p w14:paraId="7F3D8165" w14:textId="77777777" w:rsidR="003D70D5" w:rsidRDefault="00000000">
      <w:pPr>
        <w:pBdr>
          <w:top w:val="nil"/>
          <w:left w:val="nil"/>
          <w:bottom w:val="nil"/>
          <w:right w:val="nil"/>
          <w:between w:val="nil"/>
        </w:pBdr>
        <w:spacing w:after="0"/>
        <w:jc w:val="center"/>
        <w:rPr>
          <w:color w:val="000000"/>
        </w:rPr>
      </w:pPr>
      <w:r>
        <w:rPr>
          <w:b/>
          <w:color w:val="000000"/>
        </w:rPr>
        <w:lastRenderedPageBreak/>
        <w:t>Executive Summary</w:t>
      </w:r>
    </w:p>
    <w:p w14:paraId="7599F4E0" w14:textId="77777777" w:rsidR="003D70D5" w:rsidRDefault="00000000">
      <w:pPr>
        <w:pBdr>
          <w:top w:val="nil"/>
          <w:left w:val="nil"/>
          <w:bottom w:val="nil"/>
          <w:right w:val="nil"/>
          <w:between w:val="nil"/>
        </w:pBdr>
        <w:spacing w:after="0"/>
        <w:rPr>
          <w:color w:val="000000"/>
        </w:rPr>
      </w:pPr>
      <w:r>
        <w:rPr>
          <w:color w:val="000000"/>
        </w:rPr>
        <w:t>The regulation of foreign investment requires thorough strategy and planning from businesses to achieve higher revenue. Therefore, the report has been developed to determine the impact of the global finance management of Aviva Plc on market expansion. Following that, the international finance measures and models adopted by the company have been presented. The source of financing of Aviva Plc for international services has been described. Moreover, the corporate value model and financial structure of the company have been presented.  Further, the global capital cost model for Aviva Plc has been analysed.</w:t>
      </w:r>
    </w:p>
    <w:p w14:paraId="2E5438E0" w14:textId="77777777" w:rsidR="003D70D5" w:rsidRDefault="00000000">
      <w:pPr>
        <w:spacing w:line="276" w:lineRule="auto"/>
        <w:jc w:val="left"/>
        <w:rPr>
          <w:b/>
          <w:color w:val="000000"/>
        </w:rPr>
      </w:pPr>
      <w:r>
        <w:br w:type="page"/>
      </w:r>
    </w:p>
    <w:p w14:paraId="7016BAD2" w14:textId="77777777" w:rsidR="003D70D5" w:rsidRDefault="00000000">
      <w:pPr>
        <w:keepNext/>
        <w:keepLines/>
        <w:pBdr>
          <w:top w:val="nil"/>
          <w:left w:val="nil"/>
          <w:bottom w:val="nil"/>
          <w:right w:val="nil"/>
          <w:between w:val="nil"/>
        </w:pBdr>
        <w:spacing w:before="480" w:after="0"/>
        <w:jc w:val="left"/>
        <w:rPr>
          <w:b/>
          <w:sz w:val="28"/>
          <w:szCs w:val="28"/>
        </w:rPr>
      </w:pPr>
      <w:r>
        <w:rPr>
          <w:rFonts w:ascii="Cambria" w:eastAsia="Cambria" w:hAnsi="Cambria" w:cs="Cambria"/>
          <w:b/>
          <w:color w:val="366091"/>
          <w:sz w:val="28"/>
          <w:szCs w:val="28"/>
        </w:rPr>
        <w:lastRenderedPageBreak/>
        <w:t>Table of Contents</w:t>
      </w:r>
    </w:p>
    <w:sdt>
      <w:sdtPr>
        <w:id w:val="1471563420"/>
        <w:docPartObj>
          <w:docPartGallery w:val="Table of Contents"/>
          <w:docPartUnique/>
        </w:docPartObj>
      </w:sdtPr>
      <w:sdtContent>
        <w:p w14:paraId="3309F523" w14:textId="77777777" w:rsidR="003D70D5" w:rsidRDefault="00000000">
          <w:pPr>
            <w:widowControl w:val="0"/>
            <w:tabs>
              <w:tab w:val="right" w:leader="dot" w:pos="9360"/>
            </w:tabs>
            <w:spacing w:before="60" w:after="0"/>
            <w:jc w:val="left"/>
            <w:rPr>
              <w:b/>
              <w:color w:val="000000"/>
            </w:rPr>
          </w:pPr>
          <w:r>
            <w:fldChar w:fldCharType="begin"/>
          </w:r>
          <w:r>
            <w:instrText xml:space="preserve"> TOC \h \u \z \t "Heading 1,1,Heading 2,2,Heading 3,3,Heading 4,4,Heading 5,5,Heading 6,6,"</w:instrText>
          </w:r>
          <w:r>
            <w:fldChar w:fldCharType="separate"/>
          </w:r>
          <w:hyperlink w:anchor="_heading=h.gjdgxs">
            <w:r>
              <w:rPr>
                <w:b/>
                <w:color w:val="000000"/>
              </w:rPr>
              <w:t>Introduction</w:t>
            </w:r>
            <w:r>
              <w:rPr>
                <w:b/>
                <w:color w:val="000000"/>
              </w:rPr>
              <w:tab/>
            </w:r>
          </w:hyperlink>
          <w:r>
            <w:fldChar w:fldCharType="begin"/>
          </w:r>
          <w:r>
            <w:instrText xml:space="preserve"> PAGEREF _heading=h.gjdgxs \h </w:instrText>
          </w:r>
          <w:r>
            <w:fldChar w:fldCharType="separate"/>
          </w:r>
          <w:r>
            <w:rPr>
              <w:b/>
            </w:rPr>
            <w:t>4</w:t>
          </w:r>
          <w:r>
            <w:fldChar w:fldCharType="end"/>
          </w:r>
        </w:p>
        <w:p w14:paraId="200E1A75" w14:textId="77777777" w:rsidR="003D70D5" w:rsidRDefault="00000000">
          <w:pPr>
            <w:widowControl w:val="0"/>
            <w:tabs>
              <w:tab w:val="right" w:leader="dot" w:pos="9360"/>
            </w:tabs>
            <w:spacing w:before="60" w:after="0"/>
            <w:ind w:left="360"/>
            <w:jc w:val="left"/>
            <w:rPr>
              <w:color w:val="000000"/>
            </w:rPr>
          </w:pPr>
          <w:hyperlink w:anchor="_heading=h.30j0zll">
            <w:r>
              <w:rPr>
                <w:color w:val="000000"/>
              </w:rPr>
              <w:t>Overview of Aviva Plc</w:t>
            </w:r>
            <w:r>
              <w:rPr>
                <w:color w:val="000000"/>
              </w:rPr>
              <w:tab/>
            </w:r>
          </w:hyperlink>
          <w:r>
            <w:fldChar w:fldCharType="begin"/>
          </w:r>
          <w:r>
            <w:instrText xml:space="preserve"> PAGEREF _heading=h.30j0zll \h </w:instrText>
          </w:r>
          <w:r>
            <w:fldChar w:fldCharType="separate"/>
          </w:r>
          <w:r>
            <w:t>5</w:t>
          </w:r>
          <w:r>
            <w:fldChar w:fldCharType="end"/>
          </w:r>
        </w:p>
        <w:p w14:paraId="5819ACB4" w14:textId="77777777" w:rsidR="003D70D5" w:rsidRDefault="00000000">
          <w:pPr>
            <w:widowControl w:val="0"/>
            <w:tabs>
              <w:tab w:val="right" w:leader="dot" w:pos="9360"/>
            </w:tabs>
            <w:spacing w:before="60" w:after="0"/>
            <w:ind w:left="360"/>
            <w:jc w:val="left"/>
            <w:rPr>
              <w:color w:val="000000"/>
            </w:rPr>
          </w:pPr>
          <w:hyperlink w:anchor="_heading=h.1fob9te">
            <w:r>
              <w:rPr>
                <w:color w:val="000000"/>
              </w:rPr>
              <w:t>Evaluation of different models and theories of International Finance</w:t>
            </w:r>
            <w:r>
              <w:rPr>
                <w:color w:val="000000"/>
              </w:rPr>
              <w:tab/>
            </w:r>
          </w:hyperlink>
          <w:r>
            <w:fldChar w:fldCharType="begin"/>
          </w:r>
          <w:r>
            <w:instrText xml:space="preserve"> PAGEREF _heading=h.1fob9te \h </w:instrText>
          </w:r>
          <w:r>
            <w:fldChar w:fldCharType="separate"/>
          </w:r>
          <w:r>
            <w:t>6</w:t>
          </w:r>
          <w:r>
            <w:fldChar w:fldCharType="end"/>
          </w:r>
        </w:p>
        <w:p w14:paraId="6C036A0D" w14:textId="77777777" w:rsidR="003D70D5" w:rsidRDefault="00000000">
          <w:pPr>
            <w:widowControl w:val="0"/>
            <w:tabs>
              <w:tab w:val="right" w:leader="dot" w:pos="9360"/>
            </w:tabs>
            <w:spacing w:before="60" w:after="0"/>
            <w:ind w:left="720"/>
            <w:jc w:val="left"/>
            <w:rPr>
              <w:color w:val="000000"/>
            </w:rPr>
          </w:pPr>
          <w:hyperlink w:anchor="_heading=h.3znysh7">
            <w:r>
              <w:rPr>
                <w:color w:val="000000"/>
              </w:rPr>
              <w:t>Concept</w:t>
            </w:r>
            <w:r>
              <w:rPr>
                <w:color w:val="000000"/>
              </w:rPr>
              <w:tab/>
            </w:r>
          </w:hyperlink>
          <w:r>
            <w:fldChar w:fldCharType="begin"/>
          </w:r>
          <w:r>
            <w:instrText xml:space="preserve"> PAGEREF _heading=h.3znysh7 \h </w:instrText>
          </w:r>
          <w:r>
            <w:fldChar w:fldCharType="separate"/>
          </w:r>
          <w:r>
            <w:t>6</w:t>
          </w:r>
          <w:r>
            <w:fldChar w:fldCharType="end"/>
          </w:r>
        </w:p>
        <w:p w14:paraId="5A086DCE" w14:textId="77777777" w:rsidR="003D70D5" w:rsidRDefault="00000000">
          <w:pPr>
            <w:widowControl w:val="0"/>
            <w:tabs>
              <w:tab w:val="right" w:leader="dot" w:pos="9360"/>
            </w:tabs>
            <w:spacing w:before="60" w:after="0"/>
            <w:ind w:left="720"/>
            <w:jc w:val="left"/>
            <w:rPr>
              <w:color w:val="000000"/>
            </w:rPr>
          </w:pPr>
          <w:hyperlink w:anchor="_heading=h.2et92p0">
            <w:r>
              <w:rPr>
                <w:color w:val="000000"/>
              </w:rPr>
              <w:t>Relevant theories and models associated with international finance</w:t>
            </w:r>
            <w:r>
              <w:rPr>
                <w:color w:val="000000"/>
              </w:rPr>
              <w:tab/>
            </w:r>
          </w:hyperlink>
          <w:r>
            <w:fldChar w:fldCharType="begin"/>
          </w:r>
          <w:r>
            <w:instrText xml:space="preserve"> PAGEREF _heading=h.2et92p0 \h </w:instrText>
          </w:r>
          <w:r>
            <w:fldChar w:fldCharType="separate"/>
          </w:r>
          <w:r>
            <w:t>7</w:t>
          </w:r>
          <w:r>
            <w:fldChar w:fldCharType="end"/>
          </w:r>
        </w:p>
        <w:p w14:paraId="1069660F" w14:textId="77777777" w:rsidR="003D70D5" w:rsidRDefault="00000000">
          <w:pPr>
            <w:widowControl w:val="0"/>
            <w:tabs>
              <w:tab w:val="right" w:leader="dot" w:pos="9360"/>
            </w:tabs>
            <w:spacing w:before="60" w:after="0"/>
            <w:ind w:left="360"/>
            <w:jc w:val="left"/>
            <w:rPr>
              <w:color w:val="000000"/>
            </w:rPr>
          </w:pPr>
          <w:hyperlink w:anchor="_heading=h.tyjcwt">
            <w:r>
              <w:rPr>
                <w:color w:val="000000"/>
              </w:rPr>
              <w:t>Evaluation of the application of distinct financing techniques and strategies employed by Aviva Plc in international business</w:t>
            </w:r>
            <w:r>
              <w:rPr>
                <w:color w:val="000000"/>
              </w:rPr>
              <w:tab/>
            </w:r>
          </w:hyperlink>
          <w:r>
            <w:fldChar w:fldCharType="begin"/>
          </w:r>
          <w:r>
            <w:instrText xml:space="preserve"> PAGEREF _heading=h.tyjcwt \h </w:instrText>
          </w:r>
          <w:r>
            <w:fldChar w:fldCharType="separate"/>
          </w:r>
          <w:r>
            <w:t>10</w:t>
          </w:r>
          <w:r>
            <w:fldChar w:fldCharType="end"/>
          </w:r>
        </w:p>
        <w:p w14:paraId="367D0858" w14:textId="77777777" w:rsidR="003D70D5" w:rsidRDefault="00000000">
          <w:pPr>
            <w:widowControl w:val="0"/>
            <w:tabs>
              <w:tab w:val="right" w:leader="dot" w:pos="9360"/>
            </w:tabs>
            <w:spacing w:before="60" w:after="0"/>
            <w:ind w:left="720"/>
            <w:jc w:val="left"/>
            <w:rPr>
              <w:color w:val="000000"/>
            </w:rPr>
          </w:pPr>
          <w:hyperlink w:anchor="_heading=h.3dy6vkm">
            <w:r>
              <w:rPr>
                <w:color w:val="000000"/>
              </w:rPr>
              <w:t>Evaluation of distinct financing strategies of Aviva Plc</w:t>
            </w:r>
            <w:r>
              <w:rPr>
                <w:color w:val="000000"/>
              </w:rPr>
              <w:tab/>
            </w:r>
          </w:hyperlink>
          <w:r>
            <w:fldChar w:fldCharType="begin"/>
          </w:r>
          <w:r>
            <w:instrText xml:space="preserve"> PAGEREF _heading=h.3dy6vkm \h </w:instrText>
          </w:r>
          <w:r>
            <w:fldChar w:fldCharType="separate"/>
          </w:r>
          <w:r>
            <w:t>10</w:t>
          </w:r>
          <w:r>
            <w:fldChar w:fldCharType="end"/>
          </w:r>
        </w:p>
        <w:p w14:paraId="75B5E8F7" w14:textId="77777777" w:rsidR="003D70D5" w:rsidRDefault="00000000">
          <w:pPr>
            <w:widowControl w:val="0"/>
            <w:tabs>
              <w:tab w:val="right" w:leader="dot" w:pos="9360"/>
            </w:tabs>
            <w:spacing w:before="60" w:after="0"/>
            <w:ind w:left="720"/>
            <w:jc w:val="left"/>
            <w:rPr>
              <w:color w:val="000000"/>
            </w:rPr>
          </w:pPr>
          <w:hyperlink w:anchor="_heading=h.1t3h5sf">
            <w:r>
              <w:rPr>
                <w:color w:val="000000"/>
              </w:rPr>
              <w:t>Application of  financing strategies of Aviva Plc</w:t>
            </w:r>
            <w:r>
              <w:rPr>
                <w:color w:val="000000"/>
              </w:rPr>
              <w:tab/>
            </w:r>
          </w:hyperlink>
          <w:r>
            <w:fldChar w:fldCharType="begin"/>
          </w:r>
          <w:r>
            <w:instrText xml:space="preserve"> PAGEREF _heading=h.1t3h5sf \h </w:instrText>
          </w:r>
          <w:r>
            <w:fldChar w:fldCharType="separate"/>
          </w:r>
          <w:r>
            <w:t>12</w:t>
          </w:r>
          <w:r>
            <w:fldChar w:fldCharType="end"/>
          </w:r>
        </w:p>
        <w:p w14:paraId="5EB73321" w14:textId="77777777" w:rsidR="003D70D5" w:rsidRDefault="00000000">
          <w:pPr>
            <w:widowControl w:val="0"/>
            <w:tabs>
              <w:tab w:val="right" w:leader="dot" w:pos="9360"/>
            </w:tabs>
            <w:spacing w:before="60" w:after="0"/>
            <w:ind w:left="720"/>
            <w:jc w:val="left"/>
            <w:rPr>
              <w:color w:val="000000"/>
            </w:rPr>
          </w:pPr>
          <w:hyperlink w:anchor="_heading=h.4d34og8">
            <w:r>
              <w:rPr>
                <w:color w:val="000000"/>
              </w:rPr>
              <w:t>Implication of the financing strategies of Aviva Plc</w:t>
            </w:r>
            <w:r>
              <w:rPr>
                <w:color w:val="000000"/>
              </w:rPr>
              <w:tab/>
            </w:r>
          </w:hyperlink>
          <w:r>
            <w:fldChar w:fldCharType="begin"/>
          </w:r>
          <w:r>
            <w:instrText xml:space="preserve"> PAGEREF _heading=h.4d34og8 \h </w:instrText>
          </w:r>
          <w:r>
            <w:fldChar w:fldCharType="separate"/>
          </w:r>
          <w:r>
            <w:t>12</w:t>
          </w:r>
          <w:r>
            <w:fldChar w:fldCharType="end"/>
          </w:r>
        </w:p>
        <w:p w14:paraId="35316C4E" w14:textId="77777777" w:rsidR="003D70D5" w:rsidRDefault="00000000">
          <w:pPr>
            <w:widowControl w:val="0"/>
            <w:tabs>
              <w:tab w:val="right" w:leader="dot" w:pos="9360"/>
            </w:tabs>
            <w:spacing w:before="60" w:after="0"/>
            <w:ind w:left="360"/>
            <w:jc w:val="left"/>
            <w:rPr>
              <w:color w:val="000000"/>
            </w:rPr>
          </w:pPr>
          <w:hyperlink w:anchor="_heading=h.2s8eyo1">
            <w:r>
              <w:rPr>
                <w:color w:val="000000"/>
              </w:rPr>
              <w:t>Evaluation of different models of international cost of capital, corporate value and financial structure</w:t>
            </w:r>
            <w:r>
              <w:rPr>
                <w:color w:val="000000"/>
              </w:rPr>
              <w:tab/>
            </w:r>
          </w:hyperlink>
          <w:r>
            <w:fldChar w:fldCharType="begin"/>
          </w:r>
          <w:r>
            <w:instrText xml:space="preserve"> PAGEREF _heading=h.2s8eyo1 \h </w:instrText>
          </w:r>
          <w:r>
            <w:fldChar w:fldCharType="separate"/>
          </w:r>
          <w:r>
            <w:t>13</w:t>
          </w:r>
          <w:r>
            <w:fldChar w:fldCharType="end"/>
          </w:r>
        </w:p>
        <w:p w14:paraId="4414B4B7" w14:textId="77777777" w:rsidR="003D70D5" w:rsidRDefault="00000000">
          <w:pPr>
            <w:widowControl w:val="0"/>
            <w:tabs>
              <w:tab w:val="right" w:leader="dot" w:pos="9360"/>
            </w:tabs>
            <w:spacing w:before="60" w:after="0"/>
            <w:ind w:left="720"/>
            <w:jc w:val="left"/>
            <w:rPr>
              <w:color w:val="000000"/>
            </w:rPr>
          </w:pPr>
          <w:hyperlink w:anchor="_heading=h.17dp8vu">
            <w:r>
              <w:rPr>
                <w:color w:val="000000"/>
              </w:rPr>
              <w:t>Theoretical models of international cost of capital</w:t>
            </w:r>
            <w:r>
              <w:rPr>
                <w:color w:val="000000"/>
              </w:rPr>
              <w:tab/>
            </w:r>
          </w:hyperlink>
          <w:r>
            <w:fldChar w:fldCharType="begin"/>
          </w:r>
          <w:r>
            <w:instrText xml:space="preserve"> PAGEREF _heading=h.17dp8vu \h </w:instrText>
          </w:r>
          <w:r>
            <w:fldChar w:fldCharType="separate"/>
          </w:r>
          <w:r>
            <w:t>13</w:t>
          </w:r>
          <w:r>
            <w:fldChar w:fldCharType="end"/>
          </w:r>
        </w:p>
        <w:p w14:paraId="6965BC26" w14:textId="77777777" w:rsidR="003D70D5" w:rsidRDefault="00000000">
          <w:pPr>
            <w:widowControl w:val="0"/>
            <w:tabs>
              <w:tab w:val="right" w:leader="dot" w:pos="9360"/>
            </w:tabs>
            <w:spacing w:before="60" w:after="0"/>
            <w:ind w:left="720"/>
            <w:jc w:val="left"/>
            <w:rPr>
              <w:color w:val="000000"/>
            </w:rPr>
          </w:pPr>
          <w:hyperlink w:anchor="_heading=h.3rdcrjn">
            <w:r>
              <w:rPr>
                <w:color w:val="000000"/>
              </w:rPr>
              <w:t>Theoretical model of corporate value</w:t>
            </w:r>
            <w:r>
              <w:rPr>
                <w:color w:val="000000"/>
              </w:rPr>
              <w:tab/>
            </w:r>
          </w:hyperlink>
          <w:r>
            <w:fldChar w:fldCharType="begin"/>
          </w:r>
          <w:r>
            <w:instrText xml:space="preserve"> PAGEREF _heading=h.3rdcrjn \h </w:instrText>
          </w:r>
          <w:r>
            <w:fldChar w:fldCharType="separate"/>
          </w:r>
          <w:r>
            <w:t>14</w:t>
          </w:r>
          <w:r>
            <w:fldChar w:fldCharType="end"/>
          </w:r>
        </w:p>
        <w:p w14:paraId="7EEFFEAE" w14:textId="77777777" w:rsidR="003D70D5" w:rsidRDefault="00000000">
          <w:pPr>
            <w:widowControl w:val="0"/>
            <w:tabs>
              <w:tab w:val="right" w:leader="dot" w:pos="9360"/>
            </w:tabs>
            <w:spacing w:before="60" w:after="0"/>
            <w:ind w:left="720"/>
            <w:jc w:val="left"/>
            <w:rPr>
              <w:color w:val="000000"/>
            </w:rPr>
          </w:pPr>
          <w:hyperlink w:anchor="_heading=h.26in1rg">
            <w:r>
              <w:rPr>
                <w:color w:val="000000"/>
              </w:rPr>
              <w:t>Theoretical model of financial structure</w:t>
            </w:r>
            <w:r>
              <w:rPr>
                <w:color w:val="000000"/>
              </w:rPr>
              <w:tab/>
            </w:r>
          </w:hyperlink>
          <w:r>
            <w:fldChar w:fldCharType="begin"/>
          </w:r>
          <w:r>
            <w:instrText xml:space="preserve"> PAGEREF _heading=h.26in1rg \h </w:instrText>
          </w:r>
          <w:r>
            <w:fldChar w:fldCharType="separate"/>
          </w:r>
          <w:r>
            <w:t>14</w:t>
          </w:r>
          <w:r>
            <w:fldChar w:fldCharType="end"/>
          </w:r>
        </w:p>
        <w:p w14:paraId="580A433C" w14:textId="77777777" w:rsidR="003D70D5" w:rsidRDefault="00000000">
          <w:pPr>
            <w:widowControl w:val="0"/>
            <w:tabs>
              <w:tab w:val="right" w:leader="dot" w:pos="9360"/>
            </w:tabs>
            <w:spacing w:before="60" w:after="0"/>
            <w:jc w:val="left"/>
            <w:rPr>
              <w:b/>
              <w:color w:val="000000"/>
            </w:rPr>
          </w:pPr>
          <w:hyperlink w:anchor="_heading=h.lnxbz9">
            <w:r>
              <w:rPr>
                <w:b/>
                <w:color w:val="000000"/>
              </w:rPr>
              <w:t>Conclusion</w:t>
            </w:r>
            <w:r>
              <w:rPr>
                <w:b/>
                <w:color w:val="000000"/>
              </w:rPr>
              <w:tab/>
            </w:r>
          </w:hyperlink>
          <w:r>
            <w:fldChar w:fldCharType="begin"/>
          </w:r>
          <w:r>
            <w:instrText xml:space="preserve"> PAGEREF _heading=h.lnxbz9 \h </w:instrText>
          </w:r>
          <w:r>
            <w:fldChar w:fldCharType="separate"/>
          </w:r>
          <w:r>
            <w:rPr>
              <w:b/>
            </w:rPr>
            <w:t>16</w:t>
          </w:r>
          <w:r>
            <w:fldChar w:fldCharType="end"/>
          </w:r>
        </w:p>
        <w:p w14:paraId="1CC22F8A" w14:textId="77777777" w:rsidR="003D70D5" w:rsidRDefault="00000000">
          <w:pPr>
            <w:widowControl w:val="0"/>
            <w:tabs>
              <w:tab w:val="right" w:leader="dot" w:pos="9360"/>
            </w:tabs>
            <w:spacing w:before="60" w:after="0"/>
            <w:jc w:val="left"/>
            <w:rPr>
              <w:b/>
              <w:color w:val="000000"/>
            </w:rPr>
          </w:pPr>
          <w:hyperlink w:anchor="_heading=h.35nkun2">
            <w:r>
              <w:rPr>
                <w:b/>
                <w:color w:val="000000"/>
              </w:rPr>
              <w:t>References</w:t>
            </w:r>
            <w:r>
              <w:rPr>
                <w:b/>
                <w:color w:val="000000"/>
              </w:rPr>
              <w:tab/>
            </w:r>
          </w:hyperlink>
          <w:r>
            <w:fldChar w:fldCharType="begin"/>
          </w:r>
          <w:r>
            <w:instrText xml:space="preserve"> PAGEREF _heading=h.35nkun2 \h </w:instrText>
          </w:r>
          <w:r>
            <w:fldChar w:fldCharType="separate"/>
          </w:r>
          <w:r>
            <w:rPr>
              <w:b/>
            </w:rPr>
            <w:t>17</w:t>
          </w:r>
          <w:r>
            <w:fldChar w:fldCharType="end"/>
          </w:r>
          <w:r>
            <w:fldChar w:fldCharType="end"/>
          </w:r>
        </w:p>
      </w:sdtContent>
    </w:sdt>
    <w:p w14:paraId="60A67355" w14:textId="77777777" w:rsidR="003D70D5" w:rsidRDefault="003D70D5">
      <w:pPr>
        <w:jc w:val="left"/>
        <w:rPr>
          <w:b/>
          <w:sz w:val="28"/>
          <w:szCs w:val="28"/>
        </w:rPr>
      </w:pPr>
    </w:p>
    <w:p w14:paraId="6CA3788A" w14:textId="77777777" w:rsidR="003D70D5" w:rsidRDefault="00000000">
      <w:pPr>
        <w:pStyle w:val="Heading1"/>
      </w:pPr>
      <w:bookmarkStart w:id="0" w:name="_heading=h.6m03m6fjpa3u" w:colFirst="0" w:colLast="0"/>
      <w:bookmarkEnd w:id="0"/>
      <w:r>
        <w:br w:type="page"/>
      </w:r>
    </w:p>
    <w:p w14:paraId="56543F37" w14:textId="77777777" w:rsidR="003D70D5" w:rsidRDefault="00000000">
      <w:pPr>
        <w:pStyle w:val="Heading1"/>
      </w:pPr>
      <w:bookmarkStart w:id="1" w:name="_heading=h.gjdgxs" w:colFirst="0" w:colLast="0"/>
      <w:bookmarkEnd w:id="1"/>
      <w:r>
        <w:lastRenderedPageBreak/>
        <w:t>Introduction</w:t>
      </w:r>
    </w:p>
    <w:p w14:paraId="790A0F32" w14:textId="77777777" w:rsidR="003D70D5" w:rsidRDefault="00000000">
      <w:pPr>
        <w:pBdr>
          <w:top w:val="nil"/>
          <w:left w:val="nil"/>
          <w:bottom w:val="nil"/>
          <w:right w:val="nil"/>
          <w:between w:val="nil"/>
        </w:pBdr>
        <w:spacing w:after="0"/>
        <w:rPr>
          <w:color w:val="000000"/>
        </w:rPr>
      </w:pPr>
      <w:r>
        <w:rPr>
          <w:color w:val="000000"/>
        </w:rPr>
        <w:t xml:space="preserve">International finance serves a noticeable role in increasing the customer base for a business </w:t>
      </w:r>
      <w:proofErr w:type="gramStart"/>
      <w:r>
        <w:rPr>
          <w:color w:val="000000"/>
        </w:rPr>
        <w:t>and also</w:t>
      </w:r>
      <w:proofErr w:type="gramEnd"/>
      <w:r>
        <w:rPr>
          <w:color w:val="000000"/>
        </w:rPr>
        <w:t xml:space="preserve"> in enhancing revenue through trading. Therefore, the following report will be carried out with the objective of identifying the impact of international finance on the growth of Aviva Plc. In that context, certain theories and models associated with international financial management will be highlighted. Besides that, the strategies adopted by Aviva Plc for the management of international finances will be evaluated. Thereafter, various theories related to global capital cost and corporate value will be described. Moreover, relevant theories of financial structure will be analysed for Aviva Plc.</w:t>
      </w:r>
    </w:p>
    <w:p w14:paraId="11F5F8CA" w14:textId="77777777" w:rsidR="003D70D5" w:rsidRDefault="00000000">
      <w:pPr>
        <w:spacing w:line="276" w:lineRule="auto"/>
        <w:jc w:val="left"/>
        <w:rPr>
          <w:b/>
          <w:color w:val="000000"/>
        </w:rPr>
      </w:pPr>
      <w:r>
        <w:br w:type="page"/>
      </w:r>
    </w:p>
    <w:p w14:paraId="2456082B" w14:textId="77777777" w:rsidR="003D70D5" w:rsidRDefault="00000000">
      <w:pPr>
        <w:pStyle w:val="Heading2"/>
      </w:pPr>
      <w:bookmarkStart w:id="2" w:name="_heading=h.30j0zll" w:colFirst="0" w:colLast="0"/>
      <w:bookmarkEnd w:id="2"/>
      <w:r>
        <w:lastRenderedPageBreak/>
        <w:t>Overview of Aviva Plc</w:t>
      </w:r>
    </w:p>
    <w:p w14:paraId="13842899" w14:textId="77777777" w:rsidR="003D70D5" w:rsidRDefault="00000000">
      <w:pPr>
        <w:pBdr>
          <w:top w:val="nil"/>
          <w:left w:val="nil"/>
          <w:bottom w:val="nil"/>
          <w:right w:val="nil"/>
          <w:between w:val="nil"/>
        </w:pBdr>
        <w:spacing w:after="0"/>
        <w:rPr>
          <w:color w:val="000000"/>
        </w:rPr>
      </w:pPr>
      <w:r>
        <w:rPr>
          <w:color w:val="000000"/>
        </w:rPr>
        <w:t>Aviva Plc is a recognised insurance company in the UK established in 1696. The headquarters of the company is in London. The company has around 19.2 customers across different parts of Europe. The company acquired a market share of 23% in the UK and is regarded as the largest insurance brand. Aviva Plc provides insurance for retirement and health in different countries such as Ireland, Canada, China, Singapore and many more. The market share price of the company is around £477 billion (AVIVA, 2024).</w:t>
      </w:r>
    </w:p>
    <w:p w14:paraId="50163A4A" w14:textId="77777777" w:rsidR="003D70D5" w:rsidRDefault="00000000">
      <w:pPr>
        <w:spacing w:line="276" w:lineRule="auto"/>
        <w:jc w:val="left"/>
        <w:rPr>
          <w:b/>
          <w:color w:val="000000"/>
        </w:rPr>
      </w:pPr>
      <w:r>
        <w:br w:type="page"/>
      </w:r>
    </w:p>
    <w:p w14:paraId="7FC7185F" w14:textId="77777777" w:rsidR="003D70D5" w:rsidRDefault="00000000">
      <w:pPr>
        <w:pStyle w:val="Heading2"/>
      </w:pPr>
      <w:bookmarkStart w:id="3" w:name="_heading=h.1fob9te" w:colFirst="0" w:colLast="0"/>
      <w:bookmarkEnd w:id="3"/>
      <w:r>
        <w:lastRenderedPageBreak/>
        <w:t>Evaluation of different models and theories of International Finance</w:t>
      </w:r>
    </w:p>
    <w:p w14:paraId="13FEFF82" w14:textId="77777777" w:rsidR="003D70D5" w:rsidRDefault="00000000">
      <w:pPr>
        <w:pStyle w:val="Heading3"/>
      </w:pPr>
      <w:bookmarkStart w:id="4" w:name="_heading=h.3znysh7" w:colFirst="0" w:colLast="0"/>
      <w:bookmarkEnd w:id="4"/>
      <w:r>
        <w:t>Concept</w:t>
      </w:r>
    </w:p>
    <w:p w14:paraId="389CCF9B" w14:textId="77777777" w:rsidR="003D70D5" w:rsidRDefault="00000000">
      <w:pPr>
        <w:pBdr>
          <w:top w:val="nil"/>
          <w:left w:val="nil"/>
          <w:bottom w:val="nil"/>
          <w:right w:val="nil"/>
          <w:between w:val="nil"/>
        </w:pBdr>
        <w:spacing w:after="0"/>
        <w:jc w:val="center"/>
        <w:rPr>
          <w:color w:val="000000"/>
        </w:rPr>
      </w:pPr>
      <w:r>
        <w:rPr>
          <w:noProof/>
          <w:color w:val="000000"/>
        </w:rPr>
        <w:drawing>
          <wp:inline distT="0" distB="0" distL="0" distR="0" wp14:anchorId="301F4A5E" wp14:editId="3B74C254">
            <wp:extent cx="3171825" cy="3352800"/>
            <wp:effectExtent l="0" t="0" r="0" b="0"/>
            <wp:docPr id="472088902" name="image4.jpg" descr="International Finance Assignment Help Australia"/>
            <wp:cNvGraphicFramePr/>
            <a:graphic xmlns:a="http://schemas.openxmlformats.org/drawingml/2006/main">
              <a:graphicData uri="http://schemas.openxmlformats.org/drawingml/2006/picture">
                <pic:pic xmlns:pic="http://schemas.openxmlformats.org/drawingml/2006/picture">
                  <pic:nvPicPr>
                    <pic:cNvPr id="0" name="image4.jpg" descr="International Finance Assignment Help Australia"/>
                    <pic:cNvPicPr preferRelativeResize="0"/>
                  </pic:nvPicPr>
                  <pic:blipFill>
                    <a:blip r:embed="rId8"/>
                    <a:srcRect/>
                    <a:stretch>
                      <a:fillRect/>
                    </a:stretch>
                  </pic:blipFill>
                  <pic:spPr>
                    <a:xfrm>
                      <a:off x="0" y="0"/>
                      <a:ext cx="3171825" cy="3352800"/>
                    </a:xfrm>
                    <a:prstGeom prst="rect">
                      <a:avLst/>
                    </a:prstGeom>
                    <a:ln/>
                  </pic:spPr>
                </pic:pic>
              </a:graphicData>
            </a:graphic>
          </wp:inline>
        </w:drawing>
      </w:r>
    </w:p>
    <w:p w14:paraId="72D53BAE" w14:textId="77777777" w:rsidR="003D70D5" w:rsidRDefault="00000000">
      <w:pPr>
        <w:pBdr>
          <w:top w:val="nil"/>
          <w:left w:val="nil"/>
          <w:bottom w:val="nil"/>
          <w:right w:val="nil"/>
          <w:between w:val="nil"/>
        </w:pBdr>
        <w:spacing w:after="0"/>
        <w:jc w:val="center"/>
        <w:rPr>
          <w:i/>
          <w:color w:val="000000"/>
        </w:rPr>
      </w:pPr>
      <w:r>
        <w:rPr>
          <w:i/>
          <w:color w:val="000000"/>
        </w:rPr>
        <w:t>Figure</w:t>
      </w:r>
      <w:proofErr w:type="gramStart"/>
      <w:r>
        <w:rPr>
          <w:i/>
          <w:color w:val="000000"/>
        </w:rPr>
        <w:t>-(</w:t>
      </w:r>
      <w:proofErr w:type="gramEnd"/>
      <w:r>
        <w:rPr>
          <w:i/>
          <w:color w:val="000000"/>
        </w:rPr>
        <w:t>International finance management)</w:t>
      </w:r>
    </w:p>
    <w:p w14:paraId="795F8243" w14:textId="77777777" w:rsidR="003D70D5" w:rsidRDefault="00000000">
      <w:pPr>
        <w:pBdr>
          <w:top w:val="nil"/>
          <w:left w:val="nil"/>
          <w:bottom w:val="nil"/>
          <w:right w:val="nil"/>
          <w:between w:val="nil"/>
        </w:pBdr>
        <w:spacing w:after="0"/>
        <w:jc w:val="center"/>
        <w:rPr>
          <w:color w:val="000000"/>
        </w:rPr>
      </w:pPr>
      <w:r>
        <w:rPr>
          <w:color w:val="000000"/>
        </w:rPr>
        <w:t>Source- (Hopkins, 2024)</w:t>
      </w:r>
    </w:p>
    <w:p w14:paraId="60152E83" w14:textId="77777777" w:rsidR="003D70D5" w:rsidRDefault="00000000">
      <w:pPr>
        <w:pBdr>
          <w:top w:val="nil"/>
          <w:left w:val="nil"/>
          <w:bottom w:val="nil"/>
          <w:right w:val="nil"/>
          <w:between w:val="nil"/>
        </w:pBdr>
        <w:spacing w:after="0"/>
        <w:rPr>
          <w:color w:val="000000"/>
        </w:rPr>
      </w:pPr>
      <w:r>
        <w:rPr>
          <w:color w:val="000000"/>
        </w:rPr>
        <w:t xml:space="preserve">International finance refers to the mechanism of regulating financial and monetary activities by businesses across the border. It includes financial investment, debt financing, risk evaluation and many more. International finance management assists businesses in several ways. Some of the ways have been listed </w:t>
      </w:r>
      <w:proofErr w:type="gramStart"/>
      <w:r>
        <w:rPr>
          <w:color w:val="000000"/>
        </w:rPr>
        <w:t>below</w:t>
      </w:r>
      <w:proofErr w:type="gramEnd"/>
    </w:p>
    <w:p w14:paraId="27A64044" w14:textId="77777777" w:rsidR="003D70D5" w:rsidRDefault="00000000">
      <w:pPr>
        <w:pBdr>
          <w:top w:val="nil"/>
          <w:left w:val="nil"/>
          <w:bottom w:val="nil"/>
          <w:right w:val="nil"/>
          <w:between w:val="nil"/>
        </w:pBdr>
        <w:spacing w:after="0"/>
        <w:rPr>
          <w:color w:val="000000"/>
        </w:rPr>
      </w:pPr>
      <w:r>
        <w:rPr>
          <w:b/>
          <w:color w:val="000000"/>
        </w:rPr>
        <w:t xml:space="preserve">Capital inflow and debt </w:t>
      </w:r>
      <w:proofErr w:type="gramStart"/>
      <w:r>
        <w:rPr>
          <w:b/>
          <w:color w:val="000000"/>
        </w:rPr>
        <w:t>financing</w:t>
      </w:r>
      <w:proofErr w:type="gramEnd"/>
    </w:p>
    <w:p w14:paraId="2FFC4107" w14:textId="77777777" w:rsidR="003D70D5" w:rsidRDefault="00000000">
      <w:pPr>
        <w:pBdr>
          <w:top w:val="nil"/>
          <w:left w:val="nil"/>
          <w:bottom w:val="nil"/>
          <w:right w:val="nil"/>
          <w:between w:val="nil"/>
        </w:pBdr>
        <w:spacing w:after="0"/>
        <w:rPr>
          <w:color w:val="000000"/>
        </w:rPr>
      </w:pPr>
      <w:r>
        <w:rPr>
          <w:color w:val="000000"/>
        </w:rPr>
        <w:t>The various investment tools such as Foreign Direct Investment and Foreign Portfolio Investment allow businesses to approach new markets. Aviva Plc has been utilising FDI to acquire shares in foreign companies allowing them to achieve higher economic growth (Hopkins, 2024).</w:t>
      </w:r>
    </w:p>
    <w:p w14:paraId="7B577897" w14:textId="77777777" w:rsidR="003D70D5" w:rsidRDefault="00000000">
      <w:pPr>
        <w:pBdr>
          <w:top w:val="nil"/>
          <w:left w:val="nil"/>
          <w:bottom w:val="nil"/>
          <w:right w:val="nil"/>
          <w:between w:val="nil"/>
        </w:pBdr>
        <w:spacing w:after="0"/>
        <w:rPr>
          <w:color w:val="000000"/>
        </w:rPr>
      </w:pPr>
      <w:r>
        <w:rPr>
          <w:b/>
          <w:color w:val="000000"/>
        </w:rPr>
        <w:t>Foreign Exchange regulations</w:t>
      </w:r>
    </w:p>
    <w:p w14:paraId="65BA2AE5" w14:textId="77777777" w:rsidR="003D70D5" w:rsidRDefault="00000000">
      <w:pPr>
        <w:pBdr>
          <w:top w:val="nil"/>
          <w:left w:val="nil"/>
          <w:bottom w:val="nil"/>
          <w:right w:val="nil"/>
          <w:between w:val="nil"/>
        </w:pBdr>
        <w:spacing w:after="0"/>
        <w:rPr>
          <w:color w:val="000000"/>
        </w:rPr>
      </w:pPr>
      <w:r>
        <w:rPr>
          <w:color w:val="000000"/>
        </w:rPr>
        <w:lastRenderedPageBreak/>
        <w:t>International finance assists businesses in achieving higher financial growth from the global market through the regulation of exchange rates. Aviva Plc generated higher revenue from the international market due to higher exchange rates in the UK.</w:t>
      </w:r>
    </w:p>
    <w:p w14:paraId="320C7EB7" w14:textId="77777777" w:rsidR="003D70D5" w:rsidRDefault="00000000">
      <w:pPr>
        <w:pBdr>
          <w:top w:val="nil"/>
          <w:left w:val="nil"/>
          <w:bottom w:val="nil"/>
          <w:right w:val="nil"/>
          <w:between w:val="nil"/>
        </w:pBdr>
        <w:spacing w:after="0"/>
        <w:rPr>
          <w:color w:val="000000"/>
        </w:rPr>
      </w:pPr>
      <w:r>
        <w:rPr>
          <w:b/>
          <w:color w:val="000000"/>
        </w:rPr>
        <w:t xml:space="preserve">Risk </w:t>
      </w:r>
      <w:proofErr w:type="gramStart"/>
      <w:r>
        <w:rPr>
          <w:b/>
          <w:color w:val="000000"/>
        </w:rPr>
        <w:t>evaluation</w:t>
      </w:r>
      <w:proofErr w:type="gramEnd"/>
    </w:p>
    <w:p w14:paraId="2465FF0F" w14:textId="77777777" w:rsidR="003D70D5" w:rsidRDefault="00000000">
      <w:pPr>
        <w:pBdr>
          <w:top w:val="nil"/>
          <w:left w:val="nil"/>
          <w:bottom w:val="nil"/>
          <w:right w:val="nil"/>
          <w:between w:val="nil"/>
        </w:pBdr>
        <w:spacing w:after="0"/>
        <w:rPr>
          <w:color w:val="000000"/>
        </w:rPr>
      </w:pPr>
      <w:r>
        <w:rPr>
          <w:color w:val="000000"/>
        </w:rPr>
        <w:t>The management of international finance fosters businesses to identify the underlying threats associated with a particular foreign investment. Aviva Plc is known to manage its finances in an effective way that enables it to put appropriate investments in the financial global market (</w:t>
      </w:r>
      <w:proofErr w:type="spellStart"/>
      <w:r>
        <w:rPr>
          <w:color w:val="000000"/>
        </w:rPr>
        <w:t>Center</w:t>
      </w:r>
      <w:proofErr w:type="spellEnd"/>
      <w:r>
        <w:rPr>
          <w:color w:val="000000"/>
        </w:rPr>
        <w:t>, 2023).</w:t>
      </w:r>
    </w:p>
    <w:p w14:paraId="77F6AE59" w14:textId="77777777" w:rsidR="003D70D5" w:rsidRDefault="00000000">
      <w:pPr>
        <w:pStyle w:val="Heading3"/>
      </w:pPr>
      <w:bookmarkStart w:id="5" w:name="_heading=h.2et92p0" w:colFirst="0" w:colLast="0"/>
      <w:bookmarkEnd w:id="5"/>
      <w:r>
        <w:t xml:space="preserve">Relevant theories and models associated with international </w:t>
      </w:r>
      <w:proofErr w:type="gramStart"/>
      <w:r>
        <w:t>finance</w:t>
      </w:r>
      <w:proofErr w:type="gramEnd"/>
    </w:p>
    <w:p w14:paraId="4D8B8C9C" w14:textId="77777777" w:rsidR="003D70D5" w:rsidRDefault="00000000">
      <w:pPr>
        <w:pBdr>
          <w:top w:val="nil"/>
          <w:left w:val="nil"/>
          <w:bottom w:val="nil"/>
          <w:right w:val="nil"/>
          <w:between w:val="nil"/>
        </w:pBdr>
        <w:spacing w:after="0"/>
        <w:rPr>
          <w:color w:val="000000"/>
        </w:rPr>
      </w:pPr>
      <w:r>
        <w:rPr>
          <w:color w:val="000000"/>
        </w:rPr>
        <w:t xml:space="preserve">There are multiple theories and models of international finance that pave the way for global investment for businesses. Some of the models and theories have been mentioned </w:t>
      </w:r>
      <w:proofErr w:type="gramStart"/>
      <w:r>
        <w:rPr>
          <w:color w:val="000000"/>
        </w:rPr>
        <w:t>below</w:t>
      </w:r>
      <w:proofErr w:type="gramEnd"/>
    </w:p>
    <w:p w14:paraId="7D9E154F" w14:textId="77777777" w:rsidR="003D70D5" w:rsidRDefault="00000000">
      <w:pPr>
        <w:pBdr>
          <w:top w:val="nil"/>
          <w:left w:val="nil"/>
          <w:bottom w:val="nil"/>
          <w:right w:val="nil"/>
          <w:between w:val="nil"/>
        </w:pBdr>
        <w:spacing w:after="0"/>
        <w:rPr>
          <w:color w:val="000000"/>
        </w:rPr>
      </w:pPr>
      <w:r>
        <w:rPr>
          <w:b/>
          <w:color w:val="000000"/>
        </w:rPr>
        <w:t xml:space="preserve">The Dornbusch Overshooting </w:t>
      </w:r>
      <w:proofErr w:type="gramStart"/>
      <w:r>
        <w:rPr>
          <w:b/>
          <w:color w:val="000000"/>
        </w:rPr>
        <w:t>model</w:t>
      </w:r>
      <w:proofErr w:type="gramEnd"/>
    </w:p>
    <w:p w14:paraId="34A47355" w14:textId="77777777" w:rsidR="003D70D5" w:rsidRDefault="00000000">
      <w:pPr>
        <w:pBdr>
          <w:top w:val="nil"/>
          <w:left w:val="nil"/>
          <w:bottom w:val="nil"/>
          <w:right w:val="nil"/>
          <w:between w:val="nil"/>
        </w:pBdr>
        <w:spacing w:after="0"/>
        <w:rPr>
          <w:i/>
          <w:color w:val="000000"/>
        </w:rPr>
      </w:pPr>
      <w:r>
        <w:rPr>
          <w:b/>
          <w:i/>
          <w:color w:val="000000"/>
        </w:rPr>
        <w:t>Concept</w:t>
      </w:r>
    </w:p>
    <w:p w14:paraId="23E952A1" w14:textId="77777777" w:rsidR="003D70D5" w:rsidRDefault="00000000">
      <w:pPr>
        <w:pBdr>
          <w:top w:val="nil"/>
          <w:left w:val="nil"/>
          <w:bottom w:val="nil"/>
          <w:right w:val="nil"/>
          <w:between w:val="nil"/>
        </w:pBdr>
        <w:spacing w:after="0"/>
        <w:jc w:val="center"/>
        <w:rPr>
          <w:color w:val="000000"/>
        </w:rPr>
      </w:pPr>
      <w:r>
        <w:rPr>
          <w:noProof/>
          <w:color w:val="000000"/>
        </w:rPr>
        <w:lastRenderedPageBreak/>
        <w:drawing>
          <wp:inline distT="0" distB="0" distL="0" distR="0" wp14:anchorId="094FE39D" wp14:editId="58DBC25E">
            <wp:extent cx="4082143" cy="3572702"/>
            <wp:effectExtent l="0" t="0" r="0" b="0"/>
            <wp:docPr id="472088901" name="image3.png" descr="ode - Dornbusch model for exchange rate undershooting - Economics Stack  Exchange"/>
            <wp:cNvGraphicFramePr/>
            <a:graphic xmlns:a="http://schemas.openxmlformats.org/drawingml/2006/main">
              <a:graphicData uri="http://schemas.openxmlformats.org/drawingml/2006/picture">
                <pic:pic xmlns:pic="http://schemas.openxmlformats.org/drawingml/2006/picture">
                  <pic:nvPicPr>
                    <pic:cNvPr id="0" name="image3.png" descr="ode - Dornbusch model for exchange rate undershooting - Economics Stack  Exchange"/>
                    <pic:cNvPicPr preferRelativeResize="0"/>
                  </pic:nvPicPr>
                  <pic:blipFill>
                    <a:blip r:embed="rId9"/>
                    <a:srcRect/>
                    <a:stretch>
                      <a:fillRect/>
                    </a:stretch>
                  </pic:blipFill>
                  <pic:spPr>
                    <a:xfrm>
                      <a:off x="0" y="0"/>
                      <a:ext cx="4082143" cy="3572702"/>
                    </a:xfrm>
                    <a:prstGeom prst="rect">
                      <a:avLst/>
                    </a:prstGeom>
                    <a:ln/>
                  </pic:spPr>
                </pic:pic>
              </a:graphicData>
            </a:graphic>
          </wp:inline>
        </w:drawing>
      </w:r>
    </w:p>
    <w:p w14:paraId="4913C0A8" w14:textId="77777777" w:rsidR="003D70D5" w:rsidRDefault="00000000">
      <w:pPr>
        <w:pBdr>
          <w:top w:val="nil"/>
          <w:left w:val="nil"/>
          <w:bottom w:val="nil"/>
          <w:right w:val="nil"/>
          <w:between w:val="nil"/>
        </w:pBdr>
        <w:spacing w:after="0"/>
        <w:jc w:val="center"/>
        <w:rPr>
          <w:i/>
          <w:color w:val="000000"/>
        </w:rPr>
      </w:pPr>
      <w:r>
        <w:rPr>
          <w:i/>
          <w:color w:val="000000"/>
        </w:rPr>
        <w:t>Figure</w:t>
      </w:r>
      <w:proofErr w:type="gramStart"/>
      <w:r>
        <w:rPr>
          <w:i/>
          <w:color w:val="000000"/>
        </w:rPr>
        <w:t>-(</w:t>
      </w:r>
      <w:proofErr w:type="gramEnd"/>
      <w:r>
        <w:rPr>
          <w:i/>
          <w:color w:val="000000"/>
        </w:rPr>
        <w:t>Dornbusch Overshooting model)</w:t>
      </w:r>
    </w:p>
    <w:p w14:paraId="15D2C287" w14:textId="77777777" w:rsidR="003D70D5" w:rsidRDefault="00000000">
      <w:pPr>
        <w:pBdr>
          <w:top w:val="nil"/>
          <w:left w:val="nil"/>
          <w:bottom w:val="nil"/>
          <w:right w:val="nil"/>
          <w:between w:val="nil"/>
        </w:pBdr>
        <w:spacing w:after="0"/>
        <w:jc w:val="center"/>
        <w:rPr>
          <w:color w:val="000000"/>
        </w:rPr>
      </w:pPr>
      <w:r>
        <w:rPr>
          <w:color w:val="000000"/>
        </w:rPr>
        <w:t>Source-(</w:t>
      </w:r>
      <w:proofErr w:type="spellStart"/>
      <w:r>
        <w:rPr>
          <w:color w:val="000000"/>
        </w:rPr>
        <w:t>Rüth</w:t>
      </w:r>
      <w:proofErr w:type="spellEnd"/>
      <w:r>
        <w:rPr>
          <w:color w:val="000000"/>
        </w:rPr>
        <w:t xml:space="preserve"> and Van der </w:t>
      </w:r>
      <w:proofErr w:type="spellStart"/>
      <w:r>
        <w:rPr>
          <w:color w:val="000000"/>
        </w:rPr>
        <w:t>Veken</w:t>
      </w:r>
      <w:proofErr w:type="spellEnd"/>
      <w:r>
        <w:rPr>
          <w:color w:val="000000"/>
        </w:rPr>
        <w:t>, 2023)</w:t>
      </w:r>
    </w:p>
    <w:p w14:paraId="517D722F" w14:textId="77777777" w:rsidR="003D70D5" w:rsidRDefault="00000000">
      <w:pPr>
        <w:pBdr>
          <w:top w:val="nil"/>
          <w:left w:val="nil"/>
          <w:bottom w:val="nil"/>
          <w:right w:val="nil"/>
          <w:between w:val="nil"/>
        </w:pBdr>
        <w:spacing w:after="0"/>
        <w:rPr>
          <w:color w:val="000000"/>
        </w:rPr>
      </w:pPr>
      <w:r>
        <w:rPr>
          <w:color w:val="000000"/>
        </w:rPr>
        <w:t>The Dornbusch Overshooting model is a macroeconomic framework that identifies the interrelationships between monetary policy and exchange rates of the country. It projected the idea that there are sharp fluctuations in the currency exchange rates due to changes in the monetary policy (</w:t>
      </w:r>
      <w:proofErr w:type="spellStart"/>
      <w:r>
        <w:rPr>
          <w:color w:val="000000"/>
        </w:rPr>
        <w:t>Rüth</w:t>
      </w:r>
      <w:proofErr w:type="spellEnd"/>
      <w:r>
        <w:rPr>
          <w:color w:val="000000"/>
        </w:rPr>
        <w:t xml:space="preserve"> and Van der </w:t>
      </w:r>
      <w:proofErr w:type="spellStart"/>
      <w:r>
        <w:rPr>
          <w:color w:val="000000"/>
        </w:rPr>
        <w:t>Veken</w:t>
      </w:r>
      <w:proofErr w:type="spellEnd"/>
      <w:r>
        <w:rPr>
          <w:color w:val="000000"/>
        </w:rPr>
        <w:t>, 2023).</w:t>
      </w:r>
    </w:p>
    <w:p w14:paraId="5492574E" w14:textId="77777777" w:rsidR="003D70D5" w:rsidRDefault="00000000">
      <w:pPr>
        <w:pBdr>
          <w:top w:val="nil"/>
          <w:left w:val="nil"/>
          <w:bottom w:val="nil"/>
          <w:right w:val="nil"/>
          <w:between w:val="nil"/>
        </w:pBdr>
        <w:spacing w:after="0"/>
        <w:rPr>
          <w:i/>
          <w:color w:val="000000"/>
        </w:rPr>
      </w:pPr>
      <w:r>
        <w:rPr>
          <w:b/>
          <w:i/>
          <w:color w:val="000000"/>
        </w:rPr>
        <w:t>Evaluation</w:t>
      </w:r>
    </w:p>
    <w:p w14:paraId="0D2C2A33" w14:textId="77777777" w:rsidR="003D70D5" w:rsidRDefault="00000000">
      <w:pPr>
        <w:pBdr>
          <w:top w:val="nil"/>
          <w:left w:val="nil"/>
          <w:bottom w:val="nil"/>
          <w:right w:val="nil"/>
          <w:between w:val="nil"/>
        </w:pBdr>
        <w:spacing w:after="0"/>
        <w:rPr>
          <w:color w:val="000000"/>
        </w:rPr>
      </w:pPr>
      <w:r>
        <w:rPr>
          <w:color w:val="000000"/>
        </w:rPr>
        <w:t xml:space="preserve">The above model is highly fruitful for businesses in utilising the benefits of short-term fluctuations in the exchange rates. Aviva Plc has been employing effective finance management </w:t>
      </w:r>
      <w:proofErr w:type="gramStart"/>
      <w:r>
        <w:rPr>
          <w:color w:val="000000"/>
        </w:rPr>
        <w:t>in order to</w:t>
      </w:r>
      <w:proofErr w:type="gramEnd"/>
      <w:r>
        <w:rPr>
          <w:color w:val="000000"/>
        </w:rPr>
        <w:t xml:space="preserve"> adapt to the macroeconomic situations. It has allowed the company to monitor its policies in a better way.</w:t>
      </w:r>
    </w:p>
    <w:p w14:paraId="725B985A" w14:textId="77777777" w:rsidR="003D70D5" w:rsidRDefault="00000000">
      <w:pPr>
        <w:pBdr>
          <w:top w:val="nil"/>
          <w:left w:val="nil"/>
          <w:bottom w:val="nil"/>
          <w:right w:val="nil"/>
          <w:between w:val="nil"/>
        </w:pBdr>
        <w:spacing w:after="0"/>
        <w:rPr>
          <w:color w:val="000000"/>
        </w:rPr>
      </w:pPr>
      <w:r>
        <w:rPr>
          <w:b/>
          <w:color w:val="000000"/>
        </w:rPr>
        <w:t>Purchasing Power Parity</w:t>
      </w:r>
    </w:p>
    <w:p w14:paraId="3EF0ACE1" w14:textId="77777777" w:rsidR="003D70D5" w:rsidRDefault="00000000">
      <w:pPr>
        <w:pBdr>
          <w:top w:val="nil"/>
          <w:left w:val="nil"/>
          <w:bottom w:val="nil"/>
          <w:right w:val="nil"/>
          <w:between w:val="nil"/>
        </w:pBdr>
        <w:spacing w:after="0"/>
        <w:rPr>
          <w:i/>
          <w:color w:val="000000"/>
        </w:rPr>
      </w:pPr>
      <w:r>
        <w:rPr>
          <w:b/>
          <w:i/>
          <w:color w:val="000000"/>
        </w:rPr>
        <w:t>Concept</w:t>
      </w:r>
    </w:p>
    <w:p w14:paraId="32251B11" w14:textId="77777777" w:rsidR="003D70D5" w:rsidRDefault="00000000">
      <w:pPr>
        <w:pBdr>
          <w:top w:val="nil"/>
          <w:left w:val="nil"/>
          <w:bottom w:val="nil"/>
          <w:right w:val="nil"/>
          <w:between w:val="nil"/>
        </w:pBdr>
        <w:spacing w:after="0"/>
        <w:rPr>
          <w:color w:val="000000"/>
        </w:rPr>
      </w:pPr>
      <w:r>
        <w:rPr>
          <w:color w:val="000000"/>
        </w:rPr>
        <w:lastRenderedPageBreak/>
        <w:t xml:space="preserve">Purchasing power parity refers to the mechanism of making the price level equal in different countries </w:t>
      </w:r>
      <w:proofErr w:type="gramStart"/>
      <w:r>
        <w:rPr>
          <w:color w:val="000000"/>
        </w:rPr>
        <w:t>in order to</w:t>
      </w:r>
      <w:proofErr w:type="gramEnd"/>
      <w:r>
        <w:rPr>
          <w:color w:val="000000"/>
        </w:rPr>
        <w:t xml:space="preserve"> determine the exchange rate. It fosters in achieving a deeper insight into the macroeconomic framework of the country. Purchasing power parity helps in analysing the buying potential of the customers in an effective manner (OECD, 2024).</w:t>
      </w:r>
    </w:p>
    <w:p w14:paraId="548C2128" w14:textId="77777777" w:rsidR="003D70D5" w:rsidRDefault="00000000">
      <w:pPr>
        <w:pBdr>
          <w:top w:val="nil"/>
          <w:left w:val="nil"/>
          <w:bottom w:val="nil"/>
          <w:right w:val="nil"/>
          <w:between w:val="nil"/>
        </w:pBdr>
        <w:spacing w:after="0"/>
        <w:rPr>
          <w:i/>
          <w:color w:val="000000"/>
        </w:rPr>
      </w:pPr>
      <w:r>
        <w:rPr>
          <w:b/>
          <w:i/>
          <w:color w:val="000000"/>
        </w:rPr>
        <w:t>Evaluation</w:t>
      </w:r>
    </w:p>
    <w:p w14:paraId="1EE0EE66" w14:textId="77777777" w:rsidR="003D70D5" w:rsidRDefault="00000000">
      <w:pPr>
        <w:pBdr>
          <w:top w:val="nil"/>
          <w:left w:val="nil"/>
          <w:bottom w:val="nil"/>
          <w:right w:val="nil"/>
          <w:between w:val="nil"/>
        </w:pBdr>
        <w:spacing w:after="0"/>
        <w:rPr>
          <w:color w:val="000000"/>
        </w:rPr>
      </w:pPr>
      <w:r>
        <w:rPr>
          <w:color w:val="000000"/>
        </w:rPr>
        <w:t>The purchasing power of the customers assists the businesses in framing effective strategies and planning for delivering the services. Aviva Plc is known to employ its services in developed economies such as Ireland and Canada due to the higher buying potential of customers. It has allowed the company to launch its premium insurance plans for customers. However, the assumption of equivalency of prices in the above macroeconomic model is not practically feasible and overlooks certain important economic aspects such as transportation and logistics costs and many more (Hopkins, 2024).</w:t>
      </w:r>
    </w:p>
    <w:p w14:paraId="362683FD" w14:textId="77777777" w:rsidR="003D70D5" w:rsidRDefault="00000000">
      <w:pPr>
        <w:spacing w:line="276" w:lineRule="auto"/>
        <w:jc w:val="left"/>
        <w:rPr>
          <w:b/>
          <w:sz w:val="26"/>
          <w:szCs w:val="26"/>
        </w:rPr>
      </w:pPr>
      <w:r>
        <w:br w:type="page"/>
      </w:r>
    </w:p>
    <w:p w14:paraId="7EA25EF1" w14:textId="77777777" w:rsidR="003D70D5" w:rsidRDefault="00000000">
      <w:pPr>
        <w:pStyle w:val="Heading2"/>
      </w:pPr>
      <w:bookmarkStart w:id="6" w:name="_heading=h.tyjcwt" w:colFirst="0" w:colLast="0"/>
      <w:bookmarkEnd w:id="6"/>
      <w:r>
        <w:lastRenderedPageBreak/>
        <w:t xml:space="preserve">Evaluation of the application of distinct financing techniques and strategies employed by Aviva Plc in international </w:t>
      </w:r>
      <w:proofErr w:type="gramStart"/>
      <w:r>
        <w:t>business</w:t>
      </w:r>
      <w:proofErr w:type="gramEnd"/>
    </w:p>
    <w:p w14:paraId="3621422E" w14:textId="77777777" w:rsidR="003D70D5" w:rsidRDefault="00000000">
      <w:pPr>
        <w:pStyle w:val="Heading3"/>
      </w:pPr>
      <w:bookmarkStart w:id="7" w:name="_heading=h.3dy6vkm" w:colFirst="0" w:colLast="0"/>
      <w:bookmarkEnd w:id="7"/>
      <w:r>
        <w:t>Evaluation of distinct financing strategies of Aviva Plc</w:t>
      </w:r>
    </w:p>
    <w:p w14:paraId="34F4B7A7" w14:textId="77777777" w:rsidR="003D70D5" w:rsidRDefault="00000000">
      <w:pPr>
        <w:pBdr>
          <w:top w:val="nil"/>
          <w:left w:val="nil"/>
          <w:bottom w:val="nil"/>
          <w:right w:val="nil"/>
          <w:between w:val="nil"/>
        </w:pBdr>
        <w:spacing w:after="0"/>
        <w:rPr>
          <w:color w:val="000000"/>
        </w:rPr>
      </w:pPr>
      <w:r>
        <w:rPr>
          <w:b/>
          <w:color w:val="000000"/>
        </w:rPr>
        <w:t>Crowdfunding</w:t>
      </w:r>
    </w:p>
    <w:p w14:paraId="2B364C73" w14:textId="77777777" w:rsidR="003D70D5" w:rsidRDefault="00000000">
      <w:pPr>
        <w:pBdr>
          <w:top w:val="nil"/>
          <w:left w:val="nil"/>
          <w:bottom w:val="nil"/>
          <w:right w:val="nil"/>
          <w:between w:val="nil"/>
        </w:pBdr>
        <w:spacing w:after="0"/>
        <w:jc w:val="center"/>
        <w:rPr>
          <w:color w:val="000000"/>
        </w:rPr>
      </w:pPr>
      <w:r>
        <w:rPr>
          <w:noProof/>
          <w:color w:val="000000"/>
        </w:rPr>
        <w:drawing>
          <wp:inline distT="0" distB="0" distL="0" distR="0" wp14:anchorId="01BC832B" wp14:editId="3800B521">
            <wp:extent cx="3933825" cy="1933575"/>
            <wp:effectExtent l="0" t="0" r="0" b="0"/>
            <wp:docPr id="472088904" name="image1.png" descr="Crowdfunding explained - European Commission"/>
            <wp:cNvGraphicFramePr/>
            <a:graphic xmlns:a="http://schemas.openxmlformats.org/drawingml/2006/main">
              <a:graphicData uri="http://schemas.openxmlformats.org/drawingml/2006/picture">
                <pic:pic xmlns:pic="http://schemas.openxmlformats.org/drawingml/2006/picture">
                  <pic:nvPicPr>
                    <pic:cNvPr id="0" name="image1.png" descr="Crowdfunding explained - European Commission"/>
                    <pic:cNvPicPr preferRelativeResize="0"/>
                  </pic:nvPicPr>
                  <pic:blipFill>
                    <a:blip r:embed="rId10"/>
                    <a:srcRect/>
                    <a:stretch>
                      <a:fillRect/>
                    </a:stretch>
                  </pic:blipFill>
                  <pic:spPr>
                    <a:xfrm>
                      <a:off x="0" y="0"/>
                      <a:ext cx="3933825" cy="1933575"/>
                    </a:xfrm>
                    <a:prstGeom prst="rect">
                      <a:avLst/>
                    </a:prstGeom>
                    <a:ln/>
                  </pic:spPr>
                </pic:pic>
              </a:graphicData>
            </a:graphic>
          </wp:inline>
        </w:drawing>
      </w:r>
    </w:p>
    <w:p w14:paraId="5D1F95E4" w14:textId="77777777" w:rsidR="003D70D5" w:rsidRDefault="00000000">
      <w:pPr>
        <w:pBdr>
          <w:top w:val="nil"/>
          <w:left w:val="nil"/>
          <w:bottom w:val="nil"/>
          <w:right w:val="nil"/>
          <w:between w:val="nil"/>
        </w:pBdr>
        <w:spacing w:after="0"/>
        <w:jc w:val="center"/>
        <w:rPr>
          <w:i/>
          <w:color w:val="000000"/>
        </w:rPr>
      </w:pPr>
      <w:r>
        <w:rPr>
          <w:i/>
          <w:color w:val="000000"/>
        </w:rPr>
        <w:t>Figure-(Crowdfunding)</w:t>
      </w:r>
    </w:p>
    <w:p w14:paraId="1FC63BEC" w14:textId="77777777" w:rsidR="003D70D5" w:rsidRDefault="00000000">
      <w:pPr>
        <w:pBdr>
          <w:top w:val="nil"/>
          <w:left w:val="nil"/>
          <w:bottom w:val="nil"/>
          <w:right w:val="nil"/>
          <w:between w:val="nil"/>
        </w:pBdr>
        <w:spacing w:after="0"/>
        <w:jc w:val="center"/>
        <w:rPr>
          <w:color w:val="000000"/>
        </w:rPr>
      </w:pPr>
      <w:r>
        <w:rPr>
          <w:color w:val="000000"/>
        </w:rPr>
        <w:t>Source- (</w:t>
      </w:r>
      <w:proofErr w:type="spellStart"/>
      <w:r>
        <w:rPr>
          <w:color w:val="000000"/>
        </w:rPr>
        <w:t>Center</w:t>
      </w:r>
      <w:proofErr w:type="spellEnd"/>
      <w:r>
        <w:rPr>
          <w:color w:val="000000"/>
        </w:rPr>
        <w:t>, 2023)</w:t>
      </w:r>
    </w:p>
    <w:p w14:paraId="12F59C63" w14:textId="77777777" w:rsidR="003D70D5" w:rsidRDefault="00000000">
      <w:pPr>
        <w:pBdr>
          <w:top w:val="nil"/>
          <w:left w:val="nil"/>
          <w:bottom w:val="nil"/>
          <w:right w:val="nil"/>
          <w:between w:val="nil"/>
        </w:pBdr>
        <w:spacing w:after="0"/>
        <w:rPr>
          <w:color w:val="000000"/>
        </w:rPr>
      </w:pPr>
      <w:r>
        <w:rPr>
          <w:color w:val="000000"/>
        </w:rPr>
        <w:t xml:space="preserve">Crowdfunding is an act of acquiring funds from businesses from large sets of people </w:t>
      </w:r>
      <w:proofErr w:type="gramStart"/>
      <w:r>
        <w:rPr>
          <w:color w:val="000000"/>
        </w:rPr>
        <w:t>in order to</w:t>
      </w:r>
      <w:proofErr w:type="gramEnd"/>
      <w:r>
        <w:rPr>
          <w:color w:val="000000"/>
        </w:rPr>
        <w:t xml:space="preserve"> invest in new projects. The investors may be relatives, family, businesses, friends and many more. Crowdfunding is seen as an effective platform for raising funds due to the introduction of social media platforms that created a transparent mechanism for businesses to connect with investors. Aviva Plc has been raising funds through crowdfunding from different businesses (</w:t>
      </w:r>
      <w:proofErr w:type="spellStart"/>
      <w:r>
        <w:rPr>
          <w:color w:val="000000"/>
        </w:rPr>
        <w:t>Center</w:t>
      </w:r>
      <w:proofErr w:type="spellEnd"/>
      <w:r>
        <w:rPr>
          <w:color w:val="000000"/>
        </w:rPr>
        <w:t>, 2023).</w:t>
      </w:r>
    </w:p>
    <w:p w14:paraId="737D38A9" w14:textId="77777777" w:rsidR="003D70D5" w:rsidRDefault="00000000">
      <w:pPr>
        <w:pBdr>
          <w:top w:val="nil"/>
          <w:left w:val="nil"/>
          <w:bottom w:val="nil"/>
          <w:right w:val="nil"/>
          <w:between w:val="nil"/>
        </w:pBdr>
        <w:spacing w:after="0"/>
        <w:rPr>
          <w:color w:val="000000"/>
        </w:rPr>
      </w:pPr>
      <w:r>
        <w:rPr>
          <w:b/>
          <w:color w:val="000000"/>
        </w:rPr>
        <w:t>Equity Financing</w:t>
      </w:r>
    </w:p>
    <w:p w14:paraId="25F39C2A" w14:textId="77777777" w:rsidR="003D70D5" w:rsidRDefault="00000000">
      <w:pPr>
        <w:pBdr>
          <w:top w:val="nil"/>
          <w:left w:val="nil"/>
          <w:bottom w:val="nil"/>
          <w:right w:val="nil"/>
          <w:between w:val="nil"/>
        </w:pBdr>
        <w:spacing w:after="0"/>
        <w:rPr>
          <w:color w:val="000000"/>
        </w:rPr>
      </w:pPr>
      <w:r>
        <w:rPr>
          <w:color w:val="000000"/>
        </w:rPr>
        <w:t xml:space="preserve">It refers to the financing technique in which businesses tend to sell their shares in view of raising capital. Investors indulged in buying the shares of the company to acquire certain rights in the business in terms of ownership and control. Aviva Plc employs equity financing </w:t>
      </w:r>
      <w:proofErr w:type="gramStart"/>
      <w:r>
        <w:rPr>
          <w:color w:val="000000"/>
        </w:rPr>
        <w:t>in order to</w:t>
      </w:r>
      <w:proofErr w:type="gramEnd"/>
      <w:r>
        <w:rPr>
          <w:color w:val="000000"/>
        </w:rPr>
        <w:t xml:space="preserve"> sell assets or shares to acquire liquid capital. It has substantially allowed the company to maintain the flow of trade on international platforms.</w:t>
      </w:r>
    </w:p>
    <w:p w14:paraId="0DBAB8F9" w14:textId="77777777" w:rsidR="003D70D5" w:rsidRDefault="00000000">
      <w:pPr>
        <w:pBdr>
          <w:top w:val="nil"/>
          <w:left w:val="nil"/>
          <w:bottom w:val="nil"/>
          <w:right w:val="nil"/>
          <w:between w:val="nil"/>
        </w:pBdr>
        <w:spacing w:after="0"/>
        <w:rPr>
          <w:color w:val="000000"/>
        </w:rPr>
      </w:pPr>
      <w:r>
        <w:rPr>
          <w:b/>
          <w:color w:val="000000"/>
        </w:rPr>
        <w:lastRenderedPageBreak/>
        <w:t>Debt Financing</w:t>
      </w:r>
    </w:p>
    <w:p w14:paraId="4F56E765" w14:textId="77777777" w:rsidR="003D70D5" w:rsidRDefault="00000000">
      <w:pPr>
        <w:pBdr>
          <w:top w:val="nil"/>
          <w:left w:val="nil"/>
          <w:bottom w:val="nil"/>
          <w:right w:val="nil"/>
          <w:between w:val="nil"/>
        </w:pBdr>
        <w:spacing w:after="0"/>
        <w:rPr>
          <w:color w:val="000000"/>
        </w:rPr>
      </w:pPr>
      <w:r>
        <w:rPr>
          <w:color w:val="000000"/>
        </w:rPr>
        <w:t xml:space="preserve">Debt financing is an international financing strategy in which businesses borrow money from financial institutions or individual lenders in return for the deposition of securities and certificates as a </w:t>
      </w:r>
      <w:proofErr w:type="gramStart"/>
      <w:r>
        <w:rPr>
          <w:color w:val="000000"/>
        </w:rPr>
        <w:t>mortgages</w:t>
      </w:r>
      <w:proofErr w:type="gramEnd"/>
      <w:r>
        <w:rPr>
          <w:color w:val="000000"/>
        </w:rPr>
        <w:t>. Debt financing serves a key role for businesses in maintaining the flow of operations during a scarcity of resources and capital. Aviva Plc has been engaged in debt financing to carry out investments in new projects (</w:t>
      </w:r>
      <w:proofErr w:type="spellStart"/>
      <w:r>
        <w:rPr>
          <w:color w:val="000000"/>
        </w:rPr>
        <w:t>Secinaro</w:t>
      </w:r>
      <w:proofErr w:type="spellEnd"/>
      <w:r>
        <w:rPr>
          <w:color w:val="000000"/>
        </w:rPr>
        <w:t xml:space="preserve"> et al., 2020).</w:t>
      </w:r>
    </w:p>
    <w:p w14:paraId="53F7FDB5" w14:textId="77777777" w:rsidR="003D70D5" w:rsidRDefault="00000000">
      <w:pPr>
        <w:pBdr>
          <w:top w:val="nil"/>
          <w:left w:val="nil"/>
          <w:bottom w:val="nil"/>
          <w:right w:val="nil"/>
          <w:between w:val="nil"/>
        </w:pBdr>
        <w:spacing w:after="0"/>
        <w:rPr>
          <w:color w:val="000000"/>
        </w:rPr>
      </w:pPr>
      <w:r>
        <w:rPr>
          <w:b/>
          <w:color w:val="000000"/>
        </w:rPr>
        <w:t>Lease Financing</w:t>
      </w:r>
    </w:p>
    <w:p w14:paraId="6BCCF7CC" w14:textId="77777777" w:rsidR="003D70D5" w:rsidRDefault="00000000">
      <w:pPr>
        <w:pBdr>
          <w:top w:val="nil"/>
          <w:left w:val="nil"/>
          <w:bottom w:val="nil"/>
          <w:right w:val="nil"/>
          <w:between w:val="nil"/>
        </w:pBdr>
        <w:spacing w:after="0"/>
        <w:jc w:val="center"/>
        <w:rPr>
          <w:color w:val="000000"/>
        </w:rPr>
      </w:pPr>
      <w:r>
        <w:rPr>
          <w:noProof/>
          <w:color w:val="000000"/>
        </w:rPr>
        <w:drawing>
          <wp:inline distT="0" distB="0" distL="0" distR="0" wp14:anchorId="0E3188C9" wp14:editId="1D5950AD">
            <wp:extent cx="5715000" cy="2714625"/>
            <wp:effectExtent l="0" t="0" r="0" b="0"/>
            <wp:docPr id="472088903" name="image6.png" descr="What is Lease Financing – Massy Finance Trinidad &amp; Tobago"/>
            <wp:cNvGraphicFramePr/>
            <a:graphic xmlns:a="http://schemas.openxmlformats.org/drawingml/2006/main">
              <a:graphicData uri="http://schemas.openxmlformats.org/drawingml/2006/picture">
                <pic:pic xmlns:pic="http://schemas.openxmlformats.org/drawingml/2006/picture">
                  <pic:nvPicPr>
                    <pic:cNvPr id="0" name="image6.png" descr="What is Lease Financing – Massy Finance Trinidad &amp; Tobago"/>
                    <pic:cNvPicPr preferRelativeResize="0"/>
                  </pic:nvPicPr>
                  <pic:blipFill>
                    <a:blip r:embed="rId11"/>
                    <a:srcRect/>
                    <a:stretch>
                      <a:fillRect/>
                    </a:stretch>
                  </pic:blipFill>
                  <pic:spPr>
                    <a:xfrm>
                      <a:off x="0" y="0"/>
                      <a:ext cx="5715000" cy="2714625"/>
                    </a:xfrm>
                    <a:prstGeom prst="rect">
                      <a:avLst/>
                    </a:prstGeom>
                    <a:ln/>
                  </pic:spPr>
                </pic:pic>
              </a:graphicData>
            </a:graphic>
          </wp:inline>
        </w:drawing>
      </w:r>
    </w:p>
    <w:p w14:paraId="314B2E4B" w14:textId="77777777" w:rsidR="003D70D5" w:rsidRDefault="00000000">
      <w:pPr>
        <w:pBdr>
          <w:top w:val="nil"/>
          <w:left w:val="nil"/>
          <w:bottom w:val="nil"/>
          <w:right w:val="nil"/>
          <w:between w:val="nil"/>
        </w:pBdr>
        <w:spacing w:after="0"/>
        <w:jc w:val="center"/>
        <w:rPr>
          <w:i/>
          <w:color w:val="000000"/>
        </w:rPr>
      </w:pPr>
      <w:r>
        <w:rPr>
          <w:i/>
          <w:color w:val="000000"/>
        </w:rPr>
        <w:t>Figure</w:t>
      </w:r>
      <w:proofErr w:type="gramStart"/>
      <w:r>
        <w:rPr>
          <w:i/>
          <w:color w:val="000000"/>
        </w:rPr>
        <w:t>-(</w:t>
      </w:r>
      <w:proofErr w:type="gramEnd"/>
      <w:r>
        <w:rPr>
          <w:i/>
          <w:color w:val="000000"/>
        </w:rPr>
        <w:t>Lease financing)</w:t>
      </w:r>
    </w:p>
    <w:p w14:paraId="2C3BBD5A" w14:textId="77777777" w:rsidR="003D70D5" w:rsidRDefault="00000000">
      <w:pPr>
        <w:pBdr>
          <w:top w:val="nil"/>
          <w:left w:val="nil"/>
          <w:bottom w:val="nil"/>
          <w:right w:val="nil"/>
          <w:between w:val="nil"/>
        </w:pBdr>
        <w:spacing w:after="0"/>
        <w:jc w:val="center"/>
        <w:rPr>
          <w:color w:val="000000"/>
        </w:rPr>
      </w:pPr>
      <w:r>
        <w:rPr>
          <w:color w:val="000000"/>
        </w:rPr>
        <w:t>Source- (Hopkins, 2024)</w:t>
      </w:r>
    </w:p>
    <w:p w14:paraId="0ADBF1D3" w14:textId="77777777" w:rsidR="003D70D5" w:rsidRDefault="00000000">
      <w:pPr>
        <w:pBdr>
          <w:top w:val="nil"/>
          <w:left w:val="nil"/>
          <w:bottom w:val="nil"/>
          <w:right w:val="nil"/>
          <w:between w:val="nil"/>
        </w:pBdr>
        <w:spacing w:after="0"/>
        <w:rPr>
          <w:color w:val="000000"/>
        </w:rPr>
      </w:pPr>
      <w:r>
        <w:rPr>
          <w:color w:val="000000"/>
        </w:rPr>
        <w:t xml:space="preserve">Lease financing is a finance strategy in which a company offers the right to use the assets of the company to another company for a certain </w:t>
      </w:r>
      <w:proofErr w:type="gramStart"/>
      <w:r>
        <w:rPr>
          <w:color w:val="000000"/>
        </w:rPr>
        <w:t>time period</w:t>
      </w:r>
      <w:proofErr w:type="gramEnd"/>
      <w:r>
        <w:rPr>
          <w:color w:val="000000"/>
        </w:rPr>
        <w:t xml:space="preserve"> in return for capital. It is a legally enacted agreement that binds the stakeholders towards the commitment for a desired </w:t>
      </w:r>
      <w:proofErr w:type="gramStart"/>
      <w:r>
        <w:rPr>
          <w:color w:val="000000"/>
        </w:rPr>
        <w:t>period of time</w:t>
      </w:r>
      <w:proofErr w:type="gramEnd"/>
      <w:r>
        <w:rPr>
          <w:color w:val="000000"/>
        </w:rPr>
        <w:t>.</w:t>
      </w:r>
    </w:p>
    <w:p w14:paraId="32D8F41C" w14:textId="77777777" w:rsidR="003D70D5" w:rsidRDefault="00000000">
      <w:pPr>
        <w:pStyle w:val="Heading3"/>
      </w:pPr>
      <w:bookmarkStart w:id="8" w:name="_heading=h.1t3h5sf" w:colFirst="0" w:colLast="0"/>
      <w:bookmarkEnd w:id="8"/>
      <w:r>
        <w:t xml:space="preserve">Application </w:t>
      </w:r>
      <w:proofErr w:type="gramStart"/>
      <w:r>
        <w:t>of  financing</w:t>
      </w:r>
      <w:proofErr w:type="gramEnd"/>
      <w:r>
        <w:t xml:space="preserve"> strategies of Aviva Plc</w:t>
      </w:r>
    </w:p>
    <w:p w14:paraId="4819A273" w14:textId="77777777" w:rsidR="003D70D5" w:rsidRDefault="00000000">
      <w:pPr>
        <w:pBdr>
          <w:top w:val="nil"/>
          <w:left w:val="nil"/>
          <w:bottom w:val="nil"/>
          <w:right w:val="nil"/>
          <w:between w:val="nil"/>
        </w:pBdr>
        <w:spacing w:after="0"/>
        <w:rPr>
          <w:color w:val="000000"/>
        </w:rPr>
      </w:pPr>
      <w:r>
        <w:rPr>
          <w:b/>
          <w:color w:val="000000"/>
        </w:rPr>
        <w:t>Mergers and acquisition</w:t>
      </w:r>
    </w:p>
    <w:p w14:paraId="1A79EC2C" w14:textId="77777777" w:rsidR="003D70D5" w:rsidRDefault="00000000">
      <w:pPr>
        <w:pBdr>
          <w:top w:val="nil"/>
          <w:left w:val="nil"/>
          <w:bottom w:val="nil"/>
          <w:right w:val="nil"/>
          <w:between w:val="nil"/>
        </w:pBdr>
        <w:spacing w:after="0"/>
        <w:rPr>
          <w:color w:val="000000"/>
        </w:rPr>
      </w:pPr>
      <w:r>
        <w:rPr>
          <w:color w:val="000000"/>
        </w:rPr>
        <w:lastRenderedPageBreak/>
        <w:t>Aviva Plc can engage in mergers and acquisitions for the financing of projects as it will allow the company to enhance their visibility in the international market through collaborations. It will also foster thorough insights into the macroeconomic aspects such as inflation, the purchasing power of customers and many more (</w:t>
      </w:r>
      <w:proofErr w:type="spellStart"/>
      <w:r>
        <w:rPr>
          <w:color w:val="000000"/>
        </w:rPr>
        <w:t>Tsatsaronis</w:t>
      </w:r>
      <w:proofErr w:type="spellEnd"/>
      <w:r>
        <w:rPr>
          <w:color w:val="000000"/>
        </w:rPr>
        <w:t xml:space="preserve"> et al., 2024).</w:t>
      </w:r>
    </w:p>
    <w:p w14:paraId="52661805" w14:textId="77777777" w:rsidR="003D70D5" w:rsidRDefault="00000000">
      <w:pPr>
        <w:pBdr>
          <w:top w:val="nil"/>
          <w:left w:val="nil"/>
          <w:bottom w:val="nil"/>
          <w:right w:val="nil"/>
          <w:between w:val="nil"/>
        </w:pBdr>
        <w:spacing w:after="0"/>
        <w:rPr>
          <w:color w:val="000000"/>
        </w:rPr>
      </w:pPr>
      <w:r>
        <w:rPr>
          <w:b/>
          <w:color w:val="000000"/>
        </w:rPr>
        <w:t>FDI and FPI</w:t>
      </w:r>
    </w:p>
    <w:p w14:paraId="31B44EF6" w14:textId="77777777" w:rsidR="003D70D5" w:rsidRDefault="00000000">
      <w:pPr>
        <w:pBdr>
          <w:top w:val="nil"/>
          <w:left w:val="nil"/>
          <w:bottom w:val="nil"/>
          <w:right w:val="nil"/>
          <w:between w:val="nil"/>
        </w:pBdr>
        <w:spacing w:after="0"/>
        <w:rPr>
          <w:color w:val="000000"/>
        </w:rPr>
      </w:pPr>
      <w:r>
        <w:rPr>
          <w:color w:val="000000"/>
        </w:rPr>
        <w:t>Aviva Plc can finance international trade and services through foreign direct investment and foreign portfolio investment. FDI will allow the company to achieve certain ownership rights as well as economic growth. FPI will ensure higher growth for the company in the foreign market (ONS, 2023).</w:t>
      </w:r>
    </w:p>
    <w:p w14:paraId="6D45F05B" w14:textId="77777777" w:rsidR="003D70D5" w:rsidRDefault="00000000">
      <w:pPr>
        <w:pStyle w:val="Heading3"/>
      </w:pPr>
      <w:bookmarkStart w:id="9" w:name="_heading=h.4d34og8" w:colFirst="0" w:colLast="0"/>
      <w:bookmarkEnd w:id="9"/>
      <w:r>
        <w:t>Implication of the financing strategies of Aviva Plc</w:t>
      </w:r>
    </w:p>
    <w:p w14:paraId="2F22CDB8" w14:textId="77777777" w:rsidR="003D70D5" w:rsidRDefault="00000000">
      <w:pPr>
        <w:pBdr>
          <w:top w:val="nil"/>
          <w:left w:val="nil"/>
          <w:bottom w:val="nil"/>
          <w:right w:val="nil"/>
          <w:between w:val="nil"/>
        </w:pBdr>
        <w:spacing w:after="0"/>
        <w:rPr>
          <w:color w:val="000000"/>
        </w:rPr>
      </w:pPr>
      <w:r>
        <w:rPr>
          <w:b/>
          <w:color w:val="000000"/>
        </w:rPr>
        <w:t>Higher financial output</w:t>
      </w:r>
    </w:p>
    <w:p w14:paraId="653ACCA8" w14:textId="77777777" w:rsidR="003D70D5" w:rsidRDefault="00000000">
      <w:pPr>
        <w:pBdr>
          <w:top w:val="nil"/>
          <w:left w:val="nil"/>
          <w:bottom w:val="nil"/>
          <w:right w:val="nil"/>
          <w:between w:val="nil"/>
        </w:pBdr>
        <w:spacing w:after="0"/>
        <w:rPr>
          <w:color w:val="000000"/>
        </w:rPr>
      </w:pPr>
      <w:r>
        <w:rPr>
          <w:color w:val="000000"/>
        </w:rPr>
        <w:t>The financial strategies adopted by Aviva Plc have fostered the company in generating investment in strategic market situations. As a result, the company has acquired huge financial growth through international finance.</w:t>
      </w:r>
    </w:p>
    <w:p w14:paraId="1BCA2772" w14:textId="77777777" w:rsidR="003D70D5" w:rsidRDefault="00000000">
      <w:pPr>
        <w:pBdr>
          <w:top w:val="nil"/>
          <w:left w:val="nil"/>
          <w:bottom w:val="nil"/>
          <w:right w:val="nil"/>
          <w:between w:val="nil"/>
        </w:pBdr>
        <w:spacing w:after="0"/>
        <w:rPr>
          <w:color w:val="000000"/>
        </w:rPr>
      </w:pPr>
      <w:r>
        <w:rPr>
          <w:b/>
          <w:color w:val="000000"/>
        </w:rPr>
        <w:t>Better evaluation of risks and opportunities</w:t>
      </w:r>
    </w:p>
    <w:p w14:paraId="3557EECC" w14:textId="77777777" w:rsidR="003D70D5" w:rsidRDefault="00000000">
      <w:pPr>
        <w:pBdr>
          <w:top w:val="nil"/>
          <w:left w:val="nil"/>
          <w:bottom w:val="nil"/>
          <w:right w:val="nil"/>
          <w:between w:val="nil"/>
        </w:pBdr>
        <w:spacing w:after="0"/>
        <w:rPr>
          <w:color w:val="000000"/>
        </w:rPr>
      </w:pPr>
      <w:r>
        <w:rPr>
          <w:color w:val="000000"/>
        </w:rPr>
        <w:t>The effective management of international finance enabled Aviva Plc to ascertain the risks and threats. The above aspects enabled the company to mitigate the operational hurdles which in turn helped in better engagement in foreign services (</w:t>
      </w:r>
      <w:proofErr w:type="spellStart"/>
      <w:r>
        <w:rPr>
          <w:color w:val="000000"/>
        </w:rPr>
        <w:t>Parrino</w:t>
      </w:r>
      <w:proofErr w:type="spellEnd"/>
      <w:r>
        <w:rPr>
          <w:color w:val="000000"/>
        </w:rPr>
        <w:t xml:space="preserve"> et al., 2021).</w:t>
      </w:r>
    </w:p>
    <w:p w14:paraId="0970CC4C" w14:textId="77777777" w:rsidR="003D70D5" w:rsidRDefault="00000000">
      <w:pPr>
        <w:spacing w:line="276" w:lineRule="auto"/>
        <w:jc w:val="left"/>
        <w:rPr>
          <w:b/>
          <w:sz w:val="26"/>
          <w:szCs w:val="26"/>
        </w:rPr>
      </w:pPr>
      <w:r>
        <w:br w:type="page"/>
      </w:r>
    </w:p>
    <w:p w14:paraId="475A3E53" w14:textId="77777777" w:rsidR="003D70D5" w:rsidRDefault="00000000">
      <w:pPr>
        <w:pStyle w:val="Heading2"/>
      </w:pPr>
      <w:bookmarkStart w:id="10" w:name="_heading=h.2s8eyo1" w:colFirst="0" w:colLast="0"/>
      <w:bookmarkEnd w:id="10"/>
      <w:r>
        <w:lastRenderedPageBreak/>
        <w:t>Evaluation of different models of international cost of capital, corporate value and financial structure</w:t>
      </w:r>
    </w:p>
    <w:p w14:paraId="6C15D143" w14:textId="77777777" w:rsidR="003D70D5" w:rsidRDefault="00000000">
      <w:pPr>
        <w:pStyle w:val="Heading3"/>
      </w:pPr>
      <w:bookmarkStart w:id="11" w:name="_heading=h.17dp8vu" w:colFirst="0" w:colLast="0"/>
      <w:bookmarkEnd w:id="11"/>
      <w:r>
        <w:t>Theoretical models of international cost of capital</w:t>
      </w:r>
    </w:p>
    <w:p w14:paraId="1C09F2C0" w14:textId="77777777" w:rsidR="003D70D5" w:rsidRDefault="00000000">
      <w:pPr>
        <w:pBdr>
          <w:top w:val="nil"/>
          <w:left w:val="nil"/>
          <w:bottom w:val="nil"/>
          <w:right w:val="nil"/>
          <w:between w:val="nil"/>
        </w:pBdr>
        <w:spacing w:after="0"/>
        <w:rPr>
          <w:color w:val="000000"/>
        </w:rPr>
      </w:pPr>
      <w:r>
        <w:rPr>
          <w:b/>
          <w:color w:val="000000"/>
        </w:rPr>
        <w:t>Country Risk Premium model</w:t>
      </w:r>
    </w:p>
    <w:p w14:paraId="44B26985" w14:textId="77777777" w:rsidR="003D70D5" w:rsidRDefault="00000000">
      <w:pPr>
        <w:pBdr>
          <w:top w:val="nil"/>
          <w:left w:val="nil"/>
          <w:bottom w:val="nil"/>
          <w:right w:val="nil"/>
          <w:between w:val="nil"/>
        </w:pBdr>
        <w:spacing w:after="0"/>
        <w:rPr>
          <w:i/>
          <w:color w:val="000000"/>
        </w:rPr>
      </w:pPr>
      <w:r>
        <w:rPr>
          <w:b/>
          <w:i/>
          <w:color w:val="000000"/>
        </w:rPr>
        <w:t>Concept</w:t>
      </w:r>
    </w:p>
    <w:p w14:paraId="0B86EEE2" w14:textId="77777777" w:rsidR="003D70D5" w:rsidRDefault="00000000">
      <w:pPr>
        <w:pBdr>
          <w:top w:val="nil"/>
          <w:left w:val="nil"/>
          <w:bottom w:val="nil"/>
          <w:right w:val="nil"/>
          <w:between w:val="nil"/>
        </w:pBdr>
        <w:spacing w:after="0"/>
        <w:jc w:val="center"/>
        <w:rPr>
          <w:color w:val="000000"/>
        </w:rPr>
      </w:pPr>
      <w:r>
        <w:rPr>
          <w:noProof/>
          <w:color w:val="000000"/>
        </w:rPr>
        <w:drawing>
          <wp:inline distT="0" distB="0" distL="0" distR="0" wp14:anchorId="0678C588" wp14:editId="623EAD39">
            <wp:extent cx="3815769" cy="2545663"/>
            <wp:effectExtent l="0" t="0" r="0" b="0"/>
            <wp:docPr id="472088899" name="image5.jpg" descr="Country risk premium • wall stickers scribbling, signs, icon | myloview.com"/>
            <wp:cNvGraphicFramePr/>
            <a:graphic xmlns:a="http://schemas.openxmlformats.org/drawingml/2006/main">
              <a:graphicData uri="http://schemas.openxmlformats.org/drawingml/2006/picture">
                <pic:pic xmlns:pic="http://schemas.openxmlformats.org/drawingml/2006/picture">
                  <pic:nvPicPr>
                    <pic:cNvPr id="0" name="image5.jpg" descr="Country risk premium • wall stickers scribbling, signs, icon | myloview.com"/>
                    <pic:cNvPicPr preferRelativeResize="0"/>
                  </pic:nvPicPr>
                  <pic:blipFill>
                    <a:blip r:embed="rId12"/>
                    <a:srcRect/>
                    <a:stretch>
                      <a:fillRect/>
                    </a:stretch>
                  </pic:blipFill>
                  <pic:spPr>
                    <a:xfrm>
                      <a:off x="0" y="0"/>
                      <a:ext cx="3815769" cy="2545663"/>
                    </a:xfrm>
                    <a:prstGeom prst="rect">
                      <a:avLst/>
                    </a:prstGeom>
                    <a:ln/>
                  </pic:spPr>
                </pic:pic>
              </a:graphicData>
            </a:graphic>
          </wp:inline>
        </w:drawing>
      </w:r>
    </w:p>
    <w:p w14:paraId="5287063A" w14:textId="77777777" w:rsidR="003D70D5" w:rsidRDefault="00000000">
      <w:pPr>
        <w:pBdr>
          <w:top w:val="nil"/>
          <w:left w:val="nil"/>
          <w:bottom w:val="nil"/>
          <w:right w:val="nil"/>
          <w:between w:val="nil"/>
        </w:pBdr>
        <w:spacing w:after="0"/>
        <w:jc w:val="center"/>
        <w:rPr>
          <w:i/>
          <w:color w:val="000000"/>
        </w:rPr>
      </w:pPr>
      <w:r>
        <w:rPr>
          <w:i/>
          <w:color w:val="000000"/>
        </w:rPr>
        <w:t>Figure- (Country Risk Premium model)</w:t>
      </w:r>
    </w:p>
    <w:p w14:paraId="2106CCC4" w14:textId="77777777" w:rsidR="003D70D5" w:rsidRDefault="00000000">
      <w:pPr>
        <w:pBdr>
          <w:top w:val="nil"/>
          <w:left w:val="nil"/>
          <w:bottom w:val="nil"/>
          <w:right w:val="nil"/>
          <w:between w:val="nil"/>
        </w:pBdr>
        <w:spacing w:after="0"/>
        <w:jc w:val="center"/>
        <w:rPr>
          <w:color w:val="000000"/>
        </w:rPr>
      </w:pPr>
      <w:r>
        <w:rPr>
          <w:color w:val="000000"/>
        </w:rPr>
        <w:t>Source-(</w:t>
      </w:r>
      <w:proofErr w:type="spellStart"/>
      <w:r>
        <w:rPr>
          <w:color w:val="000000"/>
        </w:rPr>
        <w:t>Bellardin</w:t>
      </w:r>
      <w:proofErr w:type="spellEnd"/>
      <w:r>
        <w:rPr>
          <w:color w:val="000000"/>
        </w:rPr>
        <w:t>, 2022)</w:t>
      </w:r>
    </w:p>
    <w:p w14:paraId="1CEA520C" w14:textId="77777777" w:rsidR="003D70D5" w:rsidRDefault="00000000">
      <w:pPr>
        <w:pBdr>
          <w:top w:val="nil"/>
          <w:left w:val="nil"/>
          <w:bottom w:val="nil"/>
          <w:right w:val="nil"/>
          <w:between w:val="nil"/>
        </w:pBdr>
        <w:spacing w:after="0"/>
        <w:rPr>
          <w:color w:val="000000"/>
        </w:rPr>
      </w:pPr>
      <w:r>
        <w:rPr>
          <w:color w:val="000000"/>
        </w:rPr>
        <w:t xml:space="preserve">The Country Risk Premium model is a model that indicates the excess amount of premium or capital required to negate the impact of the business environment while investing in foreign countries. </w:t>
      </w:r>
    </w:p>
    <w:p w14:paraId="645A5DD7" w14:textId="77777777" w:rsidR="003D70D5" w:rsidRDefault="00000000">
      <w:pPr>
        <w:pBdr>
          <w:top w:val="nil"/>
          <w:left w:val="nil"/>
          <w:bottom w:val="nil"/>
          <w:right w:val="nil"/>
          <w:between w:val="nil"/>
        </w:pBdr>
        <w:spacing w:after="0"/>
        <w:rPr>
          <w:i/>
          <w:color w:val="000000"/>
        </w:rPr>
      </w:pPr>
      <w:r>
        <w:rPr>
          <w:b/>
          <w:i/>
          <w:color w:val="000000"/>
        </w:rPr>
        <w:t>Evaluation</w:t>
      </w:r>
    </w:p>
    <w:p w14:paraId="79CEE5E1" w14:textId="77777777" w:rsidR="003D70D5" w:rsidRDefault="00000000">
      <w:pPr>
        <w:pBdr>
          <w:top w:val="nil"/>
          <w:left w:val="nil"/>
          <w:bottom w:val="nil"/>
          <w:right w:val="nil"/>
          <w:between w:val="nil"/>
        </w:pBdr>
        <w:spacing w:after="0"/>
        <w:rPr>
          <w:color w:val="000000"/>
        </w:rPr>
      </w:pPr>
      <w:r>
        <w:rPr>
          <w:color w:val="000000"/>
        </w:rPr>
        <w:t>The above model is highly effective for businesses in regulating investment plans. The thorough analysis of the political and economic circumstances will allow Aviva Plc to execute investment plans in an articulated manner (</w:t>
      </w:r>
      <w:proofErr w:type="spellStart"/>
      <w:r>
        <w:rPr>
          <w:color w:val="000000"/>
        </w:rPr>
        <w:t>Bellardini</w:t>
      </w:r>
      <w:proofErr w:type="spellEnd"/>
      <w:r>
        <w:rPr>
          <w:color w:val="000000"/>
        </w:rPr>
        <w:t xml:space="preserve"> et al., 2022).</w:t>
      </w:r>
    </w:p>
    <w:p w14:paraId="1155F4B5" w14:textId="77777777" w:rsidR="003D70D5" w:rsidRDefault="00000000">
      <w:pPr>
        <w:pBdr>
          <w:top w:val="nil"/>
          <w:left w:val="nil"/>
          <w:bottom w:val="nil"/>
          <w:right w:val="nil"/>
          <w:between w:val="nil"/>
        </w:pBdr>
        <w:spacing w:after="0"/>
        <w:rPr>
          <w:color w:val="000000"/>
        </w:rPr>
      </w:pPr>
      <w:r>
        <w:rPr>
          <w:b/>
          <w:color w:val="000000"/>
        </w:rPr>
        <w:t>Intertemporal Capital Asset Pricing model</w:t>
      </w:r>
    </w:p>
    <w:p w14:paraId="299982EC" w14:textId="77777777" w:rsidR="003D70D5" w:rsidRDefault="00000000">
      <w:pPr>
        <w:pBdr>
          <w:top w:val="nil"/>
          <w:left w:val="nil"/>
          <w:bottom w:val="nil"/>
          <w:right w:val="nil"/>
          <w:between w:val="nil"/>
        </w:pBdr>
        <w:spacing w:after="0"/>
        <w:rPr>
          <w:i/>
          <w:color w:val="000000"/>
        </w:rPr>
      </w:pPr>
      <w:r>
        <w:rPr>
          <w:b/>
          <w:i/>
          <w:color w:val="000000"/>
        </w:rPr>
        <w:lastRenderedPageBreak/>
        <w:t>Concept</w:t>
      </w:r>
    </w:p>
    <w:p w14:paraId="01404FEF" w14:textId="77777777" w:rsidR="003D70D5" w:rsidRDefault="00000000">
      <w:pPr>
        <w:pBdr>
          <w:top w:val="nil"/>
          <w:left w:val="nil"/>
          <w:bottom w:val="nil"/>
          <w:right w:val="nil"/>
          <w:between w:val="nil"/>
        </w:pBdr>
        <w:spacing w:after="0"/>
        <w:rPr>
          <w:color w:val="000000"/>
        </w:rPr>
      </w:pPr>
      <w:r>
        <w:rPr>
          <w:color w:val="000000"/>
        </w:rPr>
        <w:t>The above model is a consumption-oriented pricing model that considers various parameters such as risk premium, inflation and many more to calculate the overall return. It provides a better insight into the macroeconomic framework of the country.</w:t>
      </w:r>
    </w:p>
    <w:p w14:paraId="1B474025" w14:textId="77777777" w:rsidR="003D70D5" w:rsidRDefault="00000000">
      <w:pPr>
        <w:pBdr>
          <w:top w:val="nil"/>
          <w:left w:val="nil"/>
          <w:bottom w:val="nil"/>
          <w:right w:val="nil"/>
          <w:between w:val="nil"/>
        </w:pBdr>
        <w:spacing w:after="0"/>
        <w:rPr>
          <w:i/>
          <w:color w:val="000000"/>
        </w:rPr>
      </w:pPr>
      <w:r>
        <w:rPr>
          <w:b/>
          <w:i/>
          <w:color w:val="000000"/>
        </w:rPr>
        <w:t>Evaluation</w:t>
      </w:r>
    </w:p>
    <w:p w14:paraId="17748763" w14:textId="77777777" w:rsidR="003D70D5" w:rsidRDefault="00000000">
      <w:pPr>
        <w:pBdr>
          <w:top w:val="nil"/>
          <w:left w:val="nil"/>
          <w:bottom w:val="nil"/>
          <w:right w:val="nil"/>
          <w:between w:val="nil"/>
        </w:pBdr>
        <w:spacing w:after="0"/>
        <w:rPr>
          <w:color w:val="000000"/>
        </w:rPr>
      </w:pPr>
      <w:r>
        <w:rPr>
          <w:color w:val="000000"/>
        </w:rPr>
        <w:t>Aviva Plc can limit the cost of capital through ICAPM as it will allow the company to assess the risks effectively. The above model considers various macroeconomic variables that will enable the company to enhance their return on investment (ONS, 2023).</w:t>
      </w:r>
    </w:p>
    <w:p w14:paraId="6C7AABEE" w14:textId="77777777" w:rsidR="003D70D5" w:rsidRDefault="00000000">
      <w:pPr>
        <w:pStyle w:val="Heading3"/>
      </w:pPr>
      <w:bookmarkStart w:id="12" w:name="_heading=h.3rdcrjn" w:colFirst="0" w:colLast="0"/>
      <w:bookmarkEnd w:id="12"/>
      <w:r>
        <w:t>Theoretical model of corporate value</w:t>
      </w:r>
    </w:p>
    <w:p w14:paraId="3922AC2E" w14:textId="77777777" w:rsidR="003D70D5" w:rsidRDefault="00000000">
      <w:pPr>
        <w:pBdr>
          <w:top w:val="nil"/>
          <w:left w:val="nil"/>
          <w:bottom w:val="nil"/>
          <w:right w:val="nil"/>
          <w:between w:val="nil"/>
        </w:pBdr>
        <w:spacing w:after="0"/>
        <w:rPr>
          <w:color w:val="000000"/>
        </w:rPr>
      </w:pPr>
      <w:r>
        <w:rPr>
          <w:b/>
          <w:color w:val="000000"/>
        </w:rPr>
        <w:t>Residual income Valuation model</w:t>
      </w:r>
    </w:p>
    <w:p w14:paraId="0234335C" w14:textId="77777777" w:rsidR="003D70D5" w:rsidRDefault="00000000">
      <w:pPr>
        <w:pBdr>
          <w:top w:val="nil"/>
          <w:left w:val="nil"/>
          <w:bottom w:val="nil"/>
          <w:right w:val="nil"/>
          <w:between w:val="nil"/>
        </w:pBdr>
        <w:spacing w:after="0"/>
        <w:rPr>
          <w:i/>
          <w:color w:val="000000"/>
        </w:rPr>
      </w:pPr>
      <w:r>
        <w:rPr>
          <w:b/>
          <w:i/>
          <w:color w:val="000000"/>
        </w:rPr>
        <w:t>Concept</w:t>
      </w:r>
    </w:p>
    <w:p w14:paraId="27A31150" w14:textId="77777777" w:rsidR="003D70D5" w:rsidRDefault="00000000">
      <w:pPr>
        <w:pBdr>
          <w:top w:val="nil"/>
          <w:left w:val="nil"/>
          <w:bottom w:val="nil"/>
          <w:right w:val="nil"/>
          <w:between w:val="nil"/>
        </w:pBdr>
        <w:spacing w:after="0"/>
        <w:rPr>
          <w:color w:val="000000"/>
        </w:rPr>
      </w:pPr>
      <w:r>
        <w:rPr>
          <w:color w:val="000000"/>
        </w:rPr>
        <w:t>Residual income is regarded as the revenue the company generates after adjusting the cost of capital. The above model lays emphasis on the idea that the valuation of the company is equivalent to the current value of upcoming residual income.</w:t>
      </w:r>
    </w:p>
    <w:p w14:paraId="35DBE915" w14:textId="77777777" w:rsidR="003D70D5" w:rsidRDefault="00000000">
      <w:pPr>
        <w:pBdr>
          <w:top w:val="nil"/>
          <w:left w:val="nil"/>
          <w:bottom w:val="nil"/>
          <w:right w:val="nil"/>
          <w:between w:val="nil"/>
        </w:pBdr>
        <w:spacing w:after="0"/>
        <w:rPr>
          <w:i/>
          <w:color w:val="000000"/>
        </w:rPr>
      </w:pPr>
      <w:r>
        <w:rPr>
          <w:b/>
          <w:i/>
          <w:color w:val="000000"/>
        </w:rPr>
        <w:t>Evaluation</w:t>
      </w:r>
    </w:p>
    <w:p w14:paraId="50898BE4" w14:textId="77777777" w:rsidR="003D70D5" w:rsidRDefault="00000000">
      <w:pPr>
        <w:pBdr>
          <w:top w:val="nil"/>
          <w:left w:val="nil"/>
          <w:bottom w:val="nil"/>
          <w:right w:val="nil"/>
          <w:between w:val="nil"/>
        </w:pBdr>
        <w:spacing w:after="0"/>
        <w:rPr>
          <w:color w:val="000000"/>
        </w:rPr>
      </w:pPr>
      <w:r>
        <w:rPr>
          <w:color w:val="000000"/>
        </w:rPr>
        <w:t>The above model emphasizes on generating financial growth that will assist Aviva Plc to enhance their brand value. It also ensures the effective distribution of dividends and profits among the stakeholders (</w:t>
      </w:r>
      <w:proofErr w:type="spellStart"/>
      <w:r>
        <w:rPr>
          <w:color w:val="000000"/>
        </w:rPr>
        <w:t>Porretta</w:t>
      </w:r>
      <w:proofErr w:type="spellEnd"/>
      <w:r>
        <w:rPr>
          <w:color w:val="000000"/>
        </w:rPr>
        <w:t xml:space="preserve"> and Agnese, 2021).</w:t>
      </w:r>
    </w:p>
    <w:p w14:paraId="47C88BAF" w14:textId="77777777" w:rsidR="003D70D5" w:rsidRDefault="00000000">
      <w:pPr>
        <w:pStyle w:val="Heading3"/>
      </w:pPr>
      <w:bookmarkStart w:id="13" w:name="_heading=h.26in1rg" w:colFirst="0" w:colLast="0"/>
      <w:bookmarkEnd w:id="13"/>
      <w:r>
        <w:t>Theoretical model of financial structure</w:t>
      </w:r>
    </w:p>
    <w:p w14:paraId="73A39AF4" w14:textId="77777777" w:rsidR="003D70D5" w:rsidRDefault="00000000">
      <w:pPr>
        <w:pBdr>
          <w:top w:val="nil"/>
          <w:left w:val="nil"/>
          <w:bottom w:val="nil"/>
          <w:right w:val="nil"/>
          <w:between w:val="nil"/>
        </w:pBdr>
        <w:spacing w:after="0"/>
        <w:rPr>
          <w:color w:val="000000"/>
        </w:rPr>
      </w:pPr>
      <w:r>
        <w:rPr>
          <w:b/>
          <w:color w:val="000000"/>
        </w:rPr>
        <w:t>Market timing theory</w:t>
      </w:r>
    </w:p>
    <w:p w14:paraId="667C6F6F" w14:textId="77777777" w:rsidR="003D70D5" w:rsidRDefault="00000000">
      <w:pPr>
        <w:pBdr>
          <w:top w:val="nil"/>
          <w:left w:val="nil"/>
          <w:bottom w:val="nil"/>
          <w:right w:val="nil"/>
          <w:between w:val="nil"/>
        </w:pBdr>
        <w:spacing w:after="0"/>
        <w:rPr>
          <w:i/>
          <w:color w:val="000000"/>
        </w:rPr>
      </w:pPr>
      <w:r>
        <w:rPr>
          <w:b/>
          <w:i/>
          <w:color w:val="000000"/>
        </w:rPr>
        <w:t>Concept</w:t>
      </w:r>
    </w:p>
    <w:p w14:paraId="4ECBEBA3" w14:textId="77777777" w:rsidR="003D70D5" w:rsidRDefault="00000000">
      <w:pPr>
        <w:pBdr>
          <w:top w:val="nil"/>
          <w:left w:val="nil"/>
          <w:bottom w:val="nil"/>
          <w:right w:val="nil"/>
          <w:between w:val="nil"/>
        </w:pBdr>
        <w:spacing w:after="0"/>
        <w:rPr>
          <w:color w:val="000000"/>
        </w:rPr>
      </w:pPr>
      <w:r>
        <w:rPr>
          <w:color w:val="000000"/>
        </w:rPr>
        <w:lastRenderedPageBreak/>
        <w:t>The market timing model refers to the idea that businesses customise their structural framework as per the economic conditions. It strongly focuses on the role of different financing techniques such as equity financing and many more.</w:t>
      </w:r>
    </w:p>
    <w:p w14:paraId="001B9ECA" w14:textId="77777777" w:rsidR="003D70D5" w:rsidRDefault="00000000">
      <w:pPr>
        <w:pBdr>
          <w:top w:val="nil"/>
          <w:left w:val="nil"/>
          <w:bottom w:val="nil"/>
          <w:right w:val="nil"/>
          <w:between w:val="nil"/>
        </w:pBdr>
        <w:spacing w:after="0"/>
        <w:rPr>
          <w:i/>
          <w:color w:val="000000"/>
        </w:rPr>
      </w:pPr>
      <w:r>
        <w:rPr>
          <w:b/>
          <w:i/>
          <w:color w:val="000000"/>
        </w:rPr>
        <w:t>Evaluation</w:t>
      </w:r>
    </w:p>
    <w:p w14:paraId="3EA7654E" w14:textId="77777777" w:rsidR="003D70D5" w:rsidRDefault="00000000">
      <w:pPr>
        <w:pBdr>
          <w:top w:val="nil"/>
          <w:left w:val="nil"/>
          <w:bottom w:val="nil"/>
          <w:right w:val="nil"/>
          <w:between w:val="nil"/>
        </w:pBdr>
        <w:spacing w:after="0"/>
        <w:rPr>
          <w:color w:val="000000"/>
        </w:rPr>
      </w:pPr>
      <w:r>
        <w:rPr>
          <w:color w:val="000000"/>
        </w:rPr>
        <w:t>Aviva Plc can utilise the above model in customising their financing techniques as per the economic situation. It will allow the company to fetch the maximum return from the investment in a particular country (</w:t>
      </w:r>
      <w:proofErr w:type="spellStart"/>
      <w:r>
        <w:rPr>
          <w:color w:val="000000"/>
        </w:rPr>
        <w:t>Mader</w:t>
      </w:r>
      <w:proofErr w:type="spellEnd"/>
      <w:r>
        <w:rPr>
          <w:color w:val="000000"/>
        </w:rPr>
        <w:t xml:space="preserve"> et al., 2020).</w:t>
      </w:r>
    </w:p>
    <w:p w14:paraId="36E62479" w14:textId="77777777" w:rsidR="003D70D5" w:rsidRDefault="00000000">
      <w:pPr>
        <w:spacing w:line="276" w:lineRule="auto"/>
        <w:jc w:val="left"/>
        <w:rPr>
          <w:b/>
          <w:color w:val="000000"/>
        </w:rPr>
      </w:pPr>
      <w:r>
        <w:br w:type="page"/>
      </w:r>
    </w:p>
    <w:p w14:paraId="36121498" w14:textId="77777777" w:rsidR="003D70D5" w:rsidRDefault="00000000">
      <w:pPr>
        <w:pStyle w:val="Heading1"/>
      </w:pPr>
      <w:bookmarkStart w:id="14" w:name="_heading=h.lnxbz9" w:colFirst="0" w:colLast="0"/>
      <w:bookmarkEnd w:id="14"/>
      <w:r>
        <w:lastRenderedPageBreak/>
        <w:t>Conclusion</w:t>
      </w:r>
    </w:p>
    <w:p w14:paraId="6EACCE80" w14:textId="77777777" w:rsidR="003D70D5" w:rsidRDefault="00000000">
      <w:pPr>
        <w:pBdr>
          <w:top w:val="nil"/>
          <w:left w:val="nil"/>
          <w:bottom w:val="nil"/>
          <w:right w:val="nil"/>
          <w:between w:val="nil"/>
        </w:pBdr>
        <w:spacing w:after="0"/>
        <w:rPr>
          <w:color w:val="000000"/>
        </w:rPr>
      </w:pPr>
      <w:r>
        <w:rPr>
          <w:color w:val="000000"/>
        </w:rPr>
        <w:t>The management of international finance ensures higher economic growth and better risk evaluation for businesses. Therefore, the above report has been presented to highlight the impact of international finance management for Aviva Plc. It has been identified that the company employed the Dornbusch Overshooting model and purchasing power parity for international finance. Along with that, the financing techniques employed by Aviva Plc have been analysed. These are crowdfunding, debt financing, equity financing and many more. Moreover, the residual income model and market timing model have been evaluated as the corporate value model and financial structure respectively for Aviva Plc.</w:t>
      </w:r>
    </w:p>
    <w:p w14:paraId="767B090C" w14:textId="77777777" w:rsidR="003D70D5" w:rsidRDefault="003D70D5">
      <w:pPr>
        <w:pStyle w:val="Heading1"/>
      </w:pPr>
    </w:p>
    <w:p w14:paraId="6916F7A2" w14:textId="77777777" w:rsidR="003D70D5" w:rsidRDefault="003D70D5">
      <w:pPr>
        <w:pStyle w:val="Heading1"/>
      </w:pPr>
    </w:p>
    <w:p w14:paraId="3126FFCF" w14:textId="77777777" w:rsidR="003D70D5" w:rsidRDefault="003D70D5">
      <w:pPr>
        <w:pStyle w:val="Heading1"/>
      </w:pPr>
    </w:p>
    <w:p w14:paraId="403068A3" w14:textId="77777777" w:rsidR="003D70D5" w:rsidRDefault="003D70D5">
      <w:pPr>
        <w:pStyle w:val="Heading1"/>
      </w:pPr>
    </w:p>
    <w:p w14:paraId="1C2B1726" w14:textId="77777777" w:rsidR="003D70D5" w:rsidRDefault="003D70D5">
      <w:pPr>
        <w:pStyle w:val="Heading1"/>
      </w:pPr>
    </w:p>
    <w:p w14:paraId="3C23CFCB" w14:textId="77777777" w:rsidR="003D70D5" w:rsidRDefault="003D70D5">
      <w:pPr>
        <w:pStyle w:val="Heading1"/>
      </w:pPr>
    </w:p>
    <w:p w14:paraId="44E7610F" w14:textId="77777777" w:rsidR="003D70D5" w:rsidRDefault="00000000">
      <w:pPr>
        <w:spacing w:line="276" w:lineRule="auto"/>
        <w:jc w:val="left"/>
        <w:rPr>
          <w:b/>
          <w:sz w:val="28"/>
          <w:szCs w:val="28"/>
        </w:rPr>
      </w:pPr>
      <w:r>
        <w:br w:type="page"/>
      </w:r>
    </w:p>
    <w:p w14:paraId="7B834CC5" w14:textId="77777777" w:rsidR="003D70D5" w:rsidRDefault="00000000">
      <w:pPr>
        <w:pStyle w:val="Heading1"/>
      </w:pPr>
      <w:bookmarkStart w:id="15" w:name="_heading=h.35nkun2" w:colFirst="0" w:colLast="0"/>
      <w:bookmarkEnd w:id="15"/>
      <w:r>
        <w:lastRenderedPageBreak/>
        <w:t>References</w:t>
      </w:r>
    </w:p>
    <w:p w14:paraId="772516FA" w14:textId="77777777" w:rsidR="003D70D5" w:rsidRDefault="00000000">
      <w:r>
        <w:t>AVIVA, (2024). How we’re organised. [Online] Available at: https://www.aviva.com/about-us/how-we-are organised/</w:t>
      </w:r>
      <w:proofErr w:type="gramStart"/>
      <w:r>
        <w:t>#:~</w:t>
      </w:r>
      <w:proofErr w:type="gramEnd"/>
      <w:r>
        <w:t>:text=Aviva%20is%20the%20largest%20life,Wealth%20and%20Retirement%20(IWR)[Accessed 10 March 2024].</w:t>
      </w:r>
    </w:p>
    <w:p w14:paraId="64EF66EF" w14:textId="77777777" w:rsidR="003D70D5" w:rsidRDefault="00000000">
      <w:proofErr w:type="spellStart"/>
      <w:r>
        <w:t>Bellardini</w:t>
      </w:r>
      <w:proofErr w:type="spellEnd"/>
      <w:r>
        <w:t xml:space="preserve">, L., Del </w:t>
      </w:r>
      <w:proofErr w:type="spellStart"/>
      <w:r>
        <w:t>Gaudio</w:t>
      </w:r>
      <w:proofErr w:type="spellEnd"/>
      <w:r>
        <w:t xml:space="preserve">, B.L., </w:t>
      </w:r>
      <w:proofErr w:type="spellStart"/>
      <w:r>
        <w:t>Previtali</w:t>
      </w:r>
      <w:proofErr w:type="spellEnd"/>
      <w:r>
        <w:t xml:space="preserve">, D. and </w:t>
      </w:r>
      <w:proofErr w:type="spellStart"/>
      <w:r>
        <w:t>Verdoliva</w:t>
      </w:r>
      <w:proofErr w:type="spellEnd"/>
      <w:r>
        <w:t xml:space="preserve">, V., (2022). How do banks invest in </w:t>
      </w:r>
      <w:proofErr w:type="spellStart"/>
      <w:r>
        <w:t>fintechs</w:t>
      </w:r>
      <w:proofErr w:type="spellEnd"/>
      <w:r>
        <w:t>? Evidence from advanced economies. Journal of International Financial Markets, Institutions and Money, 77, p.101498.</w:t>
      </w:r>
    </w:p>
    <w:p w14:paraId="4F4CD13D" w14:textId="77777777" w:rsidR="003D70D5" w:rsidRDefault="00000000">
      <w:proofErr w:type="spellStart"/>
      <w:r>
        <w:t>Center</w:t>
      </w:r>
      <w:proofErr w:type="spellEnd"/>
      <w:r>
        <w:t xml:space="preserve">, B., (2023). Crowdfunding Is Increasing—How </w:t>
      </w:r>
      <w:proofErr w:type="gramStart"/>
      <w:r>
        <w:t>To</w:t>
      </w:r>
      <w:proofErr w:type="gramEnd"/>
      <w:r>
        <w:t xml:space="preserve"> Have A Successful .... [Online] Available at: https://www.forbes.com/sites/forbesbusinesscouncil/2023/09/08/with-vc-money slowing-crowdfunding-is-increasing-heres-how-to-have-a-successful-campaign/?sh=2faf20b05f1</w:t>
      </w:r>
      <w:proofErr w:type="gramStart"/>
      <w:r>
        <w:t>f[</w:t>
      </w:r>
      <w:proofErr w:type="gramEnd"/>
      <w:r>
        <w:t>Accessed 10 March 2024].</w:t>
      </w:r>
    </w:p>
    <w:p w14:paraId="5103F903" w14:textId="77777777" w:rsidR="003D70D5" w:rsidRDefault="00000000">
      <w:r>
        <w:t xml:space="preserve">Hopkins, J. K., (2024). The Fine Line Between Equity Investment </w:t>
      </w:r>
      <w:proofErr w:type="gramStart"/>
      <w:r>
        <w:t>And</w:t>
      </w:r>
      <w:proofErr w:type="gramEnd"/>
      <w:r>
        <w:t xml:space="preserve"> Debt Financing. [Online] Available at: </w:t>
      </w:r>
      <w:proofErr w:type="gramStart"/>
      <w:r>
        <w:t>https://www.forbes.com/sites/forbesfinancecouncil/2024/01/11/balancing-act-navigating-the-fine-line-between-equity-investment-and-debt-financing/?sh=5b1812cd3ec2[</w:t>
      </w:r>
      <w:proofErr w:type="gramEnd"/>
      <w:r>
        <w:t>Accessed 10 March 2024].</w:t>
      </w:r>
    </w:p>
    <w:p w14:paraId="2074B87D" w14:textId="77777777" w:rsidR="003D70D5" w:rsidRDefault="00000000">
      <w:proofErr w:type="spellStart"/>
      <w:r>
        <w:t>Mader</w:t>
      </w:r>
      <w:proofErr w:type="spellEnd"/>
      <w:r>
        <w:t xml:space="preserve">, P., Mertens, D. and Van der </w:t>
      </w:r>
      <w:proofErr w:type="spellStart"/>
      <w:r>
        <w:t>Zwan</w:t>
      </w:r>
      <w:proofErr w:type="spellEnd"/>
      <w:r>
        <w:t>, N. eds., (2020). The Routledge international handbook of financialization. Routledge.</w:t>
      </w:r>
    </w:p>
    <w:p w14:paraId="38D6696E" w14:textId="77777777" w:rsidR="003D70D5" w:rsidRDefault="00000000">
      <w:r>
        <w:t xml:space="preserve">OECD, (2024). Purchasing power parities (PPP). [Online] Available at: </w:t>
      </w:r>
      <w:proofErr w:type="gramStart"/>
      <w:r>
        <w:t>https://data.oecd.org/conversion/purchasing-power-parities-ppp.htm[</w:t>
      </w:r>
      <w:proofErr w:type="gramEnd"/>
      <w:r>
        <w:t>Accessed 10 March 2024].</w:t>
      </w:r>
    </w:p>
    <w:p w14:paraId="14976885" w14:textId="77777777" w:rsidR="003D70D5" w:rsidRDefault="00000000">
      <w:r>
        <w:lastRenderedPageBreak/>
        <w:t xml:space="preserve">ONS, (2023). Foreign direct investment involving UK companies: 2021. [Online] Available at: </w:t>
      </w:r>
      <w:proofErr w:type="gramStart"/>
      <w:r>
        <w:t>https://www.ons.gov.uk/economy/nationalaccounts/balanceofpayments/bulletins/foreigndirectinvestmentinvolvingukcompanies/2021[</w:t>
      </w:r>
      <w:proofErr w:type="gramEnd"/>
      <w:r>
        <w:t>Accessed 10 March 2024].</w:t>
      </w:r>
    </w:p>
    <w:p w14:paraId="0F917BB4" w14:textId="77777777" w:rsidR="003D70D5" w:rsidRDefault="00000000">
      <w:proofErr w:type="spellStart"/>
      <w:r>
        <w:t>Parrino</w:t>
      </w:r>
      <w:proofErr w:type="spellEnd"/>
      <w:r>
        <w:t xml:space="preserve">, R., Bates, T.W., </w:t>
      </w:r>
      <w:proofErr w:type="spellStart"/>
      <w:r>
        <w:t>Gillan</w:t>
      </w:r>
      <w:proofErr w:type="spellEnd"/>
      <w:r>
        <w:t>, S.L. and Kidwell, D.S., (2021). Fundamentals of corporate finance. John Wiley &amp; Sons.</w:t>
      </w:r>
    </w:p>
    <w:p w14:paraId="5B436382" w14:textId="77777777" w:rsidR="003D70D5" w:rsidRDefault="00000000">
      <w:proofErr w:type="spellStart"/>
      <w:r>
        <w:t>Porretta</w:t>
      </w:r>
      <w:proofErr w:type="spellEnd"/>
      <w:r>
        <w:t>, P. and Agnese, P., (2021). The fundamental review of trading book: new standard approach and risk management impacts. Journal of Risk Management in Financial Institutions, 14(2), pp.209-219.</w:t>
      </w:r>
    </w:p>
    <w:p w14:paraId="434D5821" w14:textId="77777777" w:rsidR="003D70D5" w:rsidRDefault="00000000">
      <w:proofErr w:type="spellStart"/>
      <w:r>
        <w:t>Rüth</w:t>
      </w:r>
      <w:proofErr w:type="spellEnd"/>
      <w:r>
        <w:t xml:space="preserve">, S.K. and Van der </w:t>
      </w:r>
      <w:proofErr w:type="spellStart"/>
      <w:r>
        <w:t>Veken</w:t>
      </w:r>
      <w:proofErr w:type="spellEnd"/>
      <w:r>
        <w:t xml:space="preserve">, W., (2023). Monetary policy and exchange rate anomalies in </w:t>
      </w:r>
      <w:proofErr w:type="gramStart"/>
      <w:r>
        <w:t>set‐identified</w:t>
      </w:r>
      <w:proofErr w:type="gramEnd"/>
      <w:r>
        <w:t xml:space="preserve"> SVARs: Revisited. Journal of Applied Econometrics, 38(7), pp.1085-1092.</w:t>
      </w:r>
    </w:p>
    <w:p w14:paraId="093AC508" w14:textId="77777777" w:rsidR="003D70D5" w:rsidRDefault="00000000">
      <w:proofErr w:type="spellStart"/>
      <w:r>
        <w:t>Secinaro</w:t>
      </w:r>
      <w:proofErr w:type="spellEnd"/>
      <w:r>
        <w:t xml:space="preserve">, S., Brescia, V., Calandra, D. and </w:t>
      </w:r>
      <w:proofErr w:type="spellStart"/>
      <w:r>
        <w:t>Saiti</w:t>
      </w:r>
      <w:proofErr w:type="spellEnd"/>
      <w:r>
        <w:t>, B., (2020). Impact of climate change mitigation policies on corporate financial performance: Evidence‐based on European publicly listed firms. Corporate Social Responsibility and Environmental Management, 27(6), pp.2491-2501.</w:t>
      </w:r>
    </w:p>
    <w:p w14:paraId="2EA56B9F" w14:textId="77777777" w:rsidR="003D70D5" w:rsidRDefault="00000000">
      <w:proofErr w:type="spellStart"/>
      <w:r>
        <w:t>Tsatsaronis</w:t>
      </w:r>
      <w:proofErr w:type="spellEnd"/>
      <w:r>
        <w:t xml:space="preserve">, M., </w:t>
      </w:r>
      <w:proofErr w:type="spellStart"/>
      <w:r>
        <w:t>Syriopoulos</w:t>
      </w:r>
      <w:proofErr w:type="spellEnd"/>
      <w:r>
        <w:t xml:space="preserve">, T., </w:t>
      </w:r>
      <w:proofErr w:type="spellStart"/>
      <w:r>
        <w:t>Gavalas</w:t>
      </w:r>
      <w:proofErr w:type="spellEnd"/>
      <w:r>
        <w:t xml:space="preserve">, D., </w:t>
      </w:r>
      <w:proofErr w:type="spellStart"/>
      <w:r>
        <w:t>Boura</w:t>
      </w:r>
      <w:proofErr w:type="spellEnd"/>
      <w:r>
        <w:t xml:space="preserve">, G., </w:t>
      </w:r>
      <w:proofErr w:type="spellStart"/>
      <w:r>
        <w:t>Trakadas</w:t>
      </w:r>
      <w:proofErr w:type="spellEnd"/>
      <w:r>
        <w:t xml:space="preserve">, P. and </w:t>
      </w:r>
      <w:proofErr w:type="spellStart"/>
      <w:r>
        <w:t>Gkorila</w:t>
      </w:r>
      <w:proofErr w:type="spellEnd"/>
      <w:r>
        <w:t>, M., (2024). The impact of Corporate Social Responsibility on corporate financial performance: an empirical study on shipping. Maritime Policy &amp; Management, 51(2), pp.226-239.</w:t>
      </w:r>
    </w:p>
    <w:p w14:paraId="1B1E7095" w14:textId="77777777" w:rsidR="003D70D5" w:rsidRDefault="003D70D5"/>
    <w:p w14:paraId="79D1B1FB" w14:textId="77777777" w:rsidR="003D70D5" w:rsidRDefault="003D70D5"/>
    <w:sectPr w:rsidR="003D70D5">
      <w:headerReference w:type="default" r:id="rId13"/>
      <w:footerReference w:type="default" r:id="rId1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798E81" w14:textId="77777777" w:rsidR="00365E71" w:rsidRDefault="00365E71">
      <w:pPr>
        <w:spacing w:after="0" w:line="240" w:lineRule="auto"/>
      </w:pPr>
      <w:r>
        <w:separator/>
      </w:r>
    </w:p>
  </w:endnote>
  <w:endnote w:type="continuationSeparator" w:id="0">
    <w:p w14:paraId="448086C4" w14:textId="77777777" w:rsidR="00365E71" w:rsidRDefault="00365E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 w:name="Georgia">
    <w:panose1 w:val="02040502050405020303"/>
    <w:charset w:val="00"/>
    <w:family w:val="auto"/>
    <w:pitch w:val="default"/>
  </w:font>
  <w:font w:name="Calibri">
    <w:panose1 w:val="020F0502020204030204"/>
    <w:charset w:val="00"/>
    <w:family w:val="moder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C318F5" w14:textId="77777777" w:rsidR="003D70D5"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7614AC">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7614AC">
      <w:rPr>
        <w:b/>
        <w:noProof/>
        <w:color w:val="000000"/>
      </w:rPr>
      <w:t>3</w:t>
    </w:r>
    <w:r>
      <w:rPr>
        <w:b/>
        <w:color w:val="000000"/>
      </w:rPr>
      <w:fldChar w:fldCharType="end"/>
    </w:r>
  </w:p>
  <w:p w14:paraId="33A1263A" w14:textId="77777777" w:rsidR="003D70D5" w:rsidRDefault="003D70D5">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EC2A94" w14:textId="77777777" w:rsidR="00365E71" w:rsidRDefault="00365E71">
      <w:pPr>
        <w:spacing w:after="0" w:line="240" w:lineRule="auto"/>
      </w:pPr>
      <w:r>
        <w:separator/>
      </w:r>
    </w:p>
  </w:footnote>
  <w:footnote w:type="continuationSeparator" w:id="0">
    <w:p w14:paraId="2C70444F" w14:textId="77777777" w:rsidR="00365E71" w:rsidRDefault="00365E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A2ED23" w14:textId="77777777" w:rsidR="003D70D5"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t>International Financial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70D5"/>
    <w:rsid w:val="00365E71"/>
    <w:rsid w:val="003D70D5"/>
    <w:rsid w:val="007614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0B0290"/>
  <w15:docId w15:val="{26FF8150-64D3-C848-A441-B11A44AB6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4E59"/>
    <w:rPr>
      <w:lang w:val="en-GB"/>
    </w:rPr>
  </w:style>
  <w:style w:type="paragraph" w:styleId="Heading1">
    <w:name w:val="heading 1"/>
    <w:basedOn w:val="Normal"/>
    <w:next w:val="Normal"/>
    <w:link w:val="Heading1Char"/>
    <w:uiPriority w:val="9"/>
    <w:qFormat/>
    <w:rsid w:val="00972558"/>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176899"/>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8573A9"/>
    <w:pPr>
      <w:keepNext/>
      <w:keepLines/>
      <w:spacing w:before="200" w:after="0"/>
      <w:outlineLvl w:val="2"/>
    </w:pPr>
    <w:rPr>
      <w:rFonts w:eastAsiaTheme="majorEastAsia" w:cstheme="majorBidi"/>
      <w:bCs/>
      <w:i/>
      <w:u w:val="single"/>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H3"/>
    <w:basedOn w:val="Normal"/>
    <w:next w:val="Normal"/>
    <w:link w:val="TitleChar"/>
    <w:uiPriority w:val="10"/>
    <w:qFormat/>
    <w:rsid w:val="00972558"/>
    <w:pPr>
      <w:pBdr>
        <w:bottom w:val="single" w:sz="8" w:space="4" w:color="4F81BD" w:themeColor="accent1"/>
      </w:pBdr>
      <w:spacing w:after="300"/>
      <w:contextualSpacing/>
    </w:pPr>
    <w:rPr>
      <w:rFonts w:eastAsiaTheme="majorEastAsia" w:cstheme="majorBidi"/>
      <w:i/>
      <w:spacing w:val="5"/>
      <w:kern w:val="28"/>
      <w:szCs w:val="52"/>
      <w:u w:val="single"/>
    </w:rPr>
  </w:style>
  <w:style w:type="character" w:customStyle="1" w:styleId="Heading1Char">
    <w:name w:val="Heading 1 Char"/>
    <w:basedOn w:val="DefaultParagraphFont"/>
    <w:link w:val="Heading1"/>
    <w:uiPriority w:val="9"/>
    <w:rsid w:val="00972558"/>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176899"/>
    <w:rPr>
      <w:rFonts w:ascii="Times New Roman" w:eastAsiaTheme="majorEastAsia" w:hAnsi="Times New Roman" w:cstheme="majorBidi"/>
      <w:b/>
      <w:bCs/>
      <w:sz w:val="26"/>
      <w:szCs w:val="26"/>
      <w:lang w:val="en-GB"/>
    </w:rPr>
  </w:style>
  <w:style w:type="character" w:customStyle="1" w:styleId="TitleChar">
    <w:name w:val="Title Char"/>
    <w:aliases w:val="H3 Char"/>
    <w:basedOn w:val="DefaultParagraphFont"/>
    <w:link w:val="Title"/>
    <w:uiPriority w:val="10"/>
    <w:rsid w:val="00972558"/>
    <w:rPr>
      <w:rFonts w:ascii="Times New Roman" w:eastAsiaTheme="majorEastAsia" w:hAnsi="Times New Roman" w:cstheme="majorBidi"/>
      <w:i/>
      <w:spacing w:val="5"/>
      <w:kern w:val="28"/>
      <w:sz w:val="24"/>
      <w:szCs w:val="52"/>
      <w:u w:val="single"/>
    </w:rPr>
  </w:style>
  <w:style w:type="character" w:customStyle="1" w:styleId="Heading3Char">
    <w:name w:val="Heading 3 Char"/>
    <w:basedOn w:val="DefaultParagraphFont"/>
    <w:link w:val="Heading3"/>
    <w:uiPriority w:val="9"/>
    <w:rsid w:val="008573A9"/>
    <w:rPr>
      <w:rFonts w:ascii="Times New Roman" w:eastAsiaTheme="majorEastAsia" w:hAnsi="Times New Roman" w:cstheme="majorBidi"/>
      <w:bCs/>
      <w:i/>
      <w:sz w:val="24"/>
      <w:u w:val="single"/>
    </w:rPr>
  </w:style>
  <w:style w:type="paragraph" w:styleId="Header">
    <w:name w:val="header"/>
    <w:basedOn w:val="Normal"/>
    <w:link w:val="HeaderChar"/>
    <w:uiPriority w:val="99"/>
    <w:unhideWhenUsed/>
    <w:rsid w:val="00704E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04E59"/>
    <w:rPr>
      <w:rFonts w:ascii="Times New Roman" w:hAnsi="Times New Roman"/>
      <w:sz w:val="24"/>
      <w:lang w:val="en-GB"/>
    </w:rPr>
  </w:style>
  <w:style w:type="paragraph" w:styleId="Footer">
    <w:name w:val="footer"/>
    <w:basedOn w:val="Normal"/>
    <w:link w:val="FooterChar"/>
    <w:uiPriority w:val="99"/>
    <w:unhideWhenUsed/>
    <w:rsid w:val="00704E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4E59"/>
    <w:rPr>
      <w:rFonts w:ascii="Times New Roman" w:hAnsi="Times New Roman"/>
      <w:sz w:val="24"/>
      <w:lang w:val="en-GB"/>
    </w:rPr>
  </w:style>
  <w:style w:type="paragraph" w:styleId="NormalWeb">
    <w:name w:val="Normal (Web)"/>
    <w:basedOn w:val="Normal"/>
    <w:uiPriority w:val="99"/>
    <w:semiHidden/>
    <w:unhideWhenUsed/>
    <w:rsid w:val="00176899"/>
    <w:pPr>
      <w:spacing w:before="100" w:beforeAutospacing="1" w:after="100" w:afterAutospacing="1" w:line="240" w:lineRule="auto"/>
      <w:jc w:val="left"/>
    </w:pPr>
    <w:rPr>
      <w:lang w:val="en-US"/>
    </w:rPr>
  </w:style>
  <w:style w:type="character" w:customStyle="1" w:styleId="apple-tab-span">
    <w:name w:val="apple-tab-span"/>
    <w:basedOn w:val="DefaultParagraphFont"/>
    <w:rsid w:val="00176899"/>
  </w:style>
  <w:style w:type="paragraph" w:styleId="BalloonText">
    <w:name w:val="Balloon Text"/>
    <w:basedOn w:val="Normal"/>
    <w:link w:val="BalloonTextChar"/>
    <w:uiPriority w:val="99"/>
    <w:semiHidden/>
    <w:unhideWhenUsed/>
    <w:rsid w:val="003D14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14AB"/>
    <w:rPr>
      <w:rFonts w:ascii="Tahoma" w:hAnsi="Tahoma" w:cs="Tahoma"/>
      <w:sz w:val="16"/>
      <w:szCs w:val="16"/>
      <w:lang w:val="en-GB"/>
    </w:rPr>
  </w:style>
  <w:style w:type="paragraph" w:styleId="Bibliography">
    <w:name w:val="Bibliography"/>
    <w:basedOn w:val="Normal"/>
    <w:next w:val="Normal"/>
    <w:uiPriority w:val="37"/>
    <w:unhideWhenUsed/>
    <w:rsid w:val="00C21ADC"/>
  </w:style>
  <w:style w:type="character" w:styleId="Hyperlink">
    <w:name w:val="Hyperlink"/>
    <w:basedOn w:val="DefaultParagraphFont"/>
    <w:uiPriority w:val="99"/>
    <w:unhideWhenUsed/>
    <w:rsid w:val="00C21ADC"/>
    <w:rPr>
      <w:color w:val="0000FF" w:themeColor="hyperlink"/>
      <w:u w:val="single"/>
    </w:rPr>
  </w:style>
  <w:style w:type="paragraph" w:styleId="ListParagraph">
    <w:name w:val="List Paragraph"/>
    <w:basedOn w:val="Normal"/>
    <w:uiPriority w:val="34"/>
    <w:qFormat/>
    <w:rsid w:val="00C21ADC"/>
    <w:pPr>
      <w:ind w:left="720"/>
      <w:contextualSpacing/>
    </w:pPr>
  </w:style>
  <w:style w:type="paragraph" w:styleId="TOCHeading">
    <w:name w:val="TOC Heading"/>
    <w:basedOn w:val="Heading1"/>
    <w:next w:val="Normal"/>
    <w:uiPriority w:val="39"/>
    <w:unhideWhenUsed/>
    <w:qFormat/>
    <w:rsid w:val="008E410C"/>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8E410C"/>
    <w:pPr>
      <w:spacing w:after="100"/>
    </w:pPr>
  </w:style>
  <w:style w:type="paragraph" w:styleId="TOC2">
    <w:name w:val="toc 2"/>
    <w:basedOn w:val="Normal"/>
    <w:next w:val="Normal"/>
    <w:autoRedefine/>
    <w:uiPriority w:val="39"/>
    <w:unhideWhenUsed/>
    <w:rsid w:val="008E410C"/>
    <w:pPr>
      <w:spacing w:after="100"/>
      <w:ind w:left="240"/>
    </w:pPr>
  </w:style>
  <w:style w:type="paragraph" w:styleId="TOC3">
    <w:name w:val="toc 3"/>
    <w:basedOn w:val="Normal"/>
    <w:next w:val="Normal"/>
    <w:autoRedefine/>
    <w:uiPriority w:val="39"/>
    <w:unhideWhenUsed/>
    <w:rsid w:val="008E410C"/>
    <w:pPr>
      <w:spacing w:after="100"/>
      <w:ind w:left="48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CiSlT2PN8Kg9W6bptwKOc7L7myQ==">CgMxLjAyDmguNm0wM202ZmpwYTN1MghoLmdqZGd4czIJaC4zMGowemxsMgloLjFmb2I5dGUyCWguM3pueXNoNzIJaC4yZXQ5MnAwMghoLnR5amN3dDIJaC4zZHk2dmttMgloLjF0M2g1c2YyCWguNGQzNG9nODIJaC4yczhleW8xMgloLjE3ZHA4dnUyCWguM3JkY3JqbjIJaC4yNmluMXJnMghoLmxueGJ6OTIJaC4zNW5rdW4yOAByITFtR185amZrVU9YNzZrd04zUW5icHdpQmZOeUdjeElSQ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2452</Words>
  <Characters>13978</Characters>
  <Application>Microsoft Office Word</Application>
  <DocSecurity>0</DocSecurity>
  <Lines>116</Lines>
  <Paragraphs>32</Paragraphs>
  <ScaleCrop>false</ScaleCrop>
  <Company/>
  <LinksUpToDate>false</LinksUpToDate>
  <CharactersWithSpaces>16398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Constantin Marian Grigoras</cp:lastModifiedBy>
  <cp:revision>2</cp:revision>
  <dcterms:created xsi:type="dcterms:W3CDTF">2024-03-30T14:38:00Z</dcterms:created>
  <dcterms:modified xsi:type="dcterms:W3CDTF">2024-03-30T14:38:00Z</dcterms:modified>
</cp:coreProperties>
</file>