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23E3CFCB"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8F5AEC">
              <w:rPr>
                <w:rFonts w:ascii="Times New Roman" w:hAnsi="Times New Roman" w:cs="Times New Roman"/>
                <w:b/>
                <w:sz w:val="48"/>
              </w:rPr>
              <w:t>Leanne Duncalf</w:t>
            </w:r>
          </w:p>
          <w:p w14:paraId="2CEE7446" w14:textId="77777777" w:rsidR="00943FDB" w:rsidRDefault="00943FDB" w:rsidP="00415891">
            <w:pPr>
              <w:ind w:right="-957"/>
              <w:rPr>
                <w:rFonts w:ascii="Times New Roman" w:hAnsi="Times New Roman" w:cs="Times New Roman"/>
                <w:b/>
                <w:sz w:val="48"/>
              </w:rPr>
            </w:pPr>
          </w:p>
          <w:p w14:paraId="52EF6683" w14:textId="0CBA90A4"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5974CA">
              <w:rPr>
                <w:rFonts w:ascii="Times New Roman" w:hAnsi="Times New Roman" w:cs="Times New Roman"/>
                <w:b/>
                <w:sz w:val="48"/>
              </w:rPr>
              <w:t xml:space="preserve"> </w:t>
            </w:r>
            <w:r w:rsidR="00982521">
              <w:rPr>
                <w:rFonts w:ascii="Times New Roman" w:hAnsi="Times New Roman" w:cs="Times New Roman"/>
                <w:b/>
                <w:sz w:val="48"/>
              </w:rPr>
              <w:t>Duncalf.leanne@gmail.com</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5174C3C8" w14:textId="639FA205" w:rsidR="00943FDB" w:rsidRPr="005D3F07" w:rsidRDefault="0034258E" w:rsidP="00415891">
            <w:pPr>
              <w:ind w:right="-957"/>
              <w:rPr>
                <w:rFonts w:ascii="Times New Roman" w:hAnsi="Times New Roman" w:cs="Times New Roman"/>
                <w:b/>
                <w:sz w:val="48"/>
              </w:rPr>
            </w:pPr>
            <w:r>
              <w:rPr>
                <w:rFonts w:ascii="Times New Roman" w:hAnsi="Times New Roman" w:cs="Times New Roman"/>
                <w:b/>
                <w:sz w:val="48"/>
              </w:rPr>
              <w:t>2420864</w:t>
            </w: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2703F7C4" w14:textId="77777777" w:rsidR="005974CA" w:rsidRDefault="005974CA" w:rsidP="005974CA">
      <w:pPr>
        <w:rPr>
          <w:rFonts w:ascii="Times New Roman" w:hAnsi="Times New Roman" w:cs="Times New Roman"/>
          <w:b/>
          <w:sz w:val="48"/>
        </w:rPr>
      </w:pPr>
    </w:p>
    <w:p w14:paraId="29BA38FC" w14:textId="630DE480" w:rsidR="004F0E93" w:rsidRDefault="004F0E93" w:rsidP="005974CA">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r w:rsidR="004F0E93">
        <w:rPr>
          <w:i/>
          <w:iCs/>
        </w:rPr>
        <w:t>asks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carers</w:t>
            </w:r>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37E14D0E" w14:textId="5955E93A" w:rsidR="00C51FBD"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40FF02CA" w14:textId="003F0E35" w:rsidR="003611F9" w:rsidRPr="00A96FF9" w:rsidRDefault="003611F9" w:rsidP="003611F9">
            <w:pPr>
              <w:spacing w:line="360" w:lineRule="auto"/>
              <w:rPr>
                <w:rFonts w:ascii="Arial" w:hAnsi="Arial" w:cs="Arial"/>
              </w:rPr>
            </w:pPr>
            <w:r w:rsidRPr="00A96FF9">
              <w:rPr>
                <w:rFonts w:ascii="Arial" w:hAnsi="Arial" w:cs="Arial"/>
              </w:rPr>
              <w:t>Since qualifying as a social worker, I have developed skills in assessment, intervention, and collaborative practice. However, as my caseload becomes more complex, I recognise that my knowledge and skills must continuously develop to ensure my practice remains ethical, effective, and person-centred, as outlined in the Code of Professional Practice</w:t>
            </w:r>
            <w:r w:rsidR="00A9656B">
              <w:rPr>
                <w:rFonts w:ascii="Arial" w:hAnsi="Arial" w:cs="Arial"/>
              </w:rPr>
              <w:t xml:space="preserve"> for Social Care</w:t>
            </w:r>
            <w:r w:rsidRPr="00A96FF9">
              <w:rPr>
                <w:rFonts w:ascii="Arial" w:hAnsi="Arial" w:cs="Arial"/>
              </w:rPr>
              <w:t xml:space="preserve"> (Social Care Wales, 2017). To critically reflect on my development and identify future learning needs, I will use Borton’s (1970) reflective model What? So What? Now What</w:t>
            </w:r>
            <w:r>
              <w:rPr>
                <w:rFonts w:ascii="Arial" w:hAnsi="Arial" w:cs="Arial"/>
              </w:rPr>
              <w:t>?</w:t>
            </w:r>
            <w:r w:rsidRPr="00A96FF9">
              <w:rPr>
                <w:rFonts w:ascii="Arial" w:hAnsi="Arial" w:cs="Arial"/>
              </w:rPr>
              <w:t>, with the ‘Now What?’ stage reserved for evaluating whether I have achieved my planned learning.</w:t>
            </w:r>
          </w:p>
          <w:p w14:paraId="121ADDA5" w14:textId="77777777" w:rsidR="003611F9" w:rsidRPr="00C67654" w:rsidRDefault="003611F9" w:rsidP="003611F9">
            <w:pPr>
              <w:spacing w:line="360" w:lineRule="auto"/>
              <w:rPr>
                <w:rFonts w:ascii="Arial" w:hAnsi="Arial" w:cs="Arial"/>
                <w:b/>
                <w:bCs/>
              </w:rPr>
            </w:pPr>
          </w:p>
          <w:p w14:paraId="2BB5C9C0" w14:textId="77777777" w:rsidR="003611F9" w:rsidRPr="00A96FF9" w:rsidRDefault="003611F9" w:rsidP="003611F9">
            <w:pPr>
              <w:spacing w:line="360" w:lineRule="auto"/>
              <w:rPr>
                <w:rFonts w:ascii="Arial" w:hAnsi="Arial" w:cs="Arial"/>
              </w:rPr>
            </w:pPr>
            <w:r w:rsidRPr="00A96FF9">
              <w:rPr>
                <w:rFonts w:ascii="Arial" w:hAnsi="Arial" w:cs="Arial"/>
                <w:b/>
                <w:bCs/>
              </w:rPr>
              <w:t>Applying analysis in assessment to inform interventions</w:t>
            </w:r>
          </w:p>
          <w:p w14:paraId="7809972C" w14:textId="77777777" w:rsidR="003611F9" w:rsidRPr="00A96FF9" w:rsidRDefault="003611F9" w:rsidP="003611F9">
            <w:pPr>
              <w:spacing w:line="360" w:lineRule="auto"/>
              <w:rPr>
                <w:rFonts w:ascii="Arial" w:hAnsi="Arial" w:cs="Arial"/>
              </w:rPr>
            </w:pPr>
            <w:r w:rsidRPr="00A96FF9">
              <w:rPr>
                <w:rFonts w:ascii="Arial" w:hAnsi="Arial" w:cs="Arial"/>
              </w:rPr>
              <w:t>What?</w:t>
            </w:r>
          </w:p>
          <w:p w14:paraId="22F97DAE" w14:textId="77777777" w:rsidR="003611F9" w:rsidRPr="00A96FF9" w:rsidRDefault="003611F9" w:rsidP="003611F9">
            <w:pPr>
              <w:spacing w:line="360" w:lineRule="auto"/>
              <w:rPr>
                <w:rFonts w:ascii="Arial" w:hAnsi="Arial" w:cs="Arial"/>
              </w:rPr>
            </w:pPr>
            <w:r w:rsidRPr="00A96FF9">
              <w:rPr>
                <w:rFonts w:ascii="Arial" w:hAnsi="Arial" w:cs="Arial"/>
              </w:rPr>
              <w:lastRenderedPageBreak/>
              <w:t>A central part of my role involves conducting Mental Capacity Act 2005 (MCA) assessments. While I feel confident in applying the two-stage test, complex cases often challenge my ability to analyse capacity accurately. For example, individuals may understand information in principle but struggle to apply it due to executive functioning difficulties or cognitive impairment. In supervision, I recognised the need to build confidence in analysing the ‘use and weigh’ element of assessments. To address this, I plan to observe a Best Interest Assessor and attend further MCA training to strengthen my analytical skills through structured learning and reflection. Preston-Shoot (2017) highlights how specialist knowledge in areas such as executive functioning improves confidence and accuracy in complex assessments.</w:t>
            </w:r>
          </w:p>
          <w:p w14:paraId="58573814" w14:textId="77777777" w:rsidR="003611F9" w:rsidRPr="00A96FF9" w:rsidRDefault="003611F9" w:rsidP="003611F9">
            <w:pPr>
              <w:spacing w:line="360" w:lineRule="auto"/>
              <w:rPr>
                <w:rFonts w:ascii="Arial" w:hAnsi="Arial" w:cs="Arial"/>
              </w:rPr>
            </w:pPr>
          </w:p>
          <w:p w14:paraId="250F3620" w14:textId="77777777" w:rsidR="003611F9" w:rsidRPr="00A96FF9" w:rsidRDefault="003611F9" w:rsidP="003611F9">
            <w:pPr>
              <w:spacing w:line="360" w:lineRule="auto"/>
              <w:rPr>
                <w:rFonts w:ascii="Arial" w:hAnsi="Arial" w:cs="Arial"/>
              </w:rPr>
            </w:pPr>
            <w:r w:rsidRPr="00A96FF9">
              <w:rPr>
                <w:rFonts w:ascii="Arial" w:hAnsi="Arial" w:cs="Arial"/>
              </w:rPr>
              <w:t>So What?</w:t>
            </w:r>
          </w:p>
          <w:p w14:paraId="539C41D1" w14:textId="4806465D" w:rsidR="003611F9" w:rsidRPr="00C67654" w:rsidRDefault="003611F9" w:rsidP="003611F9">
            <w:pPr>
              <w:spacing w:line="360" w:lineRule="auto"/>
              <w:rPr>
                <w:rFonts w:ascii="Arial" w:hAnsi="Arial" w:cs="Arial"/>
              </w:rPr>
            </w:pPr>
            <w:r w:rsidRPr="00A96FF9">
              <w:rPr>
                <w:rFonts w:ascii="Arial" w:hAnsi="Arial" w:cs="Arial"/>
              </w:rPr>
              <w:t xml:space="preserve">Accurate MCA assessments ensure interventions are proportionate, person-centred, and legally defensible. The MCA 2005 enshrines statutory principles, including the presumption of capacity and the right to make unwise decisions, both of which safeguard rights under the Human Rights Act 1998. However, research highlights persistent difficulties when capacity is affected by dysfunction (Manthorpe </w:t>
            </w:r>
            <w:r w:rsidRPr="00777EF4">
              <w:rPr>
                <w:rFonts w:ascii="Arial" w:hAnsi="Arial" w:cs="Arial"/>
                <w:i/>
                <w:iCs/>
              </w:rPr>
              <w:t>et al</w:t>
            </w:r>
            <w:r w:rsidRPr="00A96FF9">
              <w:rPr>
                <w:rFonts w:ascii="Arial" w:hAnsi="Arial" w:cs="Arial"/>
              </w:rPr>
              <w:t>., 2022</w:t>
            </w:r>
            <w:r w:rsidR="00444E24">
              <w:rPr>
                <w:rFonts w:ascii="Arial" w:hAnsi="Arial" w:cs="Arial"/>
              </w:rPr>
              <w:t>a</w:t>
            </w:r>
            <w:r w:rsidRPr="00A96FF9">
              <w:rPr>
                <w:rFonts w:ascii="Arial" w:hAnsi="Arial" w:cs="Arial"/>
              </w:rPr>
              <w:t>). Engel’s (1977) biopsychosocial model emphasises assessing medical, psychological, and social factors together, while Craigie (2011) shows how executive impairments can undermine decision-making despite apparent understanding. I identify most strongly with Honey and Mumford’s (2000) ‘reflector’ learning style, meaning I learn best by observing and analysing practice before applying it. Shadowing experienced assessors will therefore help me strengthen my analytical approach to complex MCA decisions.</w:t>
            </w:r>
          </w:p>
          <w:p w14:paraId="2C95C0C0" w14:textId="77777777" w:rsidR="003611F9" w:rsidRPr="00A96FF9" w:rsidRDefault="003611F9" w:rsidP="003611F9">
            <w:pPr>
              <w:spacing w:line="360" w:lineRule="auto"/>
              <w:rPr>
                <w:rFonts w:ascii="Arial" w:hAnsi="Arial" w:cs="Arial"/>
              </w:rPr>
            </w:pPr>
          </w:p>
          <w:p w14:paraId="081046B7" w14:textId="77777777" w:rsidR="003611F9" w:rsidRPr="00A96FF9" w:rsidRDefault="003611F9" w:rsidP="003611F9">
            <w:pPr>
              <w:spacing w:line="360" w:lineRule="auto"/>
              <w:rPr>
                <w:rFonts w:ascii="Arial" w:hAnsi="Arial" w:cs="Arial"/>
              </w:rPr>
            </w:pPr>
            <w:r w:rsidRPr="00A96FF9">
              <w:rPr>
                <w:rFonts w:ascii="Arial" w:hAnsi="Arial" w:cs="Arial"/>
                <w:b/>
                <w:bCs/>
              </w:rPr>
              <w:t>Working collaboratively with people in need of care and support, their carers and other professionals</w:t>
            </w:r>
          </w:p>
          <w:p w14:paraId="7375A076" w14:textId="77777777" w:rsidR="003611F9" w:rsidRPr="00A96FF9" w:rsidRDefault="003611F9" w:rsidP="003611F9">
            <w:pPr>
              <w:spacing w:line="360" w:lineRule="auto"/>
              <w:rPr>
                <w:rFonts w:ascii="Arial" w:hAnsi="Arial" w:cs="Arial"/>
              </w:rPr>
            </w:pPr>
            <w:r w:rsidRPr="00A96FF9">
              <w:rPr>
                <w:rFonts w:ascii="Arial" w:hAnsi="Arial" w:cs="Arial"/>
              </w:rPr>
              <w:t>What?</w:t>
            </w:r>
          </w:p>
          <w:p w14:paraId="0299C1BD" w14:textId="54AD19AD" w:rsidR="003611F9" w:rsidRPr="00C67654" w:rsidRDefault="003611F9" w:rsidP="003611F9">
            <w:pPr>
              <w:spacing w:line="360" w:lineRule="auto"/>
              <w:rPr>
                <w:rFonts w:ascii="Arial" w:hAnsi="Arial" w:cs="Arial"/>
              </w:rPr>
            </w:pPr>
            <w:r w:rsidRPr="00A96FF9">
              <w:rPr>
                <w:rFonts w:ascii="Arial" w:hAnsi="Arial" w:cs="Arial"/>
              </w:rPr>
              <w:t xml:space="preserve">I frequently </w:t>
            </w:r>
            <w:r>
              <w:rPr>
                <w:rFonts w:ascii="Arial" w:hAnsi="Arial" w:cs="Arial"/>
              </w:rPr>
              <w:t>attend</w:t>
            </w:r>
            <w:r w:rsidRPr="00A96FF9">
              <w:rPr>
                <w:rFonts w:ascii="Arial" w:hAnsi="Arial" w:cs="Arial"/>
              </w:rPr>
              <w:t xml:space="preserve"> </w:t>
            </w:r>
            <w:r>
              <w:rPr>
                <w:rFonts w:ascii="Arial" w:hAnsi="Arial" w:cs="Arial"/>
              </w:rPr>
              <w:t xml:space="preserve">multi-disciplinary meetings to contribute to assessments for </w:t>
            </w:r>
            <w:r w:rsidRPr="00A96FF9">
              <w:rPr>
                <w:rFonts w:ascii="Arial" w:hAnsi="Arial" w:cs="Arial"/>
              </w:rPr>
              <w:t>Continuing Healthcare (Welsh Government, 2021</w:t>
            </w:r>
            <w:r w:rsidR="00444E24">
              <w:rPr>
                <w:rFonts w:ascii="Arial" w:hAnsi="Arial" w:cs="Arial"/>
              </w:rPr>
              <w:t>b</w:t>
            </w:r>
            <w:r w:rsidRPr="00A96FF9">
              <w:rPr>
                <w:rFonts w:ascii="Arial" w:hAnsi="Arial" w:cs="Arial"/>
              </w:rPr>
              <w:t>)</w:t>
            </w:r>
            <w:r>
              <w:rPr>
                <w:rFonts w:ascii="Arial" w:hAnsi="Arial" w:cs="Arial"/>
              </w:rPr>
              <w:t xml:space="preserve"> eligibility</w:t>
            </w:r>
            <w:r w:rsidRPr="00A96FF9">
              <w:rPr>
                <w:rFonts w:ascii="Arial" w:hAnsi="Arial" w:cs="Arial"/>
              </w:rPr>
              <w:t>. Although confident in identifying a primary health need, I sometimes feel under-confident when my professional perspective is undervalued during contested multi-</w:t>
            </w:r>
            <w:r>
              <w:rPr>
                <w:rFonts w:ascii="Arial" w:hAnsi="Arial" w:cs="Arial"/>
              </w:rPr>
              <w:t>disciplinary</w:t>
            </w:r>
            <w:r w:rsidRPr="00A96FF9">
              <w:rPr>
                <w:rFonts w:ascii="Arial" w:hAnsi="Arial" w:cs="Arial"/>
              </w:rPr>
              <w:t xml:space="preserve"> meetings. This can frustrate collaboration and risk less person-centred outcomes. Supervision has helped me reflect on these challenges and highlighted the need to strengthen my advocacy skills in multidisciplinary settings. To support this, I plan to undertake training in communication and advocacy, alongside </w:t>
            </w:r>
            <w:r w:rsidRPr="00A96FF9">
              <w:rPr>
                <w:rFonts w:ascii="Arial" w:hAnsi="Arial" w:cs="Arial"/>
              </w:rPr>
              <w:lastRenderedPageBreak/>
              <w:t>shadowing colleagues skilled at managing complex discussions. Bandura’s (1977) social learning theory supports the effectiveness of observing experienced practitioners to develop new skills.</w:t>
            </w:r>
          </w:p>
          <w:p w14:paraId="5FAA0E4E" w14:textId="77777777" w:rsidR="003611F9" w:rsidRPr="00A96FF9" w:rsidRDefault="003611F9" w:rsidP="003611F9">
            <w:pPr>
              <w:spacing w:line="360" w:lineRule="auto"/>
              <w:rPr>
                <w:rFonts w:ascii="Arial" w:hAnsi="Arial" w:cs="Arial"/>
              </w:rPr>
            </w:pPr>
          </w:p>
          <w:p w14:paraId="19F3AB58" w14:textId="77777777" w:rsidR="003611F9" w:rsidRPr="00A96FF9" w:rsidRDefault="003611F9" w:rsidP="003611F9">
            <w:pPr>
              <w:spacing w:line="360" w:lineRule="auto"/>
              <w:rPr>
                <w:rFonts w:ascii="Arial" w:hAnsi="Arial" w:cs="Arial"/>
              </w:rPr>
            </w:pPr>
            <w:r w:rsidRPr="00A96FF9">
              <w:rPr>
                <w:rFonts w:ascii="Arial" w:hAnsi="Arial" w:cs="Arial"/>
              </w:rPr>
              <w:t>So What?</w:t>
            </w:r>
          </w:p>
          <w:p w14:paraId="340113C1" w14:textId="77777777" w:rsidR="003611F9" w:rsidRPr="00A96FF9" w:rsidRDefault="003611F9" w:rsidP="003611F9">
            <w:pPr>
              <w:spacing w:line="360" w:lineRule="auto"/>
              <w:rPr>
                <w:rFonts w:ascii="Arial" w:hAnsi="Arial" w:cs="Arial"/>
              </w:rPr>
            </w:pPr>
            <w:r w:rsidRPr="00A96FF9">
              <w:rPr>
                <w:rFonts w:ascii="Arial" w:hAnsi="Arial" w:cs="Arial"/>
              </w:rPr>
              <w:t xml:space="preserve">Collaboration is central to the Social Services and Well-being (Wales) Act </w:t>
            </w:r>
            <w:r w:rsidRPr="00C67654">
              <w:rPr>
                <w:rFonts w:ascii="Arial" w:hAnsi="Arial" w:cs="Arial"/>
              </w:rPr>
              <w:t xml:space="preserve">(SSWBA) </w:t>
            </w:r>
            <w:r w:rsidRPr="00A96FF9">
              <w:rPr>
                <w:rFonts w:ascii="Arial" w:hAnsi="Arial" w:cs="Arial"/>
              </w:rPr>
              <w:t xml:space="preserve">2014, which requires professionals to work in partnership to promote well-being. However, case law such as Coughlan (1999) </w:t>
            </w:r>
            <w:r>
              <w:rPr>
                <w:rFonts w:ascii="Arial" w:hAnsi="Arial" w:cs="Arial"/>
              </w:rPr>
              <w:t xml:space="preserve">and Grogan (2006) </w:t>
            </w:r>
            <w:r w:rsidRPr="00A96FF9">
              <w:rPr>
                <w:rFonts w:ascii="Arial" w:hAnsi="Arial" w:cs="Arial"/>
              </w:rPr>
              <w:t>illustrates how disputes between health and social care create challenges, often disadvantaging individuals. Research shows that social workers’ perspectives can be marginalised in multi-agency forums due to professional hierarchies (Maxhakana and Sithole, 2024), which undermines co-production (Co-production Network Wales, 2021). Humanistic theory reinforces the need for empathy and respect to ensure decisions remain person-centred (Rogers, 1951), while Trevithick (2012) emphasises that skilled communication is vital in resolving professional disagreements. By developing stronger advocacy and communication skills, I will be better placed to ensure social care perspectives are recognised, reduce conflict, and secure fair</w:t>
            </w:r>
            <w:r w:rsidRPr="00C67654">
              <w:rPr>
                <w:rFonts w:ascii="Arial" w:hAnsi="Arial" w:cs="Arial"/>
              </w:rPr>
              <w:t xml:space="preserve">, person-centred </w:t>
            </w:r>
            <w:r w:rsidRPr="00A96FF9">
              <w:rPr>
                <w:rFonts w:ascii="Arial" w:hAnsi="Arial" w:cs="Arial"/>
              </w:rPr>
              <w:t>outcomes.</w:t>
            </w:r>
          </w:p>
          <w:p w14:paraId="285FA337" w14:textId="77777777" w:rsidR="003611F9" w:rsidRPr="00A96FF9" w:rsidRDefault="003611F9" w:rsidP="003611F9">
            <w:pPr>
              <w:spacing w:line="360" w:lineRule="auto"/>
              <w:rPr>
                <w:rFonts w:ascii="Arial" w:hAnsi="Arial" w:cs="Arial"/>
              </w:rPr>
            </w:pPr>
          </w:p>
          <w:p w14:paraId="78052F1F" w14:textId="77777777" w:rsidR="003611F9" w:rsidRPr="00A96FF9" w:rsidRDefault="003611F9" w:rsidP="003611F9">
            <w:pPr>
              <w:spacing w:line="360" w:lineRule="auto"/>
              <w:rPr>
                <w:rFonts w:ascii="Arial" w:hAnsi="Arial" w:cs="Arial"/>
              </w:rPr>
            </w:pPr>
            <w:r w:rsidRPr="00A96FF9">
              <w:rPr>
                <w:rFonts w:ascii="Arial" w:hAnsi="Arial" w:cs="Arial"/>
                <w:b/>
                <w:bCs/>
              </w:rPr>
              <w:t>Intervention and application of professional judgement in increasingly complex situations</w:t>
            </w:r>
          </w:p>
          <w:p w14:paraId="79EDB6AA" w14:textId="77777777" w:rsidR="003611F9" w:rsidRPr="00A96FF9" w:rsidRDefault="003611F9" w:rsidP="003611F9">
            <w:pPr>
              <w:spacing w:line="360" w:lineRule="auto"/>
              <w:rPr>
                <w:rFonts w:ascii="Arial" w:hAnsi="Arial" w:cs="Arial"/>
              </w:rPr>
            </w:pPr>
            <w:r w:rsidRPr="00A96FF9">
              <w:rPr>
                <w:rFonts w:ascii="Arial" w:hAnsi="Arial" w:cs="Arial"/>
              </w:rPr>
              <w:t>What?</w:t>
            </w:r>
          </w:p>
          <w:p w14:paraId="2F858215" w14:textId="77777777" w:rsidR="003611F9" w:rsidRPr="00A96FF9" w:rsidRDefault="003611F9" w:rsidP="003611F9">
            <w:pPr>
              <w:spacing w:line="360" w:lineRule="auto"/>
              <w:rPr>
                <w:rFonts w:ascii="Arial" w:hAnsi="Arial" w:cs="Arial"/>
              </w:rPr>
            </w:pPr>
            <w:r w:rsidRPr="00A96FF9">
              <w:rPr>
                <w:rFonts w:ascii="Arial" w:hAnsi="Arial" w:cs="Arial"/>
              </w:rPr>
              <w:t>Cases involving self-neglect are among the most complex, particularly where adults retain capacity but continue to place themselves at significant risk. These situations present ethical dilemmas around autonomy, safeguarding, and proportionality. I often feel uncertain about balancing autonomy with safeguarding, highlighting the need to strengthen my professional judgement. My plan includes attending specialist self-neglect and safeguarding training and using supervision and peer forums to reflect on legal frameworks, ethical challenges, and multi-agency responses.</w:t>
            </w:r>
          </w:p>
          <w:p w14:paraId="2FDC2FE1" w14:textId="77777777" w:rsidR="003611F9" w:rsidRPr="00A96FF9" w:rsidRDefault="003611F9" w:rsidP="003611F9">
            <w:pPr>
              <w:spacing w:line="360" w:lineRule="auto"/>
              <w:rPr>
                <w:rFonts w:ascii="Arial" w:hAnsi="Arial" w:cs="Arial"/>
              </w:rPr>
            </w:pPr>
          </w:p>
          <w:p w14:paraId="2D2592D2" w14:textId="77777777" w:rsidR="003611F9" w:rsidRPr="00A96FF9" w:rsidRDefault="003611F9" w:rsidP="003611F9">
            <w:pPr>
              <w:spacing w:line="360" w:lineRule="auto"/>
              <w:rPr>
                <w:rFonts w:ascii="Arial" w:hAnsi="Arial" w:cs="Arial"/>
              </w:rPr>
            </w:pPr>
            <w:r w:rsidRPr="00A96FF9">
              <w:rPr>
                <w:rFonts w:ascii="Arial" w:hAnsi="Arial" w:cs="Arial"/>
              </w:rPr>
              <w:t>So What?</w:t>
            </w:r>
          </w:p>
          <w:p w14:paraId="157E5217" w14:textId="77777777" w:rsidR="003611F9" w:rsidRDefault="003611F9" w:rsidP="003611F9">
            <w:pPr>
              <w:spacing w:line="360" w:lineRule="auto"/>
              <w:rPr>
                <w:rFonts w:ascii="Arial" w:hAnsi="Arial" w:cs="Arial"/>
              </w:rPr>
            </w:pPr>
            <w:r w:rsidRPr="00A96FF9">
              <w:rPr>
                <w:rFonts w:ascii="Arial" w:hAnsi="Arial" w:cs="Arial"/>
              </w:rPr>
              <w:t>This is crucial because the S</w:t>
            </w:r>
            <w:r w:rsidRPr="00C67654">
              <w:rPr>
                <w:rFonts w:ascii="Arial" w:hAnsi="Arial" w:cs="Arial"/>
              </w:rPr>
              <w:t>SWBA</w:t>
            </w:r>
            <w:r w:rsidRPr="00A96FF9">
              <w:rPr>
                <w:rFonts w:ascii="Arial" w:hAnsi="Arial" w:cs="Arial"/>
              </w:rPr>
              <w:t xml:space="preserve"> 2014, Part 7, requires local authorities to prevent or reduce risks to well-being. The </w:t>
            </w:r>
            <w:r w:rsidRPr="00C67654">
              <w:rPr>
                <w:rFonts w:ascii="Arial" w:hAnsi="Arial" w:cs="Arial"/>
              </w:rPr>
              <w:t>X</w:t>
            </w:r>
            <w:r w:rsidRPr="00A96FF9">
              <w:rPr>
                <w:rFonts w:ascii="Arial" w:hAnsi="Arial" w:cs="Arial"/>
              </w:rPr>
              <w:t xml:space="preserve"> Safeguarding Board Self-Neglect Protocol (2022) provides guidance on proportionate, multi-agency responses. Banks (2012) and the BASW Code of Ethics (2021) emphasise weighing competing rights and responsibilities, while the Older </w:t>
            </w:r>
            <w:r w:rsidRPr="00A96FF9">
              <w:rPr>
                <w:rFonts w:ascii="Arial" w:hAnsi="Arial" w:cs="Arial"/>
              </w:rPr>
              <w:lastRenderedPageBreak/>
              <w:t xml:space="preserve">People’s Commissioner for Wales (2021) has criticised inconsistent responses, urging stronger professional judgement. Research highlights the uncertainty practitioners face when managing such cases (Braye </w:t>
            </w:r>
            <w:r w:rsidRPr="00724410">
              <w:rPr>
                <w:rFonts w:ascii="Arial" w:hAnsi="Arial" w:cs="Arial"/>
                <w:i/>
                <w:iCs/>
              </w:rPr>
              <w:t>et al</w:t>
            </w:r>
            <w:r w:rsidRPr="00A96FF9">
              <w:rPr>
                <w:rFonts w:ascii="Arial" w:hAnsi="Arial" w:cs="Arial"/>
              </w:rPr>
              <w:t>., 2015), while reflective supervision supports critical thinking and resilience in ethically complex decision-making (Davys and Beddoe, 2021). Case law such as Wareham v Betsi Cadwaladr University Health Board [2024] reinforces the expectation that all practicable steps are taken to support capacity</w:t>
            </w:r>
            <w:r>
              <w:rPr>
                <w:rFonts w:ascii="Arial" w:hAnsi="Arial" w:cs="Arial"/>
              </w:rPr>
              <w:t>,</w:t>
            </w:r>
            <w:r w:rsidRPr="00A96FF9">
              <w:rPr>
                <w:rFonts w:ascii="Arial" w:hAnsi="Arial" w:cs="Arial"/>
              </w:rPr>
              <w:t xml:space="preserve"> and that reasoning will be closely scrutinised. Strengthening my competence in this area will enhance my confidence and ensure interventions are proportionate, ethical, and legally </w:t>
            </w:r>
            <w:r w:rsidRPr="00C67654">
              <w:rPr>
                <w:rFonts w:ascii="Arial" w:hAnsi="Arial" w:cs="Arial"/>
              </w:rPr>
              <w:t>defensible</w:t>
            </w:r>
            <w:r w:rsidRPr="00A96FF9">
              <w:rPr>
                <w:rFonts w:ascii="Arial" w:hAnsi="Arial" w:cs="Arial"/>
              </w:rPr>
              <w:t>.</w:t>
            </w:r>
          </w:p>
          <w:p w14:paraId="2A2000FE" w14:textId="77777777" w:rsidR="003611F9" w:rsidRDefault="003611F9" w:rsidP="003611F9">
            <w:pPr>
              <w:spacing w:line="360" w:lineRule="auto"/>
              <w:rPr>
                <w:rFonts w:ascii="Arial" w:hAnsi="Arial" w:cs="Arial"/>
              </w:rPr>
            </w:pPr>
          </w:p>
          <w:p w14:paraId="6E3544EA" w14:textId="5A4BEFA0" w:rsidR="004F0E93" w:rsidRPr="003611F9" w:rsidRDefault="003611F9" w:rsidP="003611F9">
            <w:pPr>
              <w:spacing w:line="360" w:lineRule="auto"/>
              <w:rPr>
                <w:rFonts w:ascii="Arial" w:hAnsi="Arial" w:cs="Arial"/>
              </w:rPr>
            </w:pPr>
            <w:r>
              <w:rPr>
                <w:rFonts w:ascii="Arial" w:hAnsi="Arial" w:cs="Arial"/>
              </w:rPr>
              <w:t>Word Count - 81</w:t>
            </w:r>
            <w:r w:rsidR="007A0BA8">
              <w:rPr>
                <w:rFonts w:ascii="Arial" w:hAnsi="Arial" w:cs="Arial"/>
              </w:rPr>
              <w:t>9</w:t>
            </w: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a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2A1D9B07" w14:textId="77777777" w:rsidR="004F0E93" w:rsidRDefault="004F0E93" w:rsidP="002D6B34">
            <w:pPr>
              <w:jc w:val="both"/>
              <w:rPr>
                <w:i/>
              </w:rPr>
            </w:pPr>
          </w:p>
          <w:p w14:paraId="0E1F1E43" w14:textId="77777777" w:rsidR="003611F9" w:rsidRPr="00E610FD" w:rsidRDefault="003611F9" w:rsidP="003611F9">
            <w:pPr>
              <w:spacing w:after="160" w:line="360" w:lineRule="auto"/>
              <w:rPr>
                <w:rFonts w:ascii="Arial" w:hAnsi="Arial" w:cs="Arial"/>
              </w:rPr>
            </w:pPr>
            <w:r w:rsidRPr="00E610FD">
              <w:rPr>
                <w:rFonts w:ascii="Arial" w:hAnsi="Arial" w:cs="Arial"/>
              </w:rPr>
              <w:t xml:space="preserve">Over the past year I have worked to address the learning needs I previously identified and will use the </w:t>
            </w:r>
            <w:r>
              <w:rPr>
                <w:rFonts w:ascii="Arial" w:hAnsi="Arial" w:cs="Arial"/>
              </w:rPr>
              <w:t>‘</w:t>
            </w:r>
            <w:r w:rsidRPr="00E610FD">
              <w:rPr>
                <w:rFonts w:ascii="Arial" w:hAnsi="Arial" w:cs="Arial"/>
              </w:rPr>
              <w:t>Now What?</w:t>
            </w:r>
            <w:r>
              <w:rPr>
                <w:rFonts w:ascii="Arial" w:hAnsi="Arial" w:cs="Arial"/>
              </w:rPr>
              <w:t>’</w:t>
            </w:r>
            <w:r w:rsidRPr="00E610FD">
              <w:rPr>
                <w:rFonts w:ascii="Arial" w:hAnsi="Arial" w:cs="Arial"/>
              </w:rPr>
              <w:t xml:space="preserve"> stage of Borton’s (1970) model to critically reflect on whether these have been achieved.</w:t>
            </w:r>
          </w:p>
          <w:p w14:paraId="5AD89D38" w14:textId="77777777" w:rsidR="003611F9" w:rsidRDefault="003611F9" w:rsidP="003611F9">
            <w:pPr>
              <w:spacing w:line="360" w:lineRule="auto"/>
              <w:rPr>
                <w:rFonts w:ascii="Arial" w:hAnsi="Arial" w:cs="Arial"/>
                <w:b/>
                <w:bCs/>
              </w:rPr>
            </w:pPr>
          </w:p>
          <w:p w14:paraId="431465FA" w14:textId="77777777" w:rsidR="003611F9" w:rsidRPr="00E610FD" w:rsidRDefault="003611F9" w:rsidP="003611F9">
            <w:pPr>
              <w:spacing w:after="160" w:line="360" w:lineRule="auto"/>
              <w:rPr>
                <w:rFonts w:ascii="Arial" w:hAnsi="Arial" w:cs="Arial"/>
              </w:rPr>
            </w:pPr>
            <w:r w:rsidRPr="00E610FD">
              <w:rPr>
                <w:rFonts w:ascii="Arial" w:hAnsi="Arial" w:cs="Arial"/>
              </w:rPr>
              <w:t>Now What?</w:t>
            </w:r>
          </w:p>
          <w:p w14:paraId="00991299" w14:textId="77777777" w:rsidR="003611F9" w:rsidRPr="00E610FD" w:rsidRDefault="003611F9" w:rsidP="003611F9">
            <w:pPr>
              <w:spacing w:after="160" w:line="360" w:lineRule="auto"/>
              <w:rPr>
                <w:rFonts w:ascii="Arial" w:hAnsi="Arial" w:cs="Arial"/>
              </w:rPr>
            </w:pPr>
            <w:r w:rsidRPr="00E610FD">
              <w:rPr>
                <w:rFonts w:ascii="Arial" w:hAnsi="Arial" w:cs="Arial"/>
                <w:b/>
                <w:bCs/>
              </w:rPr>
              <w:lastRenderedPageBreak/>
              <w:t>Applying analysis in assessment to inform interventions</w:t>
            </w:r>
          </w:p>
          <w:p w14:paraId="0B6B24D8" w14:textId="77777777" w:rsidR="003611F9" w:rsidRPr="00E610FD" w:rsidRDefault="003611F9" w:rsidP="003611F9">
            <w:pPr>
              <w:spacing w:after="160" w:line="360" w:lineRule="auto"/>
              <w:rPr>
                <w:rFonts w:ascii="Arial" w:hAnsi="Arial" w:cs="Arial"/>
              </w:rPr>
            </w:pPr>
            <w:r w:rsidRPr="00E610FD">
              <w:rPr>
                <w:rFonts w:ascii="Arial" w:hAnsi="Arial" w:cs="Arial"/>
              </w:rPr>
              <w:t>I initially lacked confidence in analysing the ‘use and weigh’ element of Mental Capacity Act</w:t>
            </w:r>
            <w:r>
              <w:rPr>
                <w:rFonts w:ascii="Arial" w:hAnsi="Arial" w:cs="Arial"/>
              </w:rPr>
              <w:t xml:space="preserve"> (MCA)</w:t>
            </w:r>
            <w:r w:rsidRPr="00E610FD">
              <w:rPr>
                <w:rFonts w:ascii="Arial" w:hAnsi="Arial" w:cs="Arial"/>
              </w:rPr>
              <w:t xml:space="preserve"> (2005) assessments. I requested to shadow a Best Interest Assessor, but this was not possible as assessments were carried out remotely. Instead, I worked with an experienced colleague to review documentation, which gave me insight into evidencing person-centred reasoning. This was reinforced by </w:t>
            </w:r>
            <w:r>
              <w:rPr>
                <w:rFonts w:ascii="Arial" w:hAnsi="Arial" w:cs="Arial"/>
              </w:rPr>
              <w:t>MCA</w:t>
            </w:r>
            <w:r w:rsidRPr="00E610FD">
              <w:rPr>
                <w:rFonts w:ascii="Arial" w:hAnsi="Arial" w:cs="Arial"/>
              </w:rPr>
              <w:t xml:space="preserve"> refresher training, </w:t>
            </w:r>
            <w:r>
              <w:rPr>
                <w:rFonts w:ascii="Arial" w:hAnsi="Arial" w:cs="Arial"/>
              </w:rPr>
              <w:t xml:space="preserve">which </w:t>
            </w:r>
            <w:r w:rsidRPr="00E610FD">
              <w:rPr>
                <w:rFonts w:ascii="Arial" w:hAnsi="Arial" w:cs="Arial"/>
              </w:rPr>
              <w:t>includ</w:t>
            </w:r>
            <w:r>
              <w:rPr>
                <w:rFonts w:ascii="Arial" w:hAnsi="Arial" w:cs="Arial"/>
              </w:rPr>
              <w:t>ed</w:t>
            </w:r>
            <w:r w:rsidRPr="00E610FD">
              <w:rPr>
                <w:rFonts w:ascii="Arial" w:hAnsi="Arial" w:cs="Arial"/>
              </w:rPr>
              <w:t xml:space="preserve"> executive functioning.</w:t>
            </w:r>
          </w:p>
          <w:p w14:paraId="28711ADC" w14:textId="77777777" w:rsidR="003611F9" w:rsidRPr="00E610FD" w:rsidRDefault="003611F9" w:rsidP="003611F9">
            <w:pPr>
              <w:spacing w:after="160" w:line="360" w:lineRule="auto"/>
              <w:rPr>
                <w:rFonts w:ascii="Arial" w:hAnsi="Arial" w:cs="Arial"/>
              </w:rPr>
            </w:pPr>
          </w:p>
          <w:p w14:paraId="1620253B" w14:textId="77777777" w:rsidR="003611F9" w:rsidRPr="00E610FD" w:rsidRDefault="003611F9" w:rsidP="003611F9">
            <w:pPr>
              <w:spacing w:after="160" w:line="360" w:lineRule="auto"/>
              <w:rPr>
                <w:rFonts w:ascii="Arial" w:hAnsi="Arial" w:cs="Arial"/>
              </w:rPr>
            </w:pPr>
            <w:r w:rsidRPr="00E610FD">
              <w:rPr>
                <w:rFonts w:ascii="Arial" w:hAnsi="Arial" w:cs="Arial"/>
              </w:rPr>
              <w:t xml:space="preserve">Reading Cameron and Codling’s (2020) article on the need to look beyond verbal responses challenged me to consider behaviour alongside words. This led me to Crosson </w:t>
            </w:r>
            <w:r w:rsidRPr="00E610FD">
              <w:rPr>
                <w:rFonts w:ascii="Arial" w:hAnsi="Arial" w:cs="Arial"/>
                <w:i/>
                <w:iCs/>
              </w:rPr>
              <w:t>et al.</w:t>
            </w:r>
            <w:r w:rsidRPr="00E610FD">
              <w:rPr>
                <w:rFonts w:ascii="Arial" w:hAnsi="Arial" w:cs="Arial"/>
              </w:rPr>
              <w:t>’s (1989) pyramid model of awareness, which helped me assess levels of impaired insight and apply this understanding in practice. For example, I demonstrated how an individual’s lack of anticipatory awareness undermined their ability to weigh risks, which strengthened the analysis in my recording. Research by Wood and Bigler (2017) on executive dysfunction further validated this approach.</w:t>
            </w:r>
          </w:p>
          <w:p w14:paraId="6A410636" w14:textId="77777777" w:rsidR="003611F9" w:rsidRPr="00E610FD" w:rsidRDefault="003611F9" w:rsidP="003611F9">
            <w:pPr>
              <w:spacing w:after="160" w:line="360" w:lineRule="auto"/>
              <w:rPr>
                <w:rFonts w:ascii="Arial" w:hAnsi="Arial" w:cs="Arial"/>
              </w:rPr>
            </w:pPr>
          </w:p>
          <w:p w14:paraId="5B982988" w14:textId="33C62CB0" w:rsidR="003611F9" w:rsidRPr="00E610FD" w:rsidRDefault="003611F9" w:rsidP="003611F9">
            <w:pPr>
              <w:spacing w:after="160" w:line="360" w:lineRule="auto"/>
              <w:rPr>
                <w:rFonts w:ascii="Arial" w:hAnsi="Arial" w:cs="Arial"/>
              </w:rPr>
            </w:pPr>
            <w:r w:rsidRPr="00E610FD">
              <w:rPr>
                <w:rFonts w:ascii="Arial" w:hAnsi="Arial" w:cs="Arial"/>
              </w:rPr>
              <w:t xml:space="preserve">Report-writing training also improved my ability to justify decisions clearly, which is essential given the scrutiny MCA assessments attract (Manthorpe </w:t>
            </w:r>
            <w:r w:rsidRPr="00E610FD">
              <w:rPr>
                <w:rFonts w:ascii="Arial" w:hAnsi="Arial" w:cs="Arial"/>
                <w:i/>
                <w:iCs/>
              </w:rPr>
              <w:t>et al</w:t>
            </w:r>
            <w:r w:rsidRPr="00E610FD">
              <w:rPr>
                <w:rFonts w:ascii="Arial" w:hAnsi="Arial" w:cs="Arial"/>
              </w:rPr>
              <w:t>., 2022</w:t>
            </w:r>
            <w:r w:rsidR="00444E24">
              <w:rPr>
                <w:rFonts w:ascii="Arial" w:hAnsi="Arial" w:cs="Arial"/>
              </w:rPr>
              <w:t>b</w:t>
            </w:r>
            <w:r w:rsidRPr="00E610FD">
              <w:rPr>
                <w:rFonts w:ascii="Arial" w:hAnsi="Arial" w:cs="Arial"/>
              </w:rPr>
              <w:t>). I now feel more confident in a</w:t>
            </w:r>
            <w:r>
              <w:rPr>
                <w:rFonts w:ascii="Arial" w:hAnsi="Arial" w:cs="Arial"/>
              </w:rPr>
              <w:t>pplying analysis in assessment</w:t>
            </w:r>
            <w:r w:rsidRPr="00E610FD">
              <w:rPr>
                <w:rFonts w:ascii="Arial" w:hAnsi="Arial" w:cs="Arial"/>
              </w:rPr>
              <w:t>, though I recognise this will remain an area for ongoing learning.</w:t>
            </w:r>
          </w:p>
          <w:p w14:paraId="777E3BBE" w14:textId="77777777" w:rsidR="003611F9" w:rsidRPr="00E610FD" w:rsidRDefault="003611F9" w:rsidP="003611F9">
            <w:pPr>
              <w:spacing w:after="160" w:line="360" w:lineRule="auto"/>
              <w:rPr>
                <w:rFonts w:ascii="Arial" w:hAnsi="Arial" w:cs="Arial"/>
              </w:rPr>
            </w:pPr>
          </w:p>
          <w:p w14:paraId="40C6D319" w14:textId="77777777" w:rsidR="003611F9" w:rsidRDefault="003611F9" w:rsidP="003611F9">
            <w:pPr>
              <w:spacing w:line="360" w:lineRule="auto"/>
              <w:rPr>
                <w:rFonts w:ascii="Arial" w:hAnsi="Arial" w:cs="Arial"/>
              </w:rPr>
            </w:pPr>
            <w:r w:rsidRPr="00E610FD">
              <w:rPr>
                <w:rFonts w:ascii="Arial" w:hAnsi="Arial" w:cs="Arial"/>
                <w:b/>
                <w:bCs/>
              </w:rPr>
              <w:t>Working collaboratively with people in need of care and support, their carers and other professionals</w:t>
            </w:r>
          </w:p>
          <w:p w14:paraId="269D2F4A" w14:textId="0FBEF577" w:rsidR="003611F9" w:rsidRPr="00E610FD" w:rsidRDefault="003611F9" w:rsidP="003611F9">
            <w:pPr>
              <w:spacing w:after="160" w:line="360" w:lineRule="auto"/>
              <w:rPr>
                <w:rFonts w:ascii="Arial" w:hAnsi="Arial" w:cs="Arial"/>
              </w:rPr>
            </w:pPr>
            <w:r w:rsidRPr="00E610FD">
              <w:rPr>
                <w:rFonts w:ascii="Arial" w:hAnsi="Arial" w:cs="Arial"/>
              </w:rPr>
              <w:t>My confidence in contested Continuing Healthcare (CHC)</w:t>
            </w:r>
            <w:r>
              <w:rPr>
                <w:rFonts w:ascii="Arial" w:hAnsi="Arial" w:cs="Arial"/>
              </w:rPr>
              <w:t xml:space="preserve"> (Welsh Government, 2021</w:t>
            </w:r>
            <w:r w:rsidR="00444E24">
              <w:rPr>
                <w:rFonts w:ascii="Arial" w:hAnsi="Arial" w:cs="Arial"/>
              </w:rPr>
              <w:t>b</w:t>
            </w:r>
            <w:r>
              <w:rPr>
                <w:rFonts w:ascii="Arial" w:hAnsi="Arial" w:cs="Arial"/>
              </w:rPr>
              <w:t>)</w:t>
            </w:r>
            <w:r w:rsidRPr="00E610FD">
              <w:rPr>
                <w:rFonts w:ascii="Arial" w:hAnsi="Arial" w:cs="Arial"/>
              </w:rPr>
              <w:t xml:space="preserve"> assessments has grown considerably. Advanced CHC training deepened my understanding of the framework, while shadowing senior colleagues helped me develop more assertive communication. </w:t>
            </w:r>
            <w:r>
              <w:rPr>
                <w:rFonts w:ascii="Arial" w:hAnsi="Arial" w:cs="Arial"/>
              </w:rPr>
              <w:t xml:space="preserve">This aligns with Bandura’s (1967) social learning theory as observing skilled practice supported my own development. </w:t>
            </w:r>
            <w:r w:rsidRPr="00E610FD">
              <w:rPr>
                <w:rFonts w:ascii="Arial" w:hAnsi="Arial" w:cs="Arial"/>
              </w:rPr>
              <w:t xml:space="preserve">During one challenging meeting, my manager accompanied me and provided </w:t>
            </w:r>
            <w:r w:rsidRPr="00E610FD">
              <w:rPr>
                <w:rFonts w:ascii="Arial" w:hAnsi="Arial" w:cs="Arial"/>
              </w:rPr>
              <w:lastRenderedPageBreak/>
              <w:t xml:space="preserve">positive feedback on my preparation and delivery, </w:t>
            </w:r>
            <w:r>
              <w:rPr>
                <w:rFonts w:ascii="Arial" w:hAnsi="Arial" w:cs="Arial"/>
              </w:rPr>
              <w:t>boosting</w:t>
            </w:r>
            <w:r w:rsidRPr="00E610FD">
              <w:rPr>
                <w:rFonts w:ascii="Arial" w:hAnsi="Arial" w:cs="Arial"/>
              </w:rPr>
              <w:t xml:space="preserve"> my confidence to contribute more effectively to future discussions. Research highlights how constructive feedback enhances practitioner confidence (Hafford-Letchfield </w:t>
            </w:r>
            <w:r w:rsidRPr="00E610FD">
              <w:rPr>
                <w:rFonts w:ascii="Arial" w:hAnsi="Arial" w:cs="Arial"/>
                <w:i/>
                <w:iCs/>
              </w:rPr>
              <w:t>et al.</w:t>
            </w:r>
            <w:r w:rsidRPr="00E610FD">
              <w:rPr>
                <w:rFonts w:ascii="Arial" w:hAnsi="Arial" w:cs="Arial"/>
              </w:rPr>
              <w:t>, 2014), which reflects my experience.</w:t>
            </w:r>
          </w:p>
          <w:p w14:paraId="772BEF1D" w14:textId="77777777" w:rsidR="003611F9" w:rsidRPr="00E610FD" w:rsidRDefault="003611F9" w:rsidP="003611F9">
            <w:pPr>
              <w:spacing w:after="160" w:line="360" w:lineRule="auto"/>
              <w:rPr>
                <w:rFonts w:ascii="Arial" w:hAnsi="Arial" w:cs="Arial"/>
              </w:rPr>
            </w:pPr>
          </w:p>
          <w:p w14:paraId="6B812571" w14:textId="77777777" w:rsidR="003611F9" w:rsidRPr="00E610FD" w:rsidRDefault="003611F9" w:rsidP="003611F9">
            <w:pPr>
              <w:spacing w:after="160" w:line="360" w:lineRule="auto"/>
              <w:rPr>
                <w:rFonts w:ascii="Arial" w:hAnsi="Arial" w:cs="Arial"/>
              </w:rPr>
            </w:pPr>
            <w:r>
              <w:rPr>
                <w:rFonts w:ascii="Arial" w:hAnsi="Arial" w:cs="Arial"/>
              </w:rPr>
              <w:t>A</w:t>
            </w:r>
            <w:r w:rsidRPr="00E610FD">
              <w:rPr>
                <w:rFonts w:ascii="Arial" w:hAnsi="Arial" w:cs="Arial"/>
              </w:rPr>
              <w:t xml:space="preserve">dvocacy and communication </w:t>
            </w:r>
            <w:r>
              <w:rPr>
                <w:rFonts w:ascii="Arial" w:hAnsi="Arial" w:cs="Arial"/>
              </w:rPr>
              <w:t xml:space="preserve">training </w:t>
            </w:r>
            <w:r w:rsidRPr="00E610FD">
              <w:rPr>
                <w:rFonts w:ascii="Arial" w:hAnsi="Arial" w:cs="Arial"/>
              </w:rPr>
              <w:t>gave me strategies for structuring arguments, while peer forums offered a space to rehearse phrasing and refine evidence presentation. Thomas’s (19</w:t>
            </w:r>
            <w:r>
              <w:rPr>
                <w:rFonts w:ascii="Arial" w:hAnsi="Arial" w:cs="Arial"/>
              </w:rPr>
              <w:t>76</w:t>
            </w:r>
            <w:r w:rsidRPr="00E610FD">
              <w:rPr>
                <w:rFonts w:ascii="Arial" w:hAnsi="Arial" w:cs="Arial"/>
              </w:rPr>
              <w:t xml:space="preserve">) conflict management styles helped me reflect on my tendency to accommodate in professional disagreements, and I have since developed a more collaborative style that maintains relationships while ensuring </w:t>
            </w:r>
            <w:r>
              <w:rPr>
                <w:rFonts w:ascii="Arial" w:hAnsi="Arial" w:cs="Arial"/>
              </w:rPr>
              <w:t>my voice</w:t>
            </w:r>
            <w:r w:rsidRPr="00E610FD">
              <w:rPr>
                <w:rFonts w:ascii="Arial" w:hAnsi="Arial" w:cs="Arial"/>
              </w:rPr>
              <w:t xml:space="preserve"> is heard. Sch</w:t>
            </w:r>
            <w:r>
              <w:rPr>
                <w:rFonts w:ascii="Arial" w:hAnsi="Arial" w:cs="Arial"/>
              </w:rPr>
              <w:t>o</w:t>
            </w:r>
            <w:r w:rsidRPr="00E610FD">
              <w:rPr>
                <w:rFonts w:ascii="Arial" w:hAnsi="Arial" w:cs="Arial"/>
              </w:rPr>
              <w:t>n’s (1983) concept of reflection-in-action also helped me adapt during meetings when hierarchies became apparent, for example by reframing my analysis to emphasise individual outcomes rather than service criteria, which shifted the discussion.</w:t>
            </w:r>
          </w:p>
          <w:p w14:paraId="54864E45" w14:textId="77777777" w:rsidR="003611F9" w:rsidRPr="00E610FD" w:rsidRDefault="003611F9" w:rsidP="003611F9">
            <w:pPr>
              <w:spacing w:after="160" w:line="360" w:lineRule="auto"/>
              <w:rPr>
                <w:rFonts w:ascii="Arial" w:hAnsi="Arial" w:cs="Arial"/>
              </w:rPr>
            </w:pPr>
          </w:p>
          <w:p w14:paraId="3F758E66" w14:textId="77777777" w:rsidR="003611F9" w:rsidRPr="00E610FD" w:rsidRDefault="003611F9" w:rsidP="003611F9">
            <w:pPr>
              <w:spacing w:after="160" w:line="360" w:lineRule="auto"/>
              <w:rPr>
                <w:rFonts w:ascii="Arial" w:hAnsi="Arial" w:cs="Arial"/>
              </w:rPr>
            </w:pPr>
            <w:r w:rsidRPr="00E610FD">
              <w:rPr>
                <w:rFonts w:ascii="Arial" w:hAnsi="Arial" w:cs="Arial"/>
              </w:rPr>
              <w:t>I now feel more confident in advocating for person-centred decisions, though I remain mindful that confidence must be supported by preparation to avoid complacency, reflecting Carpenter’s (2018) emphasis on lifelong learning as essential for sustaining professional competence.</w:t>
            </w:r>
          </w:p>
          <w:p w14:paraId="1BE4B706" w14:textId="77777777" w:rsidR="003611F9" w:rsidRPr="00E610FD" w:rsidRDefault="003611F9" w:rsidP="003611F9">
            <w:pPr>
              <w:spacing w:after="160" w:line="360" w:lineRule="auto"/>
              <w:rPr>
                <w:rFonts w:ascii="Arial" w:hAnsi="Arial" w:cs="Arial"/>
              </w:rPr>
            </w:pPr>
          </w:p>
          <w:p w14:paraId="304E1E19" w14:textId="77777777" w:rsidR="003611F9" w:rsidRPr="00E610FD" w:rsidRDefault="003611F9" w:rsidP="003611F9">
            <w:pPr>
              <w:spacing w:after="160" w:line="360" w:lineRule="auto"/>
              <w:rPr>
                <w:rFonts w:ascii="Arial" w:hAnsi="Arial" w:cs="Arial"/>
              </w:rPr>
            </w:pPr>
            <w:r w:rsidRPr="00E610FD">
              <w:rPr>
                <w:rFonts w:ascii="Arial" w:hAnsi="Arial" w:cs="Arial"/>
                <w:b/>
                <w:bCs/>
              </w:rPr>
              <w:t>Intervention and application of professional judgement in increasingly complex situations</w:t>
            </w:r>
          </w:p>
          <w:p w14:paraId="3FE57269" w14:textId="77777777" w:rsidR="003611F9" w:rsidRPr="00E610FD" w:rsidRDefault="003611F9" w:rsidP="003611F9">
            <w:pPr>
              <w:spacing w:after="160" w:line="360" w:lineRule="auto"/>
              <w:rPr>
                <w:rFonts w:ascii="Arial" w:hAnsi="Arial" w:cs="Arial"/>
              </w:rPr>
            </w:pPr>
            <w:r w:rsidRPr="00E610FD">
              <w:rPr>
                <w:rFonts w:ascii="Arial" w:hAnsi="Arial" w:cs="Arial"/>
              </w:rPr>
              <w:t>Self-neglect cases remain the most challenging. Early in practice, I often felt hesitant about how to intervene, which sometimes led to delays in decision-making. Attending safeguarding and self-neglect training introduced structured tools, such as the Self-Neglect Assessment Framework (SCIE, 2015), which enabled me to analyse risks across health, social, and environmental domains and strengthened the clarity of my reasoning.</w:t>
            </w:r>
          </w:p>
          <w:p w14:paraId="6062EB01" w14:textId="77777777" w:rsidR="003611F9" w:rsidRPr="00E610FD" w:rsidRDefault="003611F9" w:rsidP="003611F9">
            <w:pPr>
              <w:spacing w:after="160" w:line="360" w:lineRule="auto"/>
              <w:rPr>
                <w:rFonts w:ascii="Arial" w:hAnsi="Arial" w:cs="Arial"/>
              </w:rPr>
            </w:pPr>
          </w:p>
          <w:p w14:paraId="4DDE5C6E" w14:textId="77777777" w:rsidR="003611F9" w:rsidRPr="00E610FD" w:rsidRDefault="003611F9" w:rsidP="003611F9">
            <w:pPr>
              <w:spacing w:after="160" w:line="360" w:lineRule="auto"/>
              <w:rPr>
                <w:rFonts w:ascii="Arial" w:hAnsi="Arial" w:cs="Arial"/>
              </w:rPr>
            </w:pPr>
            <w:r w:rsidRPr="00E610FD">
              <w:rPr>
                <w:rFonts w:ascii="Arial" w:hAnsi="Arial" w:cs="Arial"/>
              </w:rPr>
              <w:lastRenderedPageBreak/>
              <w:t xml:space="preserve">Reading Braye </w:t>
            </w:r>
            <w:r w:rsidRPr="00E610FD">
              <w:rPr>
                <w:rFonts w:ascii="Arial" w:hAnsi="Arial" w:cs="Arial"/>
                <w:i/>
                <w:iCs/>
              </w:rPr>
              <w:t>et al</w:t>
            </w:r>
            <w:r w:rsidRPr="00E610FD">
              <w:rPr>
                <w:rFonts w:ascii="Arial" w:hAnsi="Arial" w:cs="Arial"/>
              </w:rPr>
              <w:t>. (2015) helped me see uncertainty as inevitable in this work rather than a personal weakness, which reduced self-doubt and supported more timely, proportionate decisions. Peer forums have also been valuable, particularly when discussing case law such as Re Z (Local Authority: Duty) [2005], which highlights the importance of balancing autonomy with protection. These discussions improved my ability to evidence reasoning and anticipate scrutiny.</w:t>
            </w:r>
          </w:p>
          <w:p w14:paraId="668CC458" w14:textId="77777777" w:rsidR="003611F9" w:rsidRPr="00E610FD" w:rsidRDefault="003611F9" w:rsidP="003611F9">
            <w:pPr>
              <w:spacing w:after="160" w:line="360" w:lineRule="auto"/>
              <w:rPr>
                <w:rFonts w:ascii="Arial" w:hAnsi="Arial" w:cs="Arial"/>
              </w:rPr>
            </w:pPr>
          </w:p>
          <w:p w14:paraId="415562BF" w14:textId="77777777" w:rsidR="003611F9" w:rsidRPr="00E610FD" w:rsidRDefault="003611F9" w:rsidP="003611F9">
            <w:pPr>
              <w:spacing w:after="160" w:line="360" w:lineRule="auto"/>
              <w:rPr>
                <w:rFonts w:ascii="Arial" w:hAnsi="Arial" w:cs="Arial"/>
              </w:rPr>
            </w:pPr>
            <w:r w:rsidRPr="00E610FD">
              <w:rPr>
                <w:rFonts w:ascii="Arial" w:hAnsi="Arial" w:cs="Arial"/>
              </w:rPr>
              <w:t>Supervision encouraged me to consider patterns of harm over time and weigh competing rights and responsibilities, reflecting principles in Banks (2012) and BASW (2021). Research shows reflective supervision builds resilience and critical thinking (Ravalier, 2023), which resonates with my experience of managing the emotional impact of self-neglect work.</w:t>
            </w:r>
          </w:p>
          <w:p w14:paraId="03BA201E" w14:textId="77777777" w:rsidR="003611F9" w:rsidRPr="00E610FD" w:rsidRDefault="003611F9" w:rsidP="003611F9">
            <w:pPr>
              <w:spacing w:after="160" w:line="360" w:lineRule="auto"/>
              <w:rPr>
                <w:rFonts w:ascii="Arial" w:hAnsi="Arial" w:cs="Arial"/>
              </w:rPr>
            </w:pPr>
          </w:p>
          <w:p w14:paraId="166ED380" w14:textId="77777777" w:rsidR="003611F9" w:rsidRPr="00E610FD" w:rsidRDefault="003611F9" w:rsidP="003611F9">
            <w:pPr>
              <w:spacing w:after="160" w:line="360" w:lineRule="auto"/>
              <w:rPr>
                <w:rFonts w:ascii="Arial" w:hAnsi="Arial" w:cs="Arial"/>
              </w:rPr>
            </w:pPr>
            <w:r w:rsidRPr="00E610FD">
              <w:rPr>
                <w:rFonts w:ascii="Arial" w:hAnsi="Arial" w:cs="Arial"/>
              </w:rPr>
              <w:t>W</w:t>
            </w:r>
            <w:r>
              <w:rPr>
                <w:rFonts w:ascii="Arial" w:hAnsi="Arial" w:cs="Arial"/>
              </w:rPr>
              <w:t xml:space="preserve">hile, self-neglect cases remain challenging, </w:t>
            </w:r>
            <w:r w:rsidRPr="00E610FD">
              <w:rPr>
                <w:rFonts w:ascii="Arial" w:hAnsi="Arial" w:cs="Arial"/>
              </w:rPr>
              <w:t>I now approach them with greater confidence, using training, supervision, and peer support to balance autonomy with safeguarding and ensure my decisions are defensible. I recognise, however, that developing resilience and judgement is a continual process, consistent with Taylor and Whittaker’s (2019) argument that professional growth in social work must remain ongoing and reflective.</w:t>
            </w:r>
          </w:p>
          <w:p w14:paraId="34B49C9C" w14:textId="77777777" w:rsidR="003611F9" w:rsidRDefault="003611F9" w:rsidP="003611F9">
            <w:pPr>
              <w:spacing w:line="360" w:lineRule="auto"/>
              <w:rPr>
                <w:rFonts w:ascii="Arial" w:hAnsi="Arial" w:cs="Arial"/>
              </w:rPr>
            </w:pPr>
          </w:p>
          <w:p w14:paraId="0FE8CE9D" w14:textId="77777777" w:rsidR="003611F9" w:rsidRDefault="003611F9" w:rsidP="003611F9">
            <w:pPr>
              <w:spacing w:line="360" w:lineRule="auto"/>
              <w:rPr>
                <w:rFonts w:ascii="Arial" w:hAnsi="Arial" w:cs="Arial"/>
              </w:rPr>
            </w:pPr>
            <w:r>
              <w:rPr>
                <w:rFonts w:ascii="Arial" w:hAnsi="Arial" w:cs="Arial"/>
              </w:rPr>
              <w:t>Word Count – 715</w:t>
            </w:r>
          </w:p>
          <w:p w14:paraId="52CD0E3E" w14:textId="77777777" w:rsidR="003611F9" w:rsidRPr="003611F9" w:rsidRDefault="003611F9" w:rsidP="002D6B34">
            <w:pPr>
              <w:jc w:val="both"/>
              <w:rPr>
                <w:iCs/>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Reflect on feedback that you have received from individuals in need of care and support and/or their carers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3D360C12" w14:textId="77777777" w:rsidR="00B930D3" w:rsidRDefault="00B930D3" w:rsidP="002D6B34">
            <w:pPr>
              <w:jc w:val="both"/>
            </w:pPr>
          </w:p>
          <w:p w14:paraId="5D79E096" w14:textId="77777777" w:rsidR="00155478" w:rsidRDefault="00155478" w:rsidP="00155478">
            <w:pPr>
              <w:spacing w:line="360" w:lineRule="auto"/>
              <w:rPr>
                <w:rFonts w:ascii="Arial" w:hAnsi="Arial" w:cs="Arial"/>
              </w:rPr>
            </w:pPr>
            <w:r>
              <w:rPr>
                <w:rFonts w:ascii="Arial" w:hAnsi="Arial" w:cs="Arial"/>
              </w:rPr>
              <w:lastRenderedPageBreak/>
              <w:t>Positive feedback from individuals highlighted that I was consistently prepared, explained matters clearly, and listened to their views. This boosted my confidence and determination to continue developing person-centred communication, reflecting the voice and control principle of the Social Services and Well-being (Wales) Act 2014. Learning from individuals with lived experience reinforces my understanding of how practice is received in real life, supporting the principle of co-production (</w:t>
            </w:r>
            <w:r w:rsidRPr="00A96FF9">
              <w:rPr>
                <w:rFonts w:ascii="Arial" w:hAnsi="Arial" w:cs="Arial"/>
              </w:rPr>
              <w:t>Co-production Network Wales, 2021</w:t>
            </w:r>
            <w:r>
              <w:rPr>
                <w:rFonts w:ascii="Arial" w:hAnsi="Arial" w:cs="Arial"/>
              </w:rPr>
              <w:t>). Research shows that feedback from individuals is crucial in shaping reflective practice (BASW, 2024), and I will use supervision and further training to strengthen these skills in more complex or contested situations.</w:t>
            </w:r>
          </w:p>
          <w:p w14:paraId="27A9B05D" w14:textId="77777777" w:rsidR="00155478" w:rsidRDefault="00155478" w:rsidP="00155478">
            <w:pPr>
              <w:spacing w:line="360" w:lineRule="auto"/>
              <w:rPr>
                <w:rFonts w:ascii="Arial" w:hAnsi="Arial" w:cs="Arial"/>
              </w:rPr>
            </w:pPr>
          </w:p>
          <w:p w14:paraId="33DF9968" w14:textId="77777777" w:rsidR="00155478" w:rsidRDefault="00155478" w:rsidP="00155478">
            <w:pPr>
              <w:spacing w:line="360" w:lineRule="auto"/>
              <w:rPr>
                <w:rFonts w:ascii="Arial" w:hAnsi="Arial" w:cs="Arial"/>
              </w:rPr>
            </w:pPr>
            <w:r>
              <w:rPr>
                <w:rFonts w:ascii="Arial" w:hAnsi="Arial" w:cs="Arial"/>
              </w:rPr>
              <w:t>Word count - 102</w:t>
            </w:r>
          </w:p>
          <w:p w14:paraId="70BA0C19" w14:textId="77777777" w:rsidR="00155478" w:rsidRPr="005E17F1" w:rsidRDefault="00155478" w:rsidP="002D6B34">
            <w:pPr>
              <w:jc w:val="both"/>
            </w:pPr>
          </w:p>
        </w:tc>
      </w:tr>
    </w:tbl>
    <w:p w14:paraId="3E5F404D" w14:textId="77777777" w:rsidR="007C4DF4" w:rsidRDefault="007C4DF4"/>
    <w:sectPr w:rsidR="007C4D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43E51"/>
    <w:rsid w:val="000A2AB5"/>
    <w:rsid w:val="00155478"/>
    <w:rsid w:val="001F4020"/>
    <w:rsid w:val="00237B5B"/>
    <w:rsid w:val="0034258E"/>
    <w:rsid w:val="003611F9"/>
    <w:rsid w:val="0036444C"/>
    <w:rsid w:val="003E2053"/>
    <w:rsid w:val="00444E24"/>
    <w:rsid w:val="004F0E93"/>
    <w:rsid w:val="005974CA"/>
    <w:rsid w:val="00653641"/>
    <w:rsid w:val="00756647"/>
    <w:rsid w:val="007A0BA8"/>
    <w:rsid w:val="007C4DF4"/>
    <w:rsid w:val="007C6082"/>
    <w:rsid w:val="007F346B"/>
    <w:rsid w:val="008F5AEC"/>
    <w:rsid w:val="00943FDB"/>
    <w:rsid w:val="00982521"/>
    <w:rsid w:val="009A4CCD"/>
    <w:rsid w:val="009F21E6"/>
    <w:rsid w:val="00A73D0B"/>
    <w:rsid w:val="00A9656B"/>
    <w:rsid w:val="00AB232D"/>
    <w:rsid w:val="00B20880"/>
    <w:rsid w:val="00B930D3"/>
    <w:rsid w:val="00C0499C"/>
    <w:rsid w:val="00C243FA"/>
    <w:rsid w:val="00C51FBD"/>
    <w:rsid w:val="00C86002"/>
    <w:rsid w:val="00CB2131"/>
    <w:rsid w:val="00D27A91"/>
    <w:rsid w:val="00DB2177"/>
    <w:rsid w:val="00DC3220"/>
    <w:rsid w:val="00DF2A2E"/>
    <w:rsid w:val="00E5092E"/>
    <w:rsid w:val="00F14D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632</TotalTime>
  <Pages>9</Pages>
  <Words>2280</Words>
  <Characters>12997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Leanne Duncalf</cp:lastModifiedBy>
  <cp:revision>11</cp:revision>
  <cp:lastPrinted>2023-02-14T11:26:00Z</cp:lastPrinted>
  <dcterms:created xsi:type="dcterms:W3CDTF">2023-02-14T11:29:00Z</dcterms:created>
  <dcterms:modified xsi:type="dcterms:W3CDTF">2025-10-07T16:48:00Z</dcterms:modified>
</cp:coreProperties>
</file>