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1E560" w14:textId="0EE27FA1" w:rsidR="0054066E" w:rsidRPr="0094427B" w:rsidRDefault="0094427B" w:rsidP="0094427B">
      <w:pPr>
        <w:jc w:val="center"/>
        <w:rPr>
          <w:rFonts w:ascii="Arial" w:hAnsi="Arial" w:cs="Arial"/>
          <w:b/>
          <w:bCs/>
        </w:rPr>
      </w:pPr>
      <w:r w:rsidRPr="0094427B">
        <w:rPr>
          <w:rFonts w:ascii="Arial" w:hAnsi="Arial" w:cs="Arial"/>
          <w:b/>
          <w:bCs/>
        </w:rPr>
        <w:t xml:space="preserve">How To Engage Employees (Generation </w:t>
      </w:r>
      <w:r w:rsidR="0083750D" w:rsidRPr="0094427B">
        <w:rPr>
          <w:rFonts w:ascii="Arial" w:hAnsi="Arial" w:cs="Arial"/>
          <w:b/>
          <w:bCs/>
        </w:rPr>
        <w:t>Ys)</w:t>
      </w:r>
      <w:r w:rsidR="00D61F3F">
        <w:rPr>
          <w:rFonts w:ascii="Arial" w:hAnsi="Arial" w:cs="Arial"/>
          <w:b/>
          <w:bCs/>
        </w:rPr>
        <w:t xml:space="preserve"> </w:t>
      </w:r>
      <w:r w:rsidRPr="0094427B">
        <w:rPr>
          <w:rFonts w:ascii="Arial" w:hAnsi="Arial" w:cs="Arial"/>
          <w:b/>
          <w:bCs/>
        </w:rPr>
        <w:t>Throughout the Employee Lifecycle?</w:t>
      </w:r>
    </w:p>
    <w:p w14:paraId="7BD43B3C" w14:textId="77777777" w:rsidR="0094427B" w:rsidRPr="0094427B" w:rsidRDefault="0094427B" w:rsidP="0094427B">
      <w:pPr>
        <w:spacing w:line="360" w:lineRule="auto"/>
        <w:jc w:val="center"/>
        <w:rPr>
          <w:rFonts w:ascii="Arial" w:hAnsi="Arial" w:cs="Arial"/>
          <w:sz w:val="24"/>
          <w:szCs w:val="24"/>
        </w:rPr>
      </w:pPr>
    </w:p>
    <w:p w14:paraId="25371C01" w14:textId="77777777" w:rsidR="0094427B" w:rsidRPr="0094427B" w:rsidRDefault="0094427B" w:rsidP="0094427B">
      <w:pPr>
        <w:spacing w:line="360" w:lineRule="auto"/>
        <w:jc w:val="center"/>
        <w:rPr>
          <w:rFonts w:ascii="Arial" w:hAnsi="Arial" w:cs="Arial"/>
          <w:sz w:val="24"/>
          <w:szCs w:val="24"/>
        </w:rPr>
      </w:pPr>
    </w:p>
    <w:p w14:paraId="284E7D9C" w14:textId="77777777" w:rsidR="0094427B" w:rsidRPr="0094427B" w:rsidRDefault="0094427B" w:rsidP="0094427B">
      <w:pPr>
        <w:spacing w:line="360" w:lineRule="auto"/>
        <w:jc w:val="center"/>
        <w:rPr>
          <w:rFonts w:ascii="Arial" w:hAnsi="Arial" w:cs="Arial"/>
          <w:sz w:val="24"/>
          <w:szCs w:val="24"/>
        </w:rPr>
      </w:pPr>
    </w:p>
    <w:p w14:paraId="2E1480B6" w14:textId="77777777" w:rsidR="0094427B" w:rsidRPr="0094427B" w:rsidRDefault="0094427B" w:rsidP="0094427B">
      <w:pPr>
        <w:spacing w:line="360" w:lineRule="auto"/>
        <w:jc w:val="center"/>
        <w:rPr>
          <w:rFonts w:ascii="Arial" w:hAnsi="Arial" w:cs="Arial"/>
          <w:sz w:val="24"/>
          <w:szCs w:val="24"/>
        </w:rPr>
      </w:pPr>
    </w:p>
    <w:p w14:paraId="1C0CC972" w14:textId="09257209" w:rsidR="0094427B" w:rsidRDefault="00B003C9" w:rsidP="0094427B">
      <w:pPr>
        <w:spacing w:line="360" w:lineRule="auto"/>
        <w:jc w:val="center"/>
        <w:rPr>
          <w:rFonts w:ascii="Arial" w:hAnsi="Arial" w:cs="Arial"/>
          <w:sz w:val="24"/>
          <w:szCs w:val="24"/>
        </w:rPr>
      </w:pPr>
      <w:r>
        <w:rPr>
          <w:rFonts w:ascii="Arial" w:hAnsi="Arial" w:cs="Arial"/>
          <w:sz w:val="24"/>
          <w:szCs w:val="24"/>
        </w:rPr>
        <w:t>Student : Roxana-Maria Burlacu</w:t>
      </w:r>
    </w:p>
    <w:p w14:paraId="09FBD061" w14:textId="392B35D5" w:rsidR="00361C58" w:rsidRPr="0094427B" w:rsidRDefault="00361C58" w:rsidP="0094427B">
      <w:pPr>
        <w:spacing w:line="360" w:lineRule="auto"/>
        <w:jc w:val="center"/>
        <w:rPr>
          <w:rFonts w:ascii="Arial" w:hAnsi="Arial" w:cs="Arial"/>
          <w:sz w:val="24"/>
          <w:szCs w:val="24"/>
        </w:rPr>
      </w:pPr>
      <w:r>
        <w:rPr>
          <w:rFonts w:ascii="Arial" w:hAnsi="Arial" w:cs="Arial"/>
          <w:sz w:val="24"/>
          <w:szCs w:val="24"/>
        </w:rPr>
        <w:t xml:space="preserve">( 2014302 ) </w:t>
      </w:r>
    </w:p>
    <w:p w14:paraId="3198CF3D" w14:textId="7B958388" w:rsidR="0094427B" w:rsidRDefault="00B003C9" w:rsidP="0094427B">
      <w:pPr>
        <w:spacing w:line="360" w:lineRule="auto"/>
        <w:jc w:val="center"/>
        <w:rPr>
          <w:rFonts w:ascii="Arial" w:hAnsi="Arial" w:cs="Arial"/>
          <w:sz w:val="24"/>
          <w:szCs w:val="24"/>
        </w:rPr>
      </w:pPr>
      <w:r>
        <w:rPr>
          <w:rFonts w:ascii="Arial" w:hAnsi="Arial" w:cs="Arial"/>
          <w:sz w:val="24"/>
          <w:szCs w:val="24"/>
        </w:rPr>
        <w:t xml:space="preserve">Module : </w:t>
      </w:r>
      <w:r w:rsidR="00E40848">
        <w:rPr>
          <w:rFonts w:ascii="Arial" w:hAnsi="Arial" w:cs="Arial"/>
          <w:sz w:val="24"/>
          <w:szCs w:val="24"/>
        </w:rPr>
        <w:t xml:space="preserve">Personnel </w:t>
      </w:r>
      <w:r w:rsidR="000D2821">
        <w:rPr>
          <w:rFonts w:ascii="Arial" w:hAnsi="Arial" w:cs="Arial"/>
          <w:sz w:val="24"/>
          <w:szCs w:val="24"/>
        </w:rPr>
        <w:t xml:space="preserve">Resourcing </w:t>
      </w:r>
      <w:r w:rsidR="00A041C6">
        <w:rPr>
          <w:rFonts w:ascii="Arial" w:hAnsi="Arial" w:cs="Arial"/>
          <w:sz w:val="24"/>
          <w:szCs w:val="24"/>
        </w:rPr>
        <w:t xml:space="preserve">&amp; Development </w:t>
      </w:r>
    </w:p>
    <w:p w14:paraId="0F1C08FF" w14:textId="36E0E7D1" w:rsidR="00A041C6" w:rsidRPr="0094427B" w:rsidRDefault="00A041C6" w:rsidP="0094427B">
      <w:pPr>
        <w:spacing w:line="360" w:lineRule="auto"/>
        <w:jc w:val="center"/>
        <w:rPr>
          <w:rFonts w:ascii="Arial" w:hAnsi="Arial" w:cs="Arial"/>
          <w:sz w:val="24"/>
          <w:szCs w:val="24"/>
        </w:rPr>
      </w:pPr>
      <w:r>
        <w:rPr>
          <w:rFonts w:ascii="Arial" w:hAnsi="Arial" w:cs="Arial"/>
          <w:sz w:val="24"/>
          <w:szCs w:val="24"/>
        </w:rPr>
        <w:t xml:space="preserve">( </w:t>
      </w:r>
      <w:r w:rsidR="00EA17DB">
        <w:rPr>
          <w:rFonts w:ascii="Arial" w:hAnsi="Arial" w:cs="Arial"/>
          <w:sz w:val="24"/>
          <w:szCs w:val="24"/>
        </w:rPr>
        <w:t xml:space="preserve">BMIH5005 ) </w:t>
      </w:r>
    </w:p>
    <w:p w14:paraId="4E53332C" w14:textId="6773EEBB" w:rsidR="0094427B" w:rsidRPr="0094427B" w:rsidRDefault="00EA17DB" w:rsidP="0094427B">
      <w:pPr>
        <w:spacing w:line="360" w:lineRule="auto"/>
        <w:jc w:val="center"/>
        <w:rPr>
          <w:rFonts w:ascii="Arial" w:hAnsi="Arial" w:cs="Arial"/>
          <w:sz w:val="24"/>
          <w:szCs w:val="24"/>
        </w:rPr>
      </w:pPr>
      <w:r>
        <w:rPr>
          <w:rFonts w:ascii="Arial" w:hAnsi="Arial" w:cs="Arial"/>
          <w:sz w:val="24"/>
          <w:szCs w:val="24"/>
        </w:rPr>
        <w:t xml:space="preserve">Lecturer : </w:t>
      </w:r>
      <w:r w:rsidR="00361C58">
        <w:rPr>
          <w:rFonts w:ascii="Arial" w:hAnsi="Arial" w:cs="Arial"/>
          <w:sz w:val="24"/>
          <w:szCs w:val="24"/>
        </w:rPr>
        <w:t>Helen Lee</w:t>
      </w:r>
    </w:p>
    <w:p w14:paraId="68DEFAEB" w14:textId="4E56500C" w:rsidR="0094427B" w:rsidRPr="0094427B" w:rsidRDefault="0094427B" w:rsidP="0094427B">
      <w:pPr>
        <w:spacing w:line="360" w:lineRule="auto"/>
        <w:jc w:val="center"/>
        <w:rPr>
          <w:rFonts w:ascii="Arial" w:hAnsi="Arial" w:cs="Arial"/>
          <w:sz w:val="24"/>
          <w:szCs w:val="24"/>
        </w:rPr>
      </w:pPr>
    </w:p>
    <w:p w14:paraId="4D4D04B4" w14:textId="0839CACC" w:rsidR="0094427B" w:rsidRPr="0094427B" w:rsidRDefault="0094427B" w:rsidP="00361C58">
      <w:pPr>
        <w:spacing w:line="360" w:lineRule="auto"/>
        <w:rPr>
          <w:rFonts w:ascii="Arial" w:hAnsi="Arial" w:cs="Arial"/>
          <w:sz w:val="24"/>
          <w:szCs w:val="24"/>
        </w:rPr>
      </w:pPr>
    </w:p>
    <w:p w14:paraId="5DB9FAD0" w14:textId="77777777" w:rsidR="0094427B" w:rsidRDefault="0094427B" w:rsidP="0094427B">
      <w:pPr>
        <w:jc w:val="center"/>
        <w:rPr>
          <w:rFonts w:ascii="Arial" w:hAnsi="Arial" w:cs="Arial"/>
          <w:b/>
          <w:bCs/>
        </w:rPr>
      </w:pPr>
    </w:p>
    <w:p w14:paraId="10DC03B8" w14:textId="77777777" w:rsidR="0094427B" w:rsidRDefault="0094427B" w:rsidP="0094427B">
      <w:pPr>
        <w:rPr>
          <w:rFonts w:ascii="Arial" w:hAnsi="Arial" w:cs="Arial"/>
          <w:b/>
          <w:bCs/>
        </w:rPr>
      </w:pPr>
    </w:p>
    <w:p w14:paraId="5A44EDC5" w14:textId="77777777" w:rsidR="0094427B" w:rsidRDefault="0094427B" w:rsidP="0094427B">
      <w:pPr>
        <w:rPr>
          <w:rFonts w:ascii="Arial" w:hAnsi="Arial" w:cs="Arial"/>
          <w:b/>
          <w:bCs/>
        </w:rPr>
      </w:pPr>
    </w:p>
    <w:p w14:paraId="5DD98F9A" w14:textId="77777777" w:rsidR="0094427B" w:rsidRDefault="0094427B" w:rsidP="0094427B">
      <w:pPr>
        <w:rPr>
          <w:rFonts w:ascii="Arial" w:hAnsi="Arial" w:cs="Arial"/>
          <w:b/>
          <w:bCs/>
        </w:rPr>
      </w:pPr>
    </w:p>
    <w:p w14:paraId="4D2EC0A8" w14:textId="77777777" w:rsidR="0094427B" w:rsidRDefault="0094427B" w:rsidP="0094427B">
      <w:pPr>
        <w:rPr>
          <w:rFonts w:ascii="Arial" w:hAnsi="Arial" w:cs="Arial"/>
          <w:b/>
          <w:bCs/>
        </w:rPr>
      </w:pPr>
    </w:p>
    <w:p w14:paraId="78744068" w14:textId="77777777" w:rsidR="0094427B" w:rsidRDefault="0094427B" w:rsidP="0094427B">
      <w:pPr>
        <w:rPr>
          <w:rFonts w:ascii="Arial" w:hAnsi="Arial" w:cs="Arial"/>
          <w:b/>
          <w:bCs/>
        </w:rPr>
      </w:pPr>
    </w:p>
    <w:p w14:paraId="596CB3F7" w14:textId="77777777" w:rsidR="0094427B" w:rsidRDefault="0094427B" w:rsidP="0094427B">
      <w:pPr>
        <w:rPr>
          <w:rFonts w:ascii="Arial" w:hAnsi="Arial" w:cs="Arial"/>
          <w:b/>
          <w:bCs/>
        </w:rPr>
      </w:pPr>
    </w:p>
    <w:p w14:paraId="67E9570F" w14:textId="77777777" w:rsidR="0094427B" w:rsidRDefault="0094427B" w:rsidP="0094427B">
      <w:pPr>
        <w:rPr>
          <w:rFonts w:ascii="Arial" w:hAnsi="Arial" w:cs="Arial"/>
          <w:b/>
          <w:bCs/>
        </w:rPr>
      </w:pPr>
    </w:p>
    <w:p w14:paraId="776BAAFC" w14:textId="77777777" w:rsidR="0094427B" w:rsidRDefault="0094427B" w:rsidP="0094427B">
      <w:pPr>
        <w:rPr>
          <w:rFonts w:ascii="Arial" w:hAnsi="Arial" w:cs="Arial"/>
          <w:b/>
          <w:bCs/>
        </w:rPr>
      </w:pPr>
    </w:p>
    <w:p w14:paraId="18DF47CC" w14:textId="77777777" w:rsidR="0094427B" w:rsidRDefault="0094427B" w:rsidP="0094427B">
      <w:pPr>
        <w:rPr>
          <w:rFonts w:ascii="Arial" w:hAnsi="Arial" w:cs="Arial"/>
          <w:b/>
          <w:bCs/>
        </w:rPr>
      </w:pPr>
    </w:p>
    <w:p w14:paraId="3ECA510B" w14:textId="77777777" w:rsidR="0094427B" w:rsidRDefault="0094427B" w:rsidP="0094427B">
      <w:pPr>
        <w:rPr>
          <w:rFonts w:ascii="Arial" w:hAnsi="Arial" w:cs="Arial"/>
          <w:b/>
          <w:bCs/>
        </w:rPr>
      </w:pPr>
    </w:p>
    <w:p w14:paraId="2E81AFF8" w14:textId="77777777" w:rsidR="0094427B" w:rsidRDefault="0094427B" w:rsidP="0094427B">
      <w:pPr>
        <w:rPr>
          <w:rFonts w:ascii="Arial" w:hAnsi="Arial" w:cs="Arial"/>
          <w:b/>
          <w:bCs/>
        </w:rPr>
      </w:pPr>
    </w:p>
    <w:p w14:paraId="3A57B191" w14:textId="77777777" w:rsidR="0094427B" w:rsidRDefault="0094427B" w:rsidP="0094427B">
      <w:pPr>
        <w:rPr>
          <w:rFonts w:ascii="Arial" w:hAnsi="Arial" w:cs="Arial"/>
          <w:b/>
          <w:bCs/>
        </w:rPr>
      </w:pPr>
    </w:p>
    <w:p w14:paraId="35268B81" w14:textId="77777777" w:rsidR="0094427B" w:rsidRDefault="0094427B" w:rsidP="0094427B">
      <w:pPr>
        <w:rPr>
          <w:rFonts w:ascii="Arial" w:hAnsi="Arial" w:cs="Arial"/>
          <w:b/>
          <w:bCs/>
        </w:rPr>
      </w:pPr>
    </w:p>
    <w:p w14:paraId="201EB49E" w14:textId="77777777" w:rsidR="0094427B" w:rsidRDefault="0094427B" w:rsidP="0094427B">
      <w:pPr>
        <w:rPr>
          <w:rFonts w:ascii="Arial" w:hAnsi="Arial" w:cs="Arial"/>
          <w:b/>
          <w:bCs/>
        </w:rPr>
      </w:pPr>
    </w:p>
    <w:p w14:paraId="6DB242C1" w14:textId="77777777" w:rsidR="0094427B" w:rsidRDefault="0094427B" w:rsidP="0094427B">
      <w:pPr>
        <w:rPr>
          <w:rFonts w:ascii="Arial" w:hAnsi="Arial" w:cs="Arial"/>
          <w:b/>
          <w:bCs/>
        </w:rPr>
      </w:pPr>
    </w:p>
    <w:p w14:paraId="56F8D7BC" w14:textId="5B0C8336" w:rsidR="00540258" w:rsidRPr="00540258" w:rsidRDefault="00540258" w:rsidP="00540258">
      <w:pPr>
        <w:spacing w:line="360" w:lineRule="auto"/>
        <w:ind w:firstLine="720"/>
        <w:rPr>
          <w:rFonts w:ascii="Arial" w:hAnsi="Arial" w:cs="Arial"/>
        </w:rPr>
      </w:pPr>
      <w:r w:rsidRPr="00540258">
        <w:rPr>
          <w:rFonts w:ascii="Arial" w:hAnsi="Arial" w:cs="Arial"/>
        </w:rPr>
        <w:t xml:space="preserve">The importance of Human Resources (HR) has grown in the volatile atmosphere of the hospitality sector, especially while dealing with Generation Y’s personnel. As the hotel business adjusts to changing consumer needs and emerging technologies, the roles of the HR department have gone beyond initial duties. Indeed, today, it plays a remarkable role in attracting, </w:t>
      </w:r>
      <w:r>
        <w:rPr>
          <w:rFonts w:ascii="Arial" w:hAnsi="Arial" w:cs="Arial"/>
        </w:rPr>
        <w:t xml:space="preserve">nurturing </w:t>
      </w:r>
      <w:r w:rsidRPr="00540258">
        <w:rPr>
          <w:rFonts w:ascii="Arial" w:hAnsi="Arial" w:cs="Arial"/>
        </w:rPr>
        <w:t xml:space="preserve">and preserving talents where the main focus is placed towards the distinctive qualities and preferences of Generation Y and its successor generation, Generation Z. The </w:t>
      </w:r>
      <w:r>
        <w:rPr>
          <w:rFonts w:ascii="Arial" w:hAnsi="Arial" w:cs="Arial"/>
        </w:rPr>
        <w:t>essay</w:t>
      </w:r>
      <w:r w:rsidRPr="00540258">
        <w:rPr>
          <w:rFonts w:ascii="Arial" w:hAnsi="Arial" w:cs="Arial"/>
        </w:rPr>
        <w:t xml:space="preserve"> describes the character of generation y people called millennials and the ways that HR strategies should be adjusted to their values and tastes. This study will investigate practical approaches to attracting these young employees, advantages of such an approach, and how employee engagement models can lead to success drivers throughout the paper.</w:t>
      </w:r>
    </w:p>
    <w:p w14:paraId="16CE8D5E" w14:textId="08EA05AC" w:rsidR="0094427B" w:rsidRDefault="00540258" w:rsidP="00540258">
      <w:pPr>
        <w:spacing w:line="360" w:lineRule="auto"/>
        <w:ind w:firstLine="720"/>
        <w:rPr>
          <w:rFonts w:ascii="Arial" w:hAnsi="Arial" w:cs="Arial"/>
        </w:rPr>
      </w:pPr>
      <w:r w:rsidRPr="00540258">
        <w:rPr>
          <w:rFonts w:ascii="Arial" w:hAnsi="Arial" w:cs="Arial"/>
        </w:rPr>
        <w:t>The importance of HR in involving Gen Y in the big hotel includes engaging employees. Firstly, HR manages the recruitment and selection process whereby new employees are hired into the organization with appropriate skills and also fit within the cultural and organizational values. Moreover, an efficient onboarding process should also be initiated by HR with specific focus on involving young staff right from within the initial stages into the organizational structure to enhance their inclusion and acceptance. Additionally, HR develops training and development programs designed to suit different learning styles of Gen Y. Such schemes include capacity building, career progression and lifelong study hence all help in making Generation Y engaged in an organization’s activities.</w:t>
      </w:r>
      <w:r w:rsidR="0094427B" w:rsidRPr="0094427B">
        <w:rPr>
          <w:rFonts w:ascii="Arial" w:hAnsi="Arial" w:cs="Arial"/>
        </w:rPr>
        <w:t xml:space="preserve"> Employee engagement strategies must include regular surveys, feedback sessions, and open communication</w:t>
      </w:r>
      <w:r w:rsidR="00E903E3" w:rsidRPr="00E903E3">
        <w:t xml:space="preserve"> </w:t>
      </w:r>
      <w:r w:rsidR="00E903E3" w:rsidRPr="00E903E3">
        <w:rPr>
          <w:rFonts w:ascii="Arial" w:hAnsi="Arial" w:cs="Arial"/>
        </w:rPr>
        <w:t>(Armstrong, 2020)</w:t>
      </w:r>
      <w:r w:rsidR="00E903E3">
        <w:rPr>
          <w:rFonts w:ascii="Arial" w:hAnsi="Arial" w:cs="Arial"/>
        </w:rPr>
        <w:t>.</w:t>
      </w:r>
      <w:r w:rsidR="0094427B" w:rsidRPr="0094427B">
        <w:rPr>
          <w:rFonts w:ascii="Arial" w:hAnsi="Arial" w:cs="Arial"/>
        </w:rPr>
        <w:t xml:space="preserve"> Furthermore, HR manages recognition and rewards programmes that align with the preferences of younger generations, including non-monetary recognition, flexible work arrangements, and opportunities for advancement. HR creates and maintains an environment that is aligned with the values and expectations of Generation </w:t>
      </w:r>
      <w:r w:rsidR="00E903E3" w:rsidRPr="0094427B">
        <w:rPr>
          <w:rFonts w:ascii="Arial" w:hAnsi="Arial" w:cs="Arial"/>
        </w:rPr>
        <w:t>Y employees</w:t>
      </w:r>
      <w:r w:rsidR="0094427B" w:rsidRPr="0094427B">
        <w:rPr>
          <w:rFonts w:ascii="Arial" w:hAnsi="Arial" w:cs="Arial"/>
        </w:rPr>
        <w:t>, including recruitment, onboarding, training, communication, rewards, and conflict resolution. These strategies improve employee engagement and retention in the hospitality industry significantly.</w:t>
      </w:r>
    </w:p>
    <w:p w14:paraId="573BE0A6" w14:textId="248B3495" w:rsidR="00540258" w:rsidRPr="00540258" w:rsidRDefault="00E903E3" w:rsidP="00540258">
      <w:pPr>
        <w:spacing w:line="360" w:lineRule="auto"/>
        <w:ind w:firstLine="720"/>
        <w:rPr>
          <w:rFonts w:ascii="Arial" w:hAnsi="Arial" w:cs="Arial"/>
        </w:rPr>
      </w:pPr>
      <w:r>
        <w:rPr>
          <w:rFonts w:ascii="Arial" w:hAnsi="Arial" w:cs="Arial"/>
        </w:rPr>
        <w:t xml:space="preserve">According to </w:t>
      </w:r>
      <w:r w:rsidRPr="00E903E3">
        <w:rPr>
          <w:rFonts w:ascii="Arial" w:hAnsi="Arial" w:cs="Arial"/>
        </w:rPr>
        <w:t>(Garnar and McCaffrey, 2013)</w:t>
      </w:r>
      <w:r>
        <w:rPr>
          <w:rFonts w:ascii="Arial" w:hAnsi="Arial" w:cs="Arial"/>
        </w:rPr>
        <w:t xml:space="preserve">, </w:t>
      </w:r>
      <w:r w:rsidR="00E978FB" w:rsidRPr="00E978FB">
        <w:rPr>
          <w:rFonts w:ascii="Arial" w:hAnsi="Arial" w:cs="Arial"/>
        </w:rPr>
        <w:t xml:space="preserve">Individuals born between the early 1980s and the mid-1990s comprise Generation Y, also known as Millennials. This generation possesses several key characteristics that influence their workplace preferences and expectations. First and foremost, Generation Y is known for its expertise in technology, having grown up in the midst of the rapid development of the internet and digital technologies. They are extremely at ease with and reliant on technology for both personal and professional tasks. They seek environments that provide modern technology, digital communication tools, and flexible work arrangements in the workplace. Second, Millennials place an emphasis on work-life balance. </w:t>
      </w:r>
      <w:r w:rsidR="00540258" w:rsidRPr="00540258">
        <w:rPr>
          <w:rFonts w:ascii="Arial" w:hAnsi="Arial" w:cs="Arial"/>
        </w:rPr>
        <w:t>It means that they appreciate free time and can accept various shifts and work remotely. It is often this generation of people who seek to have integrated work life with their private life. millennials are socially and environmentally conscious. These young people are attracted to companies with robust CSR policies and sustainability programs. They prefer companies that care about creating a better society and taking responsibility for their impacts on the environment. Moreover, lifelong learning is crucial to members of Generation Y, they also want professional skill development as well as career growth and progression. The millennials are always attracted to those employers who help them develop into successful professionals. Members of Generation Y are usually known to be technologically adept, value work life balance, have a strong concern for social and environmental issues, and highly focused on career growth. In order to engage and retain Generations Y employees in a large hotel setting, it is therefore necessary to understand and accept their dominant traits (Hur, Moon and Lee, 2018)</w:t>
      </w:r>
      <w:r w:rsidR="00540258">
        <w:rPr>
          <w:rFonts w:ascii="Arial" w:hAnsi="Arial" w:cs="Arial"/>
        </w:rPr>
        <w:t>.</w:t>
      </w:r>
    </w:p>
    <w:p w14:paraId="43EC04A6" w14:textId="02A60056" w:rsidR="00540258" w:rsidRPr="00E978FB" w:rsidRDefault="00540258" w:rsidP="00540258">
      <w:pPr>
        <w:spacing w:line="360" w:lineRule="auto"/>
        <w:ind w:firstLine="720"/>
        <w:rPr>
          <w:rFonts w:ascii="Arial" w:hAnsi="Arial" w:cs="Arial"/>
        </w:rPr>
      </w:pPr>
      <w:r w:rsidRPr="00540258">
        <w:rPr>
          <w:rFonts w:ascii="Arial" w:hAnsi="Arial" w:cs="Arial"/>
        </w:rPr>
        <w:t>Therefore, Generation Y employees engaged in a large hotel setting require a custom approach considering their unique traits and preferences. Digital engagement can also be promoted through provision of social collaboration tools and platforms (Asnani, 2023). Doing this ensures that Generations’ Y employees can freely exchange ideas through communication, work together as a team, feel part of an institution and participate in it. Moreover, flexible provision of work arrangements is vitally important. Work-life balance is important for Generation Y. This can be done through allowing for remote work or flexible working hours.</w:t>
      </w:r>
    </w:p>
    <w:p w14:paraId="67B12491" w14:textId="68933483" w:rsidR="00E978FB" w:rsidRDefault="00E978FB" w:rsidP="0094427B">
      <w:pPr>
        <w:spacing w:line="360" w:lineRule="auto"/>
        <w:ind w:firstLine="720"/>
        <w:rPr>
          <w:rFonts w:ascii="Arial" w:hAnsi="Arial" w:cs="Arial"/>
        </w:rPr>
      </w:pPr>
      <w:r w:rsidRPr="00E978FB">
        <w:rPr>
          <w:rFonts w:ascii="Arial" w:hAnsi="Arial" w:cs="Arial"/>
        </w:rPr>
        <w:t>Opportunities for continuous learning and skill development are equally important. Employers who invest in their professional development are valued by millennials, so providing training programmes, workshops, and mentorship opportunities can increase their engagement and commitment to the organisation. Regular feedback and recognition are critical to retaining Generation Y employees. Implementing a feedback-rich culture in which employees receive constructive feedback and recognition for their contributions motivates them to perform to their full potential. subsequently engaging them in corporate social responsibility (CSR) initiatives that align with their social and environmental consciousness can be a powerful engagement strategy</w:t>
      </w:r>
      <w:r w:rsidR="0081215F" w:rsidRPr="0081215F">
        <w:t xml:space="preserve"> </w:t>
      </w:r>
      <w:r w:rsidR="0081215F" w:rsidRPr="0081215F">
        <w:rPr>
          <w:rFonts w:ascii="Arial" w:hAnsi="Arial" w:cs="Arial"/>
        </w:rPr>
        <w:t>(Stephens, 2021)</w:t>
      </w:r>
      <w:r w:rsidR="0081215F">
        <w:rPr>
          <w:rFonts w:ascii="Arial" w:hAnsi="Arial" w:cs="Arial"/>
        </w:rPr>
        <w:t>.</w:t>
      </w:r>
      <w:r w:rsidRPr="00E978FB">
        <w:rPr>
          <w:rFonts w:ascii="Arial" w:hAnsi="Arial" w:cs="Arial"/>
        </w:rPr>
        <w:t xml:space="preserve"> Participating in activities that benefit society and the environment aligns with their values. The benefits of engaging Generation Y include increased productivity, higher job satisfaction, higher retention rates, and enhanced innovation. This generation's engaged employees are more likely to invest their talents in the organisation, resulting in a more positive work environment, better guest experiences, and, ultimately, a stronger competitive edge in the hotel industry.</w:t>
      </w:r>
    </w:p>
    <w:p w14:paraId="1FDE0098" w14:textId="11696E9D" w:rsidR="00B93703" w:rsidRPr="00B93703" w:rsidRDefault="00B93703" w:rsidP="00B93703">
      <w:pPr>
        <w:spacing w:line="360" w:lineRule="auto"/>
        <w:ind w:firstLine="720"/>
        <w:rPr>
          <w:rFonts w:ascii="Arial" w:hAnsi="Arial" w:cs="Arial"/>
        </w:rPr>
      </w:pPr>
      <w:r w:rsidRPr="00B93703">
        <w:rPr>
          <w:rFonts w:ascii="Arial" w:hAnsi="Arial" w:cs="Arial"/>
        </w:rPr>
        <w:t>A large hotel's employee lifecycle includes several stages, each of which is critical to engaging and retaining Generation Y employees. Understanding and managing this lifecycle effectively serves as essential for developing a productive and motivated workforce</w:t>
      </w:r>
      <w:r w:rsidR="005E15F8" w:rsidRPr="005E15F8">
        <w:t xml:space="preserve"> </w:t>
      </w:r>
      <w:r w:rsidR="005E15F8" w:rsidRPr="005E15F8">
        <w:rPr>
          <w:rFonts w:ascii="Arial" w:hAnsi="Arial" w:cs="Arial"/>
        </w:rPr>
        <w:t>(Nagendra, 2014)</w:t>
      </w:r>
      <w:r w:rsidR="005E15F8">
        <w:rPr>
          <w:rFonts w:ascii="Arial" w:hAnsi="Arial" w:cs="Arial"/>
        </w:rPr>
        <w:t>.</w:t>
      </w:r>
    </w:p>
    <w:p w14:paraId="22C984A9" w14:textId="6F318124" w:rsidR="00B93703" w:rsidRPr="00B93703" w:rsidRDefault="00B93703" w:rsidP="00B93703">
      <w:pPr>
        <w:spacing w:line="360" w:lineRule="auto"/>
        <w:ind w:firstLine="720"/>
        <w:rPr>
          <w:rFonts w:ascii="Arial" w:hAnsi="Arial" w:cs="Arial"/>
        </w:rPr>
      </w:pPr>
      <w:r w:rsidRPr="00B93703">
        <w:rPr>
          <w:rFonts w:ascii="Arial" w:hAnsi="Arial" w:cs="Arial"/>
        </w:rPr>
        <w:t>Attraction, or the first stage involves attracting potential employees, particularly Generation Y, which can be accomplished in the context of a large hotel through targeted recruitment marketing campaigns that highlight the hotel's unique culture, values, and growth opportunities. To engage Generation Y, emphasise the use of digital platforms where they are likely to be active, such as social media and job search websites. To align with their values and interests, highlight the hotel's commitment to work-life balance, career advancement, and sustainability initiatives</w:t>
      </w:r>
      <w:r w:rsidR="005E15F8" w:rsidRPr="005E15F8">
        <w:t xml:space="preserve"> </w:t>
      </w:r>
      <w:r w:rsidR="005E15F8" w:rsidRPr="005E15F8">
        <w:rPr>
          <w:rFonts w:ascii="Arial" w:hAnsi="Arial" w:cs="Arial"/>
        </w:rPr>
        <w:t>(Armstrong, 2020)</w:t>
      </w:r>
      <w:r w:rsidR="005E15F8">
        <w:rPr>
          <w:rFonts w:ascii="Arial" w:hAnsi="Arial" w:cs="Arial"/>
        </w:rPr>
        <w:t>.</w:t>
      </w:r>
    </w:p>
    <w:p w14:paraId="27F31F23" w14:textId="32848E5B" w:rsidR="00B93703" w:rsidRPr="00B93703" w:rsidRDefault="00B93703" w:rsidP="00B93703">
      <w:pPr>
        <w:spacing w:line="360" w:lineRule="auto"/>
        <w:ind w:firstLine="720"/>
        <w:rPr>
          <w:rFonts w:ascii="Arial" w:hAnsi="Arial" w:cs="Arial"/>
        </w:rPr>
      </w:pPr>
      <w:r w:rsidRPr="00B93703">
        <w:rPr>
          <w:rFonts w:ascii="Arial" w:hAnsi="Arial" w:cs="Arial"/>
        </w:rPr>
        <w:t>Recruitment: It is critical to conduct interviews during the recruitment phase that not only assess skills and qualifications but also focus on cultural fit. Engaging Generation Y applicants entails demonstrating the hotel's dedication to technology, innovation, and career development. Place a premium on a collaborative work environment as well as opportunities to learn and grow within the organisation</w:t>
      </w:r>
      <w:r w:rsidR="005E15F8" w:rsidRPr="005E15F8">
        <w:t xml:space="preserve"> </w:t>
      </w:r>
      <w:r w:rsidR="005E15F8" w:rsidRPr="005E15F8">
        <w:rPr>
          <w:rFonts w:ascii="Arial" w:hAnsi="Arial" w:cs="Arial"/>
        </w:rPr>
        <w:t>(Armstrong, 2020)</w:t>
      </w:r>
      <w:r w:rsidRPr="00B93703">
        <w:rPr>
          <w:rFonts w:ascii="Arial" w:hAnsi="Arial" w:cs="Arial"/>
        </w:rPr>
        <w:t>.</w:t>
      </w:r>
    </w:p>
    <w:p w14:paraId="34FE5017" w14:textId="4A8AD85E" w:rsidR="00B93703" w:rsidRPr="00B93703" w:rsidRDefault="00B93703" w:rsidP="00B93703">
      <w:pPr>
        <w:spacing w:line="360" w:lineRule="auto"/>
        <w:ind w:firstLine="720"/>
        <w:rPr>
          <w:rFonts w:ascii="Arial" w:hAnsi="Arial" w:cs="Arial"/>
        </w:rPr>
      </w:pPr>
      <w:r w:rsidRPr="00B93703">
        <w:rPr>
          <w:rFonts w:ascii="Arial" w:hAnsi="Arial" w:cs="Arial"/>
        </w:rPr>
        <w:t>Onboarding: Once hired, the onboarding process is critical for engaging Generation Y employees from the start. Make a thorough onboarding programme that introduces them to the hotel's values, expectations, and technological tools. Assign mentors or buddies to assist them in adjusting to the workplace culture and developing a sense of belonging</w:t>
      </w:r>
      <w:r w:rsidR="005E15F8" w:rsidRPr="005E15F8">
        <w:t xml:space="preserve"> </w:t>
      </w:r>
      <w:r w:rsidR="005E15F8" w:rsidRPr="005E15F8">
        <w:rPr>
          <w:rFonts w:ascii="Arial" w:hAnsi="Arial" w:cs="Arial"/>
        </w:rPr>
        <w:t>(Armstrong, 2020)</w:t>
      </w:r>
      <w:r w:rsidR="005E15F8">
        <w:rPr>
          <w:rFonts w:ascii="Arial" w:hAnsi="Arial" w:cs="Arial"/>
        </w:rPr>
        <w:t>.</w:t>
      </w:r>
    </w:p>
    <w:p w14:paraId="1B535C0C" w14:textId="367EAECD" w:rsidR="00B93703" w:rsidRPr="00B93703" w:rsidRDefault="00B93703" w:rsidP="00B93703">
      <w:pPr>
        <w:spacing w:line="360" w:lineRule="auto"/>
        <w:ind w:firstLine="720"/>
        <w:rPr>
          <w:rFonts w:ascii="Arial" w:hAnsi="Arial" w:cs="Arial"/>
        </w:rPr>
      </w:pPr>
      <w:r w:rsidRPr="00B93703">
        <w:rPr>
          <w:rFonts w:ascii="Arial" w:hAnsi="Arial" w:cs="Arial"/>
        </w:rPr>
        <w:t>Development: Generation Y employees are eager to learn and advance in their careers. As a result, the development stage should emphasise ongoing learning and skill enhancement. Provide training programmes, workshops, and cross-functional experience opportunities. Encourage them to take charge of their professional development by establishing clear career paths and providing regular feedback</w:t>
      </w:r>
      <w:r w:rsidR="005E15F8" w:rsidRPr="005E15F8">
        <w:t xml:space="preserve"> </w:t>
      </w:r>
      <w:r w:rsidR="005E15F8" w:rsidRPr="005E15F8">
        <w:rPr>
          <w:rFonts w:ascii="Arial" w:hAnsi="Arial" w:cs="Arial"/>
        </w:rPr>
        <w:t>(Armstrong, 2020)</w:t>
      </w:r>
      <w:r w:rsidR="005E15F8">
        <w:rPr>
          <w:rFonts w:ascii="Arial" w:hAnsi="Arial" w:cs="Arial"/>
        </w:rPr>
        <w:t>.</w:t>
      </w:r>
    </w:p>
    <w:p w14:paraId="67FEFC18" w14:textId="69E8EDE8" w:rsidR="00B93703" w:rsidRPr="00B93703" w:rsidRDefault="00B93703" w:rsidP="00B93703">
      <w:pPr>
        <w:spacing w:line="360" w:lineRule="auto"/>
        <w:ind w:firstLine="720"/>
        <w:rPr>
          <w:rFonts w:ascii="Arial" w:hAnsi="Arial" w:cs="Arial"/>
        </w:rPr>
      </w:pPr>
      <w:r w:rsidRPr="00B93703">
        <w:rPr>
          <w:rFonts w:ascii="Arial" w:hAnsi="Arial" w:cs="Arial"/>
        </w:rPr>
        <w:t>Employee retention is a major issue in the hotel industry, and engaging Generation Y employees is critical for long-term success</w:t>
      </w:r>
      <w:r w:rsidR="005E15F8">
        <w:rPr>
          <w:rFonts w:ascii="Arial" w:hAnsi="Arial" w:cs="Arial"/>
        </w:rPr>
        <w:t xml:space="preserve"> </w:t>
      </w:r>
      <w:r w:rsidR="005E15F8" w:rsidRPr="005E15F8">
        <w:rPr>
          <w:rFonts w:ascii="Arial" w:hAnsi="Arial" w:cs="Arial"/>
        </w:rPr>
        <w:t>(Armstrong, 2020)</w:t>
      </w:r>
      <w:r w:rsidRPr="00B93703">
        <w:rPr>
          <w:rFonts w:ascii="Arial" w:hAnsi="Arial" w:cs="Arial"/>
        </w:rPr>
        <w:t xml:space="preserve">. Create a positive work environment that encourages work-life balance, provides flexible work arrangements, and acknowledges their contributions. Engage in open communication with them and include them in decision-making processes. To align with their values, provide opportunities for mentorship, leadership development, and participation in social and environmental responsibility </w:t>
      </w:r>
      <w:r w:rsidR="005E15F8" w:rsidRPr="00B93703">
        <w:rPr>
          <w:rFonts w:ascii="Arial" w:hAnsi="Arial" w:cs="Arial"/>
        </w:rPr>
        <w:t>initiatives</w:t>
      </w:r>
      <w:r w:rsidR="005E15F8">
        <w:rPr>
          <w:rFonts w:ascii="Arial" w:hAnsi="Arial" w:cs="Arial"/>
        </w:rPr>
        <w:t>.</w:t>
      </w:r>
    </w:p>
    <w:p w14:paraId="3C1A065A" w14:textId="2282E9BF" w:rsidR="00B93703" w:rsidRPr="00B93703" w:rsidRDefault="00B93703" w:rsidP="00B93703">
      <w:pPr>
        <w:spacing w:line="360" w:lineRule="auto"/>
        <w:ind w:firstLine="720"/>
        <w:rPr>
          <w:rFonts w:ascii="Arial" w:hAnsi="Arial" w:cs="Arial"/>
        </w:rPr>
      </w:pPr>
      <w:r w:rsidRPr="00B93703">
        <w:rPr>
          <w:rFonts w:ascii="Arial" w:hAnsi="Arial" w:cs="Arial"/>
        </w:rPr>
        <w:t>Separation: When it comes to employee separation, it's critical to ensure a positive departure experience for Generation Y employees, even if they decide to leave the organisation. Conduct exits interviews to gather information and feedback that can be used to improve the employee experience. Maintain positive relationships in order to potentially rehire them in the future and to maintain the hotel's reputation as a preferred employer</w:t>
      </w:r>
      <w:r w:rsidR="005E15F8" w:rsidRPr="005E15F8">
        <w:t xml:space="preserve"> </w:t>
      </w:r>
      <w:r w:rsidR="005E15F8" w:rsidRPr="005E15F8">
        <w:rPr>
          <w:rFonts w:ascii="Arial" w:hAnsi="Arial" w:cs="Arial"/>
        </w:rPr>
        <w:t>(Armstrong, 2020)</w:t>
      </w:r>
      <w:r w:rsidR="005E15F8">
        <w:rPr>
          <w:rFonts w:ascii="Arial" w:hAnsi="Arial" w:cs="Arial"/>
        </w:rPr>
        <w:t>.</w:t>
      </w:r>
    </w:p>
    <w:p w14:paraId="4D72782C" w14:textId="162B7708" w:rsidR="00B93703" w:rsidRDefault="00B93703" w:rsidP="00B93703">
      <w:pPr>
        <w:spacing w:line="360" w:lineRule="auto"/>
        <w:ind w:firstLine="720"/>
        <w:rPr>
          <w:rFonts w:ascii="Arial" w:hAnsi="Arial" w:cs="Arial"/>
        </w:rPr>
      </w:pPr>
      <w:r>
        <w:rPr>
          <w:rFonts w:ascii="Arial" w:hAnsi="Arial" w:cs="Arial"/>
        </w:rPr>
        <w:t>M</w:t>
      </w:r>
      <w:r w:rsidRPr="00B93703">
        <w:rPr>
          <w:rFonts w:ascii="Arial" w:hAnsi="Arial" w:cs="Arial"/>
        </w:rPr>
        <w:t>anaging the employee lifecycle in a large hotel while engaging Generation Y employees entails aligning recruitment and onboarding processes with their preferences, fostering continuous development, increasing retention efforts, and ensuring that a positive impression is left for potential reengagement even during separation</w:t>
      </w:r>
      <w:r w:rsidR="005E15F8" w:rsidRPr="005E15F8">
        <w:t xml:space="preserve"> </w:t>
      </w:r>
      <w:r w:rsidR="005E15F8" w:rsidRPr="005E15F8">
        <w:rPr>
          <w:rFonts w:ascii="Arial" w:hAnsi="Arial" w:cs="Arial"/>
        </w:rPr>
        <w:t>(Armstrong, 2020)</w:t>
      </w:r>
      <w:r w:rsidR="005E15F8">
        <w:rPr>
          <w:rFonts w:ascii="Arial" w:hAnsi="Arial" w:cs="Arial"/>
        </w:rPr>
        <w:t>.</w:t>
      </w:r>
      <w:r w:rsidRPr="00B93703">
        <w:rPr>
          <w:rFonts w:ascii="Arial" w:hAnsi="Arial" w:cs="Arial"/>
        </w:rPr>
        <w:t xml:space="preserve"> This approach helps to build a motivated and loyal workforce, which is critical in the competitive landscape of the hospitality industry.</w:t>
      </w:r>
    </w:p>
    <w:p w14:paraId="1B13FE52" w14:textId="0F45A5C5" w:rsidR="00540258" w:rsidRDefault="00540258" w:rsidP="00B93703">
      <w:pPr>
        <w:spacing w:line="360" w:lineRule="auto"/>
        <w:ind w:firstLine="720"/>
        <w:rPr>
          <w:rFonts w:ascii="Arial" w:hAnsi="Arial" w:cs="Arial"/>
        </w:rPr>
      </w:pPr>
      <w:r w:rsidRPr="00540258">
        <w:rPr>
          <w:rFonts w:ascii="Arial" w:hAnsi="Arial" w:cs="Arial"/>
        </w:rPr>
        <w:t>For a large hotel engaging a Generation Y team would necessitate adopting digital communication, creating a culture that involves recognition and feedback, availing flexibility, and planning work team building activities. By using these techniques, they will feel a greater sense of belonging, more motivated, and committed toward the success of the hotel. A large hotel can involve Generation Y employees by using many approaches that suit them and address their interest. To this end, using digital communication and collaborative platforms like team messaging applications or project management software facilitates easy interaction among teammates and transfer of information between them. Web meetings and webinars allow connecting across the world, and therefore continuous learning and community involvement. Make provision for feedback and recognition culture to have more engaged teams. Introduce peer recognition initiatives, hold weekly/monthly team meeting to reward progress. Support team members to give out their innovative ideas and involve them in decision making process to show that they value it. Flexible workplace such as remote work and flexi schedules can serve to improve work-life balance and preferences of generation y. There are many types of group work activities and workshops, that would enhance collaboration, creativity, personal development and general purpose of the organization (Bencsik et al., 2016).</w:t>
      </w:r>
    </w:p>
    <w:p w14:paraId="577CFA81" w14:textId="4240F9B1" w:rsidR="00B93703" w:rsidRDefault="00B93703" w:rsidP="00B93703">
      <w:pPr>
        <w:spacing w:line="360" w:lineRule="auto"/>
        <w:ind w:firstLine="720"/>
        <w:rPr>
          <w:rFonts w:ascii="Arial" w:hAnsi="Arial" w:cs="Arial"/>
        </w:rPr>
      </w:pPr>
      <w:r w:rsidRPr="00B93703">
        <w:rPr>
          <w:rFonts w:ascii="Arial" w:hAnsi="Arial" w:cs="Arial"/>
        </w:rPr>
        <w:t>A strategic approach to engaging Generation Y employees in a large hotel is to implement an employee engagement model, such as the Gallup Q12 model</w:t>
      </w:r>
      <w:r w:rsidR="00CE7551" w:rsidRPr="00CE7551">
        <w:t xml:space="preserve"> </w:t>
      </w:r>
      <w:r w:rsidR="00CE7551" w:rsidRPr="00CE7551">
        <w:rPr>
          <w:rFonts w:ascii="Arial" w:hAnsi="Arial" w:cs="Arial"/>
        </w:rPr>
        <w:t>(Gallup, 2020)</w:t>
      </w:r>
      <w:r w:rsidR="00CE7551">
        <w:rPr>
          <w:rFonts w:ascii="Arial" w:hAnsi="Arial" w:cs="Arial"/>
        </w:rPr>
        <w:t xml:space="preserve">. </w:t>
      </w:r>
      <w:r w:rsidRPr="00B93703">
        <w:rPr>
          <w:rFonts w:ascii="Arial" w:hAnsi="Arial" w:cs="Arial"/>
        </w:rPr>
        <w:t xml:space="preserve"> This model focuses on twelve critical engagement elements, and its successful implementation can result in significant benefits. To ensure that employees understand their responsibilities, clear expectations, well-defined roles, and open communication are required. Generation Y's desire for professional advancement is met by providing the necessary materials, equipment, and development opportunities, such as continuous learning and career growth. Recognition and praise are critical in recognizing their contributions and fostering motivation. Caring managers who maintain strong working relationships, offer support, and demonstrate empathy can have a significant impact on employee engagement. A sense of belonging is enhanced by opportunities to learn and grow, as well as by fostering quality work relationships through team-building activities and collaboration. Employees' concerns about career stability are alleviated by involving them in decision-making processes and providing job security. Aligning their personal values with the organization's mission through social and environmental responsibility initiatives strengthens their connection to the organization's mission. Furthermore, promoting a healthy quality of life by supporting work-life balance and wellness programs. Implementing this model can lead to higher job satisfaction, increased productivity, and lower turnover among Generation Y hotel employees</w:t>
      </w:r>
      <w:r w:rsidR="00CE7551">
        <w:rPr>
          <w:rFonts w:ascii="Arial" w:hAnsi="Arial" w:cs="Arial"/>
        </w:rPr>
        <w:t xml:space="preserve"> </w:t>
      </w:r>
      <w:r w:rsidR="00CE7551" w:rsidRPr="00CE7551">
        <w:rPr>
          <w:rFonts w:ascii="Arial" w:hAnsi="Arial" w:cs="Arial"/>
        </w:rPr>
        <w:t>(Freeney and Tiernan, 2006)</w:t>
      </w:r>
      <w:r w:rsidRPr="00B93703">
        <w:rPr>
          <w:rFonts w:ascii="Arial" w:hAnsi="Arial" w:cs="Arial"/>
        </w:rPr>
        <w:t>.</w:t>
      </w:r>
    </w:p>
    <w:p w14:paraId="2ECC95AC" w14:textId="7AC837F9" w:rsidR="00D61F3F" w:rsidRDefault="00D61F3F" w:rsidP="00D61F3F">
      <w:pPr>
        <w:spacing w:line="360" w:lineRule="auto"/>
        <w:ind w:firstLine="720"/>
        <w:rPr>
          <w:rFonts w:ascii="Arial" w:hAnsi="Arial" w:cs="Arial"/>
        </w:rPr>
      </w:pPr>
      <w:r w:rsidRPr="00D61F3F">
        <w:rPr>
          <w:rFonts w:ascii="Arial" w:hAnsi="Arial" w:cs="Arial"/>
        </w:rPr>
        <w:t xml:space="preserve">There are numerous compelling examples of successful employee engagement strategies tailored to Generation Y in the hospitality industry. Marriott International's "TakeCare" program is one significant </w:t>
      </w:r>
      <w:r w:rsidR="00CE7551" w:rsidRPr="00D61F3F">
        <w:rPr>
          <w:rFonts w:ascii="Arial" w:hAnsi="Arial" w:cs="Arial"/>
        </w:rPr>
        <w:t>example</w:t>
      </w:r>
      <w:r w:rsidR="00CE7551" w:rsidRPr="00CE7551">
        <w:rPr>
          <w:rFonts w:ascii="Arial" w:hAnsi="Arial" w:cs="Arial"/>
        </w:rPr>
        <w:t xml:space="preserve"> (Marriott International, 2019)</w:t>
      </w:r>
      <w:r w:rsidR="00CE7551">
        <w:rPr>
          <w:rFonts w:ascii="Arial" w:hAnsi="Arial" w:cs="Arial"/>
        </w:rPr>
        <w:t>.</w:t>
      </w:r>
      <w:r w:rsidRPr="00D61F3F">
        <w:rPr>
          <w:rFonts w:ascii="Arial" w:hAnsi="Arial" w:cs="Arial"/>
        </w:rPr>
        <w:t xml:space="preserve"> This initiative focuses on employee well-being by providing flexible work arrangements, wellness programs, and professional development opportunities. Marriott recognizes Generation Y's emphasis on work-life balance by encouraging flexible schedules and remote work. They also invest in employee development by offering online courses and mentorship programs to help them advance in their careers. Hilton's "Thrive@Hilton" program, for example, promotes a culture of recognition and appreciation. Hilton values employee recognition through various recognition programs, which aligns with Generation Y's desire for regular feedback and praise. These initiatives have resulted in higher job satisfaction and increased employee engagement</w:t>
      </w:r>
      <w:r w:rsidR="0083750D" w:rsidRPr="0083750D">
        <w:t xml:space="preserve"> </w:t>
      </w:r>
      <w:r w:rsidR="0083750D" w:rsidRPr="0083750D">
        <w:rPr>
          <w:rFonts w:ascii="Arial" w:hAnsi="Arial" w:cs="Arial"/>
        </w:rPr>
        <w:t>(Hilton, 2022)</w:t>
      </w:r>
      <w:r w:rsidR="0083750D">
        <w:rPr>
          <w:rFonts w:ascii="Arial" w:hAnsi="Arial" w:cs="Arial"/>
        </w:rPr>
        <w:t>.</w:t>
      </w:r>
      <w:r w:rsidRPr="00D61F3F">
        <w:rPr>
          <w:rFonts w:ascii="Arial" w:hAnsi="Arial" w:cs="Arial"/>
        </w:rPr>
        <w:t> Furthermore, Hyatt Hotels' commitment to sustainability and social responsibility aligns with the values of Generation Y</w:t>
      </w:r>
      <w:r w:rsidR="0083750D" w:rsidRPr="0083750D">
        <w:t xml:space="preserve"> </w:t>
      </w:r>
      <w:r w:rsidR="0083750D" w:rsidRPr="0083750D">
        <w:rPr>
          <w:rFonts w:ascii="Arial" w:hAnsi="Arial" w:cs="Arial"/>
        </w:rPr>
        <w:t>(Hyatt, 2019)</w:t>
      </w:r>
      <w:r w:rsidRPr="00D61F3F">
        <w:rPr>
          <w:rFonts w:ascii="Arial" w:hAnsi="Arial" w:cs="Arial"/>
        </w:rPr>
        <w:t>. Employees are involved in a variety of environmental initiatives and community service projects, which foster a sense of purpose and alignment with personal values. These real-world examples show how the hospitality industry successfully engages Generation Y employees by recognizing their distinct preferences and values, resulting in increased employee satisfaction and retention.</w:t>
      </w:r>
    </w:p>
    <w:p w14:paraId="336C378B" w14:textId="7424ABB2" w:rsidR="0083750D" w:rsidRDefault="00D61F3F" w:rsidP="00D61F3F">
      <w:pPr>
        <w:spacing w:line="360" w:lineRule="auto"/>
        <w:ind w:firstLine="720"/>
        <w:rPr>
          <w:rFonts w:ascii="Arial" w:hAnsi="Arial" w:cs="Arial"/>
        </w:rPr>
      </w:pPr>
      <w:r w:rsidRPr="00D61F3F">
        <w:rPr>
          <w:rFonts w:ascii="Arial" w:hAnsi="Arial" w:cs="Arial"/>
        </w:rPr>
        <w:t xml:space="preserve">In conclusion, </w:t>
      </w:r>
      <w:r w:rsidR="00825BF9" w:rsidRPr="00825BF9">
        <w:rPr>
          <w:rFonts w:ascii="Arial" w:hAnsi="Arial" w:cs="Arial"/>
        </w:rPr>
        <w:t>involving staff into every stage of an employee life cycle of a hotel is an ideal as well as crucial strategy for success towards Generation Y and Generation Z. Throughout this essay , we have dissected every aspect of Human Resources with an intent to demonstrate how it is crucial to the recruitment, development, and retention of talent amidst constant change in our industry. Through detailed analysis of their uniqueness and preference, we established effective approaches to engaging Generation Y. Some of these strategies including digital communication, flexible work arrangement, continuous learning, recognition and value alignment have proved to be successful in increased employees’ commitment and satisfaction. Such engagement is beneficial in that it enhances productivity, increases job satisfaction, fosters innovation, and reduces turnover</w:t>
      </w:r>
      <w:r w:rsidR="00825BF9">
        <w:rPr>
          <w:rFonts w:ascii="Arial" w:hAnsi="Arial" w:cs="Arial"/>
        </w:rPr>
        <w:t>.</w:t>
      </w:r>
      <w:r w:rsidR="00825BF9" w:rsidRPr="00825BF9">
        <w:rPr>
          <w:rFonts w:ascii="Arial" w:hAnsi="Arial" w:cs="Arial"/>
        </w:rPr>
        <w:t xml:space="preserve"> A workforce that is engaged has positive effects on workers’ wellbeing as well as enhancing an employee’s perception of service quality which directly feeds into the end product; the long-term sustainability of hotel operations within a very competitive industrialised society.</w:t>
      </w:r>
    </w:p>
    <w:p w14:paraId="3FA0093F" w14:textId="77777777" w:rsidR="0083750D" w:rsidRDefault="0083750D" w:rsidP="00D61F3F">
      <w:pPr>
        <w:spacing w:line="360" w:lineRule="auto"/>
        <w:ind w:firstLine="720"/>
        <w:rPr>
          <w:rFonts w:ascii="Arial" w:hAnsi="Arial" w:cs="Arial"/>
        </w:rPr>
      </w:pPr>
    </w:p>
    <w:p w14:paraId="154A1012" w14:textId="77777777" w:rsidR="0083750D" w:rsidRDefault="0083750D" w:rsidP="00D61F3F">
      <w:pPr>
        <w:spacing w:line="360" w:lineRule="auto"/>
        <w:ind w:firstLine="720"/>
        <w:rPr>
          <w:rFonts w:ascii="Arial" w:hAnsi="Arial" w:cs="Arial"/>
        </w:rPr>
      </w:pPr>
    </w:p>
    <w:p w14:paraId="0F18F99C" w14:textId="77777777" w:rsidR="0083750D" w:rsidRDefault="0083750D" w:rsidP="00D61F3F">
      <w:pPr>
        <w:spacing w:line="360" w:lineRule="auto"/>
        <w:ind w:firstLine="720"/>
        <w:rPr>
          <w:rFonts w:ascii="Arial" w:hAnsi="Arial" w:cs="Arial"/>
        </w:rPr>
      </w:pPr>
    </w:p>
    <w:p w14:paraId="64260202" w14:textId="77777777" w:rsidR="0083750D" w:rsidRDefault="0083750D" w:rsidP="00D61F3F">
      <w:pPr>
        <w:spacing w:line="360" w:lineRule="auto"/>
        <w:ind w:firstLine="720"/>
        <w:rPr>
          <w:rFonts w:ascii="Arial" w:hAnsi="Arial" w:cs="Arial"/>
        </w:rPr>
      </w:pPr>
    </w:p>
    <w:p w14:paraId="156B437C" w14:textId="77777777" w:rsidR="0083750D" w:rsidRDefault="0083750D" w:rsidP="00D61F3F">
      <w:pPr>
        <w:spacing w:line="360" w:lineRule="auto"/>
        <w:ind w:firstLine="720"/>
        <w:rPr>
          <w:rFonts w:ascii="Arial" w:hAnsi="Arial" w:cs="Arial"/>
        </w:rPr>
      </w:pPr>
    </w:p>
    <w:p w14:paraId="191BE682" w14:textId="77777777" w:rsidR="0083750D" w:rsidRDefault="0083750D" w:rsidP="00D61F3F">
      <w:pPr>
        <w:spacing w:line="360" w:lineRule="auto"/>
        <w:ind w:firstLine="720"/>
        <w:rPr>
          <w:rFonts w:ascii="Arial" w:hAnsi="Arial" w:cs="Arial"/>
        </w:rPr>
      </w:pPr>
    </w:p>
    <w:p w14:paraId="29F9EDAE" w14:textId="77777777" w:rsidR="0083750D" w:rsidRDefault="0083750D" w:rsidP="00D61F3F">
      <w:pPr>
        <w:spacing w:line="360" w:lineRule="auto"/>
        <w:ind w:firstLine="720"/>
        <w:rPr>
          <w:rFonts w:ascii="Arial" w:hAnsi="Arial" w:cs="Arial"/>
        </w:rPr>
      </w:pPr>
    </w:p>
    <w:p w14:paraId="095BCC01" w14:textId="77777777" w:rsidR="0083750D" w:rsidRDefault="0083750D" w:rsidP="00D61F3F">
      <w:pPr>
        <w:spacing w:line="360" w:lineRule="auto"/>
        <w:ind w:firstLine="720"/>
        <w:rPr>
          <w:rFonts w:ascii="Arial" w:hAnsi="Arial" w:cs="Arial"/>
        </w:rPr>
      </w:pPr>
    </w:p>
    <w:p w14:paraId="2B3879B5" w14:textId="77777777" w:rsidR="0083750D" w:rsidRDefault="0083750D" w:rsidP="00D61F3F">
      <w:pPr>
        <w:spacing w:line="360" w:lineRule="auto"/>
        <w:ind w:firstLine="720"/>
        <w:rPr>
          <w:rFonts w:ascii="Arial" w:hAnsi="Arial" w:cs="Arial"/>
        </w:rPr>
      </w:pPr>
    </w:p>
    <w:p w14:paraId="4E315B90" w14:textId="77777777" w:rsidR="0083750D" w:rsidRDefault="0083750D" w:rsidP="00D61F3F">
      <w:pPr>
        <w:spacing w:line="360" w:lineRule="auto"/>
        <w:ind w:firstLine="720"/>
        <w:rPr>
          <w:rFonts w:ascii="Arial" w:hAnsi="Arial" w:cs="Arial"/>
        </w:rPr>
      </w:pPr>
    </w:p>
    <w:p w14:paraId="5C2516A2" w14:textId="77777777" w:rsidR="0083750D" w:rsidRDefault="0083750D" w:rsidP="00D61F3F">
      <w:pPr>
        <w:spacing w:line="360" w:lineRule="auto"/>
        <w:ind w:firstLine="720"/>
        <w:rPr>
          <w:rFonts w:ascii="Arial" w:hAnsi="Arial" w:cs="Arial"/>
        </w:rPr>
      </w:pPr>
    </w:p>
    <w:p w14:paraId="6B3D0914" w14:textId="77777777" w:rsidR="00825BF9" w:rsidRDefault="00825BF9" w:rsidP="0083750D">
      <w:pPr>
        <w:pStyle w:val="NormalWeb"/>
        <w:spacing w:before="0" w:beforeAutospacing="0" w:after="240" w:afterAutospacing="0" w:line="360" w:lineRule="auto"/>
        <w:jc w:val="center"/>
        <w:rPr>
          <w:rFonts w:ascii="Arial" w:hAnsi="Arial" w:cs="Arial"/>
          <w:b/>
          <w:bCs/>
        </w:rPr>
      </w:pPr>
    </w:p>
    <w:p w14:paraId="451DD22C" w14:textId="77777777" w:rsidR="00825BF9" w:rsidRDefault="00825BF9" w:rsidP="0083750D">
      <w:pPr>
        <w:pStyle w:val="NormalWeb"/>
        <w:spacing w:before="0" w:beforeAutospacing="0" w:after="240" w:afterAutospacing="0" w:line="360" w:lineRule="auto"/>
        <w:jc w:val="center"/>
        <w:rPr>
          <w:rFonts w:ascii="Arial" w:hAnsi="Arial" w:cs="Arial"/>
          <w:b/>
          <w:bCs/>
        </w:rPr>
      </w:pPr>
    </w:p>
    <w:p w14:paraId="49990948" w14:textId="77777777" w:rsidR="00825BF9" w:rsidRDefault="00825BF9" w:rsidP="0083750D">
      <w:pPr>
        <w:pStyle w:val="NormalWeb"/>
        <w:spacing w:before="0" w:beforeAutospacing="0" w:after="240" w:afterAutospacing="0" w:line="360" w:lineRule="auto"/>
        <w:jc w:val="center"/>
        <w:rPr>
          <w:rFonts w:ascii="Arial" w:hAnsi="Arial" w:cs="Arial"/>
          <w:b/>
          <w:bCs/>
        </w:rPr>
      </w:pPr>
    </w:p>
    <w:p w14:paraId="08C463A6" w14:textId="2414B60E" w:rsidR="0083750D" w:rsidRPr="0083750D" w:rsidRDefault="0083750D" w:rsidP="0083750D">
      <w:pPr>
        <w:pStyle w:val="NormalWeb"/>
        <w:spacing w:before="0" w:beforeAutospacing="0" w:after="240" w:afterAutospacing="0" w:line="360" w:lineRule="auto"/>
        <w:jc w:val="center"/>
        <w:rPr>
          <w:rFonts w:ascii="Arial" w:hAnsi="Arial" w:cs="Arial"/>
          <w:b/>
          <w:bCs/>
        </w:rPr>
      </w:pPr>
      <w:r w:rsidRPr="0083750D">
        <w:rPr>
          <w:rFonts w:ascii="Arial" w:hAnsi="Arial" w:cs="Arial"/>
          <w:b/>
          <w:bCs/>
        </w:rPr>
        <w:t>Reference list</w:t>
      </w:r>
    </w:p>
    <w:p w14:paraId="712F9472"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Armstrong, M. (2020). </w:t>
      </w:r>
      <w:r w:rsidRPr="0083750D">
        <w:rPr>
          <w:rFonts w:ascii="Arial" w:hAnsi="Arial" w:cs="Arial"/>
          <w:i/>
          <w:iCs/>
        </w:rPr>
        <w:t>Armstrong’s Handbook Of Human Resource Management Practice</w:t>
      </w:r>
      <w:r w:rsidRPr="0083750D">
        <w:rPr>
          <w:rFonts w:ascii="Arial" w:hAnsi="Arial" w:cs="Arial"/>
        </w:rPr>
        <w:t>. 15th ed. S.L.: Kogan Page.</w:t>
      </w:r>
    </w:p>
    <w:p w14:paraId="495EBBA5"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Asnani, D. (2023). </w:t>
      </w:r>
      <w:r w:rsidRPr="0083750D">
        <w:rPr>
          <w:rFonts w:ascii="Arial" w:hAnsi="Arial" w:cs="Arial"/>
          <w:i/>
          <w:iCs/>
        </w:rPr>
        <w:t>Council Post: 5 Ways To Build A Digital Engagement Strategy To Boost Customer Satisfaction</w:t>
      </w:r>
      <w:r w:rsidRPr="0083750D">
        <w:rPr>
          <w:rFonts w:ascii="Arial" w:hAnsi="Arial" w:cs="Arial"/>
        </w:rPr>
        <w:t>. [online] Forbes. Available at: https://www.forbes.com/sites/forbesbusinessdevelopmentcouncil/2023/05/04/5-ways-to-build-a-digital-engagement-strategy-to-boost-customer-satisfaction/ [Accessed 23 Oct. 2023].</w:t>
      </w:r>
    </w:p>
    <w:p w14:paraId="525187E0"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Bencsik, A., Juhász, T. and Horváth-Csikós, G. (2016). Y and Z Generations at Workplaces. </w:t>
      </w:r>
      <w:r w:rsidRPr="0083750D">
        <w:rPr>
          <w:rFonts w:ascii="Arial" w:hAnsi="Arial" w:cs="Arial"/>
          <w:i/>
          <w:iCs/>
        </w:rPr>
        <w:t>Journal of Competitiveness</w:t>
      </w:r>
      <w:r w:rsidRPr="0083750D">
        <w:rPr>
          <w:rFonts w:ascii="Arial" w:hAnsi="Arial" w:cs="Arial"/>
        </w:rPr>
        <w:t xml:space="preserve">, [online] 6(3), pp.90–106. </w:t>
      </w:r>
      <w:proofErr w:type="spellStart"/>
      <w:r w:rsidRPr="0083750D">
        <w:rPr>
          <w:rFonts w:ascii="Arial" w:hAnsi="Arial" w:cs="Arial"/>
        </w:rPr>
        <w:t>doi:https</w:t>
      </w:r>
      <w:proofErr w:type="spellEnd"/>
      <w:r w:rsidRPr="0083750D">
        <w:rPr>
          <w:rFonts w:ascii="Arial" w:hAnsi="Arial" w:cs="Arial"/>
        </w:rPr>
        <w:t>://doi.org/10.7441/joc.2016.03.06.</w:t>
      </w:r>
    </w:p>
    <w:p w14:paraId="1CD67B89"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Freeney, Y. and Tiernan, J. (2006). Employee Engagement: An Overview of the Literature on the Proposed Antithesis to Burnout. </w:t>
      </w:r>
      <w:r w:rsidRPr="0083750D">
        <w:rPr>
          <w:rFonts w:ascii="Arial" w:hAnsi="Arial" w:cs="Arial"/>
          <w:i/>
          <w:iCs/>
        </w:rPr>
        <w:t>The Irish Journal of Psychology</w:t>
      </w:r>
      <w:r w:rsidRPr="0083750D">
        <w:rPr>
          <w:rFonts w:ascii="Arial" w:hAnsi="Arial" w:cs="Arial"/>
        </w:rPr>
        <w:t xml:space="preserve">, 27(3-4), pp.130–141. </w:t>
      </w:r>
      <w:proofErr w:type="spellStart"/>
      <w:r w:rsidRPr="0083750D">
        <w:rPr>
          <w:rFonts w:ascii="Arial" w:hAnsi="Arial" w:cs="Arial"/>
        </w:rPr>
        <w:t>doi:https</w:t>
      </w:r>
      <w:proofErr w:type="spellEnd"/>
      <w:r w:rsidRPr="0083750D">
        <w:rPr>
          <w:rFonts w:ascii="Arial" w:hAnsi="Arial" w:cs="Arial"/>
        </w:rPr>
        <w:t>://doi.org/10.1080/03033910.2006.10446236.</w:t>
      </w:r>
    </w:p>
    <w:p w14:paraId="6B4E0478"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Friedman, A.L. (2013). </w:t>
      </w:r>
      <w:r w:rsidRPr="0083750D">
        <w:rPr>
          <w:rFonts w:ascii="Arial" w:hAnsi="Arial" w:cs="Arial"/>
          <w:i/>
          <w:iCs/>
        </w:rPr>
        <w:t>Continuing Professional Development</w:t>
      </w:r>
      <w:r w:rsidRPr="0083750D">
        <w:rPr>
          <w:rFonts w:ascii="Arial" w:hAnsi="Arial" w:cs="Arial"/>
        </w:rPr>
        <w:t>. Routledge.</w:t>
      </w:r>
    </w:p>
    <w:p w14:paraId="2B0E574C"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Gallagher, K. (2016). </w:t>
      </w:r>
      <w:r w:rsidRPr="0083750D">
        <w:rPr>
          <w:rFonts w:ascii="Arial" w:hAnsi="Arial" w:cs="Arial"/>
          <w:i/>
          <w:iCs/>
        </w:rPr>
        <w:t>Essential Study And Employment Skills For Business And Management Students.</w:t>
      </w:r>
      <w:r w:rsidRPr="0083750D">
        <w:rPr>
          <w:rFonts w:ascii="Arial" w:hAnsi="Arial" w:cs="Arial"/>
        </w:rPr>
        <w:t xml:space="preserve"> S.L.: Oxford Univ Press.</w:t>
      </w:r>
    </w:p>
    <w:p w14:paraId="6037C112"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Gallup (2020). </w:t>
      </w:r>
      <w:r w:rsidRPr="0083750D">
        <w:rPr>
          <w:rFonts w:ascii="Arial" w:hAnsi="Arial" w:cs="Arial"/>
          <w:i/>
          <w:iCs/>
        </w:rPr>
        <w:t>How to Improve Employee Engagement in the Workplace</w:t>
      </w:r>
      <w:r w:rsidRPr="0083750D">
        <w:rPr>
          <w:rFonts w:ascii="Arial" w:hAnsi="Arial" w:cs="Arial"/>
        </w:rPr>
        <w:t>. [online] Gallup.com. Available at: https://www.gallup.com/workplace/285674/improve-employee-engagement-workplace.aspx.</w:t>
      </w:r>
    </w:p>
    <w:p w14:paraId="55F6ADCC"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Garnar, M. and McCaffrey, E. (2013). Generations at work: what we can learn from each other. </w:t>
      </w:r>
      <w:r w:rsidRPr="0083750D">
        <w:rPr>
          <w:rFonts w:ascii="Arial" w:hAnsi="Arial" w:cs="Arial"/>
          <w:i/>
          <w:iCs/>
        </w:rPr>
        <w:t>Workplace Culture in Academic Libraries</w:t>
      </w:r>
      <w:r w:rsidRPr="0083750D">
        <w:rPr>
          <w:rFonts w:ascii="Arial" w:hAnsi="Arial" w:cs="Arial"/>
        </w:rPr>
        <w:t xml:space="preserve">, 1, pp.277–290. </w:t>
      </w:r>
      <w:proofErr w:type="spellStart"/>
      <w:r w:rsidRPr="0083750D">
        <w:rPr>
          <w:rFonts w:ascii="Arial" w:hAnsi="Arial" w:cs="Arial"/>
        </w:rPr>
        <w:t>doi:https</w:t>
      </w:r>
      <w:proofErr w:type="spellEnd"/>
      <w:r w:rsidRPr="0083750D">
        <w:rPr>
          <w:rFonts w:ascii="Arial" w:hAnsi="Arial" w:cs="Arial"/>
        </w:rPr>
        <w:t>://doi.org/10.1016/b978-1-84334-702-6.50018-6.</w:t>
      </w:r>
    </w:p>
    <w:p w14:paraId="73765847"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Hilton (2022). </w:t>
      </w:r>
      <w:r w:rsidRPr="0083750D">
        <w:rPr>
          <w:rFonts w:ascii="Arial" w:hAnsi="Arial" w:cs="Arial"/>
          <w:i/>
          <w:iCs/>
        </w:rPr>
        <w:t>What is Thrive at Hilton? Q&amp;A with Hilton Benefits Leader</w:t>
      </w:r>
      <w:r w:rsidRPr="0083750D">
        <w:rPr>
          <w:rFonts w:ascii="Arial" w:hAnsi="Arial" w:cs="Arial"/>
        </w:rPr>
        <w:t>. [online] Hilton. Available at: https://jobs.hilton.com/us/en/blogarticle/what-is-thrive-at-hilton-qa-with-benefits-leader.</w:t>
      </w:r>
    </w:p>
    <w:p w14:paraId="1E258E96"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Horn, R. (2009). </w:t>
      </w:r>
      <w:r w:rsidRPr="0083750D">
        <w:rPr>
          <w:rFonts w:ascii="Arial" w:hAnsi="Arial" w:cs="Arial"/>
          <w:i/>
          <w:iCs/>
        </w:rPr>
        <w:t>The business skills handbook</w:t>
      </w:r>
      <w:r w:rsidRPr="0083750D">
        <w:rPr>
          <w:rFonts w:ascii="Arial" w:hAnsi="Arial" w:cs="Arial"/>
        </w:rPr>
        <w:t>. London: Chartered Institute Of Personnel And Development.</w:t>
      </w:r>
    </w:p>
    <w:p w14:paraId="21DBCE76"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Horner, S. (2017). </w:t>
      </w:r>
      <w:r w:rsidRPr="0083750D">
        <w:rPr>
          <w:rFonts w:ascii="Arial" w:hAnsi="Arial" w:cs="Arial"/>
          <w:i/>
          <w:iCs/>
        </w:rPr>
        <w:t>Talent Management in Hospitality and Tourism</w:t>
      </w:r>
      <w:r w:rsidRPr="0083750D">
        <w:rPr>
          <w:rFonts w:ascii="Arial" w:hAnsi="Arial" w:cs="Arial"/>
        </w:rPr>
        <w:t>. Goodfellow Publishers Ltd.</w:t>
      </w:r>
    </w:p>
    <w:p w14:paraId="088C40AA"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Hur, W.-M., Moon, T.-W. and Lee, H.-G. (2018). Employee engagement in CSR initiatives and customer-directed counterproductive work behavior (CWB): The mediating roles of organizational civility norms and job calling. </w:t>
      </w:r>
      <w:r w:rsidRPr="0083750D">
        <w:rPr>
          <w:rFonts w:ascii="Arial" w:hAnsi="Arial" w:cs="Arial"/>
          <w:i/>
          <w:iCs/>
        </w:rPr>
        <w:t>Corporate Social Responsibility and Environmental Management</w:t>
      </w:r>
      <w:r w:rsidRPr="0083750D">
        <w:rPr>
          <w:rFonts w:ascii="Arial" w:hAnsi="Arial" w:cs="Arial"/>
        </w:rPr>
        <w:t xml:space="preserve">, 25(6), pp.1087–1098. </w:t>
      </w:r>
      <w:proofErr w:type="spellStart"/>
      <w:r w:rsidRPr="0083750D">
        <w:rPr>
          <w:rFonts w:ascii="Arial" w:hAnsi="Arial" w:cs="Arial"/>
        </w:rPr>
        <w:t>doi:https</w:t>
      </w:r>
      <w:proofErr w:type="spellEnd"/>
      <w:r w:rsidRPr="0083750D">
        <w:rPr>
          <w:rFonts w:ascii="Arial" w:hAnsi="Arial" w:cs="Arial"/>
        </w:rPr>
        <w:t>://doi.org/10.1002/csr.1522.</w:t>
      </w:r>
    </w:p>
    <w:p w14:paraId="07996B4A"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Hyatt (2019). </w:t>
      </w:r>
      <w:r w:rsidRPr="0083750D">
        <w:rPr>
          <w:rFonts w:ascii="Arial" w:hAnsi="Arial" w:cs="Arial"/>
          <w:i/>
          <w:iCs/>
        </w:rPr>
        <w:t>ENVIRONMENTAL SUSTAINABILITY</w:t>
      </w:r>
      <w:r w:rsidRPr="0083750D">
        <w:rPr>
          <w:rFonts w:ascii="Arial" w:hAnsi="Arial" w:cs="Arial"/>
        </w:rPr>
        <w:t>. [online] Available at: https://about.hyatt.com/content/dam/HyattStories/thrive/HyattEnvironmentalSustainabilityHighlights20192020.pdf.</w:t>
      </w:r>
    </w:p>
    <w:p w14:paraId="23B5ABD5"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Jeung, C.-W. (2011). The concept of employee engagement: a comprehensive review from a positive organizational behavior perspective. </w:t>
      </w:r>
      <w:r w:rsidRPr="0083750D">
        <w:rPr>
          <w:rFonts w:ascii="Arial" w:hAnsi="Arial" w:cs="Arial"/>
          <w:i/>
          <w:iCs/>
        </w:rPr>
        <w:t>Performance Improvement Quarterly</w:t>
      </w:r>
      <w:r w:rsidRPr="0083750D">
        <w:rPr>
          <w:rFonts w:ascii="Arial" w:hAnsi="Arial" w:cs="Arial"/>
        </w:rPr>
        <w:t xml:space="preserve">, 24(2), pp.49–69. </w:t>
      </w:r>
      <w:proofErr w:type="spellStart"/>
      <w:r w:rsidRPr="0083750D">
        <w:rPr>
          <w:rFonts w:ascii="Arial" w:hAnsi="Arial" w:cs="Arial"/>
        </w:rPr>
        <w:t>doi:https</w:t>
      </w:r>
      <w:proofErr w:type="spellEnd"/>
      <w:r w:rsidRPr="0083750D">
        <w:rPr>
          <w:rFonts w:ascii="Arial" w:hAnsi="Arial" w:cs="Arial"/>
        </w:rPr>
        <w:t>://doi.org/10.1002/piq.20110.</w:t>
      </w:r>
    </w:p>
    <w:p w14:paraId="0B8DDBD4"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Marriott International (2019). </w:t>
      </w:r>
      <w:r w:rsidRPr="0083750D">
        <w:rPr>
          <w:rFonts w:ascii="Arial" w:hAnsi="Arial" w:cs="Arial"/>
          <w:i/>
          <w:iCs/>
        </w:rPr>
        <w:t>Marriott International Announces Expanded Wellbeing Certification Program</w:t>
      </w:r>
      <w:r w:rsidRPr="0083750D">
        <w:rPr>
          <w:rFonts w:ascii="Arial" w:hAnsi="Arial" w:cs="Arial"/>
        </w:rPr>
        <w:t xml:space="preserve">. [online] Marriott International </w:t>
      </w:r>
      <w:proofErr w:type="spellStart"/>
      <w:r w:rsidRPr="0083750D">
        <w:rPr>
          <w:rFonts w:ascii="Arial" w:hAnsi="Arial" w:cs="Arial"/>
        </w:rPr>
        <w:t>Newscenter</w:t>
      </w:r>
      <w:proofErr w:type="spellEnd"/>
      <w:r w:rsidRPr="0083750D">
        <w:rPr>
          <w:rFonts w:ascii="Arial" w:hAnsi="Arial" w:cs="Arial"/>
        </w:rPr>
        <w:t xml:space="preserve"> (US). Available at: https://news.marriott.com/news/2019/09/18/marriott-international-announces-expanded-wellbeing-certification-program.</w:t>
      </w:r>
    </w:p>
    <w:p w14:paraId="5C371880"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Mick Marchington (2020). </w:t>
      </w:r>
      <w:r w:rsidRPr="0083750D">
        <w:rPr>
          <w:rFonts w:ascii="Arial" w:hAnsi="Arial" w:cs="Arial"/>
          <w:i/>
          <w:iCs/>
        </w:rPr>
        <w:t>Human resource management at work : the definitive guide</w:t>
      </w:r>
      <w:r w:rsidRPr="0083750D">
        <w:rPr>
          <w:rFonts w:ascii="Arial" w:hAnsi="Arial" w:cs="Arial"/>
        </w:rPr>
        <w:t>. London, United Kingdom ; New York, Ny: Kogan Page.</w:t>
      </w:r>
    </w:p>
    <w:p w14:paraId="48B3C117"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Nagendra, A. (2014). Paradigm Shift in HR Practices on Employee Life Cycle Due to Influence of Social Media. </w:t>
      </w:r>
      <w:r w:rsidRPr="0083750D">
        <w:rPr>
          <w:rFonts w:ascii="Arial" w:hAnsi="Arial" w:cs="Arial"/>
          <w:i/>
          <w:iCs/>
        </w:rPr>
        <w:t>Procedia Economics and Finance</w:t>
      </w:r>
      <w:r w:rsidRPr="0083750D">
        <w:rPr>
          <w:rFonts w:ascii="Arial" w:hAnsi="Arial" w:cs="Arial"/>
        </w:rPr>
        <w:t xml:space="preserve">, 11(1), pp.197–207. </w:t>
      </w:r>
      <w:proofErr w:type="spellStart"/>
      <w:r w:rsidRPr="0083750D">
        <w:rPr>
          <w:rFonts w:ascii="Arial" w:hAnsi="Arial" w:cs="Arial"/>
        </w:rPr>
        <w:t>doi:https</w:t>
      </w:r>
      <w:proofErr w:type="spellEnd"/>
      <w:r w:rsidRPr="0083750D">
        <w:rPr>
          <w:rFonts w:ascii="Arial" w:hAnsi="Arial" w:cs="Arial"/>
        </w:rPr>
        <w:t>://doi.org/10.1016/s2212-5671(14)00188-9.</w:t>
      </w:r>
    </w:p>
    <w:p w14:paraId="16E08602" w14:textId="77777777" w:rsid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Stephens, D.O. (2021). Strategies to Engage Millennial Employees (A Multiple Case Study). </w:t>
      </w:r>
      <w:r w:rsidRPr="0083750D">
        <w:rPr>
          <w:rFonts w:ascii="Arial" w:hAnsi="Arial" w:cs="Arial"/>
          <w:i/>
          <w:iCs/>
        </w:rPr>
        <w:t>Open Journal of Business and Management</w:t>
      </w:r>
      <w:r w:rsidRPr="0083750D">
        <w:rPr>
          <w:rFonts w:ascii="Arial" w:hAnsi="Arial" w:cs="Arial"/>
        </w:rPr>
        <w:t xml:space="preserve">, [online] 9(2), pp.618–658. </w:t>
      </w:r>
      <w:proofErr w:type="spellStart"/>
      <w:r w:rsidRPr="0083750D">
        <w:rPr>
          <w:rFonts w:ascii="Arial" w:hAnsi="Arial" w:cs="Arial"/>
        </w:rPr>
        <w:t>doi:https</w:t>
      </w:r>
      <w:proofErr w:type="spellEnd"/>
      <w:r w:rsidRPr="0083750D">
        <w:rPr>
          <w:rFonts w:ascii="Arial" w:hAnsi="Arial" w:cs="Arial"/>
        </w:rPr>
        <w:t>://doi.org/10.4236/ojbm.2021.92033.</w:t>
      </w:r>
    </w:p>
    <w:p w14:paraId="229FEF17" w14:textId="456D8DAA"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 xml:space="preserve">Torrington, D., Hall, L., Taylor, S. and Atkinson, C. (2020). </w:t>
      </w:r>
      <w:r w:rsidRPr="0083750D">
        <w:rPr>
          <w:rFonts w:ascii="Arial" w:hAnsi="Arial" w:cs="Arial"/>
          <w:i/>
          <w:iCs/>
        </w:rPr>
        <w:t>Human resource management</w:t>
      </w:r>
      <w:r w:rsidRPr="0083750D">
        <w:rPr>
          <w:rFonts w:ascii="Arial" w:hAnsi="Arial" w:cs="Arial"/>
        </w:rPr>
        <w:t>. 11th ed. Harlow, England ; New York: Pearson.</w:t>
      </w:r>
    </w:p>
    <w:p w14:paraId="6CA41753" w14:textId="77777777" w:rsidR="0083750D" w:rsidRPr="0083750D" w:rsidRDefault="0083750D" w:rsidP="0083750D">
      <w:pPr>
        <w:pStyle w:val="NormalWeb"/>
        <w:spacing w:before="0" w:beforeAutospacing="0" w:after="240" w:afterAutospacing="0" w:line="360" w:lineRule="auto"/>
        <w:rPr>
          <w:rFonts w:ascii="Arial" w:hAnsi="Arial" w:cs="Arial"/>
        </w:rPr>
      </w:pPr>
      <w:r w:rsidRPr="0083750D">
        <w:rPr>
          <w:rFonts w:ascii="Arial" w:hAnsi="Arial" w:cs="Arial"/>
        </w:rPr>
        <w:t>Wang, Y., Xu, S. and Wang, Y. (2020). The consequences of employees’ perceived corporate social responsibility: A meta</w:t>
      </w:r>
      <w:r w:rsidRPr="0083750D">
        <w:rPr>
          <w:rFonts w:ascii="Cambria Math" w:hAnsi="Cambria Math" w:cs="Cambria Math"/>
        </w:rPr>
        <w:t>‐</w:t>
      </w:r>
      <w:r w:rsidRPr="0083750D">
        <w:rPr>
          <w:rFonts w:ascii="Arial" w:hAnsi="Arial" w:cs="Arial"/>
        </w:rPr>
        <w:t xml:space="preserve">analysis. </w:t>
      </w:r>
      <w:r w:rsidRPr="0083750D">
        <w:rPr>
          <w:rFonts w:ascii="Arial" w:hAnsi="Arial" w:cs="Arial"/>
          <w:i/>
          <w:iCs/>
        </w:rPr>
        <w:t>Business Ethics: A European Review</w:t>
      </w:r>
      <w:r w:rsidRPr="0083750D">
        <w:rPr>
          <w:rFonts w:ascii="Arial" w:hAnsi="Arial" w:cs="Arial"/>
        </w:rPr>
        <w:t xml:space="preserve">, 29(3), pp.471–496. </w:t>
      </w:r>
      <w:proofErr w:type="spellStart"/>
      <w:r w:rsidRPr="0083750D">
        <w:rPr>
          <w:rFonts w:ascii="Arial" w:hAnsi="Arial" w:cs="Arial"/>
        </w:rPr>
        <w:t>doi:https</w:t>
      </w:r>
      <w:proofErr w:type="spellEnd"/>
      <w:r w:rsidRPr="0083750D">
        <w:rPr>
          <w:rFonts w:ascii="Arial" w:hAnsi="Arial" w:cs="Arial"/>
        </w:rPr>
        <w:t>://doi.org/10.1111/beer.12273.</w:t>
      </w:r>
    </w:p>
    <w:p w14:paraId="1E86C090" w14:textId="77777777" w:rsidR="0083750D" w:rsidRPr="0083750D" w:rsidRDefault="0083750D" w:rsidP="00D61F3F">
      <w:pPr>
        <w:spacing w:line="360" w:lineRule="auto"/>
        <w:ind w:firstLine="720"/>
        <w:rPr>
          <w:rFonts w:ascii="Arial" w:hAnsi="Arial" w:cs="Arial"/>
          <w:sz w:val="24"/>
          <w:szCs w:val="24"/>
        </w:rPr>
      </w:pPr>
    </w:p>
    <w:p w14:paraId="7996C5E4" w14:textId="77777777" w:rsidR="00D61F3F" w:rsidRPr="0083750D" w:rsidRDefault="00D61F3F" w:rsidP="00D61F3F">
      <w:pPr>
        <w:spacing w:line="360" w:lineRule="auto"/>
        <w:ind w:firstLine="720"/>
        <w:rPr>
          <w:rFonts w:ascii="Arial" w:hAnsi="Arial" w:cs="Arial"/>
          <w:sz w:val="24"/>
          <w:szCs w:val="24"/>
        </w:rPr>
      </w:pPr>
    </w:p>
    <w:p w14:paraId="2832B6F0" w14:textId="77777777" w:rsidR="00D61F3F" w:rsidRPr="0083750D" w:rsidRDefault="00D61F3F" w:rsidP="00D61F3F">
      <w:pPr>
        <w:spacing w:line="360" w:lineRule="auto"/>
        <w:ind w:firstLine="720"/>
        <w:rPr>
          <w:rFonts w:ascii="Arial" w:hAnsi="Arial" w:cs="Arial"/>
          <w:sz w:val="24"/>
          <w:szCs w:val="24"/>
        </w:rPr>
      </w:pPr>
    </w:p>
    <w:p w14:paraId="3CA0D973" w14:textId="77777777" w:rsidR="00D61F3F" w:rsidRPr="0083750D" w:rsidRDefault="00D61F3F" w:rsidP="00D61F3F">
      <w:pPr>
        <w:spacing w:line="360" w:lineRule="auto"/>
        <w:ind w:firstLine="720"/>
        <w:rPr>
          <w:rFonts w:ascii="Arial" w:hAnsi="Arial" w:cs="Arial"/>
          <w:sz w:val="24"/>
          <w:szCs w:val="24"/>
        </w:rPr>
      </w:pPr>
    </w:p>
    <w:p w14:paraId="58B62C51" w14:textId="77777777" w:rsidR="00B93703" w:rsidRPr="0083750D" w:rsidRDefault="00B93703" w:rsidP="00B93703">
      <w:pPr>
        <w:spacing w:line="360" w:lineRule="auto"/>
        <w:ind w:firstLine="720"/>
        <w:rPr>
          <w:rFonts w:ascii="Arial" w:hAnsi="Arial" w:cs="Arial"/>
          <w:sz w:val="24"/>
          <w:szCs w:val="24"/>
        </w:rPr>
      </w:pPr>
    </w:p>
    <w:p w14:paraId="62E190E2" w14:textId="77777777" w:rsidR="00B93703" w:rsidRPr="0083750D" w:rsidRDefault="00B93703" w:rsidP="00B93703">
      <w:pPr>
        <w:spacing w:line="360" w:lineRule="auto"/>
        <w:ind w:firstLine="720"/>
        <w:rPr>
          <w:rFonts w:ascii="Arial" w:hAnsi="Arial" w:cs="Arial"/>
          <w:sz w:val="24"/>
          <w:szCs w:val="24"/>
        </w:rPr>
      </w:pPr>
    </w:p>
    <w:p w14:paraId="66A6797A" w14:textId="77777777" w:rsidR="00B93703" w:rsidRPr="0083750D" w:rsidRDefault="00B93703" w:rsidP="00B93703">
      <w:pPr>
        <w:spacing w:line="360" w:lineRule="auto"/>
        <w:ind w:firstLine="720"/>
        <w:rPr>
          <w:rFonts w:ascii="Arial" w:hAnsi="Arial" w:cs="Arial"/>
          <w:sz w:val="24"/>
          <w:szCs w:val="24"/>
        </w:rPr>
      </w:pPr>
    </w:p>
    <w:p w14:paraId="3B7902C8" w14:textId="79CC2337" w:rsidR="00B93703" w:rsidRPr="0083750D" w:rsidRDefault="00B93703" w:rsidP="00B93703">
      <w:pPr>
        <w:spacing w:line="360" w:lineRule="auto"/>
        <w:ind w:firstLine="720"/>
        <w:rPr>
          <w:rFonts w:ascii="Arial" w:hAnsi="Arial" w:cs="Arial"/>
          <w:sz w:val="24"/>
          <w:szCs w:val="24"/>
        </w:rPr>
      </w:pPr>
      <w:r w:rsidRPr="0083750D">
        <w:rPr>
          <w:rFonts w:ascii="Arial" w:hAnsi="Arial" w:cs="Arial"/>
          <w:sz w:val="24"/>
          <w:szCs w:val="24"/>
        </w:rPr>
        <w:t> </w:t>
      </w:r>
    </w:p>
    <w:p w14:paraId="2C6C817B" w14:textId="77777777" w:rsidR="00B93703" w:rsidRPr="0083750D" w:rsidRDefault="00B93703" w:rsidP="00B93703">
      <w:pPr>
        <w:spacing w:line="360" w:lineRule="auto"/>
        <w:ind w:firstLine="720"/>
        <w:rPr>
          <w:rFonts w:ascii="Arial" w:hAnsi="Arial" w:cs="Arial"/>
          <w:sz w:val="24"/>
          <w:szCs w:val="24"/>
        </w:rPr>
      </w:pPr>
    </w:p>
    <w:p w14:paraId="59B028D1" w14:textId="77777777" w:rsidR="00B93703" w:rsidRPr="0083750D" w:rsidRDefault="00B93703" w:rsidP="00B93703">
      <w:pPr>
        <w:spacing w:line="360" w:lineRule="auto"/>
        <w:ind w:firstLine="720"/>
        <w:rPr>
          <w:rFonts w:ascii="Arial" w:hAnsi="Arial" w:cs="Arial"/>
          <w:sz w:val="24"/>
          <w:szCs w:val="24"/>
        </w:rPr>
      </w:pPr>
    </w:p>
    <w:p w14:paraId="67296794" w14:textId="77777777" w:rsidR="00E978FB" w:rsidRPr="0083750D" w:rsidRDefault="00E978FB" w:rsidP="0094427B">
      <w:pPr>
        <w:spacing w:line="360" w:lineRule="auto"/>
        <w:ind w:firstLine="720"/>
        <w:rPr>
          <w:rFonts w:ascii="Arial" w:hAnsi="Arial" w:cs="Arial"/>
          <w:sz w:val="24"/>
          <w:szCs w:val="24"/>
        </w:rPr>
      </w:pPr>
    </w:p>
    <w:p w14:paraId="1E16D829" w14:textId="77777777" w:rsidR="00E978FB" w:rsidRPr="0083750D" w:rsidRDefault="00E978FB" w:rsidP="0094427B">
      <w:pPr>
        <w:spacing w:line="360" w:lineRule="auto"/>
        <w:ind w:firstLine="720"/>
        <w:rPr>
          <w:rFonts w:ascii="Arial" w:hAnsi="Arial" w:cs="Arial"/>
          <w:sz w:val="24"/>
          <w:szCs w:val="24"/>
        </w:rPr>
      </w:pPr>
    </w:p>
    <w:p w14:paraId="0D121D4D" w14:textId="77777777" w:rsidR="0094427B" w:rsidRPr="0083750D" w:rsidRDefault="0094427B" w:rsidP="0094427B">
      <w:pPr>
        <w:spacing w:line="360" w:lineRule="auto"/>
        <w:rPr>
          <w:rFonts w:ascii="Arial" w:hAnsi="Arial" w:cs="Arial"/>
          <w:b/>
          <w:bCs/>
          <w:sz w:val="24"/>
          <w:szCs w:val="24"/>
        </w:rPr>
      </w:pPr>
    </w:p>
    <w:p w14:paraId="0AFAD7C3" w14:textId="77777777" w:rsidR="0094427B" w:rsidRPr="0083750D" w:rsidRDefault="0094427B" w:rsidP="0094427B">
      <w:pPr>
        <w:spacing w:line="360" w:lineRule="auto"/>
        <w:rPr>
          <w:rFonts w:ascii="Arial" w:hAnsi="Arial" w:cs="Arial"/>
          <w:b/>
          <w:bCs/>
          <w:sz w:val="24"/>
          <w:szCs w:val="24"/>
        </w:rPr>
      </w:pPr>
    </w:p>
    <w:p w14:paraId="5433FD93" w14:textId="77777777" w:rsidR="0094427B" w:rsidRPr="0083750D" w:rsidRDefault="0094427B" w:rsidP="0094427B">
      <w:pPr>
        <w:spacing w:line="360" w:lineRule="auto"/>
        <w:rPr>
          <w:rFonts w:ascii="Arial" w:hAnsi="Arial" w:cs="Arial"/>
          <w:b/>
          <w:bCs/>
          <w:sz w:val="24"/>
          <w:szCs w:val="24"/>
        </w:rPr>
      </w:pPr>
    </w:p>
    <w:p w14:paraId="28BE6932" w14:textId="77777777" w:rsidR="0094427B" w:rsidRPr="0083750D" w:rsidRDefault="0094427B" w:rsidP="0094427B">
      <w:pPr>
        <w:rPr>
          <w:rFonts w:ascii="Arial" w:hAnsi="Arial" w:cs="Arial"/>
          <w:b/>
          <w:bCs/>
          <w:sz w:val="24"/>
          <w:szCs w:val="24"/>
        </w:rPr>
      </w:pPr>
    </w:p>
    <w:sectPr w:rsidR="0094427B" w:rsidRPr="008375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1NTeyMAMSJhYG5ko6SsGpxcWZ+XkgBYa1AP/ZiWwsAAAA"/>
  </w:docVars>
  <w:rsids>
    <w:rsidRoot w:val="0094427B"/>
    <w:rsid w:val="000D2821"/>
    <w:rsid w:val="00361C58"/>
    <w:rsid w:val="00540258"/>
    <w:rsid w:val="0054066E"/>
    <w:rsid w:val="005E15F8"/>
    <w:rsid w:val="0081215F"/>
    <w:rsid w:val="00825BF9"/>
    <w:rsid w:val="0083750D"/>
    <w:rsid w:val="0094427B"/>
    <w:rsid w:val="00A041C6"/>
    <w:rsid w:val="00B003C9"/>
    <w:rsid w:val="00B93703"/>
    <w:rsid w:val="00CE7551"/>
    <w:rsid w:val="00D61F3F"/>
    <w:rsid w:val="00E40848"/>
    <w:rsid w:val="00E903E3"/>
    <w:rsid w:val="00E978FB"/>
    <w:rsid w:val="00EA17DB"/>
    <w:rsid w:val="00EE2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BA20"/>
  <w15:chartTrackingRefBased/>
  <w15:docId w15:val="{F1AD57D8-6D14-4F55-A6B2-FEDC6CDE4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750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772643">
      <w:bodyDiv w:val="1"/>
      <w:marLeft w:val="0"/>
      <w:marRight w:val="0"/>
      <w:marTop w:val="0"/>
      <w:marBottom w:val="0"/>
      <w:divBdr>
        <w:top w:val="none" w:sz="0" w:space="0" w:color="auto"/>
        <w:left w:val="none" w:sz="0" w:space="0" w:color="auto"/>
        <w:bottom w:val="none" w:sz="0" w:space="0" w:color="auto"/>
        <w:right w:val="none" w:sz="0" w:space="0" w:color="auto"/>
      </w:divBdr>
      <w:divsChild>
        <w:div w:id="676537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2889</Words>
  <Characters>16470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Murkomen</dc:creator>
  <cp:keywords/>
  <dc:description/>
  <cp:lastModifiedBy>Roxana Maria Burlacu (2014302)</cp:lastModifiedBy>
  <cp:revision>8</cp:revision>
  <dcterms:created xsi:type="dcterms:W3CDTF">2023-10-23T17:54:00Z</dcterms:created>
  <dcterms:modified xsi:type="dcterms:W3CDTF">2023-10-23T20:14:00Z</dcterms:modified>
</cp:coreProperties>
</file>