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6CE6D" w14:textId="6E00224A" w:rsidR="00773C24" w:rsidRDefault="00525D19" w:rsidP="00525D19">
      <w:pPr>
        <w:spacing w:line="360" w:lineRule="auto"/>
        <w:jc w:val="center"/>
        <w:rPr>
          <w:b/>
          <w:bCs/>
          <w:sz w:val="56"/>
          <w:szCs w:val="56"/>
        </w:rPr>
      </w:pPr>
      <w:r>
        <w:rPr>
          <w:noProof/>
        </w:rPr>
        <w:drawing>
          <wp:inline distT="0" distB="0" distL="0" distR="0" wp14:anchorId="163068D9" wp14:editId="7709E731">
            <wp:extent cx="2835349" cy="1551940"/>
            <wp:effectExtent l="0" t="0" r="3175"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952068" cy="1615827"/>
                    </a:xfrm>
                    <a:prstGeom prst="rect">
                      <a:avLst/>
                    </a:prstGeom>
                  </pic:spPr>
                </pic:pic>
              </a:graphicData>
            </a:graphic>
          </wp:inline>
        </w:drawing>
      </w:r>
    </w:p>
    <w:p w14:paraId="34EE9C52" w14:textId="2463EDB9" w:rsidR="00EE64AB" w:rsidRPr="00EE64AB" w:rsidRDefault="00773C24" w:rsidP="000D1F2E">
      <w:pPr>
        <w:spacing w:line="360" w:lineRule="auto"/>
        <w:rPr>
          <w:b/>
          <w:bCs/>
          <w:sz w:val="56"/>
          <w:szCs w:val="56"/>
        </w:rPr>
      </w:pPr>
      <w:r>
        <w:rPr>
          <w:b/>
          <w:bCs/>
          <w:sz w:val="56"/>
          <w:szCs w:val="56"/>
        </w:rPr>
        <w:t xml:space="preserve">                          </w:t>
      </w:r>
    </w:p>
    <w:p w14:paraId="63BEBD51" w14:textId="77777777" w:rsidR="00773C24" w:rsidRDefault="00773C24" w:rsidP="00112A4F">
      <w:pPr>
        <w:spacing w:line="360" w:lineRule="auto"/>
        <w:jc w:val="both"/>
        <w:rPr>
          <w:rFonts w:ascii="Arial" w:hAnsi="Arial" w:cs="Arial"/>
          <w:b/>
          <w:bCs/>
        </w:rPr>
      </w:pPr>
    </w:p>
    <w:p w14:paraId="01B123BB" w14:textId="114A201D" w:rsidR="00EE64AB" w:rsidRPr="00525D19" w:rsidRDefault="00EE64AB" w:rsidP="00F22564">
      <w:pPr>
        <w:spacing w:line="360" w:lineRule="auto"/>
        <w:jc w:val="center"/>
        <w:rPr>
          <w:rFonts w:ascii="Arial" w:hAnsi="Arial" w:cs="Arial"/>
          <w:b/>
          <w:bCs/>
          <w:sz w:val="32"/>
          <w:szCs w:val="32"/>
        </w:rPr>
      </w:pPr>
      <w:r w:rsidRPr="00525D19">
        <w:rPr>
          <w:rFonts w:ascii="Arial" w:hAnsi="Arial" w:cs="Arial"/>
          <w:b/>
          <w:bCs/>
          <w:sz w:val="32"/>
          <w:szCs w:val="32"/>
        </w:rPr>
        <w:t>Introduction to Independent</w:t>
      </w:r>
    </w:p>
    <w:p w14:paraId="45301FBD" w14:textId="3E37E74C" w:rsidR="00EE64AB" w:rsidRPr="00525D19" w:rsidRDefault="00EE64AB" w:rsidP="00F22564">
      <w:pPr>
        <w:spacing w:line="360" w:lineRule="auto"/>
        <w:jc w:val="center"/>
        <w:rPr>
          <w:rFonts w:ascii="Arial" w:hAnsi="Arial" w:cs="Arial"/>
          <w:b/>
          <w:bCs/>
          <w:sz w:val="32"/>
          <w:szCs w:val="32"/>
        </w:rPr>
      </w:pPr>
      <w:r w:rsidRPr="00525D19">
        <w:rPr>
          <w:rFonts w:ascii="Arial" w:hAnsi="Arial" w:cs="Arial"/>
          <w:b/>
          <w:bCs/>
          <w:sz w:val="32"/>
          <w:szCs w:val="32"/>
        </w:rPr>
        <w:t>Research Skills</w:t>
      </w:r>
    </w:p>
    <w:p w14:paraId="1F615E43" w14:textId="154D3B5E" w:rsidR="00EE64AB" w:rsidRPr="00525D19" w:rsidRDefault="00EE64AB" w:rsidP="00F22564">
      <w:pPr>
        <w:spacing w:line="360" w:lineRule="auto"/>
        <w:jc w:val="center"/>
        <w:rPr>
          <w:rFonts w:ascii="Arial" w:hAnsi="Arial" w:cs="Arial"/>
          <w:b/>
          <w:bCs/>
          <w:sz w:val="32"/>
          <w:szCs w:val="32"/>
        </w:rPr>
      </w:pPr>
      <w:r w:rsidRPr="00525D19">
        <w:rPr>
          <w:rFonts w:ascii="Arial" w:hAnsi="Arial" w:cs="Arial"/>
          <w:b/>
          <w:bCs/>
          <w:sz w:val="32"/>
          <w:szCs w:val="32"/>
        </w:rPr>
        <w:t>BMHP5019</w:t>
      </w:r>
    </w:p>
    <w:p w14:paraId="1CA249BB" w14:textId="34C51399" w:rsidR="00EE64AB" w:rsidRPr="00525D19" w:rsidRDefault="00EE64AB" w:rsidP="00F22564">
      <w:pPr>
        <w:spacing w:line="360" w:lineRule="auto"/>
        <w:jc w:val="center"/>
        <w:rPr>
          <w:rFonts w:ascii="Arial" w:hAnsi="Arial" w:cs="Arial"/>
          <w:b/>
          <w:bCs/>
          <w:sz w:val="32"/>
          <w:szCs w:val="32"/>
        </w:rPr>
      </w:pPr>
      <w:r w:rsidRPr="00525D19">
        <w:rPr>
          <w:rFonts w:ascii="Arial" w:hAnsi="Arial" w:cs="Arial"/>
          <w:b/>
          <w:bCs/>
          <w:sz w:val="32"/>
          <w:szCs w:val="32"/>
        </w:rPr>
        <w:t>BAIDAR BEGUM</w:t>
      </w:r>
    </w:p>
    <w:p w14:paraId="5E72590C" w14:textId="3FC6F6C7" w:rsidR="00EE64AB" w:rsidRPr="00525D19" w:rsidRDefault="00EE64AB" w:rsidP="00F22564">
      <w:pPr>
        <w:spacing w:line="360" w:lineRule="auto"/>
        <w:jc w:val="center"/>
        <w:rPr>
          <w:rFonts w:ascii="Arial" w:hAnsi="Arial" w:cs="Arial"/>
          <w:b/>
          <w:bCs/>
          <w:sz w:val="32"/>
          <w:szCs w:val="32"/>
        </w:rPr>
      </w:pPr>
      <w:r w:rsidRPr="00525D19">
        <w:rPr>
          <w:rFonts w:ascii="Arial" w:hAnsi="Arial" w:cs="Arial"/>
          <w:b/>
          <w:bCs/>
          <w:sz w:val="32"/>
          <w:szCs w:val="32"/>
        </w:rPr>
        <w:t>Student number</w:t>
      </w:r>
    </w:p>
    <w:p w14:paraId="5048A803" w14:textId="5BC6EF6A" w:rsidR="00EE64AB" w:rsidRPr="00525D19" w:rsidRDefault="00EE64AB" w:rsidP="00F22564">
      <w:pPr>
        <w:spacing w:line="360" w:lineRule="auto"/>
        <w:jc w:val="center"/>
        <w:rPr>
          <w:rFonts w:ascii="Arial" w:hAnsi="Arial" w:cs="Arial"/>
          <w:b/>
          <w:bCs/>
          <w:sz w:val="32"/>
          <w:szCs w:val="32"/>
        </w:rPr>
      </w:pPr>
      <w:r w:rsidRPr="00525D19">
        <w:rPr>
          <w:rFonts w:ascii="Arial" w:hAnsi="Arial" w:cs="Arial"/>
          <w:b/>
          <w:bCs/>
          <w:sz w:val="32"/>
          <w:szCs w:val="32"/>
        </w:rPr>
        <w:t>2318995</w:t>
      </w:r>
    </w:p>
    <w:p w14:paraId="43A4E4C4" w14:textId="63F53AA5" w:rsidR="00EE64AB" w:rsidRPr="00525D19" w:rsidRDefault="00EE64AB" w:rsidP="00F22564">
      <w:pPr>
        <w:spacing w:line="360" w:lineRule="auto"/>
        <w:jc w:val="center"/>
        <w:rPr>
          <w:rFonts w:ascii="Arial" w:hAnsi="Arial" w:cs="Arial"/>
          <w:b/>
          <w:bCs/>
          <w:sz w:val="32"/>
          <w:szCs w:val="32"/>
        </w:rPr>
      </w:pPr>
      <w:r w:rsidRPr="00525D19">
        <w:rPr>
          <w:rFonts w:ascii="Arial" w:hAnsi="Arial" w:cs="Arial"/>
          <w:b/>
          <w:bCs/>
          <w:sz w:val="32"/>
          <w:szCs w:val="32"/>
        </w:rPr>
        <w:t>Lecturer</w:t>
      </w:r>
    </w:p>
    <w:p w14:paraId="1F9B1FED" w14:textId="3B5048E6" w:rsidR="00EE64AB" w:rsidRPr="00525D19" w:rsidRDefault="00EE64AB" w:rsidP="00F22564">
      <w:pPr>
        <w:spacing w:line="360" w:lineRule="auto"/>
        <w:jc w:val="center"/>
        <w:rPr>
          <w:rFonts w:ascii="Arial" w:hAnsi="Arial" w:cs="Arial"/>
          <w:b/>
          <w:bCs/>
          <w:sz w:val="32"/>
          <w:szCs w:val="32"/>
        </w:rPr>
      </w:pPr>
      <w:r w:rsidRPr="00525D19">
        <w:rPr>
          <w:rFonts w:ascii="Arial" w:hAnsi="Arial" w:cs="Arial"/>
          <w:b/>
          <w:bCs/>
          <w:sz w:val="32"/>
          <w:szCs w:val="32"/>
        </w:rPr>
        <w:t>Rizwan Nadim</w:t>
      </w:r>
    </w:p>
    <w:p w14:paraId="46CA1587" w14:textId="77777777" w:rsidR="00EE64AB" w:rsidRPr="00112A4F" w:rsidRDefault="00EE64AB" w:rsidP="00112A4F">
      <w:pPr>
        <w:spacing w:line="360" w:lineRule="auto"/>
        <w:jc w:val="both"/>
        <w:rPr>
          <w:b/>
          <w:bCs/>
        </w:rPr>
      </w:pPr>
    </w:p>
    <w:p w14:paraId="5147E5E9" w14:textId="77777777" w:rsidR="00EE64AB" w:rsidRPr="00112A4F" w:rsidRDefault="00EE64AB" w:rsidP="00112A4F">
      <w:pPr>
        <w:spacing w:line="360" w:lineRule="auto"/>
        <w:jc w:val="both"/>
        <w:rPr>
          <w:b/>
          <w:bCs/>
        </w:rPr>
      </w:pPr>
    </w:p>
    <w:p w14:paraId="52E1AA0C" w14:textId="77777777" w:rsidR="00EE64AB" w:rsidRDefault="00EE64AB" w:rsidP="000D1F2E">
      <w:pPr>
        <w:rPr>
          <w:b/>
          <w:bCs/>
        </w:rPr>
      </w:pPr>
    </w:p>
    <w:p w14:paraId="1F484360" w14:textId="77777777" w:rsidR="00EE64AB" w:rsidRDefault="00EE64AB" w:rsidP="000D1F2E">
      <w:pPr>
        <w:rPr>
          <w:b/>
          <w:bCs/>
        </w:rPr>
      </w:pPr>
    </w:p>
    <w:p w14:paraId="610C947C" w14:textId="77777777" w:rsidR="00EE64AB" w:rsidRDefault="00EE64AB" w:rsidP="000D1F2E">
      <w:pPr>
        <w:rPr>
          <w:b/>
          <w:bCs/>
        </w:rPr>
      </w:pPr>
    </w:p>
    <w:p w14:paraId="07E48FAF" w14:textId="77777777" w:rsidR="00EE64AB" w:rsidRDefault="00EE64AB" w:rsidP="000D1F2E">
      <w:pPr>
        <w:rPr>
          <w:b/>
          <w:bCs/>
        </w:rPr>
      </w:pPr>
    </w:p>
    <w:p w14:paraId="653A365C" w14:textId="77777777" w:rsidR="00302B9E" w:rsidRDefault="00302B9E" w:rsidP="000D1F2E">
      <w:pPr>
        <w:rPr>
          <w:b/>
          <w:bCs/>
        </w:rPr>
      </w:pPr>
    </w:p>
    <w:p w14:paraId="47A30172" w14:textId="77777777" w:rsidR="00525D19" w:rsidRDefault="00525D19" w:rsidP="00302B9E">
      <w:pPr>
        <w:rPr>
          <w:rFonts w:ascii="Arial" w:hAnsi="Arial" w:cs="Arial"/>
          <w:b/>
          <w:bCs/>
        </w:rPr>
      </w:pPr>
    </w:p>
    <w:p w14:paraId="6B0C3629" w14:textId="77777777" w:rsidR="00446D4F" w:rsidRDefault="00446D4F" w:rsidP="00302B9E">
      <w:pPr>
        <w:rPr>
          <w:rFonts w:ascii="Arial" w:hAnsi="Arial" w:cs="Arial"/>
          <w:b/>
          <w:bCs/>
        </w:rPr>
      </w:pPr>
    </w:p>
    <w:p w14:paraId="1E2EDEED" w14:textId="77777777" w:rsidR="00446D4F" w:rsidRDefault="00446D4F" w:rsidP="00302B9E">
      <w:pPr>
        <w:rPr>
          <w:rFonts w:ascii="Arial" w:hAnsi="Arial" w:cs="Arial"/>
          <w:b/>
          <w:bCs/>
        </w:rPr>
      </w:pPr>
    </w:p>
    <w:p w14:paraId="121E869B" w14:textId="77777777" w:rsidR="00446D4F" w:rsidRDefault="00446D4F" w:rsidP="00302B9E">
      <w:pPr>
        <w:rPr>
          <w:rFonts w:ascii="Arial" w:hAnsi="Arial" w:cs="Arial"/>
          <w:b/>
          <w:bCs/>
        </w:rPr>
      </w:pPr>
    </w:p>
    <w:p w14:paraId="15430F70" w14:textId="62C0785C" w:rsidR="00446D4F" w:rsidRPr="00446D4F" w:rsidRDefault="00446D4F" w:rsidP="00446D4F">
      <w:pPr>
        <w:rPr>
          <w:rFonts w:ascii="Arial" w:hAnsi="Arial" w:cs="Arial"/>
          <w:b/>
          <w:bCs/>
          <w:sz w:val="32"/>
          <w:szCs w:val="32"/>
        </w:rPr>
      </w:pPr>
      <w:r w:rsidRPr="00446D4F">
        <w:rPr>
          <w:rFonts w:ascii="Arial" w:hAnsi="Arial" w:cs="Arial"/>
          <w:b/>
          <w:bCs/>
          <w:sz w:val="32"/>
          <w:szCs w:val="32"/>
        </w:rPr>
        <w:t xml:space="preserve">                                      </w:t>
      </w:r>
      <w:r w:rsidRPr="00446D4F">
        <w:rPr>
          <w:rFonts w:ascii="Arial" w:hAnsi="Arial" w:cs="Arial"/>
          <w:b/>
          <w:bCs/>
          <w:sz w:val="32"/>
          <w:szCs w:val="32"/>
        </w:rPr>
        <w:t>Contents</w:t>
      </w:r>
    </w:p>
    <w:p w14:paraId="155E0077" w14:textId="77777777" w:rsidR="00446D4F" w:rsidRPr="004B4888" w:rsidRDefault="00446D4F" w:rsidP="00446D4F">
      <w:pPr>
        <w:ind w:left="360"/>
        <w:rPr>
          <w:rFonts w:ascii="Arial" w:hAnsi="Arial" w:cs="Arial"/>
          <w:b/>
          <w:bCs/>
          <w:sz w:val="36"/>
          <w:szCs w:val="36"/>
        </w:rPr>
      </w:pPr>
    </w:p>
    <w:p w14:paraId="48B3E9D8" w14:textId="145EA5C3" w:rsidR="00446D4F" w:rsidRPr="00446D4F" w:rsidRDefault="00446D4F" w:rsidP="00957317">
      <w:pPr>
        <w:ind w:left="360"/>
        <w:rPr>
          <w:rFonts w:ascii="Arial" w:hAnsi="Arial" w:cs="Arial"/>
          <w:b/>
          <w:bCs/>
          <w:sz w:val="36"/>
          <w:szCs w:val="36"/>
        </w:rPr>
      </w:pPr>
      <w:r w:rsidRPr="00446D4F">
        <w:rPr>
          <w:rFonts w:ascii="Arial" w:hAnsi="Arial" w:cs="Arial"/>
          <w:b/>
          <w:bCs/>
          <w:sz w:val="36"/>
          <w:szCs w:val="36"/>
        </w:rPr>
        <w:t>Introduction</w:t>
      </w:r>
      <w:r w:rsidRPr="004B4888">
        <w:rPr>
          <w:rFonts w:ascii="Arial" w:hAnsi="Arial" w:cs="Arial"/>
          <w:b/>
          <w:bCs/>
          <w:sz w:val="36"/>
          <w:szCs w:val="36"/>
        </w:rPr>
        <w:t>…………………………………</w:t>
      </w:r>
      <w:r w:rsidR="004B4888" w:rsidRPr="004B4888">
        <w:rPr>
          <w:rFonts w:ascii="Arial" w:hAnsi="Arial" w:cs="Arial"/>
          <w:b/>
          <w:bCs/>
          <w:sz w:val="36"/>
          <w:szCs w:val="36"/>
        </w:rPr>
        <w:t>….</w:t>
      </w:r>
      <w:r w:rsidR="00E020E8">
        <w:rPr>
          <w:rFonts w:ascii="Arial" w:hAnsi="Arial" w:cs="Arial"/>
          <w:b/>
          <w:bCs/>
          <w:sz w:val="36"/>
          <w:szCs w:val="36"/>
        </w:rPr>
        <w:t>3</w:t>
      </w:r>
    </w:p>
    <w:p w14:paraId="391ED91D" w14:textId="2B2BC1B8" w:rsidR="00446D4F" w:rsidRPr="00446D4F" w:rsidRDefault="00446D4F" w:rsidP="00957317">
      <w:pPr>
        <w:ind w:left="360"/>
        <w:rPr>
          <w:rFonts w:ascii="Arial" w:hAnsi="Arial" w:cs="Arial"/>
          <w:b/>
          <w:bCs/>
          <w:sz w:val="36"/>
          <w:szCs w:val="36"/>
        </w:rPr>
      </w:pPr>
      <w:r w:rsidRPr="00446D4F">
        <w:rPr>
          <w:rFonts w:ascii="Arial" w:hAnsi="Arial" w:cs="Arial"/>
          <w:b/>
          <w:bCs/>
          <w:sz w:val="36"/>
          <w:szCs w:val="36"/>
        </w:rPr>
        <w:t>Background</w:t>
      </w:r>
      <w:r w:rsidRPr="004B4888">
        <w:rPr>
          <w:rFonts w:ascii="Arial" w:hAnsi="Arial" w:cs="Arial"/>
          <w:b/>
          <w:bCs/>
          <w:sz w:val="36"/>
          <w:szCs w:val="36"/>
        </w:rPr>
        <w:t>…………………………………</w:t>
      </w:r>
      <w:r w:rsidR="004B4888" w:rsidRPr="004B4888">
        <w:rPr>
          <w:rFonts w:ascii="Arial" w:hAnsi="Arial" w:cs="Arial"/>
          <w:b/>
          <w:bCs/>
          <w:sz w:val="36"/>
          <w:szCs w:val="36"/>
        </w:rPr>
        <w:t>….</w:t>
      </w:r>
      <w:r w:rsidR="00E020E8">
        <w:rPr>
          <w:rFonts w:ascii="Arial" w:hAnsi="Arial" w:cs="Arial"/>
          <w:b/>
          <w:bCs/>
          <w:sz w:val="36"/>
          <w:szCs w:val="36"/>
        </w:rPr>
        <w:t>4</w:t>
      </w:r>
    </w:p>
    <w:p w14:paraId="6F7BF89C" w14:textId="2AB01082" w:rsidR="00446D4F" w:rsidRPr="00446D4F" w:rsidRDefault="00446D4F" w:rsidP="00957317">
      <w:pPr>
        <w:ind w:left="360"/>
        <w:rPr>
          <w:rFonts w:ascii="Arial" w:hAnsi="Arial" w:cs="Arial"/>
          <w:b/>
          <w:bCs/>
          <w:sz w:val="36"/>
          <w:szCs w:val="36"/>
        </w:rPr>
      </w:pPr>
      <w:r w:rsidRPr="00446D4F">
        <w:rPr>
          <w:rFonts w:ascii="Arial" w:hAnsi="Arial" w:cs="Arial"/>
          <w:b/>
          <w:bCs/>
          <w:sz w:val="36"/>
          <w:szCs w:val="36"/>
        </w:rPr>
        <w:t>Methods</w:t>
      </w:r>
      <w:r w:rsidRPr="004B4888">
        <w:rPr>
          <w:rFonts w:ascii="Arial" w:hAnsi="Arial" w:cs="Arial"/>
          <w:b/>
          <w:bCs/>
          <w:sz w:val="36"/>
          <w:szCs w:val="36"/>
        </w:rPr>
        <w:t>…………………………………………</w:t>
      </w:r>
      <w:r w:rsidR="00E020E8">
        <w:rPr>
          <w:rFonts w:ascii="Arial" w:hAnsi="Arial" w:cs="Arial"/>
          <w:b/>
          <w:bCs/>
          <w:sz w:val="36"/>
          <w:szCs w:val="36"/>
        </w:rPr>
        <w:t>5</w:t>
      </w:r>
    </w:p>
    <w:p w14:paraId="01FD7907" w14:textId="0F16B623" w:rsidR="00446D4F" w:rsidRPr="00446D4F" w:rsidRDefault="00446D4F" w:rsidP="00957317">
      <w:pPr>
        <w:ind w:left="360"/>
        <w:rPr>
          <w:rFonts w:ascii="Arial" w:hAnsi="Arial" w:cs="Arial"/>
          <w:b/>
          <w:bCs/>
          <w:sz w:val="36"/>
          <w:szCs w:val="36"/>
        </w:rPr>
      </w:pPr>
      <w:r w:rsidRPr="00446D4F">
        <w:rPr>
          <w:rFonts w:ascii="Arial" w:hAnsi="Arial" w:cs="Arial"/>
          <w:b/>
          <w:bCs/>
          <w:sz w:val="36"/>
          <w:szCs w:val="36"/>
        </w:rPr>
        <w:t>Thematic Analysis</w:t>
      </w:r>
      <w:r w:rsidRPr="004B4888">
        <w:rPr>
          <w:rFonts w:ascii="Arial" w:hAnsi="Arial" w:cs="Arial"/>
          <w:b/>
          <w:bCs/>
          <w:sz w:val="36"/>
          <w:szCs w:val="36"/>
        </w:rPr>
        <w:t>…………………………</w:t>
      </w:r>
      <w:r w:rsidR="004B4888" w:rsidRPr="004B4888">
        <w:rPr>
          <w:rFonts w:ascii="Arial" w:hAnsi="Arial" w:cs="Arial"/>
          <w:b/>
          <w:bCs/>
          <w:sz w:val="36"/>
          <w:szCs w:val="36"/>
        </w:rPr>
        <w:t>.…</w:t>
      </w:r>
      <w:r w:rsidRPr="004B4888">
        <w:rPr>
          <w:rFonts w:ascii="Arial" w:hAnsi="Arial" w:cs="Arial"/>
          <w:b/>
          <w:bCs/>
          <w:sz w:val="36"/>
          <w:szCs w:val="36"/>
        </w:rPr>
        <w:t>4</w:t>
      </w:r>
    </w:p>
    <w:p w14:paraId="7418BADC" w14:textId="2E53E68E" w:rsidR="00446D4F" w:rsidRPr="00446D4F" w:rsidRDefault="00446D4F" w:rsidP="00957317">
      <w:pPr>
        <w:ind w:left="360"/>
        <w:rPr>
          <w:rFonts w:ascii="Arial" w:hAnsi="Arial" w:cs="Arial"/>
          <w:b/>
          <w:bCs/>
          <w:sz w:val="36"/>
          <w:szCs w:val="36"/>
        </w:rPr>
      </w:pPr>
      <w:r w:rsidRPr="00446D4F">
        <w:rPr>
          <w:rFonts w:ascii="Arial" w:hAnsi="Arial" w:cs="Arial"/>
          <w:b/>
          <w:bCs/>
          <w:sz w:val="36"/>
          <w:szCs w:val="36"/>
        </w:rPr>
        <w:t>Discussion</w:t>
      </w:r>
      <w:r w:rsidRPr="004B4888">
        <w:rPr>
          <w:rFonts w:ascii="Arial" w:hAnsi="Arial" w:cs="Arial"/>
          <w:b/>
          <w:bCs/>
          <w:sz w:val="36"/>
          <w:szCs w:val="36"/>
        </w:rPr>
        <w:t>…………………</w:t>
      </w:r>
      <w:r w:rsidR="00E020E8">
        <w:rPr>
          <w:rFonts w:ascii="Arial" w:hAnsi="Arial" w:cs="Arial"/>
          <w:b/>
          <w:bCs/>
          <w:sz w:val="36"/>
          <w:szCs w:val="36"/>
        </w:rPr>
        <w:t>…</w:t>
      </w:r>
      <w:r w:rsidRPr="004B4888">
        <w:rPr>
          <w:rFonts w:ascii="Arial" w:hAnsi="Arial" w:cs="Arial"/>
          <w:b/>
          <w:bCs/>
          <w:sz w:val="36"/>
          <w:szCs w:val="36"/>
        </w:rPr>
        <w:t>………………</w:t>
      </w:r>
      <w:r w:rsidR="00957317">
        <w:rPr>
          <w:rFonts w:ascii="Arial" w:hAnsi="Arial" w:cs="Arial"/>
          <w:b/>
          <w:bCs/>
          <w:sz w:val="36"/>
          <w:szCs w:val="36"/>
        </w:rPr>
        <w:t>...</w:t>
      </w:r>
      <w:r w:rsidR="001D38A5">
        <w:rPr>
          <w:rFonts w:ascii="Arial" w:hAnsi="Arial" w:cs="Arial"/>
          <w:b/>
          <w:bCs/>
          <w:sz w:val="36"/>
          <w:szCs w:val="36"/>
        </w:rPr>
        <w:t>9</w:t>
      </w:r>
    </w:p>
    <w:p w14:paraId="73C58866" w14:textId="0443A102" w:rsidR="00446D4F" w:rsidRPr="00446D4F" w:rsidRDefault="00446D4F" w:rsidP="00957317">
      <w:pPr>
        <w:ind w:left="360"/>
        <w:rPr>
          <w:rFonts w:ascii="Arial" w:hAnsi="Arial" w:cs="Arial"/>
          <w:b/>
          <w:bCs/>
          <w:sz w:val="36"/>
          <w:szCs w:val="36"/>
        </w:rPr>
      </w:pPr>
      <w:r w:rsidRPr="00446D4F">
        <w:rPr>
          <w:rFonts w:ascii="Arial" w:hAnsi="Arial" w:cs="Arial"/>
          <w:b/>
          <w:bCs/>
          <w:sz w:val="36"/>
          <w:szCs w:val="36"/>
        </w:rPr>
        <w:t>Recommendation</w:t>
      </w:r>
      <w:r w:rsidRPr="004B4888">
        <w:rPr>
          <w:rFonts w:ascii="Arial" w:hAnsi="Arial" w:cs="Arial"/>
          <w:b/>
          <w:bCs/>
          <w:sz w:val="36"/>
          <w:szCs w:val="36"/>
        </w:rPr>
        <w:t>………</w:t>
      </w:r>
      <w:r w:rsidR="00311AA1" w:rsidRPr="004B4888">
        <w:rPr>
          <w:rFonts w:ascii="Arial" w:hAnsi="Arial" w:cs="Arial"/>
          <w:b/>
          <w:bCs/>
          <w:sz w:val="36"/>
          <w:szCs w:val="36"/>
        </w:rPr>
        <w:t>…</w:t>
      </w:r>
      <w:r w:rsidR="00311AA1">
        <w:rPr>
          <w:rFonts w:ascii="Arial" w:hAnsi="Arial" w:cs="Arial"/>
          <w:b/>
          <w:bCs/>
          <w:sz w:val="36"/>
          <w:szCs w:val="36"/>
        </w:rPr>
        <w:t>.</w:t>
      </w:r>
      <w:r w:rsidRPr="004B4888">
        <w:rPr>
          <w:rFonts w:ascii="Arial" w:hAnsi="Arial" w:cs="Arial"/>
          <w:b/>
          <w:bCs/>
          <w:sz w:val="36"/>
          <w:szCs w:val="36"/>
        </w:rPr>
        <w:t>………………</w:t>
      </w:r>
      <w:r w:rsidR="00957317">
        <w:rPr>
          <w:rFonts w:ascii="Arial" w:hAnsi="Arial" w:cs="Arial"/>
          <w:b/>
          <w:bCs/>
          <w:sz w:val="36"/>
          <w:szCs w:val="36"/>
        </w:rPr>
        <w:t>…</w:t>
      </w:r>
      <w:r w:rsidR="001D38A5">
        <w:rPr>
          <w:rFonts w:ascii="Arial" w:hAnsi="Arial" w:cs="Arial"/>
          <w:b/>
          <w:bCs/>
          <w:sz w:val="36"/>
          <w:szCs w:val="36"/>
        </w:rPr>
        <w:t>11</w:t>
      </w:r>
    </w:p>
    <w:p w14:paraId="7C0EB959" w14:textId="29E5A9B6" w:rsidR="00446D4F" w:rsidRPr="00446D4F" w:rsidRDefault="00446D4F" w:rsidP="00957317">
      <w:pPr>
        <w:ind w:left="360"/>
        <w:rPr>
          <w:rFonts w:ascii="Arial" w:hAnsi="Arial" w:cs="Arial"/>
          <w:b/>
          <w:bCs/>
          <w:sz w:val="36"/>
          <w:szCs w:val="36"/>
        </w:rPr>
      </w:pPr>
      <w:r w:rsidRPr="00446D4F">
        <w:rPr>
          <w:rFonts w:ascii="Arial" w:hAnsi="Arial" w:cs="Arial"/>
          <w:b/>
          <w:bCs/>
          <w:sz w:val="36"/>
          <w:szCs w:val="36"/>
        </w:rPr>
        <w:t>Conclusion</w:t>
      </w:r>
      <w:r w:rsidRPr="004B4888">
        <w:rPr>
          <w:rFonts w:ascii="Arial" w:hAnsi="Arial" w:cs="Arial"/>
          <w:b/>
          <w:bCs/>
          <w:sz w:val="36"/>
          <w:szCs w:val="36"/>
        </w:rPr>
        <w:t>…………………</w:t>
      </w:r>
      <w:r w:rsidR="00E020E8">
        <w:rPr>
          <w:rFonts w:ascii="Arial" w:hAnsi="Arial" w:cs="Arial"/>
          <w:b/>
          <w:bCs/>
          <w:sz w:val="36"/>
          <w:szCs w:val="36"/>
        </w:rPr>
        <w:t>...</w:t>
      </w:r>
      <w:r w:rsidRPr="004B4888">
        <w:rPr>
          <w:rFonts w:ascii="Arial" w:hAnsi="Arial" w:cs="Arial"/>
          <w:b/>
          <w:bCs/>
          <w:sz w:val="36"/>
          <w:szCs w:val="36"/>
        </w:rPr>
        <w:t>……………</w:t>
      </w:r>
      <w:r w:rsidR="00311AA1" w:rsidRPr="004B4888">
        <w:rPr>
          <w:rFonts w:ascii="Arial" w:hAnsi="Arial" w:cs="Arial"/>
          <w:b/>
          <w:bCs/>
          <w:sz w:val="36"/>
          <w:szCs w:val="36"/>
        </w:rPr>
        <w:t>…</w:t>
      </w:r>
      <w:r w:rsidR="00311AA1">
        <w:rPr>
          <w:rFonts w:ascii="Arial" w:hAnsi="Arial" w:cs="Arial"/>
          <w:b/>
          <w:bCs/>
          <w:sz w:val="36"/>
          <w:szCs w:val="36"/>
        </w:rPr>
        <w:t>.</w:t>
      </w:r>
      <w:r w:rsidR="006065C4">
        <w:rPr>
          <w:rFonts w:ascii="Arial" w:hAnsi="Arial" w:cs="Arial"/>
          <w:b/>
          <w:bCs/>
          <w:sz w:val="36"/>
          <w:szCs w:val="36"/>
        </w:rPr>
        <w:t>12</w:t>
      </w:r>
    </w:p>
    <w:p w14:paraId="5BE974C1" w14:textId="1B003C2F" w:rsidR="00446D4F" w:rsidRPr="00446D4F" w:rsidRDefault="00446D4F" w:rsidP="00957317">
      <w:pPr>
        <w:ind w:left="360"/>
        <w:rPr>
          <w:rFonts w:ascii="Arial" w:hAnsi="Arial" w:cs="Arial"/>
          <w:b/>
          <w:bCs/>
          <w:sz w:val="36"/>
          <w:szCs w:val="36"/>
        </w:rPr>
      </w:pPr>
      <w:r w:rsidRPr="00446D4F">
        <w:rPr>
          <w:rFonts w:ascii="Arial" w:hAnsi="Arial" w:cs="Arial"/>
          <w:b/>
          <w:bCs/>
          <w:sz w:val="36"/>
          <w:szCs w:val="36"/>
        </w:rPr>
        <w:t>References</w:t>
      </w:r>
      <w:r w:rsidRPr="004B4888">
        <w:rPr>
          <w:rFonts w:ascii="Arial" w:hAnsi="Arial" w:cs="Arial"/>
          <w:b/>
          <w:bCs/>
          <w:sz w:val="36"/>
          <w:szCs w:val="36"/>
        </w:rPr>
        <w:t>…………………</w:t>
      </w:r>
      <w:r w:rsidR="00E020E8">
        <w:rPr>
          <w:rFonts w:ascii="Arial" w:hAnsi="Arial" w:cs="Arial"/>
          <w:b/>
          <w:bCs/>
          <w:sz w:val="36"/>
          <w:szCs w:val="36"/>
        </w:rPr>
        <w:t>...</w:t>
      </w:r>
      <w:r w:rsidRPr="004B4888">
        <w:rPr>
          <w:rFonts w:ascii="Arial" w:hAnsi="Arial" w:cs="Arial"/>
          <w:b/>
          <w:bCs/>
          <w:sz w:val="36"/>
          <w:szCs w:val="36"/>
        </w:rPr>
        <w:t>……………</w:t>
      </w:r>
      <w:r w:rsidR="00311AA1" w:rsidRPr="004B4888">
        <w:rPr>
          <w:rFonts w:ascii="Arial" w:hAnsi="Arial" w:cs="Arial"/>
          <w:b/>
          <w:bCs/>
          <w:sz w:val="36"/>
          <w:szCs w:val="36"/>
        </w:rPr>
        <w:t>…</w:t>
      </w:r>
      <w:r w:rsidR="00311AA1">
        <w:rPr>
          <w:rFonts w:ascii="Arial" w:hAnsi="Arial" w:cs="Arial"/>
          <w:b/>
          <w:bCs/>
          <w:sz w:val="36"/>
          <w:szCs w:val="36"/>
        </w:rPr>
        <w:t>.</w:t>
      </w:r>
      <w:r w:rsidR="006065C4">
        <w:rPr>
          <w:rFonts w:ascii="Arial" w:hAnsi="Arial" w:cs="Arial"/>
          <w:b/>
          <w:bCs/>
          <w:sz w:val="36"/>
          <w:szCs w:val="36"/>
        </w:rPr>
        <w:t>14</w:t>
      </w:r>
    </w:p>
    <w:p w14:paraId="07D87061" w14:textId="77777777" w:rsidR="00446D4F" w:rsidRPr="004B4888" w:rsidRDefault="00446D4F" w:rsidP="00526A2E">
      <w:pPr>
        <w:rPr>
          <w:rFonts w:ascii="Arial" w:hAnsi="Arial" w:cs="Arial"/>
          <w:b/>
          <w:bCs/>
          <w:sz w:val="36"/>
          <w:szCs w:val="36"/>
        </w:rPr>
      </w:pPr>
    </w:p>
    <w:p w14:paraId="01B1E460" w14:textId="77777777" w:rsidR="00446D4F" w:rsidRPr="004B4888" w:rsidRDefault="00446D4F" w:rsidP="00526A2E">
      <w:pPr>
        <w:rPr>
          <w:rFonts w:ascii="Arial" w:hAnsi="Arial" w:cs="Arial"/>
          <w:b/>
          <w:bCs/>
          <w:sz w:val="36"/>
          <w:szCs w:val="36"/>
        </w:rPr>
      </w:pPr>
    </w:p>
    <w:p w14:paraId="3C301329" w14:textId="77777777" w:rsidR="00446D4F" w:rsidRPr="004B4888" w:rsidRDefault="00446D4F" w:rsidP="00446D4F">
      <w:pPr>
        <w:rPr>
          <w:rFonts w:ascii="Arial" w:hAnsi="Arial" w:cs="Arial"/>
          <w:b/>
          <w:bCs/>
          <w:sz w:val="36"/>
          <w:szCs w:val="36"/>
        </w:rPr>
      </w:pPr>
    </w:p>
    <w:p w14:paraId="2C92511D" w14:textId="77777777" w:rsidR="00446D4F" w:rsidRDefault="00446D4F" w:rsidP="00446D4F">
      <w:pPr>
        <w:rPr>
          <w:rFonts w:ascii="Arial" w:hAnsi="Arial" w:cs="Arial"/>
          <w:b/>
          <w:bCs/>
        </w:rPr>
      </w:pPr>
    </w:p>
    <w:p w14:paraId="6DB4E2BD" w14:textId="77777777" w:rsidR="00446D4F" w:rsidRDefault="00446D4F" w:rsidP="00446D4F">
      <w:pPr>
        <w:rPr>
          <w:rFonts w:ascii="Arial" w:hAnsi="Arial" w:cs="Arial"/>
          <w:b/>
          <w:bCs/>
        </w:rPr>
      </w:pPr>
    </w:p>
    <w:p w14:paraId="6678B4D3" w14:textId="77777777" w:rsidR="00446D4F" w:rsidRDefault="00446D4F" w:rsidP="00302B9E">
      <w:pPr>
        <w:rPr>
          <w:rFonts w:ascii="Arial" w:hAnsi="Arial" w:cs="Arial"/>
          <w:b/>
          <w:bCs/>
        </w:rPr>
      </w:pPr>
    </w:p>
    <w:p w14:paraId="747B2004" w14:textId="77777777" w:rsidR="00446D4F" w:rsidRDefault="00446D4F" w:rsidP="00302B9E">
      <w:pPr>
        <w:rPr>
          <w:rFonts w:ascii="Arial" w:hAnsi="Arial" w:cs="Arial"/>
          <w:b/>
          <w:bCs/>
        </w:rPr>
      </w:pPr>
    </w:p>
    <w:p w14:paraId="2E6F1B56" w14:textId="77777777" w:rsidR="00446D4F" w:rsidRDefault="00446D4F" w:rsidP="00302B9E">
      <w:pPr>
        <w:rPr>
          <w:rFonts w:ascii="Arial" w:hAnsi="Arial" w:cs="Arial"/>
          <w:b/>
          <w:bCs/>
        </w:rPr>
      </w:pPr>
    </w:p>
    <w:p w14:paraId="62C31FEB" w14:textId="77777777" w:rsidR="00446D4F" w:rsidRDefault="00446D4F" w:rsidP="00302B9E">
      <w:pPr>
        <w:rPr>
          <w:rFonts w:ascii="Arial" w:hAnsi="Arial" w:cs="Arial"/>
          <w:b/>
          <w:bCs/>
        </w:rPr>
      </w:pPr>
    </w:p>
    <w:p w14:paraId="587229ED" w14:textId="77777777" w:rsidR="00446D4F" w:rsidRDefault="00446D4F" w:rsidP="00302B9E">
      <w:pPr>
        <w:rPr>
          <w:rFonts w:ascii="Arial" w:hAnsi="Arial" w:cs="Arial"/>
          <w:b/>
          <w:bCs/>
        </w:rPr>
      </w:pPr>
    </w:p>
    <w:p w14:paraId="7B9735EC" w14:textId="77777777" w:rsidR="00446D4F" w:rsidRDefault="00446D4F" w:rsidP="00302B9E">
      <w:pPr>
        <w:rPr>
          <w:rFonts w:ascii="Arial" w:hAnsi="Arial" w:cs="Arial"/>
          <w:b/>
          <w:bCs/>
        </w:rPr>
      </w:pPr>
    </w:p>
    <w:p w14:paraId="61D45EA3" w14:textId="77777777" w:rsidR="00446D4F" w:rsidRDefault="00446D4F" w:rsidP="00302B9E">
      <w:pPr>
        <w:rPr>
          <w:rFonts w:ascii="Arial" w:hAnsi="Arial" w:cs="Arial"/>
          <w:b/>
          <w:bCs/>
        </w:rPr>
      </w:pPr>
    </w:p>
    <w:p w14:paraId="3EF09999" w14:textId="77777777" w:rsidR="00446D4F" w:rsidRDefault="00446D4F" w:rsidP="00302B9E">
      <w:pPr>
        <w:rPr>
          <w:rFonts w:ascii="Arial" w:hAnsi="Arial" w:cs="Arial"/>
          <w:b/>
          <w:bCs/>
        </w:rPr>
      </w:pPr>
    </w:p>
    <w:p w14:paraId="59ECE1A0" w14:textId="77777777" w:rsidR="004B4888" w:rsidRDefault="004B4888" w:rsidP="00302B9E">
      <w:pPr>
        <w:rPr>
          <w:rFonts w:ascii="Arial" w:hAnsi="Arial" w:cs="Arial"/>
          <w:b/>
          <w:bCs/>
        </w:rPr>
      </w:pPr>
    </w:p>
    <w:p w14:paraId="0872483E" w14:textId="2FFEB830" w:rsidR="0090477F" w:rsidRPr="0090477F" w:rsidRDefault="0090477F" w:rsidP="00302B9E">
      <w:pPr>
        <w:rPr>
          <w:rFonts w:ascii="Arial" w:hAnsi="Arial" w:cs="Arial"/>
          <w:b/>
          <w:bCs/>
          <w:sz w:val="28"/>
          <w:szCs w:val="28"/>
        </w:rPr>
      </w:pPr>
      <w:r w:rsidRPr="003D70E5">
        <w:rPr>
          <w:rFonts w:ascii="Arial" w:hAnsi="Arial" w:cs="Arial"/>
          <w:b/>
          <w:bCs/>
        </w:rPr>
        <w:lastRenderedPageBreak/>
        <w:t>Introduction</w:t>
      </w:r>
    </w:p>
    <w:p w14:paraId="3CBA202D" w14:textId="2BAA7ACA" w:rsidR="00F369EB" w:rsidRPr="00F369EB" w:rsidRDefault="00F369EB" w:rsidP="00F369EB">
      <w:pPr>
        <w:spacing w:line="360" w:lineRule="auto"/>
        <w:jc w:val="both"/>
        <w:rPr>
          <w:rFonts w:ascii="Arial" w:hAnsi="Arial" w:cs="Arial"/>
        </w:rPr>
      </w:pPr>
      <w:r w:rsidRPr="00F369EB">
        <w:rPr>
          <w:rFonts w:ascii="Arial" w:hAnsi="Arial" w:cs="Arial"/>
        </w:rPr>
        <w:t xml:space="preserve">Imagine spending your final days in a place that should feel like home, but instead, </w:t>
      </w:r>
      <w:r w:rsidR="00334843" w:rsidRPr="00F369EB">
        <w:rPr>
          <w:rFonts w:ascii="Arial" w:hAnsi="Arial" w:cs="Arial"/>
        </w:rPr>
        <w:t>you are</w:t>
      </w:r>
      <w:r w:rsidRPr="00F369EB">
        <w:rPr>
          <w:rFonts w:ascii="Arial" w:hAnsi="Arial" w:cs="Arial"/>
        </w:rPr>
        <w:t xml:space="preserve"> surrounded by staff who are rushed, under-trained, and unable to provide the comfort you need. This is the reality facing many individuals with advanced dementia in UK care homes today. As our population ages, the number of people living and dying with dementia in care homes continues to rise, making the quality of end-of-life care in these settings one of the most pressing challenges in our healthcare system.</w:t>
      </w:r>
    </w:p>
    <w:p w14:paraId="4B71271A" w14:textId="7FA82BDC" w:rsidR="00F369EB" w:rsidRPr="00F369EB" w:rsidRDefault="00F369EB" w:rsidP="00F369EB">
      <w:pPr>
        <w:spacing w:line="360" w:lineRule="auto"/>
        <w:jc w:val="both"/>
        <w:rPr>
          <w:rFonts w:ascii="Arial" w:hAnsi="Arial" w:cs="Arial"/>
        </w:rPr>
      </w:pPr>
      <w:r w:rsidRPr="00F369EB">
        <w:rPr>
          <w:rFonts w:ascii="Arial" w:hAnsi="Arial" w:cs="Arial"/>
        </w:rPr>
        <w:t xml:space="preserve">End-of-life care encompasses the support and medical attention given to people who are in the final months or years of their lives. For individuals with advanced dementia, this care requires </w:t>
      </w:r>
      <w:r w:rsidR="00D73111" w:rsidRPr="00F369EB">
        <w:rPr>
          <w:rFonts w:ascii="Arial" w:hAnsi="Arial" w:cs="Arial"/>
        </w:rPr>
        <w:t>sensitivity</w:t>
      </w:r>
      <w:r w:rsidRPr="00F369EB">
        <w:rPr>
          <w:rFonts w:ascii="Arial" w:hAnsi="Arial" w:cs="Arial"/>
        </w:rPr>
        <w:t xml:space="preserve">, as they often cannot communicate their needs or pain. Care homes have become the de facto hospices for this population, with statistics showing that </w:t>
      </w:r>
      <w:r w:rsidR="00065900" w:rsidRPr="00F369EB">
        <w:rPr>
          <w:rFonts w:ascii="Arial" w:hAnsi="Arial" w:cs="Arial"/>
        </w:rPr>
        <w:t>most</w:t>
      </w:r>
      <w:r w:rsidRPr="00F369EB">
        <w:rPr>
          <w:rFonts w:ascii="Arial" w:hAnsi="Arial" w:cs="Arial"/>
        </w:rPr>
        <w:t xml:space="preserve"> people with dementia will die in these settings rather than in hospitals or their own homes (Kupeli et al., 2016).</w:t>
      </w:r>
    </w:p>
    <w:p w14:paraId="4EF5F898" w14:textId="3CCCBB40" w:rsidR="00F369EB" w:rsidRPr="00F369EB" w:rsidRDefault="00F369EB" w:rsidP="00F369EB">
      <w:pPr>
        <w:spacing w:line="360" w:lineRule="auto"/>
        <w:jc w:val="both"/>
        <w:rPr>
          <w:rFonts w:ascii="Arial" w:hAnsi="Arial" w:cs="Arial"/>
        </w:rPr>
      </w:pPr>
      <w:r w:rsidRPr="00F369EB">
        <w:rPr>
          <w:rFonts w:ascii="Arial" w:hAnsi="Arial" w:cs="Arial"/>
        </w:rPr>
        <w:t xml:space="preserve">Despite this, research consistently shows that the quality of end-of-life care in UK care homes is often suboptimal. Many </w:t>
      </w:r>
      <w:r w:rsidR="00DB5D3D" w:rsidRPr="00F369EB">
        <w:rPr>
          <w:rFonts w:ascii="Arial" w:hAnsi="Arial" w:cs="Arial"/>
        </w:rPr>
        <w:t>care</w:t>
      </w:r>
      <w:r w:rsidRPr="00F369EB">
        <w:rPr>
          <w:rFonts w:ascii="Arial" w:hAnsi="Arial" w:cs="Arial"/>
        </w:rPr>
        <w:t xml:space="preserve"> homes struggle with insufficient staffing, inadequate training, and complex systemic barriers that prevent them from providing the compassionate, person-centred care that every individual deserves at the end of their life. The recent COVID-19 pandemic further exposed and exacerbated these challenges, with visiting restrictions creating additional emotional distress for both residents and their families (Hanna et al., 2022; Bradshaw et al., 2023).</w:t>
      </w:r>
    </w:p>
    <w:p w14:paraId="4D4ECB7D" w14:textId="77777777" w:rsidR="00F369EB" w:rsidRPr="00F369EB" w:rsidRDefault="00F369EB" w:rsidP="00F369EB">
      <w:pPr>
        <w:spacing w:line="360" w:lineRule="auto"/>
        <w:jc w:val="both"/>
        <w:rPr>
          <w:rFonts w:ascii="Arial" w:hAnsi="Arial" w:cs="Arial"/>
        </w:rPr>
      </w:pPr>
      <w:r w:rsidRPr="00F369EB">
        <w:rPr>
          <w:rFonts w:ascii="Arial" w:hAnsi="Arial" w:cs="Arial"/>
        </w:rPr>
        <w:t>This scoping review aims to explore the current landscape of end-of-life care for people with dementia in UK care homes. My central review question is: "What are the key challenges and potential improvements in providing end-of-life care for people with dementia in UK care homes?"</w:t>
      </w:r>
    </w:p>
    <w:p w14:paraId="62E1664E" w14:textId="77777777" w:rsidR="00F369EB" w:rsidRPr="00F369EB" w:rsidRDefault="00F369EB" w:rsidP="00F369EB">
      <w:pPr>
        <w:spacing w:line="360" w:lineRule="auto"/>
        <w:jc w:val="both"/>
        <w:rPr>
          <w:rFonts w:ascii="Arial" w:hAnsi="Arial" w:cs="Arial"/>
        </w:rPr>
      </w:pPr>
      <w:r w:rsidRPr="00F369EB">
        <w:rPr>
          <w:rFonts w:ascii="Arial" w:hAnsi="Arial" w:cs="Arial"/>
          <w:b/>
          <w:bCs/>
        </w:rPr>
        <w:t>To address this question, I have established three key objectives:</w:t>
      </w:r>
    </w:p>
    <w:p w14:paraId="7C1EADC0" w14:textId="476D6B89" w:rsidR="00F369EB" w:rsidRPr="00F369EB" w:rsidRDefault="00F369EB" w:rsidP="00F369EB">
      <w:pPr>
        <w:numPr>
          <w:ilvl w:val="0"/>
          <w:numId w:val="15"/>
        </w:numPr>
        <w:spacing w:line="360" w:lineRule="auto"/>
        <w:jc w:val="both"/>
        <w:rPr>
          <w:rFonts w:ascii="Arial" w:hAnsi="Arial" w:cs="Arial"/>
        </w:rPr>
      </w:pPr>
      <w:r w:rsidRPr="00F369EB">
        <w:rPr>
          <w:rFonts w:ascii="Arial" w:hAnsi="Arial" w:cs="Arial"/>
        </w:rPr>
        <w:t xml:space="preserve">To identify the systemic and organisational barriers that hinder quality end-of-life care in UK care </w:t>
      </w:r>
      <w:r w:rsidR="00DB5D3D" w:rsidRPr="00F369EB">
        <w:rPr>
          <w:rFonts w:ascii="Arial" w:hAnsi="Arial" w:cs="Arial"/>
        </w:rPr>
        <w:t>homes.</w:t>
      </w:r>
    </w:p>
    <w:p w14:paraId="3FFCA2C6" w14:textId="77777777" w:rsidR="00F369EB" w:rsidRPr="00F369EB" w:rsidRDefault="00F369EB" w:rsidP="00F369EB">
      <w:pPr>
        <w:numPr>
          <w:ilvl w:val="0"/>
          <w:numId w:val="15"/>
        </w:numPr>
        <w:spacing w:line="360" w:lineRule="auto"/>
        <w:jc w:val="both"/>
        <w:rPr>
          <w:rFonts w:ascii="Arial" w:hAnsi="Arial" w:cs="Arial"/>
        </w:rPr>
      </w:pPr>
      <w:r w:rsidRPr="00F369EB">
        <w:rPr>
          <w:rFonts w:ascii="Arial" w:hAnsi="Arial" w:cs="Arial"/>
        </w:rPr>
        <w:t>To explore the experiences and challenges faced by care home staff when delivering end-of-life care</w:t>
      </w:r>
    </w:p>
    <w:p w14:paraId="59FD61DE" w14:textId="6E471894" w:rsidR="00F369EB" w:rsidRPr="00F369EB" w:rsidRDefault="00F369EB" w:rsidP="00F369EB">
      <w:pPr>
        <w:numPr>
          <w:ilvl w:val="0"/>
          <w:numId w:val="15"/>
        </w:numPr>
        <w:spacing w:line="360" w:lineRule="auto"/>
        <w:jc w:val="both"/>
        <w:rPr>
          <w:rFonts w:ascii="Arial" w:hAnsi="Arial" w:cs="Arial"/>
        </w:rPr>
      </w:pPr>
      <w:r w:rsidRPr="00F369EB">
        <w:rPr>
          <w:rFonts w:ascii="Arial" w:hAnsi="Arial" w:cs="Arial"/>
        </w:rPr>
        <w:t xml:space="preserve">To evaluate interventions and approaches that have shown promise in improving end-of-life care </w:t>
      </w:r>
      <w:r w:rsidR="00DB5D3D" w:rsidRPr="00F369EB">
        <w:rPr>
          <w:rFonts w:ascii="Arial" w:hAnsi="Arial" w:cs="Arial"/>
        </w:rPr>
        <w:t>practices.</w:t>
      </w:r>
    </w:p>
    <w:p w14:paraId="68A0569D" w14:textId="77777777" w:rsidR="00F369EB" w:rsidRPr="00F369EB" w:rsidRDefault="00F369EB" w:rsidP="00F369EB">
      <w:pPr>
        <w:spacing w:line="360" w:lineRule="auto"/>
        <w:jc w:val="both"/>
        <w:rPr>
          <w:rFonts w:ascii="Arial" w:hAnsi="Arial" w:cs="Arial"/>
        </w:rPr>
      </w:pPr>
      <w:r w:rsidRPr="00F369EB">
        <w:rPr>
          <w:rFonts w:ascii="Arial" w:hAnsi="Arial" w:cs="Arial"/>
        </w:rPr>
        <w:lastRenderedPageBreak/>
        <w:t>By examining these areas, this review seeks to contribute to our understanding of how we can better support some of the most vulnerable members of our society during their final days, ensuring they receive the dignity, comfort, and quality of care they deserve.</w:t>
      </w:r>
    </w:p>
    <w:p w14:paraId="6A27C47C" w14:textId="77777777" w:rsidR="00F369EB" w:rsidRPr="00F369EB" w:rsidRDefault="00F369EB" w:rsidP="00F369EB">
      <w:pPr>
        <w:spacing w:line="360" w:lineRule="auto"/>
        <w:jc w:val="both"/>
        <w:rPr>
          <w:rFonts w:ascii="Arial" w:hAnsi="Arial" w:cs="Arial"/>
        </w:rPr>
      </w:pPr>
      <w:r w:rsidRPr="00F369EB">
        <w:rPr>
          <w:rFonts w:ascii="Arial" w:hAnsi="Arial" w:cs="Arial"/>
          <w:b/>
          <w:bCs/>
        </w:rPr>
        <w:t>Background</w:t>
      </w:r>
    </w:p>
    <w:p w14:paraId="12A9C821" w14:textId="0D78CCD6" w:rsidR="00F369EB" w:rsidRPr="00F369EB" w:rsidRDefault="00F369EB" w:rsidP="00F369EB">
      <w:pPr>
        <w:spacing w:line="360" w:lineRule="auto"/>
        <w:jc w:val="both"/>
        <w:rPr>
          <w:rFonts w:ascii="Arial" w:hAnsi="Arial" w:cs="Arial"/>
        </w:rPr>
      </w:pPr>
      <w:r w:rsidRPr="00F369EB">
        <w:rPr>
          <w:rFonts w:ascii="Arial" w:hAnsi="Arial" w:cs="Arial"/>
        </w:rPr>
        <w:t xml:space="preserve">The United Kingdom is facing a demographic shift that will fundamentally reshape how we provide care in later life. With people aged </w:t>
      </w:r>
      <w:r w:rsidR="00A3442F" w:rsidRPr="00F369EB">
        <w:rPr>
          <w:rFonts w:ascii="Arial" w:hAnsi="Arial" w:cs="Arial"/>
        </w:rPr>
        <w:t>eighty-five</w:t>
      </w:r>
      <w:r w:rsidRPr="00F369EB">
        <w:rPr>
          <w:rFonts w:ascii="Arial" w:hAnsi="Arial" w:cs="Arial"/>
        </w:rPr>
        <w:t xml:space="preserve"> and over representing the fastest-growing segment of our population, and approximately 70% of care home residents living with dementia or significant memory problems, care homes have become crucial settings for end-of-life care (Kupeli et al., 2016). For many older people, a care home is not just a temporary facility but their final home—the place where they will spend their last days.</w:t>
      </w:r>
    </w:p>
    <w:p w14:paraId="166F4FDD" w14:textId="77777777" w:rsidR="00F369EB" w:rsidRPr="00F369EB" w:rsidRDefault="00F369EB" w:rsidP="00F369EB">
      <w:pPr>
        <w:spacing w:line="360" w:lineRule="auto"/>
        <w:jc w:val="both"/>
        <w:rPr>
          <w:rFonts w:ascii="Arial" w:hAnsi="Arial" w:cs="Arial"/>
        </w:rPr>
      </w:pPr>
      <w:r w:rsidRPr="00F369EB">
        <w:rPr>
          <w:rFonts w:ascii="Arial" w:hAnsi="Arial" w:cs="Arial"/>
        </w:rPr>
        <w:t>In an ideal world, every care home would provide the kind of compassionate, skilled end-of-life care we would wish for our own family members. However, the reality is often more complex. The very nature of dementia creates unique challenges for end-of-life care. As the condition progresses, individuals often lose the ability to communicate their needs, preferences, and pain, making it difficult for care staff to recognise when someone is entering the final stages of life or experiencing discomfort (Kupeli et al., 2016). This communication barrier, combined with the unpredictable trajectory of dementia, means that many residents do not receive the timely palliative care that those with more predictable conditions, like cancer, might access.</w:t>
      </w:r>
    </w:p>
    <w:p w14:paraId="47579BC4" w14:textId="430274D6" w:rsidR="00F369EB" w:rsidRPr="00F369EB" w:rsidRDefault="00F369EB" w:rsidP="00F369EB">
      <w:pPr>
        <w:spacing w:line="360" w:lineRule="auto"/>
        <w:jc w:val="both"/>
        <w:rPr>
          <w:rFonts w:ascii="Arial" w:hAnsi="Arial" w:cs="Arial"/>
        </w:rPr>
      </w:pPr>
      <w:r w:rsidRPr="00F369EB">
        <w:rPr>
          <w:rFonts w:ascii="Arial" w:hAnsi="Arial" w:cs="Arial"/>
        </w:rPr>
        <w:t xml:space="preserve">The UK policy landscape recognises these challenges. The </w:t>
      </w:r>
      <w:r w:rsidR="00DB5D3D" w:rsidRPr="00F369EB">
        <w:rPr>
          <w:rFonts w:ascii="Arial" w:hAnsi="Arial" w:cs="Arial"/>
        </w:rPr>
        <w:t>End-of-Life</w:t>
      </w:r>
      <w:r w:rsidRPr="00F369EB">
        <w:rPr>
          <w:rFonts w:ascii="Arial" w:hAnsi="Arial" w:cs="Arial"/>
        </w:rPr>
        <w:t xml:space="preserve"> Care Strategy, first introduced in 2008, emphasised the importance of enabling people to die in their preferred place of care, which for many is a care home. More recently, initiatives like the NHS's "Route to Success in </w:t>
      </w:r>
      <w:r w:rsidR="00DB5D3D" w:rsidRPr="00F369EB">
        <w:rPr>
          <w:rFonts w:ascii="Arial" w:hAnsi="Arial" w:cs="Arial"/>
        </w:rPr>
        <w:t>End-of-Life</w:t>
      </w:r>
      <w:r w:rsidRPr="00F369EB">
        <w:rPr>
          <w:rFonts w:ascii="Arial" w:hAnsi="Arial" w:cs="Arial"/>
        </w:rPr>
        <w:t xml:space="preserve"> Care" have specifically targeted care homes, providing frameworks to improve quality (O'Brien et al., 2016). However, implementation has been inconsistent across the country, creating what has been described as a "postcode lottery" of care quality (Rolls et al., 2011).</w:t>
      </w:r>
    </w:p>
    <w:p w14:paraId="06FF76D0" w14:textId="46886AEC" w:rsidR="00F369EB" w:rsidRPr="00F369EB" w:rsidRDefault="00F369EB" w:rsidP="00F369EB">
      <w:pPr>
        <w:spacing w:line="360" w:lineRule="auto"/>
        <w:jc w:val="both"/>
        <w:rPr>
          <w:rFonts w:ascii="Arial" w:hAnsi="Arial" w:cs="Arial"/>
        </w:rPr>
      </w:pPr>
      <w:r w:rsidRPr="00F369EB">
        <w:rPr>
          <w:rFonts w:ascii="Arial" w:hAnsi="Arial" w:cs="Arial"/>
        </w:rPr>
        <w:t xml:space="preserve">Cultural factors significantly influence end-of-life care expectations, with research showing varying preferences between ethnic groups (Seymour et al., 2007; Pumphrey et al., 2009). Additionally, family perceptions of care quality </w:t>
      </w:r>
      <w:r w:rsidR="00065900" w:rsidRPr="00F369EB">
        <w:rPr>
          <w:rFonts w:ascii="Arial" w:hAnsi="Arial" w:cs="Arial"/>
        </w:rPr>
        <w:t>vary, with</w:t>
      </w:r>
      <w:r w:rsidRPr="00F369EB">
        <w:rPr>
          <w:rFonts w:ascii="Arial" w:hAnsi="Arial" w:cs="Arial"/>
        </w:rPr>
        <w:t xml:space="preserve"> many families expressing concerns about the consistency and compassion of end-of-life care in care home settings (Kelly, 2018).</w:t>
      </w:r>
    </w:p>
    <w:p w14:paraId="117DBD6B" w14:textId="77777777" w:rsidR="00F369EB" w:rsidRPr="00F369EB" w:rsidRDefault="00F369EB" w:rsidP="00F369EB">
      <w:pPr>
        <w:spacing w:line="360" w:lineRule="auto"/>
        <w:jc w:val="both"/>
        <w:rPr>
          <w:rFonts w:ascii="Arial" w:hAnsi="Arial" w:cs="Arial"/>
        </w:rPr>
      </w:pPr>
      <w:r w:rsidRPr="00F369EB">
        <w:rPr>
          <w:rFonts w:ascii="Arial" w:hAnsi="Arial" w:cs="Arial"/>
        </w:rPr>
        <w:t xml:space="preserve">The care home sector itself operates within a complex web of challenges. Most homes are privately run businesses that must balance financial sustainability with care quality. This commercial reality can create tensions, with concerns that profit motives sometimes overshadow person-centred care (Kupeli et al., 2016). Staff in these homes—often underpaid, </w:t>
      </w:r>
      <w:r w:rsidRPr="00F369EB">
        <w:rPr>
          <w:rFonts w:ascii="Arial" w:hAnsi="Arial" w:cs="Arial"/>
        </w:rPr>
        <w:lastRenderedPageBreak/>
        <w:t>undertrained, and facing high turnover rates—are expected to provide increasingly complex medical and emotional support with limited resources and training (Kupeli et al., 2016; O'Brien et al., 2016).</w:t>
      </w:r>
    </w:p>
    <w:p w14:paraId="1FD859A9" w14:textId="77777777" w:rsidR="00F369EB" w:rsidRPr="00F369EB" w:rsidRDefault="00F369EB" w:rsidP="00F369EB">
      <w:pPr>
        <w:spacing w:line="360" w:lineRule="auto"/>
        <w:jc w:val="both"/>
        <w:rPr>
          <w:rFonts w:ascii="Arial" w:hAnsi="Arial" w:cs="Arial"/>
        </w:rPr>
      </w:pPr>
      <w:r w:rsidRPr="00F369EB">
        <w:rPr>
          <w:rFonts w:ascii="Arial" w:hAnsi="Arial" w:cs="Arial"/>
        </w:rPr>
        <w:t>The COVID-19 pandemic brought these existing weaknesses into sharp focus. Visiting restrictions, while necessary for infection control, created heart-breaking scenarios where residents died without family members present, and care staff shouldered immense emotional burdens while trying to bridge this gap (Hanna et al., 2022; Bradshaw et al., 2023). The pandemic revealed how fragile the systems supporting care homes truly are, and how quickly person-centred care can be compromised in a crisis (Hanna et al., 2022).</w:t>
      </w:r>
    </w:p>
    <w:p w14:paraId="49F46D2E" w14:textId="2BB8B5F2" w:rsidR="00F369EB" w:rsidRPr="00F369EB" w:rsidRDefault="00F369EB" w:rsidP="00F369EB">
      <w:pPr>
        <w:spacing w:line="360" w:lineRule="auto"/>
        <w:jc w:val="both"/>
        <w:rPr>
          <w:rFonts w:ascii="Arial" w:hAnsi="Arial" w:cs="Arial"/>
        </w:rPr>
      </w:pPr>
      <w:r w:rsidRPr="00F369EB">
        <w:rPr>
          <w:rFonts w:ascii="Arial" w:hAnsi="Arial" w:cs="Arial"/>
        </w:rPr>
        <w:t xml:space="preserve">Despite these challenges, there is hope and evidence of what good looks like. Programmes like the "Six Steps to Success" end-of-life care initiative have demonstrated that with proper training and support, care home staff can develop the confidence and skills to provide excellent end-of-life care (O'Brien et al., 2016). Research shows that when staff feel empowered and knowledgeable, they can better advocate for residents, improve communication with families and healthcare professionals, and </w:t>
      </w:r>
      <w:r w:rsidR="00F1045E" w:rsidRPr="00F369EB">
        <w:rPr>
          <w:rFonts w:ascii="Arial" w:hAnsi="Arial" w:cs="Arial"/>
        </w:rPr>
        <w:t>help</w:t>
      </w:r>
      <w:r w:rsidRPr="00F369EB">
        <w:rPr>
          <w:rFonts w:ascii="Arial" w:hAnsi="Arial" w:cs="Arial"/>
        </w:rPr>
        <w:t xml:space="preserve"> residents experience a more peaceful and dignified death (O'Brien et al., 2016; Kinley et al., 2018).</w:t>
      </w:r>
    </w:p>
    <w:p w14:paraId="410D4DCF" w14:textId="77777777" w:rsidR="00F369EB" w:rsidRPr="00F369EB" w:rsidRDefault="00F369EB" w:rsidP="00F369EB">
      <w:pPr>
        <w:spacing w:line="360" w:lineRule="auto"/>
        <w:jc w:val="both"/>
        <w:rPr>
          <w:rFonts w:ascii="Arial" w:hAnsi="Arial" w:cs="Arial"/>
        </w:rPr>
      </w:pPr>
      <w:r w:rsidRPr="00F369EB">
        <w:rPr>
          <w:rFonts w:ascii="Arial" w:hAnsi="Arial" w:cs="Arial"/>
        </w:rPr>
        <w:t>This background sets the stage for understanding why a comprehensive examination of end-of-life care in UK care homes is both timely and necessary. By exploring both the systemic challenges and the promising practices, we can identify pathways toward ensuring that every care home resident receives the quality of care they deserve at the end of life.</w:t>
      </w:r>
    </w:p>
    <w:p w14:paraId="366EDEB5" w14:textId="77777777" w:rsidR="00F369EB" w:rsidRPr="00F369EB" w:rsidRDefault="00F369EB" w:rsidP="00F369EB">
      <w:pPr>
        <w:spacing w:line="360" w:lineRule="auto"/>
        <w:jc w:val="both"/>
        <w:rPr>
          <w:rFonts w:ascii="Arial" w:hAnsi="Arial" w:cs="Arial"/>
        </w:rPr>
      </w:pPr>
      <w:r w:rsidRPr="00F369EB">
        <w:rPr>
          <w:rFonts w:ascii="Arial" w:hAnsi="Arial" w:cs="Arial"/>
          <w:b/>
          <w:bCs/>
        </w:rPr>
        <w:t>Methods</w:t>
      </w:r>
    </w:p>
    <w:p w14:paraId="56629DCB" w14:textId="77777777" w:rsidR="00F369EB" w:rsidRPr="00F369EB" w:rsidRDefault="00F369EB" w:rsidP="00F369EB">
      <w:pPr>
        <w:spacing w:line="360" w:lineRule="auto"/>
        <w:jc w:val="both"/>
        <w:rPr>
          <w:rFonts w:ascii="Arial" w:hAnsi="Arial" w:cs="Arial"/>
        </w:rPr>
      </w:pPr>
      <w:r w:rsidRPr="00F369EB">
        <w:rPr>
          <w:rFonts w:ascii="Arial" w:hAnsi="Arial" w:cs="Arial"/>
        </w:rPr>
        <w:t>This scoping review was conducted following the established framework for scoping studies to map the key concepts and evidence available on end-of-life care in UK care homes (Arksey &amp; O'Malley, 2005). The approach was designed to systematically identify, select, and synthesise relevant peer-reviewed literature to address the review question.</w:t>
      </w:r>
    </w:p>
    <w:p w14:paraId="204C5EFF" w14:textId="77777777" w:rsidR="00F369EB" w:rsidRPr="00F369EB" w:rsidRDefault="00F369EB" w:rsidP="00F369EB">
      <w:pPr>
        <w:spacing w:line="360" w:lineRule="auto"/>
        <w:jc w:val="both"/>
        <w:rPr>
          <w:rFonts w:ascii="Arial" w:hAnsi="Arial" w:cs="Arial"/>
        </w:rPr>
      </w:pPr>
      <w:r w:rsidRPr="00F369EB">
        <w:rPr>
          <w:rFonts w:ascii="Arial" w:hAnsi="Arial" w:cs="Arial"/>
          <w:b/>
          <w:bCs/>
        </w:rPr>
        <w:t>Search Strategy and Data Collection</w:t>
      </w:r>
    </w:p>
    <w:p w14:paraId="2CE525D8" w14:textId="77777777" w:rsidR="00F369EB" w:rsidRPr="00F369EB" w:rsidRDefault="00F369EB" w:rsidP="00F369EB">
      <w:pPr>
        <w:spacing w:line="360" w:lineRule="auto"/>
        <w:jc w:val="both"/>
        <w:rPr>
          <w:rFonts w:ascii="Arial" w:hAnsi="Arial" w:cs="Arial"/>
        </w:rPr>
      </w:pPr>
      <w:r w:rsidRPr="00F369EB">
        <w:rPr>
          <w:rFonts w:ascii="Arial" w:hAnsi="Arial" w:cs="Arial"/>
        </w:rPr>
        <w:t>A comprehensive search was conducted using electronic academic databases including PubMed, Google Scholar, and the University of Wales Trinity Saint David (UWTSD) Library database. The search strategy employed key terms and Boolean operators to maximise relevant results: ("end of life care" OR "palliative care") AND ("care home" OR "nursing home") AND ("United Kingdom" OR UK) AND (dementia).</w:t>
      </w:r>
    </w:p>
    <w:p w14:paraId="6DE994B3" w14:textId="7E8F967A" w:rsidR="00F369EB" w:rsidRPr="00F369EB" w:rsidRDefault="00F369EB" w:rsidP="00F369EB">
      <w:pPr>
        <w:spacing w:line="360" w:lineRule="auto"/>
        <w:jc w:val="both"/>
        <w:rPr>
          <w:rFonts w:ascii="Arial" w:hAnsi="Arial" w:cs="Arial"/>
        </w:rPr>
      </w:pPr>
      <w:r w:rsidRPr="00F369EB">
        <w:rPr>
          <w:rFonts w:ascii="Arial" w:hAnsi="Arial" w:cs="Arial"/>
        </w:rPr>
        <w:t xml:space="preserve">The initial search was limited to articles published between 2011 and 2024 to ensure the findings reflected current care contexts and policies, while also capturing the influential </w:t>
      </w:r>
      <w:r w:rsidRPr="00F369EB">
        <w:rPr>
          <w:rFonts w:ascii="Arial" w:hAnsi="Arial" w:cs="Arial"/>
        </w:rPr>
        <w:lastRenderedPageBreak/>
        <w:t xml:space="preserve">economic study by McBride et al. from 2011. This </w:t>
      </w:r>
      <w:r w:rsidR="00F1045E" w:rsidRPr="00F369EB">
        <w:rPr>
          <w:rFonts w:ascii="Arial" w:hAnsi="Arial" w:cs="Arial"/>
        </w:rPr>
        <w:t>period</w:t>
      </w:r>
      <w:r w:rsidRPr="00F369EB">
        <w:rPr>
          <w:rFonts w:ascii="Arial" w:hAnsi="Arial" w:cs="Arial"/>
        </w:rPr>
        <w:t xml:space="preserve"> captures significant developments in UK end-of-life care, including the implementation of the </w:t>
      </w:r>
      <w:r w:rsidR="00655F00" w:rsidRPr="00F369EB">
        <w:rPr>
          <w:rFonts w:ascii="Arial" w:hAnsi="Arial" w:cs="Arial"/>
        </w:rPr>
        <w:t>End-of-Life</w:t>
      </w:r>
      <w:r w:rsidRPr="00F369EB">
        <w:rPr>
          <w:rFonts w:ascii="Arial" w:hAnsi="Arial" w:cs="Arial"/>
        </w:rPr>
        <w:t xml:space="preserve"> Care Strategy and the impact of the COVID-19 pandemic.</w:t>
      </w:r>
    </w:p>
    <w:p w14:paraId="34FA90F0" w14:textId="77777777" w:rsidR="00F369EB" w:rsidRPr="00F369EB" w:rsidRDefault="00F369EB" w:rsidP="00F369EB">
      <w:pPr>
        <w:spacing w:line="360" w:lineRule="auto"/>
        <w:jc w:val="both"/>
        <w:rPr>
          <w:rFonts w:ascii="Arial" w:hAnsi="Arial" w:cs="Arial"/>
        </w:rPr>
      </w:pPr>
      <w:r w:rsidRPr="00F369EB">
        <w:rPr>
          <w:rFonts w:ascii="Arial" w:hAnsi="Arial" w:cs="Arial"/>
          <w:b/>
          <w:bCs/>
        </w:rPr>
        <w:t>Inclusion and Exclusion Criteria</w:t>
      </w:r>
    </w:p>
    <w:p w14:paraId="0B970F0C" w14:textId="77777777" w:rsidR="00F369EB" w:rsidRPr="00F369EB" w:rsidRDefault="00F369EB" w:rsidP="00F369EB">
      <w:pPr>
        <w:spacing w:line="360" w:lineRule="auto"/>
        <w:jc w:val="both"/>
        <w:rPr>
          <w:rFonts w:ascii="Arial" w:hAnsi="Arial" w:cs="Arial"/>
        </w:rPr>
      </w:pPr>
      <w:r w:rsidRPr="00F369EB">
        <w:rPr>
          <w:rFonts w:ascii="Arial" w:hAnsi="Arial" w:cs="Arial"/>
        </w:rPr>
        <w:t>Studies were included if they met the following criteria:</w:t>
      </w:r>
    </w:p>
    <w:p w14:paraId="3D28FA41" w14:textId="7BCDF3C3" w:rsidR="00F369EB" w:rsidRPr="00F369EB" w:rsidRDefault="00F369EB" w:rsidP="00F369EB">
      <w:pPr>
        <w:numPr>
          <w:ilvl w:val="0"/>
          <w:numId w:val="16"/>
        </w:numPr>
        <w:spacing w:line="360" w:lineRule="auto"/>
        <w:jc w:val="both"/>
        <w:rPr>
          <w:rFonts w:ascii="Arial" w:hAnsi="Arial" w:cs="Arial"/>
        </w:rPr>
      </w:pPr>
      <w:r w:rsidRPr="00F369EB">
        <w:rPr>
          <w:rFonts w:ascii="Arial" w:hAnsi="Arial" w:cs="Arial"/>
        </w:rPr>
        <w:t xml:space="preserve">Focused on end-of-life or palliative care in care home </w:t>
      </w:r>
      <w:r w:rsidR="00655F00" w:rsidRPr="00F369EB">
        <w:rPr>
          <w:rFonts w:ascii="Arial" w:hAnsi="Arial" w:cs="Arial"/>
        </w:rPr>
        <w:t>settings.</w:t>
      </w:r>
    </w:p>
    <w:p w14:paraId="6815609C" w14:textId="77777777" w:rsidR="00F369EB" w:rsidRPr="00F369EB" w:rsidRDefault="00F369EB" w:rsidP="00F369EB">
      <w:pPr>
        <w:numPr>
          <w:ilvl w:val="0"/>
          <w:numId w:val="16"/>
        </w:numPr>
        <w:spacing w:line="360" w:lineRule="auto"/>
        <w:jc w:val="both"/>
        <w:rPr>
          <w:rFonts w:ascii="Arial" w:hAnsi="Arial" w:cs="Arial"/>
        </w:rPr>
      </w:pPr>
      <w:r w:rsidRPr="00F369EB">
        <w:rPr>
          <w:rFonts w:ascii="Arial" w:hAnsi="Arial" w:cs="Arial"/>
        </w:rPr>
        <w:t>Conducted in the United Kingdom</w:t>
      </w:r>
    </w:p>
    <w:p w14:paraId="17282813" w14:textId="04AFFD14" w:rsidR="00F369EB" w:rsidRPr="00F369EB" w:rsidRDefault="00F369EB" w:rsidP="00F369EB">
      <w:pPr>
        <w:numPr>
          <w:ilvl w:val="0"/>
          <w:numId w:val="16"/>
        </w:numPr>
        <w:spacing w:line="360" w:lineRule="auto"/>
        <w:jc w:val="both"/>
        <w:rPr>
          <w:rFonts w:ascii="Arial" w:hAnsi="Arial" w:cs="Arial"/>
        </w:rPr>
      </w:pPr>
      <w:r w:rsidRPr="00F369EB">
        <w:rPr>
          <w:rFonts w:ascii="Arial" w:hAnsi="Arial" w:cs="Arial"/>
        </w:rPr>
        <w:t xml:space="preserve">Primary research or systematic reviews published in peer-reviewed </w:t>
      </w:r>
      <w:r w:rsidR="00655F00" w:rsidRPr="00F369EB">
        <w:rPr>
          <w:rFonts w:ascii="Arial" w:hAnsi="Arial" w:cs="Arial"/>
        </w:rPr>
        <w:t>journals.</w:t>
      </w:r>
    </w:p>
    <w:p w14:paraId="7A962DDA" w14:textId="77777777" w:rsidR="00F369EB" w:rsidRPr="00F369EB" w:rsidRDefault="00F369EB" w:rsidP="00F369EB">
      <w:pPr>
        <w:numPr>
          <w:ilvl w:val="0"/>
          <w:numId w:val="16"/>
        </w:numPr>
        <w:spacing w:line="360" w:lineRule="auto"/>
        <w:jc w:val="both"/>
        <w:rPr>
          <w:rFonts w:ascii="Arial" w:hAnsi="Arial" w:cs="Arial"/>
        </w:rPr>
      </w:pPr>
      <w:r w:rsidRPr="00F369EB">
        <w:rPr>
          <w:rFonts w:ascii="Arial" w:hAnsi="Arial" w:cs="Arial"/>
        </w:rPr>
        <w:t>Available in English</w:t>
      </w:r>
    </w:p>
    <w:p w14:paraId="6E69F2F0" w14:textId="77777777" w:rsidR="00F369EB" w:rsidRPr="00F369EB" w:rsidRDefault="00F369EB" w:rsidP="00F369EB">
      <w:pPr>
        <w:spacing w:line="360" w:lineRule="auto"/>
        <w:jc w:val="both"/>
        <w:rPr>
          <w:rFonts w:ascii="Arial" w:hAnsi="Arial" w:cs="Arial"/>
        </w:rPr>
      </w:pPr>
      <w:r w:rsidRPr="00F369EB">
        <w:rPr>
          <w:rFonts w:ascii="Arial" w:hAnsi="Arial" w:cs="Arial"/>
        </w:rPr>
        <w:t>Studies were excluded if they:</w:t>
      </w:r>
    </w:p>
    <w:p w14:paraId="7199CD02" w14:textId="5FEB0175" w:rsidR="00F369EB" w:rsidRPr="00F369EB" w:rsidRDefault="00F369EB" w:rsidP="00F369EB">
      <w:pPr>
        <w:numPr>
          <w:ilvl w:val="0"/>
          <w:numId w:val="17"/>
        </w:numPr>
        <w:spacing w:line="360" w:lineRule="auto"/>
        <w:jc w:val="both"/>
        <w:rPr>
          <w:rFonts w:ascii="Arial" w:hAnsi="Arial" w:cs="Arial"/>
        </w:rPr>
      </w:pPr>
      <w:r w:rsidRPr="00F369EB">
        <w:rPr>
          <w:rFonts w:ascii="Arial" w:hAnsi="Arial" w:cs="Arial"/>
        </w:rPr>
        <w:t xml:space="preserve">Focused solely on hospital or home-based end-of-life </w:t>
      </w:r>
      <w:r w:rsidR="00655F00" w:rsidRPr="00F369EB">
        <w:rPr>
          <w:rFonts w:ascii="Arial" w:hAnsi="Arial" w:cs="Arial"/>
        </w:rPr>
        <w:t>care.</w:t>
      </w:r>
    </w:p>
    <w:p w14:paraId="345AAE41" w14:textId="5841EBF6" w:rsidR="00F369EB" w:rsidRPr="00F369EB" w:rsidRDefault="00F369EB" w:rsidP="00F369EB">
      <w:pPr>
        <w:numPr>
          <w:ilvl w:val="0"/>
          <w:numId w:val="17"/>
        </w:numPr>
        <w:spacing w:line="360" w:lineRule="auto"/>
        <w:jc w:val="both"/>
        <w:rPr>
          <w:rFonts w:ascii="Arial" w:hAnsi="Arial" w:cs="Arial"/>
        </w:rPr>
      </w:pPr>
      <w:r w:rsidRPr="00F369EB">
        <w:rPr>
          <w:rFonts w:ascii="Arial" w:hAnsi="Arial" w:cs="Arial"/>
        </w:rPr>
        <w:t xml:space="preserve">Were conducted outside the </w:t>
      </w:r>
      <w:r w:rsidR="00655F00" w:rsidRPr="00F369EB">
        <w:rPr>
          <w:rFonts w:ascii="Arial" w:hAnsi="Arial" w:cs="Arial"/>
        </w:rPr>
        <w:t>UK.</w:t>
      </w:r>
    </w:p>
    <w:p w14:paraId="15DBB614" w14:textId="26F34784" w:rsidR="00F369EB" w:rsidRPr="00F369EB" w:rsidRDefault="00F369EB" w:rsidP="00F369EB">
      <w:pPr>
        <w:numPr>
          <w:ilvl w:val="0"/>
          <w:numId w:val="17"/>
        </w:numPr>
        <w:spacing w:line="360" w:lineRule="auto"/>
        <w:jc w:val="both"/>
        <w:rPr>
          <w:rFonts w:ascii="Arial" w:hAnsi="Arial" w:cs="Arial"/>
        </w:rPr>
      </w:pPr>
      <w:r w:rsidRPr="00F369EB">
        <w:rPr>
          <w:rFonts w:ascii="Arial" w:hAnsi="Arial" w:cs="Arial"/>
        </w:rPr>
        <w:t xml:space="preserve">Were opinion pieces, editorials, or non-peer-reviewed </w:t>
      </w:r>
      <w:r w:rsidR="00655F00" w:rsidRPr="00F369EB">
        <w:rPr>
          <w:rFonts w:ascii="Arial" w:hAnsi="Arial" w:cs="Arial"/>
        </w:rPr>
        <w:t>publications?</w:t>
      </w:r>
    </w:p>
    <w:p w14:paraId="28E4D52A" w14:textId="294AB33D" w:rsidR="00F369EB" w:rsidRPr="00F369EB" w:rsidRDefault="00F369EB" w:rsidP="00F369EB">
      <w:pPr>
        <w:numPr>
          <w:ilvl w:val="0"/>
          <w:numId w:val="17"/>
        </w:numPr>
        <w:spacing w:line="360" w:lineRule="auto"/>
        <w:jc w:val="both"/>
        <w:rPr>
          <w:rFonts w:ascii="Arial" w:hAnsi="Arial" w:cs="Arial"/>
        </w:rPr>
      </w:pPr>
      <w:r w:rsidRPr="00F369EB">
        <w:rPr>
          <w:rFonts w:ascii="Arial" w:hAnsi="Arial" w:cs="Arial"/>
        </w:rPr>
        <w:t xml:space="preserve">Did not have accessible full </w:t>
      </w:r>
      <w:r w:rsidR="00655F00" w:rsidRPr="00F369EB">
        <w:rPr>
          <w:rFonts w:ascii="Arial" w:hAnsi="Arial" w:cs="Arial"/>
        </w:rPr>
        <w:t>text.</w:t>
      </w:r>
    </w:p>
    <w:p w14:paraId="6DD27310" w14:textId="77777777" w:rsidR="00F369EB" w:rsidRPr="00F369EB" w:rsidRDefault="00F369EB" w:rsidP="00F369EB">
      <w:pPr>
        <w:spacing w:line="360" w:lineRule="auto"/>
        <w:jc w:val="both"/>
        <w:rPr>
          <w:rFonts w:ascii="Arial" w:hAnsi="Arial" w:cs="Arial"/>
        </w:rPr>
      </w:pPr>
      <w:r w:rsidRPr="00F369EB">
        <w:rPr>
          <w:rFonts w:ascii="Arial" w:hAnsi="Arial" w:cs="Arial"/>
          <w:b/>
          <w:bCs/>
        </w:rPr>
        <w:t>Selection Process and Analytical Method</w:t>
      </w:r>
    </w:p>
    <w:p w14:paraId="3D951F9A" w14:textId="77777777" w:rsidR="00F369EB" w:rsidRPr="00F369EB" w:rsidRDefault="00F369EB" w:rsidP="00F369EB">
      <w:pPr>
        <w:spacing w:line="360" w:lineRule="auto"/>
        <w:jc w:val="both"/>
        <w:rPr>
          <w:rFonts w:ascii="Arial" w:hAnsi="Arial" w:cs="Arial"/>
        </w:rPr>
      </w:pPr>
      <w:r w:rsidRPr="00F369EB">
        <w:rPr>
          <w:rFonts w:ascii="Arial" w:hAnsi="Arial" w:cs="Arial"/>
        </w:rPr>
        <w:t>The database searches yielded numerous results, which were screened by title and abstract against the inclusion criteria. Potentially relevant papers were then read in full to determine their suitability for inclusion. </w:t>
      </w:r>
      <w:r w:rsidRPr="00CE0CF0">
        <w:rPr>
          <w:rFonts w:ascii="Arial" w:hAnsi="Arial" w:cs="Arial"/>
        </w:rPr>
        <w:t>Five studies were selected for in-depth analysis</w:t>
      </w:r>
      <w:r w:rsidRPr="00F369EB">
        <w:rPr>
          <w:rFonts w:ascii="Arial" w:hAnsi="Arial" w:cs="Arial"/>
        </w:rPr>
        <w:t> based on their direct relevance to the review question. These were: Kupeli et al. (2016), Hanna et al. (2022), O'Brien et al. (2016), McBride et al. (2011), and Amador et al. (2018).</w:t>
      </w:r>
    </w:p>
    <w:p w14:paraId="1CEA3B47" w14:textId="77777777" w:rsidR="00F369EB" w:rsidRPr="00586241" w:rsidRDefault="00F369EB" w:rsidP="00F369EB">
      <w:pPr>
        <w:spacing w:line="360" w:lineRule="auto"/>
        <w:jc w:val="both"/>
        <w:rPr>
          <w:rFonts w:ascii="Arial" w:hAnsi="Arial" w:cs="Arial"/>
        </w:rPr>
      </w:pPr>
      <w:r w:rsidRPr="00586241">
        <w:rPr>
          <w:rFonts w:ascii="Arial" w:hAnsi="Arial" w:cs="Arial"/>
        </w:rPr>
        <w:t>Data from the selected studies were extracted into a summary table and analysed using thematic analysis following Aveyard's (2014) simplified approach for literature reviews. This involved:</w:t>
      </w:r>
    </w:p>
    <w:p w14:paraId="60F0CE96" w14:textId="77777777" w:rsidR="00F369EB" w:rsidRPr="00F369EB" w:rsidRDefault="00F369EB" w:rsidP="00F369EB">
      <w:pPr>
        <w:numPr>
          <w:ilvl w:val="0"/>
          <w:numId w:val="18"/>
        </w:numPr>
        <w:spacing w:line="360" w:lineRule="auto"/>
        <w:jc w:val="both"/>
        <w:rPr>
          <w:rFonts w:ascii="Arial" w:hAnsi="Arial" w:cs="Arial"/>
        </w:rPr>
      </w:pPr>
      <w:r w:rsidRPr="00F369EB">
        <w:rPr>
          <w:rFonts w:ascii="Arial" w:hAnsi="Arial" w:cs="Arial"/>
        </w:rPr>
        <w:t>Familiarisation with each study's findings through repeated reading and the creation of a summary table</w:t>
      </w:r>
    </w:p>
    <w:p w14:paraId="11322863" w14:textId="77777777" w:rsidR="00F369EB" w:rsidRPr="00F369EB" w:rsidRDefault="00F369EB" w:rsidP="00F369EB">
      <w:pPr>
        <w:numPr>
          <w:ilvl w:val="0"/>
          <w:numId w:val="18"/>
        </w:numPr>
        <w:spacing w:line="360" w:lineRule="auto"/>
        <w:jc w:val="both"/>
        <w:rPr>
          <w:rFonts w:ascii="Arial" w:hAnsi="Arial" w:cs="Arial"/>
        </w:rPr>
      </w:pPr>
      <w:r w:rsidRPr="00F369EB">
        <w:rPr>
          <w:rFonts w:ascii="Arial" w:hAnsi="Arial" w:cs="Arial"/>
        </w:rPr>
        <w:t>Generating initial codes from key findings across the studies</w:t>
      </w:r>
    </w:p>
    <w:p w14:paraId="4C4413EA" w14:textId="77777777" w:rsidR="00F369EB" w:rsidRPr="00F369EB" w:rsidRDefault="00F369EB" w:rsidP="008F5866">
      <w:pPr>
        <w:spacing w:line="360" w:lineRule="auto"/>
        <w:ind w:left="360"/>
        <w:jc w:val="both"/>
        <w:rPr>
          <w:rFonts w:ascii="Arial" w:hAnsi="Arial" w:cs="Arial"/>
        </w:rPr>
      </w:pPr>
      <w:r w:rsidRPr="00F369EB">
        <w:rPr>
          <w:rFonts w:ascii="Arial" w:hAnsi="Arial" w:cs="Arial"/>
        </w:rPr>
        <w:t>Searching for themes by collating codes into potential themes</w:t>
      </w:r>
    </w:p>
    <w:p w14:paraId="6ABCC974" w14:textId="768438BE" w:rsidR="00F369EB" w:rsidRPr="00F369EB" w:rsidRDefault="00F369EB" w:rsidP="00F369EB">
      <w:pPr>
        <w:numPr>
          <w:ilvl w:val="0"/>
          <w:numId w:val="18"/>
        </w:numPr>
        <w:spacing w:line="360" w:lineRule="auto"/>
        <w:jc w:val="both"/>
        <w:rPr>
          <w:rFonts w:ascii="Arial" w:hAnsi="Arial" w:cs="Arial"/>
        </w:rPr>
      </w:pPr>
      <w:r w:rsidRPr="00F369EB">
        <w:rPr>
          <w:rFonts w:ascii="Arial" w:hAnsi="Arial" w:cs="Arial"/>
        </w:rPr>
        <w:t xml:space="preserve">Reviewing and refining themes to ensure they accurately represented the </w:t>
      </w:r>
      <w:r w:rsidR="00655F00" w:rsidRPr="00F369EB">
        <w:rPr>
          <w:rFonts w:ascii="Arial" w:hAnsi="Arial" w:cs="Arial"/>
        </w:rPr>
        <w:t>data.</w:t>
      </w:r>
    </w:p>
    <w:p w14:paraId="678951FC" w14:textId="77777777" w:rsidR="00F369EB" w:rsidRPr="00F369EB" w:rsidRDefault="00F369EB" w:rsidP="00F369EB">
      <w:pPr>
        <w:numPr>
          <w:ilvl w:val="0"/>
          <w:numId w:val="18"/>
        </w:numPr>
        <w:spacing w:line="360" w:lineRule="auto"/>
        <w:jc w:val="both"/>
        <w:rPr>
          <w:rFonts w:ascii="Arial" w:hAnsi="Arial" w:cs="Arial"/>
        </w:rPr>
      </w:pPr>
      <w:r w:rsidRPr="00F369EB">
        <w:rPr>
          <w:rFonts w:ascii="Arial" w:hAnsi="Arial" w:cs="Arial"/>
        </w:rPr>
        <w:t>Defining and naming themes to capture the essence of each</w:t>
      </w:r>
    </w:p>
    <w:p w14:paraId="1A1B3180" w14:textId="77777777" w:rsidR="00F369EB" w:rsidRPr="00F369EB" w:rsidRDefault="00F369EB" w:rsidP="00F369EB">
      <w:pPr>
        <w:spacing w:line="360" w:lineRule="auto"/>
        <w:jc w:val="both"/>
        <w:rPr>
          <w:rFonts w:ascii="Arial" w:hAnsi="Arial" w:cs="Arial"/>
        </w:rPr>
      </w:pPr>
      <w:r w:rsidRPr="00F369EB">
        <w:rPr>
          <w:rFonts w:ascii="Arial" w:hAnsi="Arial" w:cs="Arial"/>
          <w:b/>
          <w:bCs/>
        </w:rPr>
        <w:lastRenderedPageBreak/>
        <w:t>Ethical Considerations</w:t>
      </w:r>
    </w:p>
    <w:p w14:paraId="5476F6FC" w14:textId="108B06BD" w:rsidR="00136B62" w:rsidRPr="00136B62" w:rsidRDefault="00F369EB" w:rsidP="00136B62">
      <w:pPr>
        <w:spacing w:line="360" w:lineRule="auto"/>
        <w:jc w:val="both"/>
        <w:rPr>
          <w:rFonts w:ascii="Arial" w:hAnsi="Arial" w:cs="Arial"/>
        </w:rPr>
      </w:pPr>
      <w:r w:rsidRPr="00F369EB">
        <w:rPr>
          <w:rFonts w:ascii="Arial" w:hAnsi="Arial" w:cs="Arial"/>
        </w:rPr>
        <w:t xml:space="preserve">As this research involved analysis of previously published studies, no primary data collection was required. All articles included were sourced from peer-reviewed journals and properly referenced in accordance with UWTSD Harvard referencing guidelines. The researcher maintained academic integrity by ensuring original analysis and proper attribution of all ideas and findings from the source </w:t>
      </w:r>
      <w:r w:rsidR="00655F00" w:rsidRPr="00F369EB">
        <w:rPr>
          <w:rFonts w:ascii="Arial" w:hAnsi="Arial" w:cs="Arial"/>
        </w:rPr>
        <w:t>materials.</w:t>
      </w:r>
    </w:p>
    <w:p w14:paraId="2E279A69" w14:textId="555BD2EC" w:rsidR="005E6E34" w:rsidRDefault="00136B62" w:rsidP="00136B62">
      <w:pPr>
        <w:spacing w:line="360" w:lineRule="auto"/>
        <w:rPr>
          <w:rFonts w:ascii="Arial" w:hAnsi="Arial" w:cs="Arial"/>
        </w:rPr>
      </w:pPr>
      <w:r w:rsidRPr="00136B62">
        <w:rPr>
          <w:rFonts w:ascii="Arial" w:hAnsi="Arial" w:cs="Arial"/>
          <w:b/>
          <w:bCs/>
        </w:rPr>
        <w:t>Summary of Included Studies</w:t>
      </w:r>
      <w:r w:rsidRPr="00136B62">
        <w:rPr>
          <w:rFonts w:ascii="Arial" w:hAnsi="Arial" w:cs="Arial"/>
        </w:rPr>
        <w:br/>
        <w:t>A summary of the five studies included in this scoping review is presented in Table 1.</w:t>
      </w:r>
    </w:p>
    <w:p w14:paraId="56BCF523" w14:textId="77777777" w:rsidR="005D528A" w:rsidRDefault="005D528A" w:rsidP="00136B62">
      <w:pPr>
        <w:spacing w:line="360" w:lineRule="auto"/>
        <w:rPr>
          <w:rFonts w:ascii="Arial" w:hAnsi="Arial" w:cs="Arial"/>
        </w:rPr>
      </w:pPr>
    </w:p>
    <w:p w14:paraId="08F4D212" w14:textId="77777777" w:rsidR="005D528A" w:rsidRDefault="005D528A" w:rsidP="00136B62">
      <w:pPr>
        <w:spacing w:line="360" w:lineRule="auto"/>
        <w:rPr>
          <w:rFonts w:ascii="Arial" w:hAnsi="Arial" w:cs="Arial"/>
        </w:rPr>
      </w:pPr>
    </w:p>
    <w:p w14:paraId="2B93F794" w14:textId="77777777" w:rsidR="005D528A" w:rsidRDefault="005D528A" w:rsidP="00136B62">
      <w:pPr>
        <w:spacing w:line="360" w:lineRule="auto"/>
        <w:rPr>
          <w:rFonts w:ascii="Arial" w:hAnsi="Arial" w:cs="Arial"/>
        </w:rPr>
      </w:pPr>
    </w:p>
    <w:p w14:paraId="6541DF11" w14:textId="77777777" w:rsidR="005D528A" w:rsidRDefault="005D528A" w:rsidP="00136B62">
      <w:pPr>
        <w:spacing w:line="360" w:lineRule="auto"/>
        <w:rPr>
          <w:rFonts w:ascii="Arial" w:hAnsi="Arial" w:cs="Arial"/>
        </w:rPr>
      </w:pPr>
    </w:p>
    <w:p w14:paraId="40E7594B" w14:textId="77777777" w:rsidR="005D528A" w:rsidRDefault="005D528A" w:rsidP="00136B62">
      <w:pPr>
        <w:spacing w:line="360" w:lineRule="auto"/>
        <w:rPr>
          <w:rFonts w:ascii="Arial" w:hAnsi="Arial" w:cs="Arial"/>
        </w:rPr>
      </w:pPr>
    </w:p>
    <w:p w14:paraId="2C5E3EA7" w14:textId="77777777" w:rsidR="005D528A" w:rsidRDefault="005D528A" w:rsidP="00136B62">
      <w:pPr>
        <w:spacing w:line="360" w:lineRule="auto"/>
        <w:rPr>
          <w:rFonts w:ascii="Arial" w:hAnsi="Arial" w:cs="Arial"/>
        </w:rPr>
      </w:pPr>
    </w:p>
    <w:p w14:paraId="413DEE0A" w14:textId="77777777" w:rsidR="005D528A" w:rsidRDefault="005D528A" w:rsidP="00136B62">
      <w:pPr>
        <w:spacing w:line="360" w:lineRule="auto"/>
        <w:rPr>
          <w:rFonts w:ascii="Arial" w:hAnsi="Arial" w:cs="Arial"/>
        </w:rPr>
      </w:pPr>
    </w:p>
    <w:p w14:paraId="143A6E22" w14:textId="77777777" w:rsidR="005D528A" w:rsidRDefault="005D528A" w:rsidP="00136B62">
      <w:pPr>
        <w:spacing w:line="360" w:lineRule="auto"/>
        <w:rPr>
          <w:rFonts w:ascii="Arial" w:hAnsi="Arial" w:cs="Arial"/>
        </w:rPr>
      </w:pPr>
    </w:p>
    <w:p w14:paraId="2D1DA534" w14:textId="77777777" w:rsidR="005D528A" w:rsidRDefault="005D528A" w:rsidP="00136B62">
      <w:pPr>
        <w:spacing w:line="360" w:lineRule="auto"/>
        <w:rPr>
          <w:rFonts w:ascii="Arial" w:hAnsi="Arial" w:cs="Arial"/>
        </w:rPr>
      </w:pPr>
    </w:p>
    <w:p w14:paraId="6BD8BB73" w14:textId="77777777" w:rsidR="005D528A" w:rsidRDefault="005D528A" w:rsidP="00136B62">
      <w:pPr>
        <w:spacing w:line="360" w:lineRule="auto"/>
        <w:rPr>
          <w:rFonts w:ascii="Arial" w:hAnsi="Arial" w:cs="Arial"/>
        </w:rPr>
      </w:pPr>
    </w:p>
    <w:p w14:paraId="226F5BDE" w14:textId="77777777" w:rsidR="005D528A" w:rsidRDefault="005D528A" w:rsidP="00136B62">
      <w:pPr>
        <w:spacing w:line="360" w:lineRule="auto"/>
        <w:rPr>
          <w:rFonts w:ascii="Arial" w:hAnsi="Arial" w:cs="Arial"/>
        </w:rPr>
      </w:pPr>
    </w:p>
    <w:p w14:paraId="770070F1" w14:textId="77777777" w:rsidR="005D528A" w:rsidRDefault="005D528A" w:rsidP="00136B62">
      <w:pPr>
        <w:spacing w:line="360" w:lineRule="auto"/>
        <w:rPr>
          <w:rFonts w:ascii="Arial" w:hAnsi="Arial" w:cs="Arial"/>
        </w:rPr>
      </w:pPr>
    </w:p>
    <w:p w14:paraId="25F0537B" w14:textId="77777777" w:rsidR="005D528A" w:rsidRDefault="005D528A" w:rsidP="00136B62">
      <w:pPr>
        <w:spacing w:line="360" w:lineRule="auto"/>
        <w:rPr>
          <w:rFonts w:ascii="Arial" w:hAnsi="Arial" w:cs="Arial"/>
        </w:rPr>
      </w:pPr>
    </w:p>
    <w:p w14:paraId="7FBD2A5B" w14:textId="77777777" w:rsidR="00746427" w:rsidRDefault="00746427" w:rsidP="00136B62">
      <w:pPr>
        <w:spacing w:line="360" w:lineRule="auto"/>
        <w:rPr>
          <w:rFonts w:ascii="Arial" w:hAnsi="Arial" w:cs="Arial"/>
        </w:rPr>
      </w:pPr>
    </w:p>
    <w:p w14:paraId="2F9B22D1" w14:textId="77777777" w:rsidR="00746427" w:rsidRDefault="00746427" w:rsidP="00136B62">
      <w:pPr>
        <w:spacing w:line="360" w:lineRule="auto"/>
        <w:rPr>
          <w:rFonts w:ascii="Arial" w:hAnsi="Arial" w:cs="Arial"/>
        </w:rPr>
      </w:pPr>
    </w:p>
    <w:p w14:paraId="38F0755C" w14:textId="77777777" w:rsidR="005D528A" w:rsidRDefault="005D528A" w:rsidP="00136B62">
      <w:pPr>
        <w:spacing w:line="360" w:lineRule="auto"/>
        <w:rPr>
          <w:rFonts w:ascii="Arial" w:hAnsi="Arial" w:cs="Arial"/>
        </w:rPr>
      </w:pPr>
    </w:p>
    <w:p w14:paraId="6D2BBB22" w14:textId="77777777" w:rsidR="005D528A" w:rsidRDefault="005D528A" w:rsidP="00136B62">
      <w:pPr>
        <w:spacing w:line="360" w:lineRule="auto"/>
        <w:rPr>
          <w:rFonts w:ascii="Arial" w:hAnsi="Arial" w:cs="Arial"/>
        </w:rPr>
      </w:pPr>
    </w:p>
    <w:p w14:paraId="2137578C" w14:textId="77777777" w:rsidR="005D528A" w:rsidRPr="005F6C8C" w:rsidRDefault="005D528A" w:rsidP="00136B62">
      <w:pPr>
        <w:spacing w:line="360" w:lineRule="auto"/>
        <w:rPr>
          <w:rFonts w:ascii="Arial" w:hAnsi="Arial" w:cs="Arial"/>
        </w:rPr>
      </w:pPr>
    </w:p>
    <w:tbl>
      <w:tblPr>
        <w:tblStyle w:val="PlainTable1"/>
        <w:tblW w:w="10994" w:type="dxa"/>
        <w:tblInd w:w="-990" w:type="dxa"/>
        <w:tblLook w:val="04A0" w:firstRow="1" w:lastRow="0" w:firstColumn="1" w:lastColumn="0" w:noHBand="0" w:noVBand="1"/>
      </w:tblPr>
      <w:tblGrid>
        <w:gridCol w:w="1411"/>
        <w:gridCol w:w="1701"/>
        <w:gridCol w:w="1804"/>
        <w:gridCol w:w="1305"/>
        <w:gridCol w:w="1978"/>
        <w:gridCol w:w="2795"/>
      </w:tblGrid>
      <w:tr w:rsidR="00342492" w14:paraId="5DE41E16" w14:textId="77777777" w:rsidTr="00384856">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411" w:type="dxa"/>
            <w:shd w:val="clear" w:color="auto" w:fill="A5C9EB" w:themeFill="text2" w:themeFillTint="40"/>
          </w:tcPr>
          <w:p w14:paraId="692F3B0B" w14:textId="77777777" w:rsidR="00342492" w:rsidRDefault="00342492" w:rsidP="00384856">
            <w:pPr>
              <w:rPr>
                <w:rFonts w:ascii="Arial" w:hAnsi="Arial" w:cs="Arial"/>
                <w:b w:val="0"/>
                <w:bCs w:val="0"/>
              </w:rPr>
            </w:pPr>
            <w:r w:rsidRPr="00FB0C63">
              <w:rPr>
                <w:rFonts w:ascii="Arial" w:hAnsi="Arial" w:cs="Arial"/>
              </w:rPr>
              <w:lastRenderedPageBreak/>
              <w:t xml:space="preserve">Authors </w:t>
            </w:r>
          </w:p>
        </w:tc>
        <w:tc>
          <w:tcPr>
            <w:tcW w:w="1701" w:type="dxa"/>
            <w:shd w:val="clear" w:color="auto" w:fill="A5C9EB" w:themeFill="text2" w:themeFillTint="40"/>
          </w:tcPr>
          <w:p w14:paraId="53F906E3" w14:textId="77777777" w:rsidR="00342492" w:rsidRDefault="00342492" w:rsidP="00384856">
            <w:pPr>
              <w:ind w:left="720" w:hanging="72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AA0AE0">
              <w:rPr>
                <w:rFonts w:ascii="Arial" w:hAnsi="Arial" w:cs="Arial"/>
              </w:rPr>
              <w:t>Type of Study</w:t>
            </w:r>
          </w:p>
        </w:tc>
        <w:tc>
          <w:tcPr>
            <w:tcW w:w="1804" w:type="dxa"/>
            <w:shd w:val="clear" w:color="auto" w:fill="A5C9EB" w:themeFill="text2" w:themeFillTint="40"/>
          </w:tcPr>
          <w:p w14:paraId="138A0FE7" w14:textId="77777777" w:rsidR="00342492" w:rsidRDefault="00342492" w:rsidP="00384856">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AA0AE0">
              <w:rPr>
                <w:rFonts w:ascii="Arial" w:hAnsi="Arial" w:cs="Arial"/>
              </w:rPr>
              <w:t xml:space="preserve">Research Method </w:t>
            </w:r>
          </w:p>
        </w:tc>
        <w:tc>
          <w:tcPr>
            <w:tcW w:w="1305" w:type="dxa"/>
            <w:shd w:val="clear" w:color="auto" w:fill="A5C9EB" w:themeFill="text2" w:themeFillTint="40"/>
          </w:tcPr>
          <w:p w14:paraId="3290D7CD" w14:textId="77777777" w:rsidR="00342492" w:rsidRDefault="00342492" w:rsidP="00384856">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9532C">
              <w:rPr>
                <w:rFonts w:ascii="Arial" w:hAnsi="Arial" w:cs="Arial"/>
              </w:rPr>
              <w:t xml:space="preserve">Type of Analysis </w:t>
            </w:r>
          </w:p>
        </w:tc>
        <w:tc>
          <w:tcPr>
            <w:tcW w:w="1978" w:type="dxa"/>
            <w:shd w:val="clear" w:color="auto" w:fill="A5C9EB" w:themeFill="text2" w:themeFillTint="40"/>
          </w:tcPr>
          <w:p w14:paraId="79B3A6DD" w14:textId="77777777" w:rsidR="00342492" w:rsidRDefault="00342492" w:rsidP="00384856">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9532C">
              <w:rPr>
                <w:rFonts w:ascii="Arial" w:hAnsi="Arial" w:cs="Arial"/>
              </w:rPr>
              <w:t xml:space="preserve">Sample Size </w:t>
            </w:r>
          </w:p>
        </w:tc>
        <w:tc>
          <w:tcPr>
            <w:tcW w:w="2795" w:type="dxa"/>
            <w:shd w:val="clear" w:color="auto" w:fill="A5C9EB" w:themeFill="text2" w:themeFillTint="40"/>
          </w:tcPr>
          <w:p w14:paraId="7C1572DA" w14:textId="77777777" w:rsidR="00342492" w:rsidRDefault="00342492" w:rsidP="00384856">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9532C">
              <w:rPr>
                <w:rFonts w:ascii="Arial" w:hAnsi="Arial" w:cs="Arial"/>
              </w:rPr>
              <w:t xml:space="preserve">Main findings </w:t>
            </w:r>
          </w:p>
        </w:tc>
      </w:tr>
      <w:tr w:rsidR="00342492" w14:paraId="776F91A9" w14:textId="77777777" w:rsidTr="00384856">
        <w:trPr>
          <w:cnfStyle w:val="000000100000" w:firstRow="0" w:lastRow="0" w:firstColumn="0" w:lastColumn="0" w:oddVBand="0" w:evenVBand="0" w:oddHBand="1" w:evenHBand="0" w:firstRowFirstColumn="0" w:firstRowLastColumn="0" w:lastRowFirstColumn="0" w:lastRowLastColumn="0"/>
          <w:trHeight w:val="1741"/>
        </w:trPr>
        <w:tc>
          <w:tcPr>
            <w:cnfStyle w:val="001000000000" w:firstRow="0" w:lastRow="0" w:firstColumn="1" w:lastColumn="0" w:oddVBand="0" w:evenVBand="0" w:oddHBand="0" w:evenHBand="0" w:firstRowFirstColumn="0" w:firstRowLastColumn="0" w:lastRowFirstColumn="0" w:lastRowLastColumn="0"/>
            <w:tcW w:w="1411" w:type="dxa"/>
            <w:shd w:val="clear" w:color="auto" w:fill="A5C9EB" w:themeFill="text2" w:themeFillTint="40"/>
          </w:tcPr>
          <w:p w14:paraId="13632CCD" w14:textId="77777777" w:rsidR="00342492" w:rsidRPr="003E433C" w:rsidRDefault="00342492" w:rsidP="00384856">
            <w:pPr>
              <w:rPr>
                <w:rFonts w:ascii="Arial" w:hAnsi="Arial" w:cs="Arial"/>
              </w:rPr>
            </w:pPr>
            <w:r w:rsidRPr="003E433C">
              <w:rPr>
                <w:rFonts w:ascii="Arial" w:hAnsi="Arial" w:cs="Arial"/>
              </w:rPr>
              <w:t xml:space="preserve">Kupeli et al. 2016 </w:t>
            </w:r>
          </w:p>
        </w:tc>
        <w:tc>
          <w:tcPr>
            <w:tcW w:w="1701" w:type="dxa"/>
          </w:tcPr>
          <w:p w14:paraId="5EBA8325"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Systematic Review</w:t>
            </w:r>
          </w:p>
        </w:tc>
        <w:tc>
          <w:tcPr>
            <w:tcW w:w="1804" w:type="dxa"/>
          </w:tcPr>
          <w:p w14:paraId="34461801"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 xml:space="preserve">Secondary research of qualitative and quantitative studies </w:t>
            </w:r>
          </w:p>
        </w:tc>
        <w:tc>
          <w:tcPr>
            <w:tcW w:w="1305" w:type="dxa"/>
          </w:tcPr>
          <w:p w14:paraId="0013B7FB"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Narrative Synthesis / Thematic</w:t>
            </w:r>
          </w:p>
        </w:tc>
        <w:tc>
          <w:tcPr>
            <w:tcW w:w="1978" w:type="dxa"/>
          </w:tcPr>
          <w:p w14:paraId="0F85D4F4"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49 Studies</w:t>
            </w:r>
          </w:p>
        </w:tc>
        <w:tc>
          <w:tcPr>
            <w:tcW w:w="2795" w:type="dxa"/>
          </w:tcPr>
          <w:p w14:paraId="1C475409"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 xml:space="preserve">Tools to measure care confidence exist but are poorly validated. Key components of confidence are self-efficacy and perceived support </w:t>
            </w:r>
          </w:p>
        </w:tc>
      </w:tr>
      <w:tr w:rsidR="00342492" w14:paraId="2B631740" w14:textId="77777777" w:rsidTr="00384856">
        <w:trPr>
          <w:trHeight w:val="2120"/>
        </w:trPr>
        <w:tc>
          <w:tcPr>
            <w:cnfStyle w:val="001000000000" w:firstRow="0" w:lastRow="0" w:firstColumn="1" w:lastColumn="0" w:oddVBand="0" w:evenVBand="0" w:oddHBand="0" w:evenHBand="0" w:firstRowFirstColumn="0" w:firstRowLastColumn="0" w:lastRowFirstColumn="0" w:lastRowLastColumn="0"/>
            <w:tcW w:w="1411" w:type="dxa"/>
            <w:shd w:val="clear" w:color="auto" w:fill="A5C9EB" w:themeFill="text2" w:themeFillTint="40"/>
          </w:tcPr>
          <w:p w14:paraId="0E33F775" w14:textId="7B6E4FE3" w:rsidR="00342492" w:rsidRPr="003E433C" w:rsidRDefault="006B79A4" w:rsidP="00384856">
            <w:pPr>
              <w:rPr>
                <w:rFonts w:ascii="Arial" w:hAnsi="Arial" w:cs="Arial"/>
              </w:rPr>
            </w:pPr>
            <w:r w:rsidRPr="006B79A4">
              <w:rPr>
                <w:rFonts w:ascii="Arial" w:hAnsi="Arial" w:cs="Arial"/>
              </w:rPr>
              <w:t>Hanna, J.R. et al. 2022</w:t>
            </w:r>
          </w:p>
        </w:tc>
        <w:tc>
          <w:tcPr>
            <w:tcW w:w="1701" w:type="dxa"/>
          </w:tcPr>
          <w:p w14:paraId="7AA90F1A" w14:textId="35CEB8F1"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 xml:space="preserve">Primary Research </w:t>
            </w:r>
            <w:r w:rsidR="00655F00" w:rsidRPr="003E433C">
              <w:rPr>
                <w:rFonts w:ascii="Arial" w:hAnsi="Arial" w:cs="Arial"/>
              </w:rPr>
              <w:t>(Cross</w:t>
            </w:r>
            <w:r w:rsidRPr="003E433C">
              <w:rPr>
                <w:rFonts w:ascii="Arial" w:hAnsi="Arial" w:cs="Arial"/>
              </w:rPr>
              <w:t xml:space="preserve"> Sectional </w:t>
            </w:r>
          </w:p>
        </w:tc>
        <w:tc>
          <w:tcPr>
            <w:tcW w:w="1804" w:type="dxa"/>
          </w:tcPr>
          <w:p w14:paraId="42B56336" w14:textId="77777777"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Online questionnaire</w:t>
            </w:r>
          </w:p>
        </w:tc>
        <w:tc>
          <w:tcPr>
            <w:tcW w:w="1305" w:type="dxa"/>
          </w:tcPr>
          <w:p w14:paraId="43ABF7BE" w14:textId="77777777"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Descriptive and inferential statistics</w:t>
            </w:r>
          </w:p>
        </w:tc>
        <w:tc>
          <w:tcPr>
            <w:tcW w:w="1978" w:type="dxa"/>
          </w:tcPr>
          <w:p w14:paraId="374C07CB" w14:textId="77777777"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 xml:space="preserve">184 care home staff </w:t>
            </w:r>
          </w:p>
        </w:tc>
        <w:tc>
          <w:tcPr>
            <w:tcW w:w="2795" w:type="dxa"/>
          </w:tcPr>
          <w:p w14:paraId="7AD3D36E" w14:textId="61B98EE9"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 xml:space="preserve">Significant gaps in </w:t>
            </w:r>
            <w:r w:rsidR="00655F00" w:rsidRPr="003E433C">
              <w:rPr>
                <w:rFonts w:ascii="Arial" w:hAnsi="Arial" w:cs="Arial"/>
              </w:rPr>
              <w:t>end-of-life</w:t>
            </w:r>
            <w:r w:rsidRPr="003E433C">
              <w:rPr>
                <w:rFonts w:ascii="Arial" w:hAnsi="Arial" w:cs="Arial"/>
              </w:rPr>
              <w:t xml:space="preserve"> care knowledge, especially in symptom management. Staff desire more training particularly in communication and complex symptoms. </w:t>
            </w:r>
          </w:p>
        </w:tc>
      </w:tr>
      <w:tr w:rsidR="00342492" w14:paraId="312F9F3B" w14:textId="77777777" w:rsidTr="00384856">
        <w:trPr>
          <w:cnfStyle w:val="000000100000" w:firstRow="0" w:lastRow="0" w:firstColumn="0" w:lastColumn="0" w:oddVBand="0" w:evenVBand="0" w:oddHBand="1" w:evenHBand="0" w:firstRowFirstColumn="0" w:firstRowLastColumn="0" w:lastRowFirstColumn="0" w:lastRowLastColumn="0"/>
          <w:trHeight w:val="2108"/>
        </w:trPr>
        <w:tc>
          <w:tcPr>
            <w:cnfStyle w:val="001000000000" w:firstRow="0" w:lastRow="0" w:firstColumn="1" w:lastColumn="0" w:oddVBand="0" w:evenVBand="0" w:oddHBand="0" w:evenHBand="0" w:firstRowFirstColumn="0" w:firstRowLastColumn="0" w:lastRowFirstColumn="0" w:lastRowLastColumn="0"/>
            <w:tcW w:w="1411" w:type="dxa"/>
            <w:shd w:val="clear" w:color="auto" w:fill="A5C9EB" w:themeFill="text2" w:themeFillTint="40"/>
          </w:tcPr>
          <w:p w14:paraId="137FC87F" w14:textId="42CC6583" w:rsidR="00342492" w:rsidRPr="003E433C" w:rsidRDefault="008A69FF" w:rsidP="00384856">
            <w:pPr>
              <w:rPr>
                <w:rFonts w:ascii="Arial" w:hAnsi="Arial" w:cs="Arial"/>
              </w:rPr>
            </w:pPr>
            <w:r w:rsidRPr="008A69FF">
              <w:rPr>
                <w:rFonts w:ascii="Arial" w:hAnsi="Arial" w:cs="Arial"/>
              </w:rPr>
              <w:t>O'Brien et al., 2016</w:t>
            </w:r>
          </w:p>
        </w:tc>
        <w:tc>
          <w:tcPr>
            <w:tcW w:w="1701" w:type="dxa"/>
          </w:tcPr>
          <w:p w14:paraId="283B663D"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 xml:space="preserve">Primary research (Feasibility Study) </w:t>
            </w:r>
          </w:p>
        </w:tc>
        <w:tc>
          <w:tcPr>
            <w:tcW w:w="1804" w:type="dxa"/>
          </w:tcPr>
          <w:p w14:paraId="09CDEB2F"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 xml:space="preserve">Mixed methods Questionnaires and interviews </w:t>
            </w:r>
          </w:p>
        </w:tc>
        <w:tc>
          <w:tcPr>
            <w:tcW w:w="1305" w:type="dxa"/>
          </w:tcPr>
          <w:p w14:paraId="3BC42651"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 xml:space="preserve">Descriptive Statistics and Thematic Analysis </w:t>
            </w:r>
          </w:p>
        </w:tc>
        <w:tc>
          <w:tcPr>
            <w:tcW w:w="1978" w:type="dxa"/>
          </w:tcPr>
          <w:p w14:paraId="6EFECCC3" w14:textId="6FA38C83" w:rsidR="00342492" w:rsidRPr="003E433C" w:rsidRDefault="00A3442F"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Twelve</w:t>
            </w:r>
            <w:r w:rsidR="00342492" w:rsidRPr="003E433C">
              <w:rPr>
                <w:rFonts w:ascii="Arial" w:hAnsi="Arial" w:cs="Arial"/>
              </w:rPr>
              <w:t xml:space="preserve"> care homes, </w:t>
            </w:r>
            <w:r w:rsidR="00DC66C0" w:rsidRPr="003E433C">
              <w:rPr>
                <w:rFonts w:ascii="Arial" w:hAnsi="Arial" w:cs="Arial"/>
              </w:rPr>
              <w:t>forty-two</w:t>
            </w:r>
            <w:r w:rsidR="00342492" w:rsidRPr="003E433C">
              <w:rPr>
                <w:rFonts w:ascii="Arial" w:hAnsi="Arial" w:cs="Arial"/>
              </w:rPr>
              <w:t xml:space="preserve"> staff, </w:t>
            </w:r>
            <w:r w:rsidR="002C67BE" w:rsidRPr="003E433C">
              <w:rPr>
                <w:rFonts w:ascii="Arial" w:hAnsi="Arial" w:cs="Arial"/>
              </w:rPr>
              <w:t>thirteen</w:t>
            </w:r>
            <w:r w:rsidR="00342492" w:rsidRPr="003E433C">
              <w:rPr>
                <w:rFonts w:ascii="Arial" w:hAnsi="Arial" w:cs="Arial"/>
              </w:rPr>
              <w:t xml:space="preserve"> residents, </w:t>
            </w:r>
            <w:r w:rsidR="002C67BE" w:rsidRPr="003E433C">
              <w:rPr>
                <w:rFonts w:ascii="Arial" w:hAnsi="Arial" w:cs="Arial"/>
              </w:rPr>
              <w:t>seven</w:t>
            </w:r>
            <w:r w:rsidR="00342492" w:rsidRPr="003E433C">
              <w:rPr>
                <w:rFonts w:ascii="Arial" w:hAnsi="Arial" w:cs="Arial"/>
              </w:rPr>
              <w:t xml:space="preserve"> relatives. </w:t>
            </w:r>
          </w:p>
        </w:tc>
        <w:tc>
          <w:tcPr>
            <w:tcW w:w="2795" w:type="dxa"/>
          </w:tcPr>
          <w:p w14:paraId="40023ECA" w14:textId="657880E0"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 xml:space="preserve">A palliative care link nurse is feasible and acceptable. It can improve staff confidence, </w:t>
            </w:r>
            <w:r w:rsidR="00C54362" w:rsidRPr="003E433C">
              <w:rPr>
                <w:rFonts w:ascii="Arial" w:hAnsi="Arial" w:cs="Arial"/>
              </w:rPr>
              <w:t>communication,</w:t>
            </w:r>
            <w:r w:rsidRPr="003E433C">
              <w:rPr>
                <w:rFonts w:ascii="Arial" w:hAnsi="Arial" w:cs="Arial"/>
              </w:rPr>
              <w:t xml:space="preserve"> and collaboration in </w:t>
            </w:r>
            <w:r w:rsidR="00655F00" w:rsidRPr="003E433C">
              <w:rPr>
                <w:rFonts w:ascii="Arial" w:hAnsi="Arial" w:cs="Arial"/>
              </w:rPr>
              <w:t>end-of-life</w:t>
            </w:r>
            <w:r w:rsidRPr="003E433C">
              <w:rPr>
                <w:rFonts w:ascii="Arial" w:hAnsi="Arial" w:cs="Arial"/>
              </w:rPr>
              <w:t xml:space="preserve"> care.</w:t>
            </w:r>
          </w:p>
        </w:tc>
      </w:tr>
      <w:tr w:rsidR="00342492" w14:paraId="5F7507F9" w14:textId="77777777" w:rsidTr="00384856">
        <w:trPr>
          <w:trHeight w:val="2974"/>
        </w:trPr>
        <w:tc>
          <w:tcPr>
            <w:cnfStyle w:val="001000000000" w:firstRow="0" w:lastRow="0" w:firstColumn="1" w:lastColumn="0" w:oddVBand="0" w:evenVBand="0" w:oddHBand="0" w:evenHBand="0" w:firstRowFirstColumn="0" w:firstRowLastColumn="0" w:lastRowFirstColumn="0" w:lastRowLastColumn="0"/>
            <w:tcW w:w="1411" w:type="dxa"/>
            <w:shd w:val="clear" w:color="auto" w:fill="A5C9EB" w:themeFill="text2" w:themeFillTint="40"/>
          </w:tcPr>
          <w:p w14:paraId="0AFC57BA" w14:textId="16797FA9" w:rsidR="00342492" w:rsidRPr="003E433C" w:rsidRDefault="00AE16E2" w:rsidP="00384856">
            <w:pPr>
              <w:rPr>
                <w:rFonts w:ascii="Arial" w:hAnsi="Arial" w:cs="Arial"/>
              </w:rPr>
            </w:pPr>
            <w:r w:rsidRPr="00AE16E2">
              <w:rPr>
                <w:rFonts w:ascii="Arial" w:hAnsi="Arial" w:cs="Arial"/>
              </w:rPr>
              <w:t>McBride et al., 2011</w:t>
            </w:r>
          </w:p>
        </w:tc>
        <w:tc>
          <w:tcPr>
            <w:tcW w:w="1701" w:type="dxa"/>
          </w:tcPr>
          <w:p w14:paraId="0DBE4461" w14:textId="77777777"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Economic Modelling Study</w:t>
            </w:r>
          </w:p>
        </w:tc>
        <w:tc>
          <w:tcPr>
            <w:tcW w:w="1804" w:type="dxa"/>
          </w:tcPr>
          <w:p w14:paraId="5751ED7E" w14:textId="77777777"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Decision Analysis Markov Model</w:t>
            </w:r>
          </w:p>
        </w:tc>
        <w:tc>
          <w:tcPr>
            <w:tcW w:w="1305" w:type="dxa"/>
          </w:tcPr>
          <w:p w14:paraId="7D10D3B6" w14:textId="77777777"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Cost Analysis and scenario modelling</w:t>
            </w:r>
          </w:p>
        </w:tc>
        <w:tc>
          <w:tcPr>
            <w:tcW w:w="1978" w:type="dxa"/>
          </w:tcPr>
          <w:p w14:paraId="0996DE43" w14:textId="397613F3" w:rsidR="00342492" w:rsidRPr="003E433C" w:rsidRDefault="00B173FB"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B173FB">
              <w:rPr>
                <w:rFonts w:ascii="Arial" w:hAnsi="Arial" w:cs="Arial"/>
              </w:rPr>
              <w:t>Modelled 127,000 cancer deaths and 30,000 organ failure deaths</w:t>
            </w:r>
          </w:p>
        </w:tc>
        <w:tc>
          <w:tcPr>
            <w:tcW w:w="2795" w:type="dxa"/>
          </w:tcPr>
          <w:p w14:paraId="7BD96E9A" w14:textId="77777777" w:rsidR="00342492" w:rsidRPr="003E433C" w:rsidRDefault="00342492" w:rsidP="00384856">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E433C">
              <w:rPr>
                <w:rFonts w:ascii="Arial" w:hAnsi="Arial" w:cs="Arial"/>
              </w:rPr>
              <w:t>Community based EoLC us cost effective. Reducing hospital use could release £16-171 million failure deaths to be reinvested in community care, better aligning with patient preferences. Highlights a lack of cost effectiveness data</w:t>
            </w:r>
          </w:p>
        </w:tc>
      </w:tr>
      <w:tr w:rsidR="00342492" w14:paraId="6B0EA60F" w14:textId="77777777" w:rsidTr="00384856">
        <w:trPr>
          <w:cnfStyle w:val="000000100000" w:firstRow="0" w:lastRow="0" w:firstColumn="0" w:lastColumn="0" w:oddVBand="0" w:evenVBand="0" w:oddHBand="1" w:evenHBand="0" w:firstRowFirstColumn="0" w:firstRowLastColumn="0" w:lastRowFirstColumn="0" w:lastRowLastColumn="0"/>
          <w:trHeight w:val="1305"/>
        </w:trPr>
        <w:tc>
          <w:tcPr>
            <w:cnfStyle w:val="001000000000" w:firstRow="0" w:lastRow="0" w:firstColumn="1" w:lastColumn="0" w:oddVBand="0" w:evenVBand="0" w:oddHBand="0" w:evenHBand="0" w:firstRowFirstColumn="0" w:firstRowLastColumn="0" w:lastRowFirstColumn="0" w:lastRowLastColumn="0"/>
            <w:tcW w:w="1411" w:type="dxa"/>
            <w:shd w:val="clear" w:color="auto" w:fill="A5C9EB" w:themeFill="text2" w:themeFillTint="40"/>
          </w:tcPr>
          <w:p w14:paraId="27BFC961" w14:textId="77777777" w:rsidR="00342492" w:rsidRPr="003E433C" w:rsidRDefault="00342492" w:rsidP="00384856">
            <w:pPr>
              <w:rPr>
                <w:rFonts w:ascii="Arial" w:hAnsi="Arial" w:cs="Arial"/>
              </w:rPr>
            </w:pPr>
            <w:r w:rsidRPr="003E433C">
              <w:rPr>
                <w:rFonts w:ascii="Arial" w:hAnsi="Arial" w:cs="Arial"/>
              </w:rPr>
              <w:t>Amador et al.,2018</w:t>
            </w:r>
          </w:p>
        </w:tc>
        <w:tc>
          <w:tcPr>
            <w:tcW w:w="1701" w:type="dxa"/>
          </w:tcPr>
          <w:p w14:paraId="039D53A0"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National Service Evaluation</w:t>
            </w:r>
          </w:p>
        </w:tc>
        <w:tc>
          <w:tcPr>
            <w:tcW w:w="1804" w:type="dxa"/>
          </w:tcPr>
          <w:p w14:paraId="459DDC3E"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Online Survey</w:t>
            </w:r>
          </w:p>
        </w:tc>
        <w:tc>
          <w:tcPr>
            <w:tcW w:w="1305" w:type="dxa"/>
          </w:tcPr>
          <w:p w14:paraId="54171C6D"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 xml:space="preserve">Descriptive Statistics </w:t>
            </w:r>
          </w:p>
        </w:tc>
        <w:tc>
          <w:tcPr>
            <w:tcW w:w="1978" w:type="dxa"/>
          </w:tcPr>
          <w:p w14:paraId="15AA5CA3" w14:textId="7777777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 xml:space="preserve">15 UK based EoLC services for people with dementia </w:t>
            </w:r>
          </w:p>
        </w:tc>
        <w:tc>
          <w:tcPr>
            <w:tcW w:w="2795" w:type="dxa"/>
          </w:tcPr>
          <w:p w14:paraId="43B0A74A" w14:textId="4B0445E7" w:rsidR="00342492" w:rsidRPr="003E433C" w:rsidRDefault="00342492" w:rsidP="00384856">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E433C">
              <w:rPr>
                <w:rFonts w:ascii="Arial" w:hAnsi="Arial" w:cs="Arial"/>
              </w:rPr>
              <w:t>Identifies a new model of “Hospice enabled Dementia Care</w:t>
            </w:r>
            <w:r w:rsidR="00095DE3" w:rsidRPr="003E433C">
              <w:rPr>
                <w:rFonts w:ascii="Arial" w:hAnsi="Arial" w:cs="Arial"/>
              </w:rPr>
              <w:t>.”</w:t>
            </w:r>
            <w:r w:rsidRPr="003E433C">
              <w:rPr>
                <w:rFonts w:ascii="Arial" w:hAnsi="Arial" w:cs="Arial"/>
              </w:rPr>
              <w:t xml:space="preserve"> Services are often nurse led and rely on hospice or charity funding. Sustainability depends on clinical leadership and system integration</w:t>
            </w:r>
          </w:p>
        </w:tc>
      </w:tr>
    </w:tbl>
    <w:p w14:paraId="4FF79C2D" w14:textId="77777777" w:rsidR="00342492" w:rsidRPr="007609D7" w:rsidRDefault="00342492" w:rsidP="00136B62">
      <w:pPr>
        <w:spacing w:line="360" w:lineRule="auto"/>
        <w:rPr>
          <w:rFonts w:ascii="Arial" w:hAnsi="Arial" w:cs="Arial"/>
          <w:b/>
          <w:bCs/>
        </w:rPr>
      </w:pPr>
    </w:p>
    <w:p w14:paraId="2194A0CB" w14:textId="77777777" w:rsidR="007609D7" w:rsidRPr="007609D7" w:rsidRDefault="007609D7" w:rsidP="00F969C5">
      <w:pPr>
        <w:spacing w:line="360" w:lineRule="auto"/>
        <w:rPr>
          <w:rFonts w:ascii="Arial" w:hAnsi="Arial" w:cs="Arial"/>
        </w:rPr>
      </w:pPr>
      <w:r w:rsidRPr="007609D7">
        <w:rPr>
          <w:rFonts w:ascii="Arial" w:hAnsi="Arial" w:cs="Arial"/>
          <w:b/>
          <w:bCs/>
        </w:rPr>
        <w:t>Thematic Analysis</w:t>
      </w:r>
      <w:r w:rsidRPr="007609D7">
        <w:rPr>
          <w:rFonts w:ascii="Arial" w:hAnsi="Arial" w:cs="Arial"/>
          <w:b/>
          <w:bCs/>
        </w:rPr>
        <w:br/>
      </w:r>
      <w:r w:rsidRPr="007609D7">
        <w:rPr>
          <w:rFonts w:ascii="Arial" w:hAnsi="Arial" w:cs="Arial"/>
        </w:rPr>
        <w:t xml:space="preserve">Three key themes were identified from the analysis of the included studies: (1) The Centrality of Staff Competence and Confidence, (2) The Development and Implementation of </w:t>
      </w:r>
      <w:r w:rsidRPr="007609D7">
        <w:rPr>
          <w:rFonts w:ascii="Arial" w:hAnsi="Arial" w:cs="Arial"/>
        </w:rPr>
        <w:lastRenderedPageBreak/>
        <w:t>Sustainable Service Models, and (3) The Economic Rationale for Community-Based Care. These themes were developed using Aveyard's (2014) simplified thematic analysis approach by coding the main findings and grouping recurrent ideas supported by multiple sources.</w:t>
      </w:r>
    </w:p>
    <w:p w14:paraId="5DE9442A" w14:textId="77777777" w:rsidR="007609D7" w:rsidRPr="007609D7" w:rsidRDefault="007609D7" w:rsidP="00F969C5">
      <w:pPr>
        <w:spacing w:line="360" w:lineRule="auto"/>
        <w:jc w:val="both"/>
        <w:rPr>
          <w:rFonts w:ascii="Arial" w:hAnsi="Arial" w:cs="Arial"/>
          <w:b/>
          <w:bCs/>
        </w:rPr>
      </w:pPr>
      <w:r w:rsidRPr="007609D7">
        <w:rPr>
          <w:rFonts w:ascii="Arial" w:hAnsi="Arial" w:cs="Arial"/>
          <w:b/>
          <w:bCs/>
        </w:rPr>
        <w:t>Discussion</w:t>
      </w:r>
    </w:p>
    <w:p w14:paraId="4E11181A" w14:textId="60657686" w:rsidR="0028376E" w:rsidRPr="0028376E" w:rsidRDefault="0028376E" w:rsidP="00F969C5">
      <w:pPr>
        <w:spacing w:line="360" w:lineRule="auto"/>
        <w:rPr>
          <w:rFonts w:ascii="Arial" w:hAnsi="Arial" w:cs="Arial"/>
        </w:rPr>
      </w:pPr>
      <w:r w:rsidRPr="0028376E">
        <w:rPr>
          <w:rFonts w:ascii="Arial" w:hAnsi="Arial" w:cs="Arial"/>
          <w:b/>
          <w:bCs/>
        </w:rPr>
        <w:t>Opening Paragraph</w:t>
      </w:r>
      <w:r w:rsidRPr="0028376E">
        <w:rPr>
          <w:rFonts w:ascii="Arial" w:hAnsi="Arial" w:cs="Arial"/>
        </w:rPr>
        <w:br/>
        <w:t>This scoping review sought to synthesize existing evidence to answer the question: "What are the key challenges and potential improvements in providing end-of-life care for people with dementia in UK care homes?" The analysis reveals that quality end-of-life care depends on a synergistic relationship between staff competencies, service structures, and economic factors. The following discussion examines three central themes that emerged from the synthesis.</w:t>
      </w:r>
    </w:p>
    <w:p w14:paraId="0A993BD8" w14:textId="77777777" w:rsidR="00967A2C" w:rsidRDefault="0028376E" w:rsidP="00F969C5">
      <w:pPr>
        <w:spacing w:line="360" w:lineRule="auto"/>
        <w:rPr>
          <w:rFonts w:ascii="Arial" w:hAnsi="Arial" w:cs="Arial"/>
          <w:b/>
          <w:bCs/>
        </w:rPr>
      </w:pPr>
      <w:r w:rsidRPr="0028376E">
        <w:rPr>
          <w:rFonts w:ascii="Arial" w:hAnsi="Arial" w:cs="Arial"/>
          <w:b/>
          <w:bCs/>
        </w:rPr>
        <w:t xml:space="preserve">Theme 1 </w:t>
      </w:r>
    </w:p>
    <w:p w14:paraId="00D6702C" w14:textId="3C725E52" w:rsidR="0028376E" w:rsidRPr="0028376E" w:rsidRDefault="0028376E" w:rsidP="00F969C5">
      <w:pPr>
        <w:spacing w:line="360" w:lineRule="auto"/>
        <w:rPr>
          <w:rFonts w:ascii="Arial" w:hAnsi="Arial" w:cs="Arial"/>
        </w:rPr>
      </w:pPr>
      <w:r w:rsidRPr="0028376E">
        <w:rPr>
          <w:rFonts w:ascii="Arial" w:hAnsi="Arial" w:cs="Arial"/>
          <w:b/>
          <w:bCs/>
        </w:rPr>
        <w:t>The Centrality of Staff Competence and Confidence</w:t>
      </w:r>
      <w:r w:rsidRPr="0028376E">
        <w:rPr>
          <w:rFonts w:ascii="Arial" w:hAnsi="Arial" w:cs="Arial"/>
        </w:rPr>
        <w:br/>
        <w:t>The synthesis of evidence strongly indicates that the knowledge, skills, and self-belief of care staff constitute a foundational pillar for delivering high-quality end-of-life care to people with dementia. This theme reveals a clear narrative, moving from identifying a problem, to defining the core concept, and finally to demonstrating a viable solution. The cross-sectional study by Hanna, J.R. et al. (2022) provides robust, generalisable evidence for a widespread training need, effectively quantifying a critical gap, identifying "significant gaps in end-of-life care knowledge, especially in symptom management" among a substantial sample of 184 care home staff. However, as a cross-sectional survey, it identifies associations but cannot establish the causes of this knowledge gap.</w:t>
      </w:r>
    </w:p>
    <w:p w14:paraId="3D99E97A" w14:textId="41316BB8" w:rsidR="0028376E" w:rsidRPr="0028376E" w:rsidRDefault="0028376E" w:rsidP="00F969C5">
      <w:pPr>
        <w:spacing w:line="360" w:lineRule="auto"/>
        <w:jc w:val="both"/>
        <w:rPr>
          <w:rFonts w:ascii="Arial" w:hAnsi="Arial" w:cs="Arial"/>
        </w:rPr>
      </w:pPr>
      <w:r w:rsidRPr="0028376E">
        <w:rPr>
          <w:rFonts w:ascii="Arial" w:hAnsi="Arial" w:cs="Arial"/>
        </w:rPr>
        <w:t xml:space="preserve">This finding is conceptually underpinned by the systematic review conducted by Kupeli et al. (2016), a comprehensive synthesis which analysed </w:t>
      </w:r>
      <w:r w:rsidR="002C67BE" w:rsidRPr="0028376E">
        <w:rPr>
          <w:rFonts w:ascii="Arial" w:hAnsi="Arial" w:cs="Arial"/>
        </w:rPr>
        <w:t>forty-nine</w:t>
      </w:r>
      <w:r w:rsidRPr="0028376E">
        <w:rPr>
          <w:rFonts w:ascii="Arial" w:hAnsi="Arial" w:cs="Arial"/>
        </w:rPr>
        <w:t xml:space="preserve"> studies to rigorously define the construct of 'confidence.' Their work establishes that confidence is composed of "self-efficacy and perceived support," providing a crucial framework for understanding what needs to be developed in staff. A key limitation noted by the authors, however, is that the tools available to measure this confidence are 'poorly validated,' highlighting a methodological challenge for the field.</w:t>
      </w:r>
    </w:p>
    <w:p w14:paraId="549ECE94" w14:textId="77777777" w:rsidR="0028376E" w:rsidRPr="0028376E" w:rsidRDefault="0028376E" w:rsidP="00F969C5">
      <w:pPr>
        <w:spacing w:line="360" w:lineRule="auto"/>
        <w:jc w:val="both"/>
        <w:rPr>
          <w:rFonts w:ascii="Arial" w:hAnsi="Arial" w:cs="Arial"/>
        </w:rPr>
      </w:pPr>
      <w:r w:rsidRPr="0028376E">
        <w:rPr>
          <w:rFonts w:ascii="Arial" w:hAnsi="Arial" w:cs="Arial"/>
        </w:rPr>
        <w:t xml:space="preserve">Crucially, moving from problem to intervention, the feasibility study by O'Brien et al. (2016) offers valuable, real-world evidence that staff confidence is a modifiable factor. Their mixed-methods research showed that implementing a "palliative care link nurse" was not only feasible but directly successful in "improving staff confidence, communication and collaboration." While its mixed-methods design is a strength, the small-scale, qualitative </w:t>
      </w:r>
      <w:r w:rsidRPr="0028376E">
        <w:rPr>
          <w:rFonts w:ascii="Arial" w:hAnsi="Arial" w:cs="Arial"/>
        </w:rPr>
        <w:lastRenderedPageBreak/>
        <w:t>nature of this study limits its generalisability, proving the concept but leaving questions of broader scalability open.</w:t>
      </w:r>
    </w:p>
    <w:p w14:paraId="6B67E03A" w14:textId="04DE4005" w:rsidR="0028376E" w:rsidRPr="0028376E" w:rsidRDefault="0028376E" w:rsidP="00F969C5">
      <w:pPr>
        <w:spacing w:line="360" w:lineRule="auto"/>
        <w:rPr>
          <w:rFonts w:ascii="Arial" w:hAnsi="Arial" w:cs="Arial"/>
        </w:rPr>
      </w:pPr>
      <w:r w:rsidRPr="0028376E">
        <w:rPr>
          <w:rFonts w:ascii="Arial" w:hAnsi="Arial" w:cs="Arial"/>
          <w:b/>
          <w:bCs/>
        </w:rPr>
        <w:t>Theme 2: The Development and Implementation of Sustainable Service Models</w:t>
      </w:r>
      <w:r w:rsidRPr="0028376E">
        <w:rPr>
          <w:rFonts w:ascii="Arial" w:hAnsi="Arial" w:cs="Arial"/>
          <w:b/>
          <w:bCs/>
        </w:rPr>
        <w:br/>
      </w:r>
      <w:r w:rsidRPr="0028376E">
        <w:rPr>
          <w:rFonts w:ascii="Arial" w:hAnsi="Arial" w:cs="Arial"/>
        </w:rPr>
        <w:t xml:space="preserve">Beyond individual competency, the evidence underscores that the effectiveness of end-of-life care is fundamentally shaped by the structural models through which it is delivered. This theme highlights a critical progression from identifying innovative care frameworks to assessing their practical application in real-world settings. The national service evaluation by Amador et al. (2018) provides a crucial macro-level view of emerging practice, identifying the model of "Hospice enabled Dementia Care" as a promising approach. A key strength of this study is its UK-wide focus, capturing data from </w:t>
      </w:r>
      <w:r w:rsidR="002C67BE" w:rsidRPr="0028376E">
        <w:rPr>
          <w:rFonts w:ascii="Arial" w:hAnsi="Arial" w:cs="Arial"/>
        </w:rPr>
        <w:t>fifteen</w:t>
      </w:r>
      <w:r w:rsidRPr="0028376E">
        <w:rPr>
          <w:rFonts w:ascii="Arial" w:hAnsi="Arial" w:cs="Arial"/>
        </w:rPr>
        <w:t xml:space="preserve"> different services. Its methodological limitation as a descriptive online survey, however, means it identifies correlations and challenges—such as the concerning reliance on "hospice or charity funding"—without proving causation.</w:t>
      </w:r>
    </w:p>
    <w:p w14:paraId="0B11F075" w14:textId="77777777" w:rsidR="0028376E" w:rsidRPr="0028376E" w:rsidRDefault="0028376E" w:rsidP="00F969C5">
      <w:pPr>
        <w:spacing w:line="360" w:lineRule="auto"/>
        <w:jc w:val="both"/>
        <w:rPr>
          <w:rFonts w:ascii="Arial" w:hAnsi="Arial" w:cs="Arial"/>
        </w:rPr>
      </w:pPr>
      <w:r w:rsidRPr="0028376E">
        <w:rPr>
          <w:rFonts w:ascii="Arial" w:hAnsi="Arial" w:cs="Arial"/>
        </w:rPr>
        <w:t>Complementing this macro-view, the feasibility study by O'Brien et al. (2016) provides a micro-level, practical demonstration of how a new service model can be successfully implemented. Their research on the "palliative care link nurse" role acts as a tangible example of the kind of clinical leadership and integrated practice that Amador et al. identify as crucial.</w:t>
      </w:r>
    </w:p>
    <w:p w14:paraId="4A4274D2" w14:textId="77777777" w:rsidR="0028376E" w:rsidRPr="0028376E" w:rsidRDefault="0028376E" w:rsidP="004C5124">
      <w:pPr>
        <w:spacing w:line="360" w:lineRule="auto"/>
        <w:rPr>
          <w:rFonts w:ascii="Arial" w:hAnsi="Arial" w:cs="Arial"/>
        </w:rPr>
      </w:pPr>
      <w:r w:rsidRPr="0028376E">
        <w:rPr>
          <w:rFonts w:ascii="Arial" w:hAnsi="Arial" w:cs="Arial"/>
          <w:b/>
          <w:bCs/>
        </w:rPr>
        <w:t>Theme 3: The Economic Rationale for Community-Based Care</w:t>
      </w:r>
      <w:r w:rsidRPr="0028376E">
        <w:rPr>
          <w:rFonts w:ascii="Arial" w:hAnsi="Arial" w:cs="Arial"/>
          <w:b/>
          <w:bCs/>
        </w:rPr>
        <w:br/>
      </w:r>
      <w:r w:rsidRPr="0028376E">
        <w:rPr>
          <w:rFonts w:ascii="Arial" w:hAnsi="Arial" w:cs="Arial"/>
        </w:rPr>
        <w:t>Providing a crucial macro-perspective, this theme establishes the compelling financial and policy argument for reorienting end-of-life care systems away from hospitals and towards community-based settings. The economic modelling study by McBride et al. (2011) forms the cornerstone of this argument, using a sophisticated decision analysis Markov model to offer a powerful, data-driven projection. This robust modelling allows them to make a powerful claim: not only is community-based end-of-life care cost-effective, but it could also release between "£16-171 million" through reduced hospital use. Crucially, however, the authors themselves highlight that their model points to a fundamental 'lack of cost effectiveness data' in the existing literature, meaning its conclusions, while compelling, are based on simulation rather than primary cost-analysis.</w:t>
      </w:r>
    </w:p>
    <w:p w14:paraId="34D61DD0" w14:textId="77777777" w:rsidR="007609D7" w:rsidRPr="007609D7" w:rsidRDefault="007609D7" w:rsidP="0075689E">
      <w:pPr>
        <w:spacing w:line="360" w:lineRule="auto"/>
        <w:rPr>
          <w:rFonts w:ascii="Arial" w:hAnsi="Arial" w:cs="Arial"/>
        </w:rPr>
      </w:pPr>
      <w:r w:rsidRPr="004C5124">
        <w:rPr>
          <w:rFonts w:ascii="Arial" w:hAnsi="Arial" w:cs="Arial"/>
          <w:b/>
          <w:bCs/>
        </w:rPr>
        <w:t>Concluding</w:t>
      </w:r>
      <w:r w:rsidRPr="00FD33FD">
        <w:rPr>
          <w:rFonts w:ascii="Arial" w:hAnsi="Arial" w:cs="Arial"/>
        </w:rPr>
        <w:t xml:space="preserve"> </w:t>
      </w:r>
      <w:r w:rsidRPr="004C5124">
        <w:rPr>
          <w:rFonts w:ascii="Arial" w:hAnsi="Arial" w:cs="Arial"/>
          <w:b/>
          <w:bCs/>
        </w:rPr>
        <w:t>Paragraphs</w:t>
      </w:r>
      <w:r w:rsidRPr="00FD33FD">
        <w:rPr>
          <w:rFonts w:ascii="Arial" w:hAnsi="Arial" w:cs="Arial"/>
        </w:rPr>
        <w:br/>
        <w:t xml:space="preserve">Collectively, the themes identified in this review present an interdependent model for enhancing end-of-life care for people with dementia. The evidence suggests that sustainable improvement is unlikely to occur by focusing on a single factor in isolation. Instead, the competence and confidence of staff (Theme 1) form the human foundation upon which new service models (Theme 2) are built, and these models, in turn, require the economic justification and resource allocation (Theme 3) to become viable and sustained. This </w:t>
      </w:r>
      <w:r w:rsidRPr="00FD33FD">
        <w:rPr>
          <w:rFonts w:ascii="Arial" w:hAnsi="Arial" w:cs="Arial"/>
        </w:rPr>
        <w:lastRenderedPageBreak/>
        <w:t>synthesis powerfully demonstrates that staff training initiatives, such as the link nurse role, are not merely "add-ons" but are fundamental components that must be integrated into</w:t>
      </w:r>
      <w:r w:rsidRPr="007609D7">
        <w:rPr>
          <w:rFonts w:ascii="Arial" w:hAnsi="Arial" w:cs="Arial"/>
        </w:rPr>
        <w:t xml:space="preserve"> strategically funded and systemically supported care models like Hospice Enabled Dementia Care.</w:t>
      </w:r>
    </w:p>
    <w:p w14:paraId="2F992060" w14:textId="33753351" w:rsidR="00594C70" w:rsidRDefault="007609D7" w:rsidP="00F64E8E">
      <w:pPr>
        <w:spacing w:line="360" w:lineRule="auto"/>
        <w:jc w:val="both"/>
        <w:rPr>
          <w:rFonts w:ascii="Arial" w:hAnsi="Arial" w:cs="Arial"/>
        </w:rPr>
      </w:pPr>
      <w:r w:rsidRPr="007609D7">
        <w:rPr>
          <w:rFonts w:ascii="Arial" w:hAnsi="Arial" w:cs="Arial"/>
        </w:rPr>
        <w:t xml:space="preserve">Despite these clear insights, this review has limitations, primarily reflecting the limitations of the existing evidence base. The small-scale, qualitative nature of several key studies (O'Brien et al., 2016; Amador et al., 2018) provides rich detail but limits generalisability, while the economic evidence, though powerful, is modelled and highlights a stark lack of primary cost-effectiveness data (McBride et al., 2011). The COVID-19 pandemic further complicated this landscape, creating both challenges and opportunities for end-of-life care delivery (Hanna et al., 2022; Bradshaw et al., 2023). Therefore, recommendations for future practice must be tentative yet strategic. Policymakers and commissioners should prioritise the funding of integrated, community-based models that explicitly incorporate clinical leadership and staff confidence-building roles. Furthermore, there is an urgent need for future research to conduct large-scale, longitudinal studies to evaluate the long-term sustainability of these models and to undertake robust primary economic evaluations to solidify the financial case for this crucial shift in care. </w:t>
      </w:r>
      <w:r w:rsidR="00D73111" w:rsidRPr="007609D7">
        <w:rPr>
          <w:rFonts w:ascii="Arial" w:hAnsi="Arial" w:cs="Arial"/>
        </w:rPr>
        <w:t>This</w:t>
      </w:r>
      <w:r w:rsidRPr="007609D7">
        <w:rPr>
          <w:rFonts w:ascii="Arial" w:hAnsi="Arial" w:cs="Arial"/>
        </w:rPr>
        <w:t xml:space="preserve"> review concludes that by strategically aligning staff development, service innovation, and economic investment, a significant and sustainable improvement in the quality of end-of-life care for people with dementia is an achievable goal.</w:t>
      </w:r>
    </w:p>
    <w:p w14:paraId="710653B1" w14:textId="37C22F30" w:rsidR="003573C2" w:rsidRPr="0075689E" w:rsidRDefault="00832357" w:rsidP="00F64E8E">
      <w:pPr>
        <w:spacing w:line="360" w:lineRule="auto"/>
        <w:jc w:val="both"/>
        <w:rPr>
          <w:rFonts w:ascii="Arial" w:hAnsi="Arial" w:cs="Arial"/>
        </w:rPr>
      </w:pPr>
      <w:r>
        <w:rPr>
          <w:rFonts w:ascii="Arial" w:hAnsi="Arial" w:cs="Arial"/>
          <w:b/>
          <w:bCs/>
        </w:rPr>
        <w:t xml:space="preserve"> Recommen</w:t>
      </w:r>
      <w:r w:rsidR="0075689E">
        <w:rPr>
          <w:rFonts w:ascii="Arial" w:hAnsi="Arial" w:cs="Arial"/>
          <w:b/>
          <w:bCs/>
        </w:rPr>
        <w:t>dation</w:t>
      </w:r>
    </w:p>
    <w:p w14:paraId="1AC5ABDB" w14:textId="77777777" w:rsidR="003573C2" w:rsidRPr="003573C2" w:rsidRDefault="003573C2" w:rsidP="00F64E8E">
      <w:pPr>
        <w:spacing w:line="360" w:lineRule="auto"/>
        <w:jc w:val="both"/>
        <w:rPr>
          <w:rFonts w:ascii="Arial" w:hAnsi="Arial" w:cs="Arial"/>
        </w:rPr>
      </w:pPr>
      <w:r w:rsidRPr="003573C2">
        <w:rPr>
          <w:rFonts w:ascii="Arial" w:hAnsi="Arial" w:cs="Arial"/>
        </w:rPr>
        <w:t>Based on the synthesis of evidence in this review, the following recommendations are proposed to enhance the quality of end-of-life care for people with dementia in UK care homes.</w:t>
      </w:r>
    </w:p>
    <w:p w14:paraId="2C5EC275" w14:textId="77777777" w:rsidR="003573C2" w:rsidRPr="003573C2" w:rsidRDefault="003573C2" w:rsidP="00F64E8E">
      <w:pPr>
        <w:spacing w:line="360" w:lineRule="auto"/>
        <w:jc w:val="both"/>
        <w:rPr>
          <w:rFonts w:ascii="Arial" w:hAnsi="Arial" w:cs="Arial"/>
        </w:rPr>
      </w:pPr>
      <w:r w:rsidRPr="003573C2">
        <w:rPr>
          <w:rFonts w:ascii="Arial" w:hAnsi="Arial" w:cs="Arial"/>
          <w:b/>
          <w:bCs/>
        </w:rPr>
        <w:t>For Policy and Commissioning:</w:t>
      </w:r>
    </w:p>
    <w:p w14:paraId="4A56CA6F" w14:textId="77777777" w:rsidR="003573C2" w:rsidRPr="003573C2" w:rsidRDefault="003573C2" w:rsidP="00F64E8E">
      <w:pPr>
        <w:numPr>
          <w:ilvl w:val="0"/>
          <w:numId w:val="19"/>
        </w:numPr>
        <w:spacing w:line="360" w:lineRule="auto"/>
        <w:jc w:val="both"/>
        <w:rPr>
          <w:rFonts w:ascii="Arial" w:hAnsi="Arial" w:cs="Arial"/>
        </w:rPr>
      </w:pPr>
      <w:r w:rsidRPr="003573C2">
        <w:rPr>
          <w:rFonts w:ascii="Arial" w:hAnsi="Arial" w:cs="Arial"/>
          <w:b/>
          <w:bCs/>
        </w:rPr>
        <w:t>Prioritise Integrated Funding Models:</w:t>
      </w:r>
      <w:r w:rsidRPr="003573C2">
        <w:rPr>
          <w:rFonts w:ascii="Arial" w:hAnsi="Arial" w:cs="Arial"/>
        </w:rPr>
        <w:t> Policymakers and clinical commissioning groups (CCGs) should develop and fund integrated care pathways that explicitly support community-based end-of-life care. The economic rationale demonstrated by McBride et al. (2011) should be leveraged to reallocate resources from hospital-based care to sustainable, community-focused models like Hospice Enabled Dementia Care (Amador et al., 2018).</w:t>
      </w:r>
    </w:p>
    <w:p w14:paraId="7EA0EC8C" w14:textId="77777777" w:rsidR="003573C2" w:rsidRPr="003573C2" w:rsidRDefault="003573C2" w:rsidP="00F64E8E">
      <w:pPr>
        <w:numPr>
          <w:ilvl w:val="0"/>
          <w:numId w:val="19"/>
        </w:numPr>
        <w:spacing w:line="360" w:lineRule="auto"/>
        <w:jc w:val="both"/>
        <w:rPr>
          <w:rFonts w:ascii="Arial" w:hAnsi="Arial" w:cs="Arial"/>
        </w:rPr>
      </w:pPr>
      <w:r w:rsidRPr="003573C2">
        <w:rPr>
          <w:rFonts w:ascii="Arial" w:hAnsi="Arial" w:cs="Arial"/>
          <w:b/>
          <w:bCs/>
        </w:rPr>
        <w:t>Mandate Staff Training and Support:</w:t>
      </w:r>
      <w:r w:rsidRPr="003573C2">
        <w:rPr>
          <w:rFonts w:ascii="Arial" w:hAnsi="Arial" w:cs="Arial"/>
        </w:rPr>
        <w:t> National bodies should establish and fund mandatory, standardised training in dementia-specific end-of-life care for all care home staff. This training should focus on building core competencies in symptom management, communication, and advanced care planning, directly addressing the confidence gaps identified by Hanna, J.R. et al. (2022).</w:t>
      </w:r>
    </w:p>
    <w:p w14:paraId="7E9FAA18" w14:textId="77777777" w:rsidR="003573C2" w:rsidRPr="003573C2" w:rsidRDefault="003573C2" w:rsidP="00F64E8E">
      <w:pPr>
        <w:spacing w:line="360" w:lineRule="auto"/>
        <w:rPr>
          <w:rFonts w:ascii="Arial" w:hAnsi="Arial" w:cs="Arial"/>
        </w:rPr>
      </w:pPr>
      <w:r w:rsidRPr="003573C2">
        <w:rPr>
          <w:rFonts w:ascii="Arial" w:hAnsi="Arial" w:cs="Arial"/>
          <w:b/>
          <w:bCs/>
        </w:rPr>
        <w:lastRenderedPageBreak/>
        <w:t>For Care Home Providers and Managers:</w:t>
      </w:r>
      <w:r w:rsidRPr="003573C2">
        <w:rPr>
          <w:rFonts w:ascii="Arial" w:hAnsi="Arial" w:cs="Arial"/>
        </w:rPr>
        <w:br/>
        <w:t>3. </w:t>
      </w:r>
      <w:r w:rsidRPr="003573C2">
        <w:rPr>
          <w:rFonts w:ascii="Arial" w:hAnsi="Arial" w:cs="Arial"/>
          <w:b/>
          <w:bCs/>
        </w:rPr>
        <w:t>Implement Clinical Leadership Roles:</w:t>
      </w:r>
      <w:r w:rsidRPr="003573C2">
        <w:rPr>
          <w:rFonts w:ascii="Arial" w:hAnsi="Arial" w:cs="Arial"/>
        </w:rPr>
        <w:t> Care home organisations should actively introduce and support clinical leadership roles, such as the palliative care link nurse (O'Brien et al., 2016). These roles are vital for mentoring staff, improving internal communication, and facilitating collaboration with external palliative care specialists.</w:t>
      </w:r>
      <w:r w:rsidRPr="003573C2">
        <w:rPr>
          <w:rFonts w:ascii="Arial" w:hAnsi="Arial" w:cs="Arial"/>
        </w:rPr>
        <w:br/>
        <w:t>4. </w:t>
      </w:r>
      <w:r w:rsidRPr="003573C2">
        <w:rPr>
          <w:rFonts w:ascii="Arial" w:hAnsi="Arial" w:cs="Arial"/>
          <w:b/>
          <w:bCs/>
        </w:rPr>
        <w:t>Embed Confidence-Building Practices:</w:t>
      </w:r>
      <w:r w:rsidRPr="003573C2">
        <w:rPr>
          <w:rFonts w:ascii="Arial" w:hAnsi="Arial" w:cs="Arial"/>
        </w:rPr>
        <w:t> Management should foster a supportive environment that prioritises staff well-being and continuous professional development. This includes creating protected time for reflective practice, peer support, and access to ongoing training, thereby building the "self-efficacy and perceived support" that Kupeli et al. (2016) define as central to confidence.</w:t>
      </w:r>
    </w:p>
    <w:p w14:paraId="3C13DFE9" w14:textId="77777777" w:rsidR="00DE31CD" w:rsidRDefault="003573C2" w:rsidP="00DE31CD">
      <w:pPr>
        <w:spacing w:line="360" w:lineRule="auto"/>
        <w:rPr>
          <w:rFonts w:ascii="Arial" w:hAnsi="Arial" w:cs="Arial"/>
        </w:rPr>
      </w:pPr>
      <w:r w:rsidRPr="003573C2">
        <w:rPr>
          <w:rFonts w:ascii="Arial" w:hAnsi="Arial" w:cs="Arial"/>
          <w:b/>
          <w:bCs/>
        </w:rPr>
        <w:t>For Future Research</w:t>
      </w:r>
      <w:r w:rsidRPr="003573C2">
        <w:rPr>
          <w:rFonts w:ascii="Arial" w:hAnsi="Arial" w:cs="Arial"/>
        </w:rPr>
        <w:br/>
        <w:t>5. </w:t>
      </w:r>
      <w:r w:rsidRPr="003573C2">
        <w:rPr>
          <w:rFonts w:ascii="Arial" w:hAnsi="Arial" w:cs="Arial"/>
          <w:b/>
          <w:bCs/>
        </w:rPr>
        <w:t>Conduct Robust Economic Evaluations:</w:t>
      </w:r>
      <w:r w:rsidRPr="003573C2">
        <w:rPr>
          <w:rFonts w:ascii="Arial" w:hAnsi="Arial" w:cs="Arial"/>
        </w:rPr>
        <w:t> There is an urgent need for large-scale, primary research into the cost-effectiveness of different end-of-life care models in care homes. Future studies must move beyond modelling, as highlighted by McBride et al. (2011), to provide concrete data for commissioners.</w:t>
      </w:r>
      <w:r w:rsidRPr="003573C2">
        <w:rPr>
          <w:rFonts w:ascii="Arial" w:hAnsi="Arial" w:cs="Arial"/>
        </w:rPr>
        <w:br/>
        <w:t>6. </w:t>
      </w:r>
      <w:r w:rsidRPr="003573C2">
        <w:rPr>
          <w:rFonts w:ascii="Arial" w:hAnsi="Arial" w:cs="Arial"/>
          <w:b/>
          <w:bCs/>
        </w:rPr>
        <w:t>Evaluate Scalability and Long-Term Impact:</w:t>
      </w:r>
      <w:r w:rsidRPr="003573C2">
        <w:rPr>
          <w:rFonts w:ascii="Arial" w:hAnsi="Arial" w:cs="Arial"/>
        </w:rPr>
        <w:t> Research should focus on longitudinal studies that assess the long-term sustainability, scalability, and impact of promising interventions, such as the link nurse role and Hospice Enabled Dementia Care, beyond small-scale feasibility pilots.</w:t>
      </w:r>
    </w:p>
    <w:p w14:paraId="34CE290F" w14:textId="480D2A12" w:rsidR="007609D7" w:rsidRPr="00DE31CD" w:rsidRDefault="007609D7" w:rsidP="00DE31CD">
      <w:pPr>
        <w:spacing w:line="360" w:lineRule="auto"/>
        <w:rPr>
          <w:rFonts w:ascii="Arial" w:hAnsi="Arial" w:cs="Arial"/>
        </w:rPr>
      </w:pPr>
      <w:r w:rsidRPr="007609D7">
        <w:rPr>
          <w:rFonts w:ascii="Arial" w:hAnsi="Arial" w:cs="Arial"/>
          <w:b/>
          <w:bCs/>
        </w:rPr>
        <w:t>Conclusion</w:t>
      </w:r>
    </w:p>
    <w:p w14:paraId="6409F45C" w14:textId="77777777" w:rsidR="007609D7" w:rsidRPr="007609D7" w:rsidRDefault="007609D7" w:rsidP="00594C70">
      <w:pPr>
        <w:spacing w:line="360" w:lineRule="auto"/>
        <w:jc w:val="both"/>
        <w:rPr>
          <w:rFonts w:ascii="Arial" w:hAnsi="Arial" w:cs="Arial"/>
        </w:rPr>
      </w:pPr>
      <w:r w:rsidRPr="007609D7">
        <w:rPr>
          <w:rFonts w:ascii="Arial" w:hAnsi="Arial" w:cs="Arial"/>
        </w:rPr>
        <w:t>This scoping review set out to identify the key factors influencing the effectiveness of end-of-life care for people with dementia in community and care home settings. Through a systematic synthesis of the literature, it has established that quality care is not dependent on a single solution but emerges from the powerful interplay of three core elements: the competence and confidence of frontline staff, the implementation of sustainable and integrated service models, and a robust economic rationale that justifies investment in community-based care.</w:t>
      </w:r>
    </w:p>
    <w:p w14:paraId="6CF04FB0" w14:textId="77777777" w:rsidR="007609D7" w:rsidRPr="007609D7" w:rsidRDefault="007609D7" w:rsidP="00594C70">
      <w:pPr>
        <w:spacing w:line="360" w:lineRule="auto"/>
        <w:jc w:val="both"/>
        <w:rPr>
          <w:rFonts w:ascii="Arial" w:hAnsi="Arial" w:cs="Arial"/>
        </w:rPr>
      </w:pPr>
      <w:r w:rsidRPr="007609D7">
        <w:rPr>
          <w:rFonts w:ascii="Arial" w:hAnsi="Arial" w:cs="Arial"/>
        </w:rPr>
        <w:t>The analysis demonstrates that these elements are deeply interconnected. Staff confidence (Theme 1) is a prerequisite for the successful operation of new service models (Theme 2), while the economic argument for community care (Theme 3) provides the essential funding and policy leverage to make these models viable and widespread. The findings of this review strongly suggest that initiatives focusing on only one of these areas in isolation are unlikely to achieve lasting success.</w:t>
      </w:r>
    </w:p>
    <w:p w14:paraId="5A2E086C" w14:textId="77777777" w:rsidR="007609D7" w:rsidRPr="007609D7" w:rsidRDefault="007609D7" w:rsidP="00594C70">
      <w:pPr>
        <w:spacing w:line="360" w:lineRule="auto"/>
        <w:jc w:val="both"/>
        <w:rPr>
          <w:rFonts w:ascii="Arial" w:hAnsi="Arial" w:cs="Arial"/>
        </w:rPr>
      </w:pPr>
      <w:r w:rsidRPr="007609D7">
        <w:rPr>
          <w:rFonts w:ascii="Arial" w:hAnsi="Arial" w:cs="Arial"/>
        </w:rPr>
        <w:t xml:space="preserve">Based on this synthesis, two primary recommendations can be made. For practice, commissioners and service providers should prioritise integrated strategies that combine staff development, such as the implementation of link nurse roles, with the co-design of sustainably </w:t>
      </w:r>
      <w:r w:rsidRPr="007609D7">
        <w:rPr>
          <w:rFonts w:ascii="Arial" w:hAnsi="Arial" w:cs="Arial"/>
        </w:rPr>
        <w:lastRenderedPageBreak/>
        <w:t>funded community models like Hospice Enabled Dementia Care. For research, future efforts must address the identified evidence gaps by conducting larger-scale studies and, crucially, robust primary economic evaluations to strengthen the case for resource allocation. In conclusion, by strategically aligning people, processes, and funding, the goal of consistently providing high-quality, person-centred end-of-life care for people with dementia becomes an attainable reality.</w:t>
      </w:r>
    </w:p>
    <w:p w14:paraId="54BCD03A" w14:textId="77777777" w:rsidR="006B4B8F" w:rsidRDefault="006B4B8F" w:rsidP="00594C70">
      <w:pPr>
        <w:spacing w:line="360" w:lineRule="auto"/>
        <w:jc w:val="both"/>
        <w:rPr>
          <w:rFonts w:ascii="Arial" w:hAnsi="Arial" w:cs="Arial"/>
          <w:b/>
          <w:bCs/>
        </w:rPr>
      </w:pPr>
    </w:p>
    <w:p w14:paraId="44DAB0F6" w14:textId="77777777" w:rsidR="006B4B8F" w:rsidRDefault="006B4B8F" w:rsidP="00594C70">
      <w:pPr>
        <w:spacing w:line="360" w:lineRule="auto"/>
        <w:jc w:val="both"/>
        <w:rPr>
          <w:rFonts w:ascii="Arial" w:hAnsi="Arial" w:cs="Arial"/>
          <w:b/>
          <w:bCs/>
        </w:rPr>
      </w:pPr>
    </w:p>
    <w:p w14:paraId="2EAAE82E" w14:textId="77777777" w:rsidR="006B4B8F" w:rsidRDefault="006B4B8F" w:rsidP="000D1F2E">
      <w:pPr>
        <w:rPr>
          <w:rFonts w:ascii="Arial" w:hAnsi="Arial" w:cs="Arial"/>
          <w:b/>
          <w:bCs/>
        </w:rPr>
      </w:pPr>
    </w:p>
    <w:p w14:paraId="47CC4E79" w14:textId="77777777" w:rsidR="006B4B8F" w:rsidRDefault="006B4B8F" w:rsidP="000D1F2E">
      <w:pPr>
        <w:rPr>
          <w:rFonts w:ascii="Arial" w:hAnsi="Arial" w:cs="Arial"/>
          <w:b/>
          <w:bCs/>
        </w:rPr>
      </w:pPr>
    </w:p>
    <w:p w14:paraId="773A7EEE" w14:textId="77777777" w:rsidR="006B4B8F" w:rsidRDefault="006B4B8F" w:rsidP="000D1F2E">
      <w:pPr>
        <w:rPr>
          <w:rFonts w:ascii="Arial" w:hAnsi="Arial" w:cs="Arial"/>
          <w:b/>
          <w:bCs/>
        </w:rPr>
      </w:pPr>
    </w:p>
    <w:p w14:paraId="03F470A5" w14:textId="77777777" w:rsidR="006B4B8F" w:rsidRDefault="006B4B8F" w:rsidP="000D1F2E">
      <w:pPr>
        <w:rPr>
          <w:rFonts w:ascii="Arial" w:hAnsi="Arial" w:cs="Arial"/>
          <w:b/>
          <w:bCs/>
        </w:rPr>
      </w:pPr>
    </w:p>
    <w:p w14:paraId="2856F9D8" w14:textId="77777777" w:rsidR="006B4B8F" w:rsidRDefault="006B4B8F" w:rsidP="000D1F2E">
      <w:pPr>
        <w:rPr>
          <w:rFonts w:ascii="Arial" w:hAnsi="Arial" w:cs="Arial"/>
          <w:b/>
          <w:bCs/>
        </w:rPr>
      </w:pPr>
    </w:p>
    <w:p w14:paraId="598FE5E5" w14:textId="77777777" w:rsidR="006B4B8F" w:rsidRDefault="006B4B8F" w:rsidP="000D1F2E">
      <w:pPr>
        <w:rPr>
          <w:rFonts w:ascii="Arial" w:hAnsi="Arial" w:cs="Arial"/>
          <w:b/>
          <w:bCs/>
        </w:rPr>
      </w:pPr>
    </w:p>
    <w:p w14:paraId="68EB5F0B" w14:textId="77777777" w:rsidR="006B4B8F" w:rsidRDefault="006B4B8F" w:rsidP="000D1F2E">
      <w:pPr>
        <w:rPr>
          <w:rFonts w:ascii="Arial" w:hAnsi="Arial" w:cs="Arial"/>
          <w:b/>
          <w:bCs/>
        </w:rPr>
      </w:pPr>
    </w:p>
    <w:p w14:paraId="6A7F196D" w14:textId="77777777" w:rsidR="00BF33F6" w:rsidRDefault="00BF33F6" w:rsidP="000D1F2E">
      <w:pPr>
        <w:rPr>
          <w:rFonts w:ascii="Arial" w:hAnsi="Arial" w:cs="Arial"/>
          <w:b/>
          <w:bCs/>
        </w:rPr>
      </w:pPr>
    </w:p>
    <w:p w14:paraId="54036F35" w14:textId="77777777" w:rsidR="009D5DA9" w:rsidRDefault="009D5DA9" w:rsidP="00594C70">
      <w:pPr>
        <w:spacing w:line="360" w:lineRule="auto"/>
        <w:jc w:val="both"/>
        <w:rPr>
          <w:rFonts w:ascii="Arial" w:hAnsi="Arial" w:cs="Arial"/>
          <w:b/>
          <w:bCs/>
        </w:rPr>
      </w:pPr>
    </w:p>
    <w:p w14:paraId="584B718E" w14:textId="77777777" w:rsidR="009D5DA9" w:rsidRDefault="009D5DA9" w:rsidP="00594C70">
      <w:pPr>
        <w:spacing w:line="360" w:lineRule="auto"/>
        <w:jc w:val="both"/>
        <w:rPr>
          <w:rFonts w:ascii="Arial" w:hAnsi="Arial" w:cs="Arial"/>
          <w:b/>
          <w:bCs/>
        </w:rPr>
      </w:pPr>
    </w:p>
    <w:p w14:paraId="5BCFC03E" w14:textId="77777777" w:rsidR="009D5DA9" w:rsidRDefault="009D5DA9" w:rsidP="00594C70">
      <w:pPr>
        <w:spacing w:line="360" w:lineRule="auto"/>
        <w:jc w:val="both"/>
        <w:rPr>
          <w:rFonts w:ascii="Arial" w:hAnsi="Arial" w:cs="Arial"/>
          <w:b/>
          <w:bCs/>
        </w:rPr>
      </w:pPr>
    </w:p>
    <w:p w14:paraId="74FF1710" w14:textId="77777777" w:rsidR="009D5DA9" w:rsidRDefault="009D5DA9" w:rsidP="00594C70">
      <w:pPr>
        <w:spacing w:line="360" w:lineRule="auto"/>
        <w:jc w:val="both"/>
        <w:rPr>
          <w:rFonts w:ascii="Arial" w:hAnsi="Arial" w:cs="Arial"/>
          <w:b/>
          <w:bCs/>
        </w:rPr>
      </w:pPr>
    </w:p>
    <w:p w14:paraId="1094F912" w14:textId="77777777" w:rsidR="009D5DA9" w:rsidRDefault="009D5DA9" w:rsidP="00594C70">
      <w:pPr>
        <w:spacing w:line="360" w:lineRule="auto"/>
        <w:jc w:val="both"/>
        <w:rPr>
          <w:rFonts w:ascii="Arial" w:hAnsi="Arial" w:cs="Arial"/>
          <w:b/>
          <w:bCs/>
        </w:rPr>
      </w:pPr>
    </w:p>
    <w:p w14:paraId="00F1F5FE" w14:textId="77777777" w:rsidR="009D5DA9" w:rsidRDefault="009D5DA9" w:rsidP="00594C70">
      <w:pPr>
        <w:spacing w:line="360" w:lineRule="auto"/>
        <w:jc w:val="both"/>
        <w:rPr>
          <w:rFonts w:ascii="Arial" w:hAnsi="Arial" w:cs="Arial"/>
          <w:b/>
          <w:bCs/>
        </w:rPr>
      </w:pPr>
    </w:p>
    <w:p w14:paraId="2DD1A92B" w14:textId="77777777" w:rsidR="009D5DA9" w:rsidRDefault="009D5DA9" w:rsidP="00594C70">
      <w:pPr>
        <w:spacing w:line="360" w:lineRule="auto"/>
        <w:jc w:val="both"/>
        <w:rPr>
          <w:rFonts w:ascii="Arial" w:hAnsi="Arial" w:cs="Arial"/>
          <w:b/>
          <w:bCs/>
        </w:rPr>
      </w:pPr>
    </w:p>
    <w:p w14:paraId="289CD0EE" w14:textId="77777777" w:rsidR="009D5DA9" w:rsidRDefault="009D5DA9" w:rsidP="00594C70">
      <w:pPr>
        <w:spacing w:line="360" w:lineRule="auto"/>
        <w:jc w:val="both"/>
        <w:rPr>
          <w:rFonts w:ascii="Arial" w:hAnsi="Arial" w:cs="Arial"/>
          <w:b/>
          <w:bCs/>
        </w:rPr>
      </w:pPr>
    </w:p>
    <w:p w14:paraId="0408ED4D" w14:textId="77777777" w:rsidR="009D5DA9" w:rsidRDefault="009D5DA9" w:rsidP="00594C70">
      <w:pPr>
        <w:spacing w:line="360" w:lineRule="auto"/>
        <w:jc w:val="both"/>
        <w:rPr>
          <w:rFonts w:ascii="Arial" w:hAnsi="Arial" w:cs="Arial"/>
          <w:b/>
          <w:bCs/>
        </w:rPr>
      </w:pPr>
    </w:p>
    <w:p w14:paraId="206E3188" w14:textId="77777777" w:rsidR="009D5DA9" w:rsidRDefault="009D5DA9" w:rsidP="00594C70">
      <w:pPr>
        <w:spacing w:line="360" w:lineRule="auto"/>
        <w:jc w:val="both"/>
        <w:rPr>
          <w:rFonts w:ascii="Arial" w:hAnsi="Arial" w:cs="Arial"/>
          <w:b/>
          <w:bCs/>
        </w:rPr>
      </w:pPr>
    </w:p>
    <w:p w14:paraId="3F130A51" w14:textId="77777777" w:rsidR="009D5DA9" w:rsidRDefault="009D5DA9" w:rsidP="00594C70">
      <w:pPr>
        <w:spacing w:line="360" w:lineRule="auto"/>
        <w:jc w:val="both"/>
        <w:rPr>
          <w:rFonts w:ascii="Arial" w:hAnsi="Arial" w:cs="Arial"/>
          <w:b/>
          <w:bCs/>
        </w:rPr>
      </w:pPr>
    </w:p>
    <w:p w14:paraId="32C028DE" w14:textId="77777777" w:rsidR="009D5DA9" w:rsidRDefault="009D5DA9" w:rsidP="00594C70">
      <w:pPr>
        <w:spacing w:line="360" w:lineRule="auto"/>
        <w:jc w:val="both"/>
        <w:rPr>
          <w:rFonts w:ascii="Arial" w:hAnsi="Arial" w:cs="Arial"/>
          <w:b/>
          <w:bCs/>
        </w:rPr>
      </w:pPr>
    </w:p>
    <w:p w14:paraId="61180274" w14:textId="77777777" w:rsidR="009D5DA9" w:rsidRDefault="009D5DA9" w:rsidP="00594C70">
      <w:pPr>
        <w:spacing w:line="360" w:lineRule="auto"/>
        <w:jc w:val="both"/>
        <w:rPr>
          <w:rFonts w:ascii="Arial" w:hAnsi="Arial" w:cs="Arial"/>
          <w:b/>
          <w:bCs/>
        </w:rPr>
      </w:pPr>
    </w:p>
    <w:p w14:paraId="1F3C4321" w14:textId="77777777" w:rsidR="00DE31CD" w:rsidRDefault="00DE31CD" w:rsidP="00594C70">
      <w:pPr>
        <w:spacing w:line="360" w:lineRule="auto"/>
        <w:jc w:val="both"/>
        <w:rPr>
          <w:rFonts w:ascii="Arial" w:hAnsi="Arial" w:cs="Arial"/>
          <w:b/>
          <w:bCs/>
        </w:rPr>
      </w:pPr>
    </w:p>
    <w:p w14:paraId="4E8FF130" w14:textId="4EB8B673" w:rsidR="00EE64AB" w:rsidRPr="006B4B8F" w:rsidRDefault="00EE64AB" w:rsidP="00594C70">
      <w:pPr>
        <w:spacing w:line="360" w:lineRule="auto"/>
        <w:jc w:val="both"/>
        <w:rPr>
          <w:rFonts w:ascii="Arial" w:hAnsi="Arial" w:cs="Arial"/>
          <w:b/>
          <w:bCs/>
        </w:rPr>
      </w:pPr>
      <w:r w:rsidRPr="006B4B8F">
        <w:rPr>
          <w:rFonts w:ascii="Arial" w:hAnsi="Arial" w:cs="Arial"/>
          <w:b/>
          <w:bCs/>
        </w:rPr>
        <w:t>References</w:t>
      </w:r>
    </w:p>
    <w:p w14:paraId="06DE2218" w14:textId="47B34E79" w:rsidR="00423EE5" w:rsidRPr="00423EE5" w:rsidRDefault="00423EE5" w:rsidP="00594C70">
      <w:pPr>
        <w:spacing w:line="360" w:lineRule="auto"/>
        <w:jc w:val="both"/>
        <w:rPr>
          <w:rFonts w:ascii="Arial" w:hAnsi="Arial" w:cs="Arial"/>
        </w:rPr>
      </w:pPr>
      <w:r w:rsidRPr="00423EE5">
        <w:rPr>
          <w:rFonts w:ascii="Arial" w:hAnsi="Arial" w:cs="Arial"/>
        </w:rPr>
        <w:t>Amador, S., Goodman, C., Mathie, E. and Nicholson, C. (2018) 'Hospice enabled dementia care: A national service evaluation', Palliative Medicine, 32(1), pp. 123-134.</w:t>
      </w:r>
    </w:p>
    <w:p w14:paraId="12CEB196" w14:textId="77777777" w:rsidR="00423EE5" w:rsidRPr="00423EE5" w:rsidRDefault="00423EE5" w:rsidP="00594C70">
      <w:pPr>
        <w:spacing w:line="360" w:lineRule="auto"/>
        <w:jc w:val="both"/>
        <w:rPr>
          <w:rFonts w:ascii="Arial" w:hAnsi="Arial" w:cs="Arial"/>
        </w:rPr>
      </w:pPr>
      <w:r w:rsidRPr="00423EE5">
        <w:rPr>
          <w:rFonts w:ascii="Arial" w:hAnsi="Arial" w:cs="Arial"/>
        </w:rPr>
        <w:t>Arksey, H. and O'Malley, L. (2005) 'Scoping studies: towards a methodological framework', International Journal of Social Research Methodology, 8(1), pp. 19-32.</w:t>
      </w:r>
    </w:p>
    <w:p w14:paraId="1E7F8A2E" w14:textId="77777777" w:rsidR="00423EE5" w:rsidRPr="00423EE5" w:rsidRDefault="00423EE5" w:rsidP="00594C70">
      <w:pPr>
        <w:spacing w:line="360" w:lineRule="auto"/>
        <w:jc w:val="both"/>
        <w:rPr>
          <w:rFonts w:ascii="Arial" w:hAnsi="Arial" w:cs="Arial"/>
        </w:rPr>
      </w:pPr>
      <w:r w:rsidRPr="00423EE5">
        <w:rPr>
          <w:rFonts w:ascii="Arial" w:hAnsi="Arial" w:cs="Arial"/>
        </w:rPr>
        <w:t>Aveyard, H. (2014) Doing a literature review in health and social care: A practical guide. 3rd edn. Maidenhead: Open University Press.</w:t>
      </w:r>
    </w:p>
    <w:p w14:paraId="1DE4D384" w14:textId="6D6D0D65" w:rsidR="00423EE5" w:rsidRPr="00423EE5" w:rsidRDefault="00423EE5" w:rsidP="00594C70">
      <w:pPr>
        <w:spacing w:line="360" w:lineRule="auto"/>
        <w:jc w:val="both"/>
        <w:rPr>
          <w:rFonts w:ascii="Arial" w:hAnsi="Arial" w:cs="Arial"/>
        </w:rPr>
      </w:pPr>
      <w:r w:rsidRPr="00423EE5">
        <w:rPr>
          <w:rFonts w:ascii="Arial" w:hAnsi="Arial" w:cs="Arial"/>
        </w:rPr>
        <w:t xml:space="preserve">Bradshaw, A., Ostler, S., Goodman, C., Batkovskyte, I., Ellis-Smith, C., Tunnard, I., Bone, A.E., Barclay, S., Vernon, M., Higginson, I.J. and Evans, C.J. (2023) 'Provision of palliative and end-of-life care in UK care homes during the COVID-19 pandemic: A mixed methods observational study with implications for policy', Frontiers in Public Health, </w:t>
      </w:r>
      <w:r w:rsidR="00425238" w:rsidRPr="00425238">
        <w:rPr>
          <w:rFonts w:ascii="Arial" w:hAnsi="Arial" w:cs="Arial"/>
        </w:rPr>
        <w:t>11, p. 1159669.</w:t>
      </w:r>
    </w:p>
    <w:p w14:paraId="6E932965" w14:textId="77777777" w:rsidR="00423EE5" w:rsidRPr="00423EE5" w:rsidRDefault="00423EE5" w:rsidP="00594C70">
      <w:pPr>
        <w:spacing w:line="360" w:lineRule="auto"/>
        <w:jc w:val="both"/>
        <w:rPr>
          <w:rFonts w:ascii="Arial" w:hAnsi="Arial" w:cs="Arial"/>
        </w:rPr>
      </w:pPr>
      <w:r w:rsidRPr="00423EE5">
        <w:rPr>
          <w:rFonts w:ascii="Arial" w:hAnsi="Arial" w:cs="Arial"/>
        </w:rPr>
        <w:t>Clark, C., Fenning, S. and Bowden, J. (2023) 'Lived experiences of end-of-life care at home in the UK: a scoping literature review', BMJ Supportive &amp; Palliative Care, 13(Suppl 3), pp. A11-A11.</w:t>
      </w:r>
    </w:p>
    <w:p w14:paraId="1EA7FB9C" w14:textId="77777777" w:rsidR="00423EE5" w:rsidRPr="00423EE5" w:rsidRDefault="00423EE5" w:rsidP="00594C70">
      <w:pPr>
        <w:spacing w:line="360" w:lineRule="auto"/>
        <w:jc w:val="both"/>
        <w:rPr>
          <w:rFonts w:ascii="Arial" w:hAnsi="Arial" w:cs="Arial"/>
        </w:rPr>
      </w:pPr>
      <w:r w:rsidRPr="00423EE5">
        <w:rPr>
          <w:rFonts w:ascii="Arial" w:hAnsi="Arial" w:cs="Arial"/>
        </w:rPr>
        <w:t>Hanna, J.R., Moore, J.S. and Cockcroft, E. (2022) 'End-of-life care in UK care homes during the COVID-19 pandemic: a cross-sectional online survey', BMC Palliative Care, 21(1), p. 56.</w:t>
      </w:r>
    </w:p>
    <w:p w14:paraId="2D6C4326" w14:textId="77777777" w:rsidR="00423EE5" w:rsidRPr="00423EE5" w:rsidRDefault="00423EE5" w:rsidP="00594C70">
      <w:pPr>
        <w:spacing w:line="360" w:lineRule="auto"/>
        <w:jc w:val="both"/>
        <w:rPr>
          <w:rFonts w:ascii="Arial" w:hAnsi="Arial" w:cs="Arial"/>
        </w:rPr>
      </w:pPr>
      <w:r w:rsidRPr="00423EE5">
        <w:rPr>
          <w:rFonts w:ascii="Arial" w:hAnsi="Arial" w:cs="Arial"/>
        </w:rPr>
        <w:t>Hanna, K., Cannon, J., Gabbay, M., Marlow, P., Mason, S., Rajagopal, M., Shenton, J., Tetlow, H. and Giebel, C. (2022) 'End of life care in UK care homes during the COVID-19 pandemic: a qualitative study', BMC Palliative Care, 21(1), p. 91.</w:t>
      </w:r>
    </w:p>
    <w:p w14:paraId="2D58DA7A" w14:textId="77777777" w:rsidR="00423EE5" w:rsidRPr="00423EE5" w:rsidRDefault="00423EE5" w:rsidP="00594C70">
      <w:pPr>
        <w:spacing w:line="360" w:lineRule="auto"/>
        <w:jc w:val="both"/>
        <w:rPr>
          <w:rFonts w:ascii="Arial" w:hAnsi="Arial" w:cs="Arial"/>
        </w:rPr>
      </w:pPr>
      <w:r w:rsidRPr="00423EE5">
        <w:rPr>
          <w:rFonts w:ascii="Arial" w:hAnsi="Arial" w:cs="Arial"/>
        </w:rPr>
        <w:t>Hockley, J., Watson, J., Johnston, L. and Shenkin, S.D. (2024) 'Practicalities of promoting practice-based learning in end of life care for care home staff: Lessons from "online" supportive conversations and reflection sessions', International Journal of Older People Nursing, 19(1), p. e12598.</w:t>
      </w:r>
    </w:p>
    <w:p w14:paraId="44C253B6" w14:textId="77777777" w:rsidR="00423EE5" w:rsidRPr="00423EE5" w:rsidRDefault="00423EE5" w:rsidP="00594C70">
      <w:pPr>
        <w:spacing w:line="360" w:lineRule="auto"/>
        <w:jc w:val="both"/>
        <w:rPr>
          <w:rFonts w:ascii="Arial" w:hAnsi="Arial" w:cs="Arial"/>
        </w:rPr>
      </w:pPr>
      <w:r w:rsidRPr="00423EE5">
        <w:rPr>
          <w:rFonts w:ascii="Arial" w:hAnsi="Arial" w:cs="Arial"/>
        </w:rPr>
        <w:t>Kelly, F. (2018) 'Review: Family perceptions of care at the end of life in UK nursing care homes', Journal of Research in Nursing, 23(2-3), pp. 218-219.</w:t>
      </w:r>
    </w:p>
    <w:p w14:paraId="6E123B57" w14:textId="77777777" w:rsidR="00423EE5" w:rsidRPr="00423EE5" w:rsidRDefault="00423EE5" w:rsidP="00594C70">
      <w:pPr>
        <w:spacing w:line="360" w:lineRule="auto"/>
        <w:jc w:val="both"/>
        <w:rPr>
          <w:rFonts w:ascii="Arial" w:hAnsi="Arial" w:cs="Arial"/>
        </w:rPr>
      </w:pPr>
      <w:r w:rsidRPr="00423EE5">
        <w:rPr>
          <w:rFonts w:ascii="Arial" w:hAnsi="Arial" w:cs="Arial"/>
        </w:rPr>
        <w:t>Kinley, J., Preston, N. and Froggatt, K. (2018) 'Facilitation of an end-of-life care programme into practice within UK nursing care homes: A mixed-methods study', International Journal of Nursing Studies, 82, pp. 1-10.</w:t>
      </w:r>
    </w:p>
    <w:p w14:paraId="4C7B6AB9" w14:textId="77777777" w:rsidR="00423EE5" w:rsidRPr="00423EE5" w:rsidRDefault="00423EE5" w:rsidP="00694294">
      <w:pPr>
        <w:spacing w:line="360" w:lineRule="auto"/>
        <w:rPr>
          <w:rFonts w:ascii="Arial" w:hAnsi="Arial" w:cs="Arial"/>
        </w:rPr>
      </w:pPr>
      <w:r w:rsidRPr="00423EE5">
        <w:rPr>
          <w:rFonts w:ascii="Arial" w:hAnsi="Arial" w:cs="Arial"/>
        </w:rPr>
        <w:t>Kupeli, N., Leavey, G., Harrington, J., Lord, K. and Nazareth, I. (2016) 'What are the barriers to care integration for those at the advanced stage of dementia living in care homes in the UK? Health care professional perspective', Dementia, 15(6), pp. 1471-1487.</w:t>
      </w:r>
    </w:p>
    <w:p w14:paraId="35BA0743" w14:textId="77777777" w:rsidR="00423EE5" w:rsidRPr="00423EE5" w:rsidRDefault="00423EE5" w:rsidP="00594C70">
      <w:pPr>
        <w:spacing w:line="360" w:lineRule="auto"/>
        <w:jc w:val="both"/>
        <w:rPr>
          <w:rFonts w:ascii="Arial" w:hAnsi="Arial" w:cs="Arial"/>
        </w:rPr>
      </w:pPr>
      <w:r w:rsidRPr="00423EE5">
        <w:rPr>
          <w:rFonts w:ascii="Arial" w:hAnsi="Arial" w:cs="Arial"/>
        </w:rPr>
        <w:lastRenderedPageBreak/>
        <w:t>Kupeli, N., Leavey, G., Moore, K., Harrington, J., Lord, K., King, M., Nazareth, I., Sampson, E.L. and Jones, L. (2016) 'Context, mechanisms and outcomes in end of life care for people with advanced dementia', BMC Palliative Care, 15(1), p. 31.</w:t>
      </w:r>
    </w:p>
    <w:p w14:paraId="3CB556D4" w14:textId="77777777" w:rsidR="00423EE5" w:rsidRPr="00423EE5" w:rsidRDefault="00423EE5" w:rsidP="00594C70">
      <w:pPr>
        <w:spacing w:line="360" w:lineRule="auto"/>
        <w:jc w:val="both"/>
        <w:rPr>
          <w:rFonts w:ascii="Arial" w:hAnsi="Arial" w:cs="Arial"/>
        </w:rPr>
      </w:pPr>
      <w:r w:rsidRPr="00423EE5">
        <w:rPr>
          <w:rFonts w:ascii="Arial" w:hAnsi="Arial" w:cs="Arial"/>
        </w:rPr>
        <w:t>Macgregor, A., Rutherford, A., McCormack, B., Hockley, J., Ogden, M., Soulsby, I., McKenzie, M., Spilsbury, K., Hanratty, B. and Forbat, L. (2021) 'Palliative and end-of-life care in care homes: protocol for codesigning and implementing an appropriate scalable model of Needs Rounds in the UK', BMJ Open, 11(2), p. e049486.</w:t>
      </w:r>
    </w:p>
    <w:p w14:paraId="13D0D36B" w14:textId="77777777" w:rsidR="00423EE5" w:rsidRPr="00423EE5" w:rsidRDefault="00423EE5" w:rsidP="00594C70">
      <w:pPr>
        <w:spacing w:line="360" w:lineRule="auto"/>
        <w:jc w:val="both"/>
        <w:rPr>
          <w:rFonts w:ascii="Arial" w:hAnsi="Arial" w:cs="Arial"/>
        </w:rPr>
      </w:pPr>
      <w:r w:rsidRPr="00423EE5">
        <w:rPr>
          <w:rFonts w:ascii="Arial" w:hAnsi="Arial" w:cs="Arial"/>
        </w:rPr>
        <w:t>Majumder, M., Bowers, B., Pollock, K., Goodman, C., Kuhn, I. and Barclay, S. (2022) 'End of life care in UK care homes -- controlled drugs: systematic review and narrative synthesis', BMJ Supportive &amp; Palliative Care, 12(3), pp. 253-261.</w:t>
      </w:r>
    </w:p>
    <w:p w14:paraId="4D4B5F86" w14:textId="77777777" w:rsidR="00423EE5" w:rsidRPr="00423EE5" w:rsidRDefault="00423EE5" w:rsidP="00594C70">
      <w:pPr>
        <w:spacing w:line="360" w:lineRule="auto"/>
        <w:jc w:val="both"/>
        <w:rPr>
          <w:rFonts w:ascii="Arial" w:hAnsi="Arial" w:cs="Arial"/>
        </w:rPr>
      </w:pPr>
      <w:r w:rsidRPr="00423EE5">
        <w:rPr>
          <w:rFonts w:ascii="Arial" w:hAnsi="Arial" w:cs="Arial"/>
        </w:rPr>
        <w:t>McBride, T., Morton, A., Nichols, A. and van Staa, T. (2011) 'The future cost of end-of-life care in the UK: modelling the impact of policy options', Palliative Medicine, 25(3), pp. 229-239.</w:t>
      </w:r>
    </w:p>
    <w:p w14:paraId="5F9C8599" w14:textId="77777777" w:rsidR="00423EE5" w:rsidRPr="00423EE5" w:rsidRDefault="00423EE5" w:rsidP="00594C70">
      <w:pPr>
        <w:spacing w:line="360" w:lineRule="auto"/>
        <w:jc w:val="both"/>
        <w:rPr>
          <w:rFonts w:ascii="Arial" w:hAnsi="Arial" w:cs="Arial"/>
        </w:rPr>
      </w:pPr>
      <w:r w:rsidRPr="00423EE5">
        <w:rPr>
          <w:rFonts w:ascii="Arial" w:hAnsi="Arial" w:cs="Arial"/>
        </w:rPr>
        <w:t>O'Brien, M., Jack, B. and Kirton, J. (2016) 'The implementation and evaluation of a palliative care link nurse in care homes', International Journal of Palliative Nursing, 22(11), pp. 532-539.</w:t>
      </w:r>
    </w:p>
    <w:p w14:paraId="12BE2A55" w14:textId="77777777" w:rsidR="00423EE5" w:rsidRPr="00423EE5" w:rsidRDefault="00423EE5" w:rsidP="00594C70">
      <w:pPr>
        <w:spacing w:line="360" w:lineRule="auto"/>
        <w:jc w:val="both"/>
        <w:rPr>
          <w:rFonts w:ascii="Arial" w:hAnsi="Arial" w:cs="Arial"/>
        </w:rPr>
      </w:pPr>
      <w:r w:rsidRPr="00423EE5">
        <w:rPr>
          <w:rFonts w:ascii="Arial" w:hAnsi="Arial" w:cs="Arial"/>
        </w:rPr>
        <w:t>Pumphrey, R., Badger, F., Clarke, L., Collette, C., Gill, P., Greenfield, S. and Jackson, A.K. (2009) 'The role of ethnicity in end-of-life care in care homes for older people in the UK: a literature review', Diversity and Equality in Health and Care, 6(1).</w:t>
      </w:r>
    </w:p>
    <w:p w14:paraId="246ABA00" w14:textId="77777777" w:rsidR="00423EE5" w:rsidRPr="00423EE5" w:rsidRDefault="00423EE5" w:rsidP="00594C70">
      <w:pPr>
        <w:spacing w:line="360" w:lineRule="auto"/>
        <w:jc w:val="both"/>
        <w:rPr>
          <w:rFonts w:ascii="Arial" w:hAnsi="Arial" w:cs="Arial"/>
        </w:rPr>
      </w:pPr>
      <w:r w:rsidRPr="00423EE5">
        <w:rPr>
          <w:rFonts w:ascii="Arial" w:hAnsi="Arial" w:cs="Arial"/>
        </w:rPr>
        <w:t>Rolls, L., Seymour, J.E., Froggatt, K.A. and Hanratty, B. (2011) 'Older people living alone at the end of life in the UK: Research and policy challenges', Palliative Medicine, 25(6), pp. 650-657.</w:t>
      </w:r>
    </w:p>
    <w:p w14:paraId="2D6E518A" w14:textId="77777777" w:rsidR="00423EE5" w:rsidRPr="00423EE5" w:rsidRDefault="00423EE5" w:rsidP="00594C70">
      <w:pPr>
        <w:spacing w:line="360" w:lineRule="auto"/>
        <w:jc w:val="both"/>
        <w:rPr>
          <w:rFonts w:ascii="Arial" w:hAnsi="Arial" w:cs="Arial"/>
        </w:rPr>
      </w:pPr>
      <w:r w:rsidRPr="00423EE5">
        <w:rPr>
          <w:rFonts w:ascii="Arial" w:hAnsi="Arial" w:cs="Arial"/>
        </w:rPr>
        <w:t>Seymour, J., Payne, S., Chapman, A. and Holloway, M. (2007) 'Hospice or home? Expectations of end-of-life care among white and Chinese older people in the UK', Sociology of Health &amp; Illness, 29(6), pp. 872-890.</w:t>
      </w:r>
    </w:p>
    <w:p w14:paraId="7C3AF62B" w14:textId="77777777" w:rsidR="00423EE5" w:rsidRPr="00423EE5" w:rsidRDefault="00423EE5" w:rsidP="00594C70">
      <w:pPr>
        <w:spacing w:line="360" w:lineRule="auto"/>
        <w:jc w:val="both"/>
        <w:rPr>
          <w:rFonts w:ascii="Arial" w:hAnsi="Arial" w:cs="Arial"/>
        </w:rPr>
      </w:pPr>
      <w:r w:rsidRPr="00423EE5">
        <w:rPr>
          <w:rFonts w:ascii="Arial" w:hAnsi="Arial" w:cs="Arial"/>
        </w:rPr>
        <w:t>Thomas, T., Kuhn, I. and Barclay, S. (2017) 'Inpatient transfer to a care home for end-of-life care: What are the views and experiences of patients and their relatives? A systematic review and narrative synthesis of the UK literature', Palliative Medicine, 31(2), pp. 102-108.</w:t>
      </w:r>
    </w:p>
    <w:p w14:paraId="78A5B7B7" w14:textId="7D02C40E" w:rsidR="007B0FF0" w:rsidRPr="007609D7" w:rsidRDefault="007B0FF0" w:rsidP="00594C70">
      <w:pPr>
        <w:spacing w:line="360" w:lineRule="auto"/>
        <w:jc w:val="both"/>
        <w:rPr>
          <w:rFonts w:ascii="Arial" w:hAnsi="Arial" w:cs="Arial"/>
        </w:rPr>
      </w:pPr>
    </w:p>
    <w:sectPr w:rsidR="007B0FF0" w:rsidRPr="007609D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A6176" w14:textId="77777777" w:rsidR="002E5BDB" w:rsidRDefault="002E5BDB" w:rsidP="00527A52">
      <w:pPr>
        <w:spacing w:after="0" w:line="240" w:lineRule="auto"/>
      </w:pPr>
      <w:r>
        <w:separator/>
      </w:r>
    </w:p>
  </w:endnote>
  <w:endnote w:type="continuationSeparator" w:id="0">
    <w:p w14:paraId="5658EA0E" w14:textId="77777777" w:rsidR="002E5BDB" w:rsidRDefault="002E5BDB" w:rsidP="00527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082122"/>
      <w:docPartObj>
        <w:docPartGallery w:val="Page Numbers (Bottom of Page)"/>
        <w:docPartUnique/>
      </w:docPartObj>
    </w:sdtPr>
    <w:sdtContent>
      <w:p w14:paraId="2DEB3998" w14:textId="2DDDA145" w:rsidR="00F22564" w:rsidRDefault="00F22564">
        <w:pPr>
          <w:pStyle w:val="Footer"/>
        </w:pPr>
        <w:r>
          <w:fldChar w:fldCharType="begin"/>
        </w:r>
        <w:r>
          <w:instrText>PAGE   \* MERGEFORMAT</w:instrText>
        </w:r>
        <w:r>
          <w:fldChar w:fldCharType="separate"/>
        </w:r>
        <w:r>
          <w:t>2</w:t>
        </w:r>
        <w:r>
          <w:fldChar w:fldCharType="end"/>
        </w:r>
      </w:p>
    </w:sdtContent>
  </w:sdt>
  <w:p w14:paraId="0A06FC46" w14:textId="77777777" w:rsidR="00F22564" w:rsidRDefault="00F22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21B4E" w14:textId="77777777" w:rsidR="002E5BDB" w:rsidRDefault="002E5BDB" w:rsidP="00527A52">
      <w:pPr>
        <w:spacing w:after="0" w:line="240" w:lineRule="auto"/>
      </w:pPr>
      <w:r>
        <w:separator/>
      </w:r>
    </w:p>
  </w:footnote>
  <w:footnote w:type="continuationSeparator" w:id="0">
    <w:p w14:paraId="29CCCF3D" w14:textId="77777777" w:rsidR="002E5BDB" w:rsidRDefault="002E5BDB" w:rsidP="00527A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B26"/>
    <w:multiLevelType w:val="multilevel"/>
    <w:tmpl w:val="17046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828D0"/>
    <w:multiLevelType w:val="multilevel"/>
    <w:tmpl w:val="FCD8A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11BCD"/>
    <w:multiLevelType w:val="multilevel"/>
    <w:tmpl w:val="79D09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033513"/>
    <w:multiLevelType w:val="multilevel"/>
    <w:tmpl w:val="D4602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140743"/>
    <w:multiLevelType w:val="multilevel"/>
    <w:tmpl w:val="8C960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782DA2"/>
    <w:multiLevelType w:val="multilevel"/>
    <w:tmpl w:val="BD6C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642600"/>
    <w:multiLevelType w:val="multilevel"/>
    <w:tmpl w:val="1F34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640463"/>
    <w:multiLevelType w:val="multilevel"/>
    <w:tmpl w:val="02B88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7F0376"/>
    <w:multiLevelType w:val="multilevel"/>
    <w:tmpl w:val="CCBA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81390B"/>
    <w:multiLevelType w:val="multilevel"/>
    <w:tmpl w:val="314A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931DF2"/>
    <w:multiLevelType w:val="multilevel"/>
    <w:tmpl w:val="2A5C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4A44DB"/>
    <w:multiLevelType w:val="multilevel"/>
    <w:tmpl w:val="7F020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79060C"/>
    <w:multiLevelType w:val="multilevel"/>
    <w:tmpl w:val="52C0E264"/>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144F66"/>
    <w:multiLevelType w:val="multilevel"/>
    <w:tmpl w:val="6702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324480"/>
    <w:multiLevelType w:val="multilevel"/>
    <w:tmpl w:val="61D48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B252B9"/>
    <w:multiLevelType w:val="multilevel"/>
    <w:tmpl w:val="8814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074AB1"/>
    <w:multiLevelType w:val="multilevel"/>
    <w:tmpl w:val="5CF8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6E1465"/>
    <w:multiLevelType w:val="multilevel"/>
    <w:tmpl w:val="45E8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053AAC"/>
    <w:multiLevelType w:val="multilevel"/>
    <w:tmpl w:val="151C4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1A406A"/>
    <w:multiLevelType w:val="multilevel"/>
    <w:tmpl w:val="AE6AB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5670544">
    <w:abstractNumId w:val="18"/>
  </w:num>
  <w:num w:numId="2" w16cid:durableId="610168575">
    <w:abstractNumId w:val="0"/>
  </w:num>
  <w:num w:numId="3" w16cid:durableId="1564221946">
    <w:abstractNumId w:val="1"/>
  </w:num>
  <w:num w:numId="4" w16cid:durableId="1739325747">
    <w:abstractNumId w:val="4"/>
  </w:num>
  <w:num w:numId="5" w16cid:durableId="2082478353">
    <w:abstractNumId w:val="5"/>
  </w:num>
  <w:num w:numId="6" w16cid:durableId="1043678281">
    <w:abstractNumId w:val="15"/>
  </w:num>
  <w:num w:numId="7" w16cid:durableId="1371684407">
    <w:abstractNumId w:val="12"/>
  </w:num>
  <w:num w:numId="8" w16cid:durableId="416249792">
    <w:abstractNumId w:val="8"/>
  </w:num>
  <w:num w:numId="9" w16cid:durableId="891233100">
    <w:abstractNumId w:val="13"/>
  </w:num>
  <w:num w:numId="10" w16cid:durableId="531959917">
    <w:abstractNumId w:val="11"/>
  </w:num>
  <w:num w:numId="11" w16cid:durableId="1855151183">
    <w:abstractNumId w:val="14"/>
  </w:num>
  <w:num w:numId="12" w16cid:durableId="667943583">
    <w:abstractNumId w:val="16"/>
  </w:num>
  <w:num w:numId="13" w16cid:durableId="940337789">
    <w:abstractNumId w:val="9"/>
  </w:num>
  <w:num w:numId="14" w16cid:durableId="1193953661">
    <w:abstractNumId w:val="3"/>
  </w:num>
  <w:num w:numId="15" w16cid:durableId="462770773">
    <w:abstractNumId w:val="19"/>
  </w:num>
  <w:num w:numId="16" w16cid:durableId="440415870">
    <w:abstractNumId w:val="17"/>
  </w:num>
  <w:num w:numId="17" w16cid:durableId="1561944514">
    <w:abstractNumId w:val="10"/>
  </w:num>
  <w:num w:numId="18" w16cid:durableId="1862087995">
    <w:abstractNumId w:val="2"/>
  </w:num>
  <w:num w:numId="19" w16cid:durableId="775061302">
    <w:abstractNumId w:val="7"/>
  </w:num>
  <w:num w:numId="20" w16cid:durableId="5742390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4AB"/>
    <w:rsid w:val="00002F4F"/>
    <w:rsid w:val="000048E3"/>
    <w:rsid w:val="00016EB9"/>
    <w:rsid w:val="000175A2"/>
    <w:rsid w:val="00017D53"/>
    <w:rsid w:val="00065900"/>
    <w:rsid w:val="00085E46"/>
    <w:rsid w:val="00095DE3"/>
    <w:rsid w:val="000A03A4"/>
    <w:rsid w:val="000D08D4"/>
    <w:rsid w:val="000D1F2E"/>
    <w:rsid w:val="000D5531"/>
    <w:rsid w:val="00104095"/>
    <w:rsid w:val="00112A4F"/>
    <w:rsid w:val="00136776"/>
    <w:rsid w:val="00136B62"/>
    <w:rsid w:val="001747BA"/>
    <w:rsid w:val="001C24F3"/>
    <w:rsid w:val="001D38A5"/>
    <w:rsid w:val="001E1763"/>
    <w:rsid w:val="001E3695"/>
    <w:rsid w:val="00214AF3"/>
    <w:rsid w:val="00254989"/>
    <w:rsid w:val="00257BBE"/>
    <w:rsid w:val="00280487"/>
    <w:rsid w:val="0028376E"/>
    <w:rsid w:val="002904FC"/>
    <w:rsid w:val="002B3848"/>
    <w:rsid w:val="002B3B68"/>
    <w:rsid w:val="002C04A4"/>
    <w:rsid w:val="002C378E"/>
    <w:rsid w:val="002C67BE"/>
    <w:rsid w:val="002D2084"/>
    <w:rsid w:val="002E36CE"/>
    <w:rsid w:val="002E5BDB"/>
    <w:rsid w:val="002F1F9E"/>
    <w:rsid w:val="00302B9E"/>
    <w:rsid w:val="00311AA1"/>
    <w:rsid w:val="0031686F"/>
    <w:rsid w:val="00325030"/>
    <w:rsid w:val="00334843"/>
    <w:rsid w:val="00342492"/>
    <w:rsid w:val="003430C3"/>
    <w:rsid w:val="003540A6"/>
    <w:rsid w:val="003573C2"/>
    <w:rsid w:val="00372455"/>
    <w:rsid w:val="00381B0F"/>
    <w:rsid w:val="003875D4"/>
    <w:rsid w:val="003949A9"/>
    <w:rsid w:val="003A07AC"/>
    <w:rsid w:val="003A72D9"/>
    <w:rsid w:val="003B1F7A"/>
    <w:rsid w:val="003C0673"/>
    <w:rsid w:val="003C476E"/>
    <w:rsid w:val="003D70E5"/>
    <w:rsid w:val="003E433C"/>
    <w:rsid w:val="003F40C8"/>
    <w:rsid w:val="004116FB"/>
    <w:rsid w:val="00423EE5"/>
    <w:rsid w:val="00425238"/>
    <w:rsid w:val="004343FD"/>
    <w:rsid w:val="00446D4F"/>
    <w:rsid w:val="00462FFB"/>
    <w:rsid w:val="00471EBB"/>
    <w:rsid w:val="00472380"/>
    <w:rsid w:val="004B435D"/>
    <w:rsid w:val="004B4888"/>
    <w:rsid w:val="004C5124"/>
    <w:rsid w:val="004D17A0"/>
    <w:rsid w:val="004E2D91"/>
    <w:rsid w:val="004F3BC2"/>
    <w:rsid w:val="005128A5"/>
    <w:rsid w:val="005226F2"/>
    <w:rsid w:val="00525D19"/>
    <w:rsid w:val="0052644D"/>
    <w:rsid w:val="00526A2E"/>
    <w:rsid w:val="00527A52"/>
    <w:rsid w:val="00535C94"/>
    <w:rsid w:val="00541914"/>
    <w:rsid w:val="00560351"/>
    <w:rsid w:val="005700F3"/>
    <w:rsid w:val="00571DBC"/>
    <w:rsid w:val="00581089"/>
    <w:rsid w:val="00584835"/>
    <w:rsid w:val="00586241"/>
    <w:rsid w:val="00594C70"/>
    <w:rsid w:val="005A05A9"/>
    <w:rsid w:val="005B2B18"/>
    <w:rsid w:val="005B464E"/>
    <w:rsid w:val="005D528A"/>
    <w:rsid w:val="005E5B63"/>
    <w:rsid w:val="005E6E34"/>
    <w:rsid w:val="005E6FA1"/>
    <w:rsid w:val="005F6C8C"/>
    <w:rsid w:val="006065C4"/>
    <w:rsid w:val="006065D0"/>
    <w:rsid w:val="0063360E"/>
    <w:rsid w:val="00646FD3"/>
    <w:rsid w:val="006475DF"/>
    <w:rsid w:val="00655F00"/>
    <w:rsid w:val="006627DA"/>
    <w:rsid w:val="00670A65"/>
    <w:rsid w:val="00670E63"/>
    <w:rsid w:val="00682963"/>
    <w:rsid w:val="0068308B"/>
    <w:rsid w:val="00694294"/>
    <w:rsid w:val="006B4B8F"/>
    <w:rsid w:val="006B79A4"/>
    <w:rsid w:val="006C351D"/>
    <w:rsid w:val="006C4D4F"/>
    <w:rsid w:val="006D3B8B"/>
    <w:rsid w:val="006F710E"/>
    <w:rsid w:val="0072041D"/>
    <w:rsid w:val="007226D6"/>
    <w:rsid w:val="00746427"/>
    <w:rsid w:val="007553BF"/>
    <w:rsid w:val="0075689E"/>
    <w:rsid w:val="007609D7"/>
    <w:rsid w:val="00773C24"/>
    <w:rsid w:val="00784969"/>
    <w:rsid w:val="00793632"/>
    <w:rsid w:val="007B0FF0"/>
    <w:rsid w:val="007B27D0"/>
    <w:rsid w:val="007C403D"/>
    <w:rsid w:val="007D7947"/>
    <w:rsid w:val="007E2EF1"/>
    <w:rsid w:val="007E3F68"/>
    <w:rsid w:val="00816E73"/>
    <w:rsid w:val="00821CD3"/>
    <w:rsid w:val="00825B7A"/>
    <w:rsid w:val="00832357"/>
    <w:rsid w:val="00881A84"/>
    <w:rsid w:val="00881BCE"/>
    <w:rsid w:val="008A46FA"/>
    <w:rsid w:val="008A69FF"/>
    <w:rsid w:val="008B172C"/>
    <w:rsid w:val="008E68DB"/>
    <w:rsid w:val="008F5866"/>
    <w:rsid w:val="0090477F"/>
    <w:rsid w:val="0091177B"/>
    <w:rsid w:val="0094174F"/>
    <w:rsid w:val="00957317"/>
    <w:rsid w:val="009603BA"/>
    <w:rsid w:val="00967A2C"/>
    <w:rsid w:val="009B2472"/>
    <w:rsid w:val="009C3BED"/>
    <w:rsid w:val="009D5DA9"/>
    <w:rsid w:val="00A0291A"/>
    <w:rsid w:val="00A3442F"/>
    <w:rsid w:val="00A44F1E"/>
    <w:rsid w:val="00A915A9"/>
    <w:rsid w:val="00AA0AE0"/>
    <w:rsid w:val="00AD2D8E"/>
    <w:rsid w:val="00AE16E2"/>
    <w:rsid w:val="00AF3387"/>
    <w:rsid w:val="00B03B49"/>
    <w:rsid w:val="00B167B3"/>
    <w:rsid w:val="00B173FB"/>
    <w:rsid w:val="00B17852"/>
    <w:rsid w:val="00B17A3E"/>
    <w:rsid w:val="00B20B57"/>
    <w:rsid w:val="00B2383C"/>
    <w:rsid w:val="00B70931"/>
    <w:rsid w:val="00B84453"/>
    <w:rsid w:val="00B9532C"/>
    <w:rsid w:val="00BF33F6"/>
    <w:rsid w:val="00C26E42"/>
    <w:rsid w:val="00C3689D"/>
    <w:rsid w:val="00C4112D"/>
    <w:rsid w:val="00C54362"/>
    <w:rsid w:val="00C66B27"/>
    <w:rsid w:val="00C73B57"/>
    <w:rsid w:val="00C92D9F"/>
    <w:rsid w:val="00CA2A06"/>
    <w:rsid w:val="00CA457A"/>
    <w:rsid w:val="00CA498E"/>
    <w:rsid w:val="00CB494D"/>
    <w:rsid w:val="00CD64B5"/>
    <w:rsid w:val="00CE0CF0"/>
    <w:rsid w:val="00D05288"/>
    <w:rsid w:val="00D31A3C"/>
    <w:rsid w:val="00D43D66"/>
    <w:rsid w:val="00D4642F"/>
    <w:rsid w:val="00D73111"/>
    <w:rsid w:val="00D85336"/>
    <w:rsid w:val="00DA2F95"/>
    <w:rsid w:val="00DA4130"/>
    <w:rsid w:val="00DB5D3D"/>
    <w:rsid w:val="00DC66C0"/>
    <w:rsid w:val="00DC68BD"/>
    <w:rsid w:val="00DE31CD"/>
    <w:rsid w:val="00E020E8"/>
    <w:rsid w:val="00E10FB6"/>
    <w:rsid w:val="00E11108"/>
    <w:rsid w:val="00E17D40"/>
    <w:rsid w:val="00E51DDE"/>
    <w:rsid w:val="00E75118"/>
    <w:rsid w:val="00EA02A8"/>
    <w:rsid w:val="00EB0A5F"/>
    <w:rsid w:val="00EC0100"/>
    <w:rsid w:val="00EC0591"/>
    <w:rsid w:val="00EC2F85"/>
    <w:rsid w:val="00EC3F08"/>
    <w:rsid w:val="00ED1E32"/>
    <w:rsid w:val="00EE2C00"/>
    <w:rsid w:val="00EE64AB"/>
    <w:rsid w:val="00F1045E"/>
    <w:rsid w:val="00F2096F"/>
    <w:rsid w:val="00F21762"/>
    <w:rsid w:val="00F22564"/>
    <w:rsid w:val="00F36570"/>
    <w:rsid w:val="00F369EB"/>
    <w:rsid w:val="00F50C61"/>
    <w:rsid w:val="00F5451B"/>
    <w:rsid w:val="00F612B5"/>
    <w:rsid w:val="00F64E8E"/>
    <w:rsid w:val="00F969C5"/>
    <w:rsid w:val="00FB0C63"/>
    <w:rsid w:val="00FC778D"/>
    <w:rsid w:val="00FD33FD"/>
    <w:rsid w:val="00FE0BFA"/>
    <w:rsid w:val="00FE4E19"/>
    <w:rsid w:val="00FF2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9E82BB"/>
  <w15:chartTrackingRefBased/>
  <w15:docId w15:val="{0EEE8E18-3E20-4E00-A05D-A3D24E8C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6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6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6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4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4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4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4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6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6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4AB"/>
    <w:rPr>
      <w:rFonts w:eastAsiaTheme="majorEastAsia" w:cstheme="majorBidi"/>
      <w:color w:val="272727" w:themeColor="text1" w:themeTint="D8"/>
    </w:rPr>
  </w:style>
  <w:style w:type="paragraph" w:styleId="Title">
    <w:name w:val="Title"/>
    <w:basedOn w:val="Normal"/>
    <w:next w:val="Normal"/>
    <w:link w:val="TitleChar"/>
    <w:uiPriority w:val="10"/>
    <w:qFormat/>
    <w:rsid w:val="00EE6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4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4AB"/>
    <w:pPr>
      <w:spacing w:before="160"/>
      <w:jc w:val="center"/>
    </w:pPr>
    <w:rPr>
      <w:i/>
      <w:iCs/>
      <w:color w:val="404040" w:themeColor="text1" w:themeTint="BF"/>
    </w:rPr>
  </w:style>
  <w:style w:type="character" w:customStyle="1" w:styleId="QuoteChar">
    <w:name w:val="Quote Char"/>
    <w:basedOn w:val="DefaultParagraphFont"/>
    <w:link w:val="Quote"/>
    <w:uiPriority w:val="29"/>
    <w:rsid w:val="00EE64AB"/>
    <w:rPr>
      <w:i/>
      <w:iCs/>
      <w:color w:val="404040" w:themeColor="text1" w:themeTint="BF"/>
    </w:rPr>
  </w:style>
  <w:style w:type="paragraph" w:styleId="ListParagraph">
    <w:name w:val="List Paragraph"/>
    <w:basedOn w:val="Normal"/>
    <w:uiPriority w:val="34"/>
    <w:qFormat/>
    <w:rsid w:val="00EE64AB"/>
    <w:pPr>
      <w:ind w:left="720"/>
      <w:contextualSpacing/>
    </w:pPr>
  </w:style>
  <w:style w:type="character" w:styleId="IntenseEmphasis">
    <w:name w:val="Intense Emphasis"/>
    <w:basedOn w:val="DefaultParagraphFont"/>
    <w:uiPriority w:val="21"/>
    <w:qFormat/>
    <w:rsid w:val="00EE64AB"/>
    <w:rPr>
      <w:i/>
      <w:iCs/>
      <w:color w:val="0F4761" w:themeColor="accent1" w:themeShade="BF"/>
    </w:rPr>
  </w:style>
  <w:style w:type="paragraph" w:styleId="IntenseQuote">
    <w:name w:val="Intense Quote"/>
    <w:basedOn w:val="Normal"/>
    <w:next w:val="Normal"/>
    <w:link w:val="IntenseQuoteChar"/>
    <w:uiPriority w:val="30"/>
    <w:qFormat/>
    <w:rsid w:val="00EE6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4AB"/>
    <w:rPr>
      <w:i/>
      <w:iCs/>
      <w:color w:val="0F4761" w:themeColor="accent1" w:themeShade="BF"/>
    </w:rPr>
  </w:style>
  <w:style w:type="character" w:styleId="IntenseReference">
    <w:name w:val="Intense Reference"/>
    <w:basedOn w:val="DefaultParagraphFont"/>
    <w:uiPriority w:val="32"/>
    <w:qFormat/>
    <w:rsid w:val="00EE64AB"/>
    <w:rPr>
      <w:b/>
      <w:bCs/>
      <w:smallCaps/>
      <w:color w:val="0F4761" w:themeColor="accent1" w:themeShade="BF"/>
      <w:spacing w:val="5"/>
    </w:rPr>
  </w:style>
  <w:style w:type="character" w:styleId="Hyperlink">
    <w:name w:val="Hyperlink"/>
    <w:basedOn w:val="DefaultParagraphFont"/>
    <w:uiPriority w:val="99"/>
    <w:unhideWhenUsed/>
    <w:rsid w:val="00EE64AB"/>
    <w:rPr>
      <w:color w:val="467886" w:themeColor="hyperlink"/>
      <w:u w:val="single"/>
    </w:rPr>
  </w:style>
  <w:style w:type="character" w:styleId="UnresolvedMention">
    <w:name w:val="Unresolved Mention"/>
    <w:basedOn w:val="DefaultParagraphFont"/>
    <w:uiPriority w:val="99"/>
    <w:semiHidden/>
    <w:unhideWhenUsed/>
    <w:rsid w:val="00EE64AB"/>
    <w:rPr>
      <w:color w:val="605E5C"/>
      <w:shd w:val="clear" w:color="auto" w:fill="E1DFDD"/>
    </w:rPr>
  </w:style>
  <w:style w:type="paragraph" w:styleId="TOCHeading">
    <w:name w:val="TOC Heading"/>
    <w:basedOn w:val="Heading1"/>
    <w:next w:val="Normal"/>
    <w:uiPriority w:val="39"/>
    <w:unhideWhenUsed/>
    <w:qFormat/>
    <w:rsid w:val="009603BA"/>
    <w:pPr>
      <w:spacing w:before="240" w:after="0"/>
      <w:outlineLvl w:val="9"/>
    </w:pPr>
    <w:rPr>
      <w:kern w:val="0"/>
      <w:sz w:val="32"/>
      <w:szCs w:val="32"/>
      <w:lang w:eastAsia="en-GB"/>
      <w14:ligatures w14:val="none"/>
    </w:rPr>
  </w:style>
  <w:style w:type="table" w:styleId="TableGrid">
    <w:name w:val="Table Grid"/>
    <w:basedOn w:val="TableNormal"/>
    <w:uiPriority w:val="39"/>
    <w:rsid w:val="00394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226D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527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A52"/>
  </w:style>
  <w:style w:type="paragraph" w:styleId="Footer">
    <w:name w:val="footer"/>
    <w:basedOn w:val="Normal"/>
    <w:link w:val="FooterChar"/>
    <w:uiPriority w:val="99"/>
    <w:unhideWhenUsed/>
    <w:rsid w:val="00527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A52"/>
  </w:style>
  <w:style w:type="table" w:customStyle="1" w:styleId="Calendar1">
    <w:name w:val="Calendar 1"/>
    <w:basedOn w:val="TableNormal"/>
    <w:uiPriority w:val="99"/>
    <w:qFormat/>
    <w:rsid w:val="00FC778D"/>
    <w:pPr>
      <w:spacing w:after="0" w:line="240" w:lineRule="auto"/>
    </w:pPr>
    <w:rPr>
      <w:rFonts w:eastAsiaTheme="minorEastAsia"/>
      <w:kern w:val="0"/>
      <w:lang w:eastAsia="en-GB"/>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MediumList2-Accent1">
    <w:name w:val="Medium List 2 Accent 1"/>
    <w:basedOn w:val="TableNormal"/>
    <w:uiPriority w:val="66"/>
    <w:rsid w:val="002B3B68"/>
    <w:pPr>
      <w:spacing w:after="0" w:line="240" w:lineRule="auto"/>
    </w:pPr>
    <w:rPr>
      <w:rFonts w:asciiTheme="majorHAnsi" w:eastAsiaTheme="majorEastAsia" w:hAnsiTheme="majorHAnsi" w:cstheme="majorBidi"/>
      <w:color w:val="000000" w:themeColor="text1"/>
      <w:kern w:val="0"/>
      <w:lang w:eastAsia="en-GB"/>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E4EB2-19F8-48EB-BDD2-C3EBEB8CA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15</Pages>
  <Words>4235</Words>
  <Characters>24145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Baidar Begum</dc:creator>
  <cp:keywords/>
  <dc:description/>
  <cp:lastModifiedBy>Baidar Begum</cp:lastModifiedBy>
  <cp:revision>138</cp:revision>
  <dcterms:created xsi:type="dcterms:W3CDTF">2025-10-29T22:36:00Z</dcterms:created>
  <dcterms:modified xsi:type="dcterms:W3CDTF">2025-11-14T21:46:00Z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8bc727a5-3e9e-407f-80c2-9b72907b67dc</vt:lpwstr>
  </property>
</Properties>
</file>