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93420395"/>
        <w:docPartObj>
          <w:docPartGallery w:val="Cover Pages"/>
          <w:docPartUnique/>
        </w:docPartObj>
      </w:sdtPr>
      <w:sdtEndPr>
        <w:rPr>
          <w:rFonts w:ascii="Arial" w:hAnsi="Arial" w:cs="Arial"/>
          <w:sz w:val="24"/>
          <w:szCs w:val="24"/>
        </w:rPr>
      </w:sdtEndPr>
      <w:sdtContent>
        <w:p w14:paraId="042495BC" w14:textId="0FF3BD19" w:rsidR="00EB35D1" w:rsidRDefault="00EB35D1">
          <w:r>
            <w:rPr>
              <w:noProof/>
            </w:rPr>
            <mc:AlternateContent>
              <mc:Choice Requires="wps">
                <w:drawing>
                  <wp:anchor distT="0" distB="0" distL="114300" distR="114300" simplePos="0" relativeHeight="251664384" behindDoc="0" locked="0" layoutInCell="1" allowOverlap="1" wp14:anchorId="0A91026D" wp14:editId="7816BAC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0113EEE" w14:textId="18D89002" w:rsidR="00EB35D1" w:rsidRDefault="00EB35D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Kyran Woods</w:t>
                                    </w:r>
                                  </w:sdtContent>
                                </w:sdt>
                                <w:r w:rsidR="0074667C">
                                  <w:rPr>
                                    <w:noProof/>
                                    <w:color w:val="0E2841" w:themeColor="text2"/>
                                  </w:rPr>
                                  <w:t xml:space="preserve"> 2006771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A91026D"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0113EEE" w14:textId="18D89002" w:rsidR="00EB35D1" w:rsidRDefault="00EB35D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Kyran Woods</w:t>
                              </w:r>
                            </w:sdtContent>
                          </w:sdt>
                          <w:r w:rsidR="0074667C">
                            <w:rPr>
                              <w:noProof/>
                              <w:color w:val="0E2841" w:themeColor="text2"/>
                            </w:rPr>
                            <w:t xml:space="preserve"> 2006771</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B076FEF" wp14:editId="075DD402">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A3E1689" w14:textId="77777777" w:rsidR="00EB35D1" w:rsidRDefault="00EB35D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076FEF"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A3E1689" w14:textId="77777777" w:rsidR="00EB35D1" w:rsidRDefault="00EB35D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59AFC56" wp14:editId="15CF3E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5DD242" w14:textId="7B7E4CF4" w:rsidR="00EB35D1" w:rsidRDefault="00EB35D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59AFC56"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05DD242" w14:textId="7B7E4CF4" w:rsidR="00EB35D1" w:rsidRDefault="00EB35D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A8FCF2F" wp14:editId="0A0C0B5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204F5EF"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B1B5369" wp14:editId="325B97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9F3A7D0"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EE1E11A" wp14:editId="3A85A4B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BCC6A25" w14:textId="6B3C4E79" w:rsidR="00EB35D1" w:rsidRDefault="00C457C3">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Law Reform Project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C10E243" w14:textId="6F798A76" w:rsidR="00EB35D1" w:rsidRDefault="0074667C">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Equity and Trusts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EE1E11A"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BCC6A25" w14:textId="6B3C4E79" w:rsidR="00EB35D1" w:rsidRDefault="00C457C3">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Law Reform Project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C10E243" w14:textId="6F798A76" w:rsidR="00EB35D1" w:rsidRDefault="0074667C">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Equity and Trusts</w:t>
                              </w:r>
                            </w:p>
                          </w:sdtContent>
                        </w:sdt>
                      </w:txbxContent>
                    </v:textbox>
                    <w10:wrap type="square" anchorx="page" anchory="page"/>
                  </v:shape>
                </w:pict>
              </mc:Fallback>
            </mc:AlternateContent>
          </w:r>
        </w:p>
        <w:p w14:paraId="56578868" w14:textId="1A4AEB2C" w:rsidR="00EB35D1" w:rsidRDefault="00EB35D1">
          <w:pPr>
            <w:rPr>
              <w:rFonts w:ascii="Arial" w:hAnsi="Arial" w:cs="Arial"/>
              <w:sz w:val="24"/>
              <w:szCs w:val="24"/>
            </w:rPr>
          </w:pPr>
          <w:r>
            <w:rPr>
              <w:rFonts w:ascii="Arial" w:hAnsi="Arial" w:cs="Arial"/>
              <w:sz w:val="24"/>
              <w:szCs w:val="24"/>
            </w:rPr>
            <w:br w:type="page"/>
          </w:r>
        </w:p>
      </w:sdtContent>
    </w:sdt>
    <w:p w14:paraId="6D9739BD" w14:textId="77777777" w:rsidR="002D690D" w:rsidRDefault="002D690D" w:rsidP="004A38DD">
      <w:pPr>
        <w:rPr>
          <w:b/>
          <w:bCs/>
          <w:i/>
          <w:iCs/>
        </w:rPr>
      </w:pPr>
    </w:p>
    <w:p w14:paraId="4AC7091E" w14:textId="5ED7D6D2" w:rsidR="003F7366" w:rsidRPr="001F576D" w:rsidRDefault="004A38DD" w:rsidP="00EB35D1">
      <w:pPr>
        <w:spacing w:line="360" w:lineRule="auto"/>
        <w:rPr>
          <w:rFonts w:ascii="Arial" w:hAnsi="Arial" w:cs="Arial"/>
          <w:sz w:val="24"/>
          <w:szCs w:val="24"/>
        </w:rPr>
      </w:pPr>
      <w:r w:rsidRPr="001F576D">
        <w:rPr>
          <w:rFonts w:ascii="Arial" w:hAnsi="Arial" w:cs="Arial"/>
          <w:sz w:val="24"/>
          <w:szCs w:val="24"/>
        </w:rPr>
        <w:t xml:space="preserve">The area of the Trustees act 2000 that </w:t>
      </w:r>
      <w:proofErr w:type="gramStart"/>
      <w:r w:rsidRPr="001F576D">
        <w:rPr>
          <w:rFonts w:ascii="Arial" w:hAnsi="Arial" w:cs="Arial"/>
          <w:sz w:val="24"/>
          <w:szCs w:val="24"/>
        </w:rPr>
        <w:t>is in need of</w:t>
      </w:r>
      <w:proofErr w:type="gramEnd"/>
      <w:r w:rsidRPr="001F576D">
        <w:rPr>
          <w:rFonts w:ascii="Arial" w:hAnsi="Arial" w:cs="Arial"/>
          <w:sz w:val="24"/>
          <w:szCs w:val="24"/>
        </w:rPr>
        <w:t xml:space="preserve"> the utmost reform is S28(2) in which professional trustees are only allowed to be renumerated for the work that a lay trustee would not be able to achieve. </w:t>
      </w:r>
      <w:r w:rsidR="003F7366" w:rsidRPr="001F576D">
        <w:rPr>
          <w:rFonts w:ascii="Arial" w:hAnsi="Arial" w:cs="Arial"/>
          <w:sz w:val="24"/>
          <w:szCs w:val="24"/>
        </w:rPr>
        <w:t xml:space="preserve">This act is problematic as although there is a clear description of a lay trustee and a professional trustee </w:t>
      </w:r>
      <w:sdt>
        <w:sdtPr>
          <w:rPr>
            <w:rFonts w:ascii="Arial" w:hAnsi="Arial" w:cs="Arial"/>
            <w:sz w:val="24"/>
            <w:szCs w:val="24"/>
          </w:rPr>
          <w:id w:val="-501975853"/>
          <w:citation/>
        </w:sdtPr>
        <w:sdtEndPr/>
        <w:sdtContent>
          <w:r w:rsidR="003F7366" w:rsidRPr="001F576D">
            <w:rPr>
              <w:rFonts w:ascii="Arial" w:hAnsi="Arial" w:cs="Arial"/>
              <w:sz w:val="24"/>
              <w:szCs w:val="24"/>
            </w:rPr>
            <w:fldChar w:fldCharType="begin"/>
          </w:r>
          <w:r w:rsidR="003F7366" w:rsidRPr="001F576D">
            <w:rPr>
              <w:rFonts w:ascii="Arial" w:hAnsi="Arial" w:cs="Arial"/>
              <w:sz w:val="24"/>
              <w:szCs w:val="24"/>
            </w:rPr>
            <w:instrText xml:space="preserve"> CITATION The18 \l 2057 </w:instrText>
          </w:r>
          <w:r w:rsidR="003F7366" w:rsidRPr="001F576D">
            <w:rPr>
              <w:rFonts w:ascii="Arial" w:hAnsi="Arial" w:cs="Arial"/>
              <w:sz w:val="24"/>
              <w:szCs w:val="24"/>
            </w:rPr>
            <w:fldChar w:fldCharType="separate"/>
          </w:r>
          <w:r w:rsidR="009059B4" w:rsidRPr="001F576D">
            <w:rPr>
              <w:rFonts w:ascii="Arial" w:hAnsi="Arial" w:cs="Arial"/>
              <w:noProof/>
              <w:sz w:val="24"/>
              <w:szCs w:val="24"/>
            </w:rPr>
            <w:t>(Regulator, 2018)</w:t>
          </w:r>
          <w:r w:rsidR="003F7366" w:rsidRPr="001F576D">
            <w:rPr>
              <w:rFonts w:ascii="Arial" w:hAnsi="Arial" w:cs="Arial"/>
              <w:sz w:val="24"/>
              <w:szCs w:val="24"/>
            </w:rPr>
            <w:fldChar w:fldCharType="end"/>
          </w:r>
        </w:sdtContent>
      </w:sdt>
      <w:r w:rsidR="003F7366" w:rsidRPr="001F576D">
        <w:rPr>
          <w:rFonts w:ascii="Arial" w:hAnsi="Arial" w:cs="Arial"/>
          <w:sz w:val="24"/>
          <w:szCs w:val="24"/>
        </w:rPr>
        <w:t xml:space="preserve"> in which professional trustees have the same duties as a lay trustee, however are held to a higher standard of care than that of a lay trustee. Issues arise with this as although professional trustees are held to a higher standard they are also </w:t>
      </w:r>
      <w:r w:rsidR="0098336E" w:rsidRPr="001F576D">
        <w:rPr>
          <w:rFonts w:ascii="Arial" w:hAnsi="Arial" w:cs="Arial"/>
          <w:sz w:val="24"/>
          <w:szCs w:val="24"/>
        </w:rPr>
        <w:t xml:space="preserve">protected from clauses in any case unless damages to the beneficiary of the trust are explicitly caused by his or her own fraudulent acts </w:t>
      </w:r>
      <w:sdt>
        <w:sdtPr>
          <w:rPr>
            <w:rFonts w:ascii="Arial" w:hAnsi="Arial" w:cs="Arial"/>
            <w:sz w:val="24"/>
            <w:szCs w:val="24"/>
          </w:rPr>
          <w:id w:val="-1095326348"/>
          <w:citation/>
        </w:sdtPr>
        <w:sdtEndPr/>
        <w:sdtContent>
          <w:r w:rsidR="0098336E" w:rsidRPr="001F576D">
            <w:rPr>
              <w:rFonts w:ascii="Arial" w:hAnsi="Arial" w:cs="Arial"/>
              <w:sz w:val="24"/>
              <w:szCs w:val="24"/>
            </w:rPr>
            <w:fldChar w:fldCharType="begin"/>
          </w:r>
          <w:r w:rsidR="0098336E" w:rsidRPr="001F576D">
            <w:rPr>
              <w:rFonts w:ascii="Arial" w:hAnsi="Arial" w:cs="Arial"/>
              <w:sz w:val="24"/>
              <w:szCs w:val="24"/>
            </w:rPr>
            <w:instrText xml:space="preserve"> CITATION The24 \l 2057 </w:instrText>
          </w:r>
          <w:r w:rsidR="0098336E" w:rsidRPr="001F576D">
            <w:rPr>
              <w:rFonts w:ascii="Arial" w:hAnsi="Arial" w:cs="Arial"/>
              <w:sz w:val="24"/>
              <w:szCs w:val="24"/>
            </w:rPr>
            <w:fldChar w:fldCharType="separate"/>
          </w:r>
          <w:r w:rsidR="009059B4" w:rsidRPr="001F576D">
            <w:rPr>
              <w:rFonts w:ascii="Arial" w:hAnsi="Arial" w:cs="Arial"/>
              <w:noProof/>
              <w:sz w:val="24"/>
              <w:szCs w:val="24"/>
            </w:rPr>
            <w:t>(The Law Commission, n.d.)</w:t>
          </w:r>
          <w:r w:rsidR="0098336E" w:rsidRPr="001F576D">
            <w:rPr>
              <w:rFonts w:ascii="Arial" w:hAnsi="Arial" w:cs="Arial"/>
              <w:sz w:val="24"/>
              <w:szCs w:val="24"/>
            </w:rPr>
            <w:fldChar w:fldCharType="end"/>
          </w:r>
        </w:sdtContent>
      </w:sdt>
      <w:r w:rsidR="0098336E" w:rsidRPr="001F576D">
        <w:rPr>
          <w:rFonts w:ascii="Arial" w:hAnsi="Arial" w:cs="Arial"/>
          <w:sz w:val="24"/>
          <w:szCs w:val="24"/>
        </w:rPr>
        <w:t xml:space="preserve">. This </w:t>
      </w:r>
      <w:proofErr w:type="gramStart"/>
      <w:r w:rsidR="0098336E" w:rsidRPr="001F576D">
        <w:rPr>
          <w:rFonts w:ascii="Arial" w:hAnsi="Arial" w:cs="Arial"/>
          <w:sz w:val="24"/>
          <w:szCs w:val="24"/>
        </w:rPr>
        <w:t>in itself causes</w:t>
      </w:r>
      <w:proofErr w:type="gramEnd"/>
      <w:r w:rsidR="0098336E" w:rsidRPr="001F576D">
        <w:rPr>
          <w:rFonts w:ascii="Arial" w:hAnsi="Arial" w:cs="Arial"/>
          <w:sz w:val="24"/>
          <w:szCs w:val="24"/>
        </w:rPr>
        <w:t xml:space="preserve"> major issues which must be adapted to the modern world, as there is no regulation on who can be a trustee only guidelines</w:t>
      </w:r>
      <w:r w:rsidR="004E5A02" w:rsidRPr="001F576D">
        <w:rPr>
          <w:rFonts w:ascii="Arial" w:hAnsi="Arial" w:cs="Arial"/>
          <w:sz w:val="24"/>
          <w:szCs w:val="24"/>
        </w:rPr>
        <w:t xml:space="preserve">. Essentially there are areas of this section of the trustee act 2000 in which can be amended to further improve the quality control of those who do seek out to become trustees. </w:t>
      </w:r>
    </w:p>
    <w:p w14:paraId="6A591222" w14:textId="2322B1CF" w:rsidR="00541AEB" w:rsidRPr="001F576D" w:rsidRDefault="004E5A02" w:rsidP="00EB35D1">
      <w:pPr>
        <w:spacing w:line="360" w:lineRule="auto"/>
        <w:rPr>
          <w:rFonts w:ascii="Arial" w:hAnsi="Arial" w:cs="Arial"/>
          <w:sz w:val="24"/>
          <w:szCs w:val="24"/>
        </w:rPr>
      </w:pPr>
      <w:r w:rsidRPr="001F576D">
        <w:rPr>
          <w:rFonts w:ascii="Arial" w:hAnsi="Arial" w:cs="Arial"/>
          <w:sz w:val="24"/>
          <w:szCs w:val="24"/>
        </w:rPr>
        <w:t xml:space="preserve">Section 28 of the trustee act created rules that were applied in favour of trust corporations and professional trustees. This amendment reversed the common law </w:t>
      </w:r>
      <w:r w:rsidR="00552F87" w:rsidRPr="001F576D">
        <w:rPr>
          <w:rFonts w:ascii="Arial" w:hAnsi="Arial" w:cs="Arial"/>
          <w:sz w:val="24"/>
          <w:szCs w:val="24"/>
        </w:rPr>
        <w:t xml:space="preserve">that required an express charging clause to be construed against the trustee, unless the trust states otherwise, which benefitted professional trustees </w:t>
      </w:r>
      <w:sdt>
        <w:sdtPr>
          <w:rPr>
            <w:rFonts w:ascii="Arial" w:hAnsi="Arial" w:cs="Arial"/>
            <w:sz w:val="24"/>
            <w:szCs w:val="24"/>
          </w:rPr>
          <w:id w:val="467024755"/>
          <w:citation/>
        </w:sdtPr>
        <w:sdtEndPr/>
        <w:sdtContent>
          <w:r w:rsidR="00552F87" w:rsidRPr="001F576D">
            <w:rPr>
              <w:rFonts w:ascii="Arial" w:hAnsi="Arial" w:cs="Arial"/>
              <w:sz w:val="24"/>
              <w:szCs w:val="24"/>
            </w:rPr>
            <w:fldChar w:fldCharType="begin"/>
          </w:r>
          <w:r w:rsidR="00552F87" w:rsidRPr="001F576D">
            <w:rPr>
              <w:rFonts w:ascii="Arial" w:hAnsi="Arial" w:cs="Arial"/>
              <w:sz w:val="24"/>
              <w:szCs w:val="24"/>
            </w:rPr>
            <w:instrText xml:space="preserve"> CITATION Hou00 \l 2057 </w:instrText>
          </w:r>
          <w:r w:rsidR="00552F87" w:rsidRPr="001F576D">
            <w:rPr>
              <w:rFonts w:ascii="Arial" w:hAnsi="Arial" w:cs="Arial"/>
              <w:sz w:val="24"/>
              <w:szCs w:val="24"/>
            </w:rPr>
            <w:fldChar w:fldCharType="separate"/>
          </w:r>
          <w:r w:rsidR="009059B4" w:rsidRPr="001F576D">
            <w:rPr>
              <w:rFonts w:ascii="Arial" w:hAnsi="Arial" w:cs="Arial"/>
              <w:noProof/>
              <w:sz w:val="24"/>
              <w:szCs w:val="24"/>
            </w:rPr>
            <w:t>(House of Commons, 2000)</w:t>
          </w:r>
          <w:r w:rsidR="00552F87" w:rsidRPr="001F576D">
            <w:rPr>
              <w:rFonts w:ascii="Arial" w:hAnsi="Arial" w:cs="Arial"/>
              <w:sz w:val="24"/>
              <w:szCs w:val="24"/>
            </w:rPr>
            <w:fldChar w:fldCharType="end"/>
          </w:r>
        </w:sdtContent>
      </w:sdt>
      <w:r w:rsidR="00552F87" w:rsidRPr="001F576D">
        <w:rPr>
          <w:rFonts w:ascii="Arial" w:hAnsi="Arial" w:cs="Arial"/>
          <w:sz w:val="24"/>
          <w:szCs w:val="24"/>
        </w:rPr>
        <w:t xml:space="preserve"> .</w:t>
      </w:r>
      <w:r w:rsidR="00A05585" w:rsidRPr="001F576D">
        <w:rPr>
          <w:rFonts w:ascii="Arial" w:hAnsi="Arial" w:cs="Arial"/>
          <w:sz w:val="24"/>
          <w:szCs w:val="24"/>
        </w:rPr>
        <w:t xml:space="preserve"> This section of the bill intendeds to allow that any professional trustees are entitled to payment included of that of services which could be overseen by a lay trustee. </w:t>
      </w:r>
      <w:r w:rsidR="001E5F6D" w:rsidRPr="001F576D">
        <w:rPr>
          <w:rFonts w:ascii="Arial" w:hAnsi="Arial" w:cs="Arial"/>
          <w:sz w:val="24"/>
          <w:szCs w:val="24"/>
        </w:rPr>
        <w:t xml:space="preserve">This reversal of the common law did not then specify as to how a professional trustee could then be held at a higher standard than that of a lay trustee. </w:t>
      </w:r>
      <w:r w:rsidR="00DD091D" w:rsidRPr="001F576D">
        <w:rPr>
          <w:rFonts w:ascii="Arial" w:hAnsi="Arial" w:cs="Arial"/>
          <w:sz w:val="24"/>
          <w:szCs w:val="24"/>
        </w:rPr>
        <w:t xml:space="preserve">This section albeit an improvement to the trustee act on a whole still has fundamental flaws within the text as trustees are typically protected in the form of indemnity </w:t>
      </w:r>
      <w:sdt>
        <w:sdtPr>
          <w:rPr>
            <w:rFonts w:ascii="Arial" w:hAnsi="Arial" w:cs="Arial"/>
            <w:sz w:val="24"/>
            <w:szCs w:val="24"/>
          </w:rPr>
          <w:id w:val="236371316"/>
          <w:citation/>
        </w:sdtPr>
        <w:sdtEndPr/>
        <w:sdtContent>
          <w:r w:rsidR="00DD091D" w:rsidRPr="001F576D">
            <w:rPr>
              <w:rFonts w:ascii="Arial" w:hAnsi="Arial" w:cs="Arial"/>
              <w:sz w:val="24"/>
              <w:szCs w:val="24"/>
            </w:rPr>
            <w:fldChar w:fldCharType="begin"/>
          </w:r>
          <w:r w:rsidR="00DD091D" w:rsidRPr="001F576D">
            <w:rPr>
              <w:rFonts w:ascii="Arial" w:hAnsi="Arial" w:cs="Arial"/>
              <w:sz w:val="24"/>
              <w:szCs w:val="24"/>
            </w:rPr>
            <w:instrText xml:space="preserve"> CITATION Dha23 \l 2057 </w:instrText>
          </w:r>
          <w:r w:rsidR="00DD091D" w:rsidRPr="001F576D">
            <w:rPr>
              <w:rFonts w:ascii="Arial" w:hAnsi="Arial" w:cs="Arial"/>
              <w:sz w:val="24"/>
              <w:szCs w:val="24"/>
            </w:rPr>
            <w:fldChar w:fldCharType="separate"/>
          </w:r>
          <w:r w:rsidR="009059B4" w:rsidRPr="001F576D">
            <w:rPr>
              <w:rFonts w:ascii="Arial" w:hAnsi="Arial" w:cs="Arial"/>
              <w:noProof/>
              <w:sz w:val="24"/>
              <w:szCs w:val="24"/>
            </w:rPr>
            <w:t>(Dharshi Wijetunga, 2023)</w:t>
          </w:r>
          <w:r w:rsidR="00DD091D" w:rsidRPr="001F576D">
            <w:rPr>
              <w:rFonts w:ascii="Arial" w:hAnsi="Arial" w:cs="Arial"/>
              <w:sz w:val="24"/>
              <w:szCs w:val="24"/>
            </w:rPr>
            <w:fldChar w:fldCharType="end"/>
          </w:r>
        </w:sdtContent>
      </w:sdt>
      <w:r w:rsidR="00DD091D" w:rsidRPr="001F576D">
        <w:rPr>
          <w:rFonts w:ascii="Arial" w:hAnsi="Arial" w:cs="Arial"/>
          <w:sz w:val="24"/>
          <w:szCs w:val="24"/>
        </w:rPr>
        <w:t xml:space="preserve"> which is essentially the way in which professional trustees can avoid penalties, unless they acted in a fraudulent manor. Although trustees are subject to fiduciary duties in which they must act in the best interests of the beneficiaries of the trust they </w:t>
      </w:r>
      <w:r w:rsidR="00AC6ED1" w:rsidRPr="001F576D">
        <w:rPr>
          <w:rFonts w:ascii="Arial" w:hAnsi="Arial" w:cs="Arial"/>
          <w:sz w:val="24"/>
          <w:szCs w:val="24"/>
        </w:rPr>
        <w:t>oversee</w:t>
      </w:r>
      <w:r w:rsidR="00DD091D" w:rsidRPr="001F576D">
        <w:rPr>
          <w:rFonts w:ascii="Arial" w:hAnsi="Arial" w:cs="Arial"/>
          <w:sz w:val="24"/>
          <w:szCs w:val="24"/>
        </w:rPr>
        <w:t>.</w:t>
      </w:r>
      <w:r w:rsidR="00AC6ED1" w:rsidRPr="001F576D">
        <w:rPr>
          <w:rFonts w:ascii="Arial" w:hAnsi="Arial" w:cs="Arial"/>
          <w:sz w:val="24"/>
          <w:szCs w:val="24"/>
        </w:rPr>
        <w:t xml:space="preserve"> This allows for trustees to benefit as they can essentially act in any manner they please </w:t>
      </w:r>
      <w:proofErr w:type="gramStart"/>
      <w:r w:rsidR="00AC6ED1" w:rsidRPr="001F576D">
        <w:rPr>
          <w:rFonts w:ascii="Arial" w:hAnsi="Arial" w:cs="Arial"/>
          <w:sz w:val="24"/>
          <w:szCs w:val="24"/>
        </w:rPr>
        <w:t>as long as</w:t>
      </w:r>
      <w:proofErr w:type="gramEnd"/>
      <w:r w:rsidR="00AC6ED1" w:rsidRPr="001F576D">
        <w:rPr>
          <w:rFonts w:ascii="Arial" w:hAnsi="Arial" w:cs="Arial"/>
          <w:sz w:val="24"/>
          <w:szCs w:val="24"/>
        </w:rPr>
        <w:t xml:space="preserve"> they are wise in their timings. </w:t>
      </w:r>
    </w:p>
    <w:p w14:paraId="2660D99B" w14:textId="77777777" w:rsidR="001A2E0F" w:rsidRPr="001F576D" w:rsidRDefault="00481743" w:rsidP="00EB35D1">
      <w:pPr>
        <w:spacing w:line="360" w:lineRule="auto"/>
        <w:rPr>
          <w:rFonts w:ascii="Arial" w:hAnsi="Arial" w:cs="Arial"/>
          <w:sz w:val="24"/>
          <w:szCs w:val="24"/>
        </w:rPr>
      </w:pPr>
      <w:r w:rsidRPr="001F576D">
        <w:rPr>
          <w:rFonts w:ascii="Arial" w:hAnsi="Arial" w:cs="Arial"/>
          <w:sz w:val="24"/>
          <w:szCs w:val="24"/>
        </w:rPr>
        <w:t xml:space="preserve">There </w:t>
      </w:r>
      <w:r w:rsidR="00E92FEF" w:rsidRPr="001F576D">
        <w:rPr>
          <w:rFonts w:ascii="Arial" w:hAnsi="Arial" w:cs="Arial"/>
          <w:sz w:val="24"/>
          <w:szCs w:val="24"/>
        </w:rPr>
        <w:t>are</w:t>
      </w:r>
      <w:r w:rsidRPr="001F576D">
        <w:rPr>
          <w:rFonts w:ascii="Arial" w:hAnsi="Arial" w:cs="Arial"/>
          <w:sz w:val="24"/>
          <w:szCs w:val="24"/>
        </w:rPr>
        <w:t xml:space="preserve"> already regula</w:t>
      </w:r>
      <w:r w:rsidR="00FE0297" w:rsidRPr="001F576D">
        <w:rPr>
          <w:rFonts w:ascii="Arial" w:hAnsi="Arial" w:cs="Arial"/>
          <w:sz w:val="24"/>
          <w:szCs w:val="24"/>
        </w:rPr>
        <w:t xml:space="preserve">tory bodies in place for certain types of trusts such as charities and </w:t>
      </w:r>
      <w:r w:rsidR="000B65D2" w:rsidRPr="001F576D">
        <w:rPr>
          <w:rFonts w:ascii="Arial" w:hAnsi="Arial" w:cs="Arial"/>
          <w:sz w:val="24"/>
          <w:szCs w:val="24"/>
        </w:rPr>
        <w:t xml:space="preserve">pensions. </w:t>
      </w:r>
      <w:r w:rsidR="00E92FEF" w:rsidRPr="001F576D">
        <w:rPr>
          <w:rFonts w:ascii="Arial" w:hAnsi="Arial" w:cs="Arial"/>
          <w:sz w:val="24"/>
          <w:szCs w:val="24"/>
        </w:rPr>
        <w:t xml:space="preserve">Such as the Charity commission </w:t>
      </w:r>
      <w:r w:rsidR="00BC009B" w:rsidRPr="001F576D">
        <w:rPr>
          <w:rFonts w:ascii="Arial" w:hAnsi="Arial" w:cs="Arial"/>
          <w:sz w:val="24"/>
          <w:szCs w:val="24"/>
        </w:rPr>
        <w:t xml:space="preserve">which has a key role </w:t>
      </w:r>
      <w:r w:rsidR="00E21DB8" w:rsidRPr="001F576D">
        <w:rPr>
          <w:rFonts w:ascii="Arial" w:hAnsi="Arial" w:cs="Arial"/>
          <w:sz w:val="24"/>
          <w:szCs w:val="24"/>
        </w:rPr>
        <w:t xml:space="preserve">in promoting the compliance of charity trustees with their legal obligations </w:t>
      </w:r>
      <w:sdt>
        <w:sdtPr>
          <w:rPr>
            <w:rFonts w:ascii="Arial" w:hAnsi="Arial" w:cs="Arial"/>
            <w:sz w:val="24"/>
            <w:szCs w:val="24"/>
          </w:rPr>
          <w:id w:val="-1761518270"/>
          <w:citation/>
        </w:sdtPr>
        <w:sdtEndPr/>
        <w:sdtContent>
          <w:r w:rsidR="006B4B06" w:rsidRPr="001F576D">
            <w:rPr>
              <w:rFonts w:ascii="Arial" w:hAnsi="Arial" w:cs="Arial"/>
              <w:sz w:val="24"/>
              <w:szCs w:val="24"/>
            </w:rPr>
            <w:fldChar w:fldCharType="begin"/>
          </w:r>
          <w:r w:rsidR="006B4B06" w:rsidRPr="001F576D">
            <w:rPr>
              <w:rFonts w:ascii="Arial" w:hAnsi="Arial" w:cs="Arial"/>
              <w:sz w:val="24"/>
              <w:szCs w:val="24"/>
            </w:rPr>
            <w:instrText xml:space="preserve"> CITATION Cha12 \l 2057 </w:instrText>
          </w:r>
          <w:r w:rsidR="006B4B06" w:rsidRPr="001F576D">
            <w:rPr>
              <w:rFonts w:ascii="Arial" w:hAnsi="Arial" w:cs="Arial"/>
              <w:sz w:val="24"/>
              <w:szCs w:val="24"/>
            </w:rPr>
            <w:fldChar w:fldCharType="separate"/>
          </w:r>
          <w:r w:rsidR="009059B4" w:rsidRPr="001F576D">
            <w:rPr>
              <w:rFonts w:ascii="Arial" w:hAnsi="Arial" w:cs="Arial"/>
              <w:noProof/>
              <w:sz w:val="24"/>
              <w:szCs w:val="24"/>
            </w:rPr>
            <w:t xml:space="preserve">(Charity </w:t>
          </w:r>
          <w:r w:rsidR="009059B4" w:rsidRPr="001F576D">
            <w:rPr>
              <w:rFonts w:ascii="Arial" w:hAnsi="Arial" w:cs="Arial"/>
              <w:noProof/>
              <w:sz w:val="24"/>
              <w:szCs w:val="24"/>
            </w:rPr>
            <w:lastRenderedPageBreak/>
            <w:t>Commission, 2012)</w:t>
          </w:r>
          <w:r w:rsidR="006B4B06" w:rsidRPr="001F576D">
            <w:rPr>
              <w:rFonts w:ascii="Arial" w:hAnsi="Arial" w:cs="Arial"/>
              <w:sz w:val="24"/>
              <w:szCs w:val="24"/>
            </w:rPr>
            <w:fldChar w:fldCharType="end"/>
          </w:r>
        </w:sdtContent>
      </w:sdt>
      <w:r w:rsidR="006B4B06" w:rsidRPr="001F576D">
        <w:rPr>
          <w:rFonts w:ascii="Arial" w:hAnsi="Arial" w:cs="Arial"/>
          <w:sz w:val="24"/>
          <w:szCs w:val="24"/>
        </w:rPr>
        <w:t xml:space="preserve">. </w:t>
      </w:r>
      <w:r w:rsidR="004C67AF" w:rsidRPr="001F576D">
        <w:rPr>
          <w:rFonts w:ascii="Arial" w:hAnsi="Arial" w:cs="Arial"/>
          <w:sz w:val="24"/>
          <w:szCs w:val="24"/>
        </w:rPr>
        <w:t xml:space="preserve">This commission has massive influence over how charitable trustees can be </w:t>
      </w:r>
      <w:r w:rsidR="00EC577A" w:rsidRPr="001F576D">
        <w:rPr>
          <w:rFonts w:ascii="Arial" w:hAnsi="Arial" w:cs="Arial"/>
          <w:sz w:val="24"/>
          <w:szCs w:val="24"/>
        </w:rPr>
        <w:t xml:space="preserve">run and impacted. </w:t>
      </w:r>
      <w:r w:rsidR="00030ACF" w:rsidRPr="001F576D">
        <w:rPr>
          <w:rFonts w:ascii="Arial" w:hAnsi="Arial" w:cs="Arial"/>
          <w:sz w:val="24"/>
          <w:szCs w:val="24"/>
        </w:rPr>
        <w:t xml:space="preserve">The fact that there </w:t>
      </w:r>
      <w:r w:rsidR="00ED093F" w:rsidRPr="001F576D">
        <w:rPr>
          <w:rFonts w:ascii="Arial" w:hAnsi="Arial" w:cs="Arial"/>
          <w:sz w:val="24"/>
          <w:szCs w:val="24"/>
        </w:rPr>
        <w:t>are</w:t>
      </w:r>
      <w:r w:rsidR="00030ACF" w:rsidRPr="001F576D">
        <w:rPr>
          <w:rFonts w:ascii="Arial" w:hAnsi="Arial" w:cs="Arial"/>
          <w:sz w:val="24"/>
          <w:szCs w:val="24"/>
        </w:rPr>
        <w:t xml:space="preserve"> already commissions in place to dictate to </w:t>
      </w:r>
      <w:r w:rsidR="006A4951" w:rsidRPr="001F576D">
        <w:rPr>
          <w:rFonts w:ascii="Arial" w:hAnsi="Arial" w:cs="Arial"/>
          <w:sz w:val="24"/>
          <w:szCs w:val="24"/>
        </w:rPr>
        <w:t xml:space="preserve">trusts and </w:t>
      </w:r>
      <w:r w:rsidR="00030ACF" w:rsidRPr="001F576D">
        <w:rPr>
          <w:rFonts w:ascii="Arial" w:hAnsi="Arial" w:cs="Arial"/>
          <w:sz w:val="24"/>
          <w:szCs w:val="24"/>
        </w:rPr>
        <w:t xml:space="preserve">trustees </w:t>
      </w:r>
      <w:r w:rsidR="006A4951" w:rsidRPr="001F576D">
        <w:rPr>
          <w:rFonts w:ascii="Arial" w:hAnsi="Arial" w:cs="Arial"/>
          <w:sz w:val="24"/>
          <w:szCs w:val="24"/>
        </w:rPr>
        <w:t xml:space="preserve">suggests that there should already be a commission who oversees all trusts not just charitable </w:t>
      </w:r>
      <w:r w:rsidR="0059026E" w:rsidRPr="001F576D">
        <w:rPr>
          <w:rFonts w:ascii="Arial" w:hAnsi="Arial" w:cs="Arial"/>
          <w:sz w:val="24"/>
          <w:szCs w:val="24"/>
        </w:rPr>
        <w:t xml:space="preserve">and pension funds. </w:t>
      </w:r>
      <w:r w:rsidR="00ED093F" w:rsidRPr="001F576D">
        <w:rPr>
          <w:rFonts w:ascii="Arial" w:hAnsi="Arial" w:cs="Arial"/>
          <w:sz w:val="24"/>
          <w:szCs w:val="24"/>
        </w:rPr>
        <w:t xml:space="preserve">Currently the only thing in place for </w:t>
      </w:r>
      <w:r w:rsidR="00A35823" w:rsidRPr="001F576D">
        <w:rPr>
          <w:rFonts w:ascii="Arial" w:hAnsi="Arial" w:cs="Arial"/>
          <w:sz w:val="24"/>
          <w:szCs w:val="24"/>
        </w:rPr>
        <w:t xml:space="preserve">trustees of private trusts is that there </w:t>
      </w:r>
      <w:r w:rsidR="00E77726" w:rsidRPr="001F576D">
        <w:rPr>
          <w:rFonts w:ascii="Arial" w:hAnsi="Arial" w:cs="Arial"/>
          <w:sz w:val="24"/>
          <w:szCs w:val="24"/>
        </w:rPr>
        <w:t>are</w:t>
      </w:r>
      <w:r w:rsidR="00A35823" w:rsidRPr="001F576D">
        <w:rPr>
          <w:rFonts w:ascii="Arial" w:hAnsi="Arial" w:cs="Arial"/>
          <w:sz w:val="24"/>
          <w:szCs w:val="24"/>
        </w:rPr>
        <w:t xml:space="preserve"> general guidelines available to follow</w:t>
      </w:r>
      <w:r w:rsidR="00E77726" w:rsidRPr="001F576D">
        <w:rPr>
          <w:rFonts w:ascii="Arial" w:hAnsi="Arial" w:cs="Arial"/>
          <w:sz w:val="24"/>
          <w:szCs w:val="24"/>
        </w:rPr>
        <w:t xml:space="preserve">. Whilst it is a handy tool for </w:t>
      </w:r>
      <w:r w:rsidR="005D26B1" w:rsidRPr="001F576D">
        <w:rPr>
          <w:rFonts w:ascii="Arial" w:hAnsi="Arial" w:cs="Arial"/>
          <w:sz w:val="24"/>
          <w:szCs w:val="24"/>
        </w:rPr>
        <w:t>trustees,</w:t>
      </w:r>
      <w:r w:rsidR="00E77726" w:rsidRPr="001F576D">
        <w:rPr>
          <w:rFonts w:ascii="Arial" w:hAnsi="Arial" w:cs="Arial"/>
          <w:sz w:val="24"/>
          <w:szCs w:val="24"/>
        </w:rPr>
        <w:t xml:space="preserve"> they </w:t>
      </w:r>
      <w:r w:rsidR="00AC171A" w:rsidRPr="001F576D">
        <w:rPr>
          <w:rFonts w:ascii="Arial" w:hAnsi="Arial" w:cs="Arial"/>
          <w:sz w:val="24"/>
          <w:szCs w:val="24"/>
        </w:rPr>
        <w:t>are not held to the guidelines strictly as they are just that guidelines.</w:t>
      </w:r>
      <w:r w:rsidR="00077A8B" w:rsidRPr="001F576D">
        <w:rPr>
          <w:rFonts w:ascii="Arial" w:hAnsi="Arial" w:cs="Arial"/>
          <w:sz w:val="24"/>
          <w:szCs w:val="24"/>
        </w:rPr>
        <w:t xml:space="preserve"> A</w:t>
      </w:r>
      <w:r w:rsidR="000401C6" w:rsidRPr="001F576D">
        <w:rPr>
          <w:rFonts w:ascii="Arial" w:hAnsi="Arial" w:cs="Arial"/>
          <w:sz w:val="24"/>
          <w:szCs w:val="24"/>
        </w:rPr>
        <w:t xml:space="preserve"> Governing body would be able to </w:t>
      </w:r>
      <w:r w:rsidR="00695E44" w:rsidRPr="001F576D">
        <w:rPr>
          <w:rFonts w:ascii="Arial" w:hAnsi="Arial" w:cs="Arial"/>
          <w:sz w:val="24"/>
          <w:szCs w:val="24"/>
        </w:rPr>
        <w:t>ensure</w:t>
      </w:r>
      <w:r w:rsidR="000401C6" w:rsidRPr="001F576D">
        <w:rPr>
          <w:rFonts w:ascii="Arial" w:hAnsi="Arial" w:cs="Arial"/>
          <w:sz w:val="24"/>
          <w:szCs w:val="24"/>
        </w:rPr>
        <w:t xml:space="preserve"> that trustees are qualified to take on the jobs </w:t>
      </w:r>
      <w:r w:rsidR="00695E44" w:rsidRPr="001F576D">
        <w:rPr>
          <w:rFonts w:ascii="Arial" w:hAnsi="Arial" w:cs="Arial"/>
          <w:sz w:val="24"/>
          <w:szCs w:val="24"/>
        </w:rPr>
        <w:t xml:space="preserve">in which they undertake in the first place. However, it would decrease the risks </w:t>
      </w:r>
      <w:r w:rsidR="00CC7BD3" w:rsidRPr="001F576D">
        <w:rPr>
          <w:rFonts w:ascii="Arial" w:hAnsi="Arial" w:cs="Arial"/>
          <w:sz w:val="24"/>
          <w:szCs w:val="24"/>
        </w:rPr>
        <w:t xml:space="preserve">that trustees may take to the detriment of the beneficiaries. </w:t>
      </w:r>
      <w:r w:rsidR="002A0E58" w:rsidRPr="001F576D">
        <w:rPr>
          <w:rFonts w:ascii="Arial" w:hAnsi="Arial" w:cs="Arial"/>
          <w:sz w:val="24"/>
          <w:szCs w:val="24"/>
        </w:rPr>
        <w:t xml:space="preserve">Trustees duties that </w:t>
      </w:r>
      <w:r w:rsidR="00B35886" w:rsidRPr="001F576D">
        <w:rPr>
          <w:rFonts w:ascii="Arial" w:hAnsi="Arial" w:cs="Arial"/>
          <w:sz w:val="24"/>
          <w:szCs w:val="24"/>
        </w:rPr>
        <w:t xml:space="preserve">are currently in place for section 28(2) </w:t>
      </w:r>
      <w:r w:rsidR="002D793C" w:rsidRPr="001F576D">
        <w:rPr>
          <w:rFonts w:ascii="Arial" w:hAnsi="Arial" w:cs="Arial"/>
          <w:sz w:val="24"/>
          <w:szCs w:val="24"/>
        </w:rPr>
        <w:t xml:space="preserve">of the Trustee act 2000 is that they can now take payment for all the acts that they do on behalf of the beneficiary of the trust, however, </w:t>
      </w:r>
      <w:r w:rsidR="00CA2FD3" w:rsidRPr="001F576D">
        <w:rPr>
          <w:rFonts w:ascii="Arial" w:hAnsi="Arial" w:cs="Arial"/>
          <w:sz w:val="24"/>
          <w:szCs w:val="24"/>
        </w:rPr>
        <w:t xml:space="preserve">there is great issue with this as a ‘professional’ trustee although held to a higher standard has better protections </w:t>
      </w:r>
      <w:r w:rsidR="00B625A8" w:rsidRPr="001F576D">
        <w:rPr>
          <w:rFonts w:ascii="Arial" w:hAnsi="Arial" w:cs="Arial"/>
          <w:sz w:val="24"/>
          <w:szCs w:val="24"/>
        </w:rPr>
        <w:t>from any actions taken against them due to forgiving clauses within the trustee act such as being able to claim</w:t>
      </w:r>
      <w:r w:rsidR="00AC0422" w:rsidRPr="001F576D">
        <w:rPr>
          <w:rFonts w:ascii="Arial" w:hAnsi="Arial" w:cs="Arial"/>
          <w:sz w:val="24"/>
          <w:szCs w:val="24"/>
        </w:rPr>
        <w:t xml:space="preserve"> indemnity</w:t>
      </w:r>
      <w:r w:rsidR="00D84BB4" w:rsidRPr="001F576D">
        <w:rPr>
          <w:rFonts w:ascii="Arial" w:hAnsi="Arial" w:cs="Arial"/>
          <w:sz w:val="24"/>
          <w:szCs w:val="24"/>
        </w:rPr>
        <w:t xml:space="preserve">. Which unless the trustee has acted in a manner </w:t>
      </w:r>
      <w:r w:rsidR="00361611" w:rsidRPr="001F576D">
        <w:rPr>
          <w:rFonts w:ascii="Arial" w:hAnsi="Arial" w:cs="Arial"/>
          <w:sz w:val="24"/>
          <w:szCs w:val="24"/>
        </w:rPr>
        <w:t>of</w:t>
      </w:r>
      <w:r w:rsidR="00D84BB4" w:rsidRPr="001F576D">
        <w:rPr>
          <w:rFonts w:ascii="Arial" w:hAnsi="Arial" w:cs="Arial"/>
          <w:sz w:val="24"/>
          <w:szCs w:val="24"/>
        </w:rPr>
        <w:t xml:space="preserve"> which they willingly knew was inappropriate they a</w:t>
      </w:r>
      <w:r w:rsidR="00361611" w:rsidRPr="001F576D">
        <w:rPr>
          <w:rFonts w:ascii="Arial" w:hAnsi="Arial" w:cs="Arial"/>
          <w:sz w:val="24"/>
          <w:szCs w:val="24"/>
        </w:rPr>
        <w:t xml:space="preserve">re relatively protected under this clause of the act. </w:t>
      </w:r>
      <w:r w:rsidR="000E063D" w:rsidRPr="001F576D">
        <w:rPr>
          <w:rFonts w:ascii="Arial" w:hAnsi="Arial" w:cs="Arial"/>
          <w:i/>
          <w:iCs/>
          <w:sz w:val="24"/>
          <w:szCs w:val="24"/>
        </w:rPr>
        <w:t xml:space="preserve">Armitage v Nurse </w:t>
      </w:r>
      <w:r w:rsidR="000903A0" w:rsidRPr="001F576D">
        <w:rPr>
          <w:rFonts w:ascii="Arial" w:hAnsi="Arial" w:cs="Arial"/>
          <w:i/>
          <w:iCs/>
          <w:sz w:val="24"/>
          <w:szCs w:val="24"/>
        </w:rPr>
        <w:t xml:space="preserve">[1998] </w:t>
      </w:r>
      <w:r w:rsidR="00BB395C" w:rsidRPr="001F576D">
        <w:rPr>
          <w:rFonts w:ascii="Arial" w:hAnsi="Arial" w:cs="Arial"/>
          <w:sz w:val="24"/>
          <w:szCs w:val="24"/>
        </w:rPr>
        <w:t xml:space="preserve">held an indemnity provision that exonerated a trustee </w:t>
      </w:r>
      <w:r w:rsidR="00AC7EAA" w:rsidRPr="001F576D">
        <w:rPr>
          <w:rFonts w:ascii="Arial" w:hAnsi="Arial" w:cs="Arial"/>
          <w:sz w:val="24"/>
          <w:szCs w:val="24"/>
        </w:rPr>
        <w:t>from any loss not caused by ‘</w:t>
      </w:r>
      <w:r w:rsidR="007A0E46" w:rsidRPr="001F576D">
        <w:rPr>
          <w:rFonts w:ascii="Arial" w:hAnsi="Arial" w:cs="Arial"/>
          <w:sz w:val="24"/>
          <w:szCs w:val="24"/>
        </w:rPr>
        <w:t>his</w:t>
      </w:r>
      <w:r w:rsidR="00AC7EAA" w:rsidRPr="001F576D">
        <w:rPr>
          <w:rFonts w:ascii="Arial" w:hAnsi="Arial" w:cs="Arial"/>
          <w:sz w:val="24"/>
          <w:szCs w:val="24"/>
        </w:rPr>
        <w:t xml:space="preserve"> own actual fraud’</w:t>
      </w:r>
      <w:r w:rsidR="007A0E46" w:rsidRPr="001F576D">
        <w:rPr>
          <w:rFonts w:ascii="Arial" w:hAnsi="Arial" w:cs="Arial"/>
          <w:sz w:val="24"/>
          <w:szCs w:val="24"/>
        </w:rPr>
        <w:t xml:space="preserve"> and to exclude </w:t>
      </w:r>
      <w:r w:rsidR="00233940" w:rsidRPr="001F576D">
        <w:rPr>
          <w:rFonts w:ascii="Arial" w:hAnsi="Arial" w:cs="Arial"/>
          <w:sz w:val="24"/>
          <w:szCs w:val="24"/>
        </w:rPr>
        <w:t xml:space="preserve">liability for a loss not caused by dishonesty and wasn’t contrary to any public policy </w:t>
      </w:r>
      <w:sdt>
        <w:sdtPr>
          <w:rPr>
            <w:rFonts w:ascii="Arial" w:hAnsi="Arial" w:cs="Arial"/>
            <w:sz w:val="24"/>
            <w:szCs w:val="24"/>
          </w:rPr>
          <w:id w:val="1175618144"/>
          <w:citation/>
        </w:sdtPr>
        <w:sdtEndPr/>
        <w:sdtContent>
          <w:r w:rsidR="009059B4" w:rsidRPr="001F576D">
            <w:rPr>
              <w:rFonts w:ascii="Arial" w:hAnsi="Arial" w:cs="Arial"/>
              <w:sz w:val="24"/>
              <w:szCs w:val="24"/>
            </w:rPr>
            <w:fldChar w:fldCharType="begin"/>
          </w:r>
          <w:r w:rsidR="009059B4" w:rsidRPr="001F576D">
            <w:rPr>
              <w:rFonts w:ascii="Arial" w:hAnsi="Arial" w:cs="Arial"/>
              <w:sz w:val="24"/>
              <w:szCs w:val="24"/>
            </w:rPr>
            <w:instrText xml:space="preserve"> CITATION Bel23 \l 2057 </w:instrText>
          </w:r>
          <w:r w:rsidR="009059B4" w:rsidRPr="001F576D">
            <w:rPr>
              <w:rFonts w:ascii="Arial" w:hAnsi="Arial" w:cs="Arial"/>
              <w:sz w:val="24"/>
              <w:szCs w:val="24"/>
            </w:rPr>
            <w:fldChar w:fldCharType="separate"/>
          </w:r>
          <w:r w:rsidR="009059B4" w:rsidRPr="001F576D">
            <w:rPr>
              <w:rFonts w:ascii="Arial" w:hAnsi="Arial" w:cs="Arial"/>
              <w:noProof/>
              <w:sz w:val="24"/>
              <w:szCs w:val="24"/>
            </w:rPr>
            <w:t>(Bell, 2023)</w:t>
          </w:r>
          <w:r w:rsidR="009059B4" w:rsidRPr="001F576D">
            <w:rPr>
              <w:rFonts w:ascii="Arial" w:hAnsi="Arial" w:cs="Arial"/>
              <w:sz w:val="24"/>
              <w:szCs w:val="24"/>
            </w:rPr>
            <w:fldChar w:fldCharType="end"/>
          </w:r>
        </w:sdtContent>
      </w:sdt>
      <w:r w:rsidR="009059B4" w:rsidRPr="001F576D">
        <w:rPr>
          <w:rFonts w:ascii="Arial" w:hAnsi="Arial" w:cs="Arial"/>
          <w:sz w:val="24"/>
          <w:szCs w:val="24"/>
        </w:rPr>
        <w:t xml:space="preserve">. </w:t>
      </w:r>
      <w:r w:rsidR="0049342C" w:rsidRPr="001F576D">
        <w:rPr>
          <w:rFonts w:ascii="Arial" w:hAnsi="Arial" w:cs="Arial"/>
          <w:sz w:val="24"/>
          <w:szCs w:val="24"/>
        </w:rPr>
        <w:t xml:space="preserve">There is a solid weakness to </w:t>
      </w:r>
      <w:r w:rsidR="001561C8" w:rsidRPr="001F576D">
        <w:rPr>
          <w:rFonts w:ascii="Arial" w:hAnsi="Arial" w:cs="Arial"/>
          <w:sz w:val="24"/>
          <w:szCs w:val="24"/>
        </w:rPr>
        <w:t xml:space="preserve">the practice of indemnity on a whole as it allows for trustees to </w:t>
      </w:r>
      <w:r w:rsidR="00C85540" w:rsidRPr="001F576D">
        <w:rPr>
          <w:rFonts w:ascii="Arial" w:hAnsi="Arial" w:cs="Arial"/>
          <w:sz w:val="24"/>
          <w:szCs w:val="24"/>
        </w:rPr>
        <w:t>take risks they wouldn’t be afforded if this system wasn’t in place</w:t>
      </w:r>
      <w:r w:rsidR="000E152C" w:rsidRPr="001F576D">
        <w:rPr>
          <w:rFonts w:ascii="Arial" w:hAnsi="Arial" w:cs="Arial"/>
          <w:sz w:val="24"/>
          <w:szCs w:val="24"/>
        </w:rPr>
        <w:t xml:space="preserve">. Thus, </w:t>
      </w:r>
      <w:r w:rsidR="00BB7A07" w:rsidRPr="001F576D">
        <w:rPr>
          <w:rFonts w:ascii="Arial" w:hAnsi="Arial" w:cs="Arial"/>
          <w:sz w:val="24"/>
          <w:szCs w:val="24"/>
        </w:rPr>
        <w:t xml:space="preserve">removing the protections upon professional </w:t>
      </w:r>
      <w:r w:rsidR="00E410EE" w:rsidRPr="001F576D">
        <w:rPr>
          <w:rFonts w:ascii="Arial" w:hAnsi="Arial" w:cs="Arial"/>
          <w:sz w:val="24"/>
          <w:szCs w:val="24"/>
        </w:rPr>
        <w:t>trustees and denying them the abil</w:t>
      </w:r>
      <w:r w:rsidR="002C65B4" w:rsidRPr="001F576D">
        <w:rPr>
          <w:rFonts w:ascii="Arial" w:hAnsi="Arial" w:cs="Arial"/>
          <w:sz w:val="24"/>
          <w:szCs w:val="24"/>
        </w:rPr>
        <w:t>ity to have that fallback.</w:t>
      </w:r>
    </w:p>
    <w:p w14:paraId="73DC8112" w14:textId="3B2D709C" w:rsidR="009D28D6" w:rsidRPr="001F576D" w:rsidRDefault="002C65B4" w:rsidP="00EB35D1">
      <w:pPr>
        <w:spacing w:line="360" w:lineRule="auto"/>
        <w:rPr>
          <w:rFonts w:ascii="Arial" w:hAnsi="Arial" w:cs="Arial"/>
          <w:sz w:val="24"/>
          <w:szCs w:val="24"/>
        </w:rPr>
      </w:pPr>
      <w:r w:rsidRPr="001F576D">
        <w:rPr>
          <w:rFonts w:ascii="Arial" w:hAnsi="Arial" w:cs="Arial"/>
          <w:sz w:val="24"/>
          <w:szCs w:val="24"/>
        </w:rPr>
        <w:t xml:space="preserve"> </w:t>
      </w:r>
      <w:r w:rsidR="00F26E14" w:rsidRPr="001F576D">
        <w:rPr>
          <w:rFonts w:ascii="Arial" w:hAnsi="Arial" w:cs="Arial"/>
          <w:sz w:val="24"/>
          <w:szCs w:val="24"/>
        </w:rPr>
        <w:t xml:space="preserve">The way </w:t>
      </w:r>
      <w:r w:rsidR="00003A22" w:rsidRPr="001F576D">
        <w:rPr>
          <w:rFonts w:ascii="Arial" w:hAnsi="Arial" w:cs="Arial"/>
          <w:sz w:val="24"/>
          <w:szCs w:val="24"/>
        </w:rPr>
        <w:t xml:space="preserve">section 28 of the trustee act 2000 has been set out implies that the government </w:t>
      </w:r>
      <w:r w:rsidR="002B603E" w:rsidRPr="001F576D">
        <w:rPr>
          <w:rFonts w:ascii="Arial" w:hAnsi="Arial" w:cs="Arial"/>
          <w:sz w:val="24"/>
          <w:szCs w:val="24"/>
        </w:rPr>
        <w:t xml:space="preserve">believe that although professional trustees are held to a higher quality and standard than that of a lay trustee, it would suggest that </w:t>
      </w:r>
      <w:r w:rsidR="001A2E0F" w:rsidRPr="001F576D">
        <w:rPr>
          <w:rFonts w:ascii="Arial" w:hAnsi="Arial" w:cs="Arial"/>
          <w:sz w:val="24"/>
          <w:szCs w:val="24"/>
        </w:rPr>
        <w:t xml:space="preserve">professional trustees are more susceptible to mistakes that may cost the beneficiaries </w:t>
      </w:r>
      <w:r w:rsidR="00D4632F" w:rsidRPr="001F576D">
        <w:rPr>
          <w:rFonts w:ascii="Arial" w:hAnsi="Arial" w:cs="Arial"/>
          <w:sz w:val="24"/>
          <w:szCs w:val="24"/>
        </w:rPr>
        <w:t xml:space="preserve">financially. </w:t>
      </w:r>
      <w:r w:rsidR="000C7853" w:rsidRPr="001F576D">
        <w:rPr>
          <w:rFonts w:ascii="Arial" w:hAnsi="Arial" w:cs="Arial"/>
          <w:sz w:val="24"/>
          <w:szCs w:val="24"/>
        </w:rPr>
        <w:t xml:space="preserve">However, offering them this protection of that </w:t>
      </w:r>
      <w:proofErr w:type="gramStart"/>
      <w:r w:rsidR="000C7853" w:rsidRPr="001F576D">
        <w:rPr>
          <w:rFonts w:ascii="Arial" w:hAnsi="Arial" w:cs="Arial"/>
          <w:sz w:val="24"/>
          <w:szCs w:val="24"/>
        </w:rPr>
        <w:t>as long as</w:t>
      </w:r>
      <w:proofErr w:type="gramEnd"/>
      <w:r w:rsidR="000C7853" w:rsidRPr="001F576D">
        <w:rPr>
          <w:rFonts w:ascii="Arial" w:hAnsi="Arial" w:cs="Arial"/>
          <w:sz w:val="24"/>
          <w:szCs w:val="24"/>
        </w:rPr>
        <w:t xml:space="preserve"> they are not deliberately making mistakes allows for those risks to sometimes </w:t>
      </w:r>
      <w:r w:rsidR="00985064" w:rsidRPr="001F576D">
        <w:rPr>
          <w:rFonts w:ascii="Arial" w:hAnsi="Arial" w:cs="Arial"/>
          <w:sz w:val="24"/>
          <w:szCs w:val="24"/>
        </w:rPr>
        <w:t xml:space="preserve">pay off </w:t>
      </w:r>
      <w:r w:rsidR="00080753" w:rsidRPr="001F576D">
        <w:rPr>
          <w:rFonts w:ascii="Arial" w:hAnsi="Arial" w:cs="Arial"/>
          <w:sz w:val="24"/>
          <w:szCs w:val="24"/>
        </w:rPr>
        <w:t>massively;</w:t>
      </w:r>
      <w:r w:rsidR="00985064" w:rsidRPr="001F576D">
        <w:rPr>
          <w:rFonts w:ascii="Arial" w:hAnsi="Arial" w:cs="Arial"/>
          <w:sz w:val="24"/>
          <w:szCs w:val="24"/>
        </w:rPr>
        <w:t xml:space="preserve"> by removing the </w:t>
      </w:r>
      <w:r w:rsidR="007C7B17" w:rsidRPr="001F576D">
        <w:rPr>
          <w:rFonts w:ascii="Arial" w:hAnsi="Arial" w:cs="Arial"/>
          <w:sz w:val="24"/>
          <w:szCs w:val="24"/>
        </w:rPr>
        <w:t>fall-back</w:t>
      </w:r>
      <w:r w:rsidR="00985064" w:rsidRPr="001F576D">
        <w:rPr>
          <w:rFonts w:ascii="Arial" w:hAnsi="Arial" w:cs="Arial"/>
          <w:sz w:val="24"/>
          <w:szCs w:val="24"/>
        </w:rPr>
        <w:t xml:space="preserve"> option of indemnity it would mean trustees would have to act in a more </w:t>
      </w:r>
      <w:r w:rsidR="00466E7B" w:rsidRPr="001F576D">
        <w:rPr>
          <w:rFonts w:ascii="Arial" w:hAnsi="Arial" w:cs="Arial"/>
          <w:sz w:val="24"/>
          <w:szCs w:val="24"/>
        </w:rPr>
        <w:t>precautious</w:t>
      </w:r>
      <w:r w:rsidR="00985064" w:rsidRPr="001F576D">
        <w:rPr>
          <w:rFonts w:ascii="Arial" w:hAnsi="Arial" w:cs="Arial"/>
          <w:sz w:val="24"/>
          <w:szCs w:val="24"/>
        </w:rPr>
        <w:t xml:space="preserve"> </w:t>
      </w:r>
      <w:r w:rsidR="00466E7B" w:rsidRPr="001F576D">
        <w:rPr>
          <w:rFonts w:ascii="Arial" w:hAnsi="Arial" w:cs="Arial"/>
          <w:sz w:val="24"/>
          <w:szCs w:val="24"/>
        </w:rPr>
        <w:t>manner</w:t>
      </w:r>
      <w:r w:rsidR="007C7B17" w:rsidRPr="001F576D">
        <w:rPr>
          <w:rFonts w:ascii="Arial" w:hAnsi="Arial" w:cs="Arial"/>
          <w:sz w:val="24"/>
          <w:szCs w:val="24"/>
        </w:rPr>
        <w:t xml:space="preserve">. </w:t>
      </w:r>
      <w:r w:rsidR="00536ABC" w:rsidRPr="001F576D">
        <w:rPr>
          <w:rFonts w:ascii="Arial" w:hAnsi="Arial" w:cs="Arial"/>
          <w:sz w:val="24"/>
          <w:szCs w:val="24"/>
        </w:rPr>
        <w:t xml:space="preserve">As for the lack of governing body overseeing all trusts and trustees ensuring that </w:t>
      </w:r>
      <w:r w:rsidR="00AD047E" w:rsidRPr="001F576D">
        <w:rPr>
          <w:rFonts w:ascii="Arial" w:hAnsi="Arial" w:cs="Arial"/>
          <w:sz w:val="24"/>
          <w:szCs w:val="24"/>
        </w:rPr>
        <w:t xml:space="preserve">they are being run </w:t>
      </w:r>
      <w:r w:rsidR="00322984" w:rsidRPr="001F576D">
        <w:rPr>
          <w:rFonts w:ascii="Arial" w:hAnsi="Arial" w:cs="Arial"/>
          <w:sz w:val="24"/>
          <w:szCs w:val="24"/>
        </w:rPr>
        <w:t xml:space="preserve">by a reasonably trained and informed </w:t>
      </w:r>
      <w:r w:rsidR="00322984" w:rsidRPr="001F576D">
        <w:rPr>
          <w:rFonts w:ascii="Arial" w:hAnsi="Arial" w:cs="Arial"/>
          <w:sz w:val="24"/>
          <w:szCs w:val="24"/>
        </w:rPr>
        <w:lastRenderedPageBreak/>
        <w:t xml:space="preserve">person </w:t>
      </w:r>
      <w:r w:rsidR="007523C3" w:rsidRPr="001F576D">
        <w:rPr>
          <w:rFonts w:ascii="Arial" w:hAnsi="Arial" w:cs="Arial"/>
          <w:sz w:val="24"/>
          <w:szCs w:val="24"/>
        </w:rPr>
        <w:t xml:space="preserve">is likely down to the </w:t>
      </w:r>
      <w:r w:rsidR="007325F6" w:rsidRPr="001F576D">
        <w:rPr>
          <w:rFonts w:ascii="Arial" w:hAnsi="Arial" w:cs="Arial"/>
          <w:sz w:val="24"/>
          <w:szCs w:val="24"/>
        </w:rPr>
        <w:t>infrastructure</w:t>
      </w:r>
      <w:r w:rsidR="007523C3" w:rsidRPr="001F576D">
        <w:rPr>
          <w:rFonts w:ascii="Arial" w:hAnsi="Arial" w:cs="Arial"/>
          <w:sz w:val="24"/>
          <w:szCs w:val="24"/>
        </w:rPr>
        <w:t xml:space="preserve"> hat would have to be </w:t>
      </w:r>
      <w:r w:rsidR="007325F6" w:rsidRPr="001F576D">
        <w:rPr>
          <w:rFonts w:ascii="Arial" w:hAnsi="Arial" w:cs="Arial"/>
          <w:sz w:val="24"/>
          <w:szCs w:val="24"/>
        </w:rPr>
        <w:t>implemented</w:t>
      </w:r>
      <w:r w:rsidR="007523C3" w:rsidRPr="001F576D">
        <w:rPr>
          <w:rFonts w:ascii="Arial" w:hAnsi="Arial" w:cs="Arial"/>
          <w:sz w:val="24"/>
          <w:szCs w:val="24"/>
        </w:rPr>
        <w:t xml:space="preserve"> would be a massive task for any government to </w:t>
      </w:r>
      <w:proofErr w:type="gramStart"/>
      <w:r w:rsidR="007325F6" w:rsidRPr="001F576D">
        <w:rPr>
          <w:rFonts w:ascii="Arial" w:hAnsi="Arial" w:cs="Arial"/>
          <w:sz w:val="24"/>
          <w:szCs w:val="24"/>
        </w:rPr>
        <w:t>actually get</w:t>
      </w:r>
      <w:proofErr w:type="gramEnd"/>
      <w:r w:rsidR="007325F6" w:rsidRPr="001F576D">
        <w:rPr>
          <w:rFonts w:ascii="Arial" w:hAnsi="Arial" w:cs="Arial"/>
          <w:sz w:val="24"/>
          <w:szCs w:val="24"/>
        </w:rPr>
        <w:t xml:space="preserve"> into place. </w:t>
      </w:r>
    </w:p>
    <w:p w14:paraId="495A32FE" w14:textId="3606D0A1" w:rsidR="004E5A02" w:rsidRPr="001F576D" w:rsidRDefault="009F48BB" w:rsidP="00EB35D1">
      <w:pPr>
        <w:spacing w:line="360" w:lineRule="auto"/>
        <w:rPr>
          <w:rFonts w:ascii="Arial" w:hAnsi="Arial" w:cs="Arial"/>
          <w:sz w:val="24"/>
          <w:szCs w:val="24"/>
        </w:rPr>
      </w:pPr>
      <w:r w:rsidRPr="001F576D">
        <w:rPr>
          <w:rFonts w:ascii="Arial" w:hAnsi="Arial" w:cs="Arial"/>
          <w:sz w:val="24"/>
          <w:szCs w:val="24"/>
        </w:rPr>
        <w:t xml:space="preserve">The proposed reform to section 28 of the </w:t>
      </w:r>
      <w:r w:rsidR="00D53BCC" w:rsidRPr="001F576D">
        <w:rPr>
          <w:rFonts w:ascii="Arial" w:hAnsi="Arial" w:cs="Arial"/>
          <w:sz w:val="24"/>
          <w:szCs w:val="24"/>
        </w:rPr>
        <w:t>trustee act 2000</w:t>
      </w:r>
      <w:r w:rsidR="0065502C" w:rsidRPr="001F576D">
        <w:rPr>
          <w:rFonts w:ascii="Arial" w:hAnsi="Arial" w:cs="Arial"/>
          <w:sz w:val="24"/>
          <w:szCs w:val="24"/>
        </w:rPr>
        <w:t xml:space="preserve">. </w:t>
      </w:r>
    </w:p>
    <w:p w14:paraId="74A8C31C" w14:textId="27A16413" w:rsidR="006D4ACF" w:rsidRPr="001F576D" w:rsidRDefault="007B7F15" w:rsidP="00EB35D1">
      <w:pPr>
        <w:spacing w:line="360" w:lineRule="auto"/>
        <w:rPr>
          <w:rFonts w:ascii="Arial" w:hAnsi="Arial" w:cs="Arial"/>
          <w:b/>
          <w:bCs/>
          <w:i/>
          <w:iCs/>
          <w:sz w:val="24"/>
          <w:szCs w:val="24"/>
        </w:rPr>
      </w:pPr>
      <w:r w:rsidRPr="001F576D">
        <w:rPr>
          <w:rFonts w:ascii="Arial" w:hAnsi="Arial" w:cs="Arial"/>
          <w:b/>
          <w:bCs/>
          <w:i/>
          <w:iCs/>
          <w:sz w:val="24"/>
          <w:szCs w:val="24"/>
        </w:rPr>
        <w:t>“</w:t>
      </w:r>
      <w:r w:rsidR="006D4ACF" w:rsidRPr="001F576D">
        <w:rPr>
          <w:rFonts w:ascii="Arial" w:hAnsi="Arial" w:cs="Arial"/>
          <w:b/>
          <w:bCs/>
          <w:i/>
          <w:iCs/>
          <w:sz w:val="24"/>
          <w:szCs w:val="24"/>
        </w:rPr>
        <w:t xml:space="preserve">Reform on trustees' liabilities and remunerations on services under the trust instrument. </w:t>
      </w:r>
    </w:p>
    <w:p w14:paraId="0951F7EB"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 xml:space="preserve">Clause 1)  </w:t>
      </w:r>
    </w:p>
    <w:p w14:paraId="28A0B7D5"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1.</w:t>
      </w:r>
      <w:r w:rsidRPr="001F576D">
        <w:rPr>
          <w:rFonts w:ascii="Arial" w:hAnsi="Arial" w:cs="Arial"/>
          <w:b/>
          <w:bCs/>
          <w:i/>
          <w:iCs/>
          <w:sz w:val="24"/>
          <w:szCs w:val="24"/>
        </w:rPr>
        <w:tab/>
        <w:t xml:space="preserve">restrict forgiving clauses; </w:t>
      </w:r>
      <w:proofErr w:type="spellStart"/>
      <w:r w:rsidRPr="001F576D">
        <w:rPr>
          <w:rFonts w:ascii="Arial" w:hAnsi="Arial" w:cs="Arial"/>
          <w:b/>
          <w:bCs/>
          <w:i/>
          <w:iCs/>
          <w:sz w:val="24"/>
          <w:szCs w:val="24"/>
        </w:rPr>
        <w:t>i.e</w:t>
      </w:r>
      <w:proofErr w:type="spellEnd"/>
      <w:r w:rsidRPr="001F576D">
        <w:rPr>
          <w:rFonts w:ascii="Arial" w:hAnsi="Arial" w:cs="Arial"/>
          <w:b/>
          <w:bCs/>
          <w:i/>
          <w:iCs/>
          <w:sz w:val="24"/>
          <w:szCs w:val="24"/>
        </w:rPr>
        <w:t xml:space="preserve">, </w:t>
      </w:r>
    </w:p>
    <w:p w14:paraId="38B92877"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a.</w:t>
      </w:r>
      <w:r w:rsidRPr="001F576D">
        <w:rPr>
          <w:rFonts w:ascii="Arial" w:hAnsi="Arial" w:cs="Arial"/>
          <w:b/>
          <w:bCs/>
          <w:i/>
          <w:iCs/>
          <w:sz w:val="24"/>
          <w:szCs w:val="24"/>
        </w:rPr>
        <w:tab/>
        <w:t xml:space="preserve">Trustees Act 2000 s28(2)  </w:t>
      </w:r>
    </w:p>
    <w:p w14:paraId="32523F03"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2.</w:t>
      </w:r>
      <w:r w:rsidRPr="001F576D">
        <w:rPr>
          <w:rFonts w:ascii="Arial" w:hAnsi="Arial" w:cs="Arial"/>
          <w:b/>
          <w:bCs/>
          <w:i/>
          <w:iCs/>
          <w:sz w:val="24"/>
          <w:szCs w:val="24"/>
        </w:rPr>
        <w:tab/>
        <w:t xml:space="preserve">if the trustee(s) is negligent then: </w:t>
      </w:r>
    </w:p>
    <w:p w14:paraId="18483181"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a.</w:t>
      </w:r>
      <w:r w:rsidRPr="001F576D">
        <w:rPr>
          <w:rFonts w:ascii="Arial" w:hAnsi="Arial" w:cs="Arial"/>
          <w:b/>
          <w:bCs/>
          <w:i/>
          <w:iCs/>
          <w:sz w:val="24"/>
          <w:szCs w:val="24"/>
        </w:rPr>
        <w:tab/>
        <w:t xml:space="preserve">Should not be shielded from basic fiduciary duties; including, </w:t>
      </w:r>
    </w:p>
    <w:p w14:paraId="249FEC6B"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b.</w:t>
      </w:r>
      <w:r w:rsidRPr="001F576D">
        <w:rPr>
          <w:rFonts w:ascii="Arial" w:hAnsi="Arial" w:cs="Arial"/>
          <w:b/>
          <w:bCs/>
          <w:i/>
          <w:iCs/>
          <w:sz w:val="24"/>
          <w:szCs w:val="24"/>
        </w:rPr>
        <w:tab/>
        <w:t xml:space="preserve">The duties of care, prudence, and loyalty </w:t>
      </w:r>
    </w:p>
    <w:p w14:paraId="263D9472"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3.</w:t>
      </w:r>
      <w:r w:rsidRPr="001F576D">
        <w:rPr>
          <w:rFonts w:ascii="Arial" w:hAnsi="Arial" w:cs="Arial"/>
          <w:b/>
          <w:bCs/>
          <w:i/>
          <w:iCs/>
          <w:sz w:val="24"/>
          <w:szCs w:val="24"/>
        </w:rPr>
        <w:tab/>
        <w:t xml:space="preserve">Subsection (a) and (b) should be applicable when: </w:t>
      </w:r>
    </w:p>
    <w:p w14:paraId="2374AF82"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a.</w:t>
      </w:r>
      <w:r w:rsidRPr="001F576D">
        <w:rPr>
          <w:rFonts w:ascii="Arial" w:hAnsi="Arial" w:cs="Arial"/>
          <w:b/>
          <w:bCs/>
          <w:i/>
          <w:iCs/>
          <w:sz w:val="24"/>
          <w:szCs w:val="24"/>
        </w:rPr>
        <w:tab/>
        <w:t xml:space="preserve">the trustee has acted with ill intent; </w:t>
      </w:r>
      <w:proofErr w:type="spellStart"/>
      <w:r w:rsidRPr="001F576D">
        <w:rPr>
          <w:rFonts w:ascii="Arial" w:hAnsi="Arial" w:cs="Arial"/>
          <w:b/>
          <w:bCs/>
          <w:i/>
          <w:iCs/>
          <w:sz w:val="24"/>
          <w:szCs w:val="24"/>
        </w:rPr>
        <w:t>i.e</w:t>
      </w:r>
      <w:proofErr w:type="spellEnd"/>
      <w:r w:rsidRPr="001F576D">
        <w:rPr>
          <w:rFonts w:ascii="Arial" w:hAnsi="Arial" w:cs="Arial"/>
          <w:b/>
          <w:bCs/>
          <w:i/>
          <w:iCs/>
          <w:sz w:val="24"/>
          <w:szCs w:val="24"/>
        </w:rPr>
        <w:t xml:space="preserve">, </w:t>
      </w:r>
    </w:p>
    <w:p w14:paraId="4E7DDCC0"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b.</w:t>
      </w:r>
      <w:r w:rsidRPr="001F576D">
        <w:rPr>
          <w:rFonts w:ascii="Arial" w:hAnsi="Arial" w:cs="Arial"/>
          <w:b/>
          <w:bCs/>
          <w:i/>
          <w:iCs/>
          <w:sz w:val="24"/>
          <w:szCs w:val="24"/>
        </w:rPr>
        <w:tab/>
        <w:t xml:space="preserve">when in a conflict of interest  </w:t>
      </w:r>
    </w:p>
    <w:p w14:paraId="4D8A9960" w14:textId="77777777" w:rsidR="006D4ACF" w:rsidRPr="001F576D" w:rsidRDefault="006D4ACF" w:rsidP="00EB35D1">
      <w:pPr>
        <w:spacing w:line="360" w:lineRule="auto"/>
        <w:rPr>
          <w:rFonts w:ascii="Arial" w:hAnsi="Arial" w:cs="Arial"/>
          <w:b/>
          <w:bCs/>
          <w:i/>
          <w:iCs/>
          <w:sz w:val="24"/>
          <w:szCs w:val="24"/>
        </w:rPr>
      </w:pPr>
    </w:p>
    <w:p w14:paraId="592AD9BB"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 xml:space="preserve">Clause 2) </w:t>
      </w:r>
    </w:p>
    <w:p w14:paraId="5BEFBD50"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Implementing a governing body to make sure trustees are</w:t>
      </w:r>
    </w:p>
    <w:p w14:paraId="173E92DC"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1.</w:t>
      </w:r>
      <w:r w:rsidRPr="001F576D">
        <w:rPr>
          <w:rFonts w:ascii="Arial" w:hAnsi="Arial" w:cs="Arial"/>
          <w:b/>
          <w:bCs/>
          <w:i/>
          <w:iCs/>
          <w:sz w:val="24"/>
          <w:szCs w:val="24"/>
        </w:rPr>
        <w:tab/>
        <w:t>Trained to the correct level to ensure potential trustees are up to requirement</w:t>
      </w:r>
    </w:p>
    <w:p w14:paraId="5694D1DF"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2.</w:t>
      </w:r>
      <w:r w:rsidRPr="001F576D">
        <w:rPr>
          <w:rFonts w:ascii="Arial" w:hAnsi="Arial" w:cs="Arial"/>
          <w:b/>
          <w:bCs/>
          <w:i/>
          <w:iCs/>
          <w:sz w:val="24"/>
          <w:szCs w:val="24"/>
        </w:rPr>
        <w:tab/>
        <w:t>To refine and limit who is eligible to become a trustee.</w:t>
      </w:r>
    </w:p>
    <w:p w14:paraId="26442A96"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A.</w:t>
      </w:r>
      <w:r w:rsidRPr="001F576D">
        <w:rPr>
          <w:rFonts w:ascii="Arial" w:hAnsi="Arial" w:cs="Arial"/>
          <w:b/>
          <w:bCs/>
          <w:i/>
          <w:iCs/>
          <w:sz w:val="24"/>
          <w:szCs w:val="24"/>
        </w:rPr>
        <w:tab/>
        <w:t>To ensure trustees are fit and proper</w:t>
      </w:r>
    </w:p>
    <w:p w14:paraId="2022766A"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B.</w:t>
      </w:r>
      <w:r w:rsidRPr="001F576D">
        <w:rPr>
          <w:rFonts w:ascii="Arial" w:hAnsi="Arial" w:cs="Arial"/>
          <w:b/>
          <w:bCs/>
          <w:i/>
          <w:iCs/>
          <w:sz w:val="24"/>
          <w:szCs w:val="24"/>
        </w:rPr>
        <w:tab/>
        <w:t>To decrease the risk of trustees being negligent in their duties</w:t>
      </w:r>
    </w:p>
    <w:p w14:paraId="652583A4" w14:textId="77777777" w:rsidR="006D4ACF" w:rsidRPr="001F576D" w:rsidRDefault="006D4ACF" w:rsidP="00EB35D1">
      <w:pPr>
        <w:spacing w:line="360" w:lineRule="auto"/>
        <w:rPr>
          <w:rFonts w:ascii="Arial" w:hAnsi="Arial" w:cs="Arial"/>
          <w:b/>
          <w:bCs/>
          <w:i/>
          <w:iCs/>
          <w:sz w:val="24"/>
          <w:szCs w:val="24"/>
        </w:rPr>
      </w:pPr>
      <w:r w:rsidRPr="001F576D">
        <w:rPr>
          <w:rFonts w:ascii="Arial" w:hAnsi="Arial" w:cs="Arial"/>
          <w:b/>
          <w:bCs/>
          <w:i/>
          <w:iCs/>
          <w:sz w:val="24"/>
          <w:szCs w:val="24"/>
        </w:rPr>
        <w:t>3.</w:t>
      </w:r>
      <w:r w:rsidRPr="001F576D">
        <w:rPr>
          <w:rFonts w:ascii="Arial" w:hAnsi="Arial" w:cs="Arial"/>
          <w:b/>
          <w:bCs/>
          <w:i/>
          <w:iCs/>
          <w:sz w:val="24"/>
          <w:szCs w:val="24"/>
        </w:rPr>
        <w:tab/>
        <w:t>Removing the current guidance in place for trustees and implementing a more rigorous procedure</w:t>
      </w:r>
    </w:p>
    <w:p w14:paraId="54328953" w14:textId="78931140" w:rsidR="00A13228" w:rsidRPr="001F576D" w:rsidRDefault="007D442D" w:rsidP="00EB35D1">
      <w:pPr>
        <w:spacing w:line="360" w:lineRule="auto"/>
        <w:rPr>
          <w:rFonts w:ascii="Arial" w:hAnsi="Arial" w:cs="Arial"/>
          <w:b/>
          <w:bCs/>
          <w:i/>
          <w:iCs/>
          <w:sz w:val="24"/>
          <w:szCs w:val="24"/>
        </w:rPr>
      </w:pPr>
      <w:r w:rsidRPr="001F576D">
        <w:rPr>
          <w:rFonts w:ascii="Arial" w:hAnsi="Arial" w:cs="Arial"/>
          <w:b/>
          <w:bCs/>
          <w:i/>
          <w:iCs/>
          <w:sz w:val="24"/>
          <w:szCs w:val="24"/>
        </w:rPr>
        <w:t xml:space="preserve">There is no existing legislation which governs who a trustee can be and what if/any qualifications are required. This is a reform suggestion structured </w:t>
      </w:r>
      <w:proofErr w:type="gramStart"/>
      <w:r w:rsidRPr="001F576D">
        <w:rPr>
          <w:rFonts w:ascii="Arial" w:hAnsi="Arial" w:cs="Arial"/>
          <w:b/>
          <w:bCs/>
          <w:i/>
          <w:iCs/>
          <w:sz w:val="24"/>
          <w:szCs w:val="24"/>
        </w:rPr>
        <w:t xml:space="preserve">on the </w:t>
      </w:r>
      <w:r w:rsidRPr="001F576D">
        <w:rPr>
          <w:rFonts w:ascii="Arial" w:hAnsi="Arial" w:cs="Arial"/>
          <w:b/>
          <w:bCs/>
          <w:i/>
          <w:iCs/>
          <w:sz w:val="24"/>
          <w:szCs w:val="24"/>
        </w:rPr>
        <w:lastRenderedPageBreak/>
        <w:t>basis of</w:t>
      </w:r>
      <w:proofErr w:type="gramEnd"/>
      <w:r w:rsidRPr="001F576D">
        <w:rPr>
          <w:rFonts w:ascii="Arial" w:hAnsi="Arial" w:cs="Arial"/>
          <w:b/>
          <w:bCs/>
          <w:i/>
          <w:iCs/>
          <w:sz w:val="24"/>
          <w:szCs w:val="24"/>
        </w:rPr>
        <w:t xml:space="preserve"> reforming s28(2) of the Trustee Act 2000, the liabilities of a trustee in regard to an express agreement. The aim of clause 1 is to limit forgiving clauses, and state reform on when a trustee is to be held negligent. Section 3 (a)(b) defines in further detail of when a trustee would be held negligent. This piece should enable that a trustee act’s honestly and diligently without a conflict of interest. In addition, clause 2 aims to govern who a trustee can be and the terms in which implement the requirements to become a trustee.</w:t>
      </w:r>
      <w:r w:rsidR="007B7F15" w:rsidRPr="001F576D">
        <w:rPr>
          <w:rFonts w:ascii="Arial" w:hAnsi="Arial" w:cs="Arial"/>
          <w:b/>
          <w:bCs/>
          <w:i/>
          <w:iCs/>
          <w:sz w:val="24"/>
          <w:szCs w:val="24"/>
        </w:rPr>
        <w:t>”</w:t>
      </w:r>
    </w:p>
    <w:p w14:paraId="7738FF9B" w14:textId="77777777" w:rsidR="003A13F4" w:rsidRPr="001F576D" w:rsidRDefault="00A13228" w:rsidP="00EB35D1">
      <w:pPr>
        <w:spacing w:line="360" w:lineRule="auto"/>
        <w:rPr>
          <w:rFonts w:ascii="Arial" w:hAnsi="Arial" w:cs="Arial"/>
          <w:sz w:val="24"/>
          <w:szCs w:val="24"/>
        </w:rPr>
      </w:pPr>
      <w:r w:rsidRPr="001F576D">
        <w:rPr>
          <w:rFonts w:ascii="Arial" w:hAnsi="Arial" w:cs="Arial"/>
          <w:sz w:val="24"/>
          <w:szCs w:val="24"/>
        </w:rPr>
        <w:t xml:space="preserve">The reform suggestions in place to the </w:t>
      </w:r>
      <w:r w:rsidR="00B44F92" w:rsidRPr="001F576D">
        <w:rPr>
          <w:rFonts w:ascii="Arial" w:hAnsi="Arial" w:cs="Arial"/>
          <w:sz w:val="24"/>
          <w:szCs w:val="24"/>
        </w:rPr>
        <w:t xml:space="preserve">Trustee Act 2000 produced </w:t>
      </w:r>
      <w:r w:rsidR="00BD2544" w:rsidRPr="001F576D">
        <w:rPr>
          <w:rFonts w:ascii="Arial" w:hAnsi="Arial" w:cs="Arial"/>
          <w:sz w:val="24"/>
          <w:szCs w:val="24"/>
        </w:rPr>
        <w:t xml:space="preserve">addresses that forgiving clauses </w:t>
      </w:r>
      <w:r w:rsidR="000E57B9" w:rsidRPr="001F576D">
        <w:rPr>
          <w:rFonts w:ascii="Arial" w:hAnsi="Arial" w:cs="Arial"/>
          <w:sz w:val="24"/>
          <w:szCs w:val="24"/>
        </w:rPr>
        <w:t>such as indemnity shouldn’t be in place in the first place as it allows for</w:t>
      </w:r>
      <w:r w:rsidR="000B06D2" w:rsidRPr="001F576D">
        <w:rPr>
          <w:rFonts w:ascii="Arial" w:hAnsi="Arial" w:cs="Arial"/>
          <w:sz w:val="24"/>
          <w:szCs w:val="24"/>
        </w:rPr>
        <w:t xml:space="preserve"> trustees to take risks </w:t>
      </w:r>
      <w:r w:rsidR="00B07F27" w:rsidRPr="001F576D">
        <w:rPr>
          <w:rFonts w:ascii="Arial" w:hAnsi="Arial" w:cs="Arial"/>
          <w:sz w:val="24"/>
          <w:szCs w:val="24"/>
        </w:rPr>
        <w:t xml:space="preserve">with limited </w:t>
      </w:r>
      <w:r w:rsidR="00F374F9" w:rsidRPr="001F576D">
        <w:rPr>
          <w:rFonts w:ascii="Arial" w:hAnsi="Arial" w:cs="Arial"/>
          <w:sz w:val="24"/>
          <w:szCs w:val="24"/>
        </w:rPr>
        <w:t>repercussions and consequence as long as they are not actively working in bad faith</w:t>
      </w:r>
      <w:r w:rsidR="003E4FC1" w:rsidRPr="001F576D">
        <w:rPr>
          <w:rFonts w:ascii="Arial" w:hAnsi="Arial" w:cs="Arial"/>
          <w:sz w:val="24"/>
          <w:szCs w:val="24"/>
        </w:rPr>
        <w:t xml:space="preserve">. By removing the forgiving </w:t>
      </w:r>
      <w:r w:rsidR="00990799" w:rsidRPr="001F576D">
        <w:rPr>
          <w:rFonts w:ascii="Arial" w:hAnsi="Arial" w:cs="Arial"/>
          <w:sz w:val="24"/>
          <w:szCs w:val="24"/>
        </w:rPr>
        <w:t>clauses,</w:t>
      </w:r>
      <w:r w:rsidR="003E4FC1" w:rsidRPr="001F576D">
        <w:rPr>
          <w:rFonts w:ascii="Arial" w:hAnsi="Arial" w:cs="Arial"/>
          <w:sz w:val="24"/>
          <w:szCs w:val="24"/>
        </w:rPr>
        <w:t xml:space="preserve"> it doesn’t allow for the mistakes to be swept away rather then must actively try and avoid </w:t>
      </w:r>
      <w:r w:rsidR="00990799" w:rsidRPr="001F576D">
        <w:rPr>
          <w:rFonts w:ascii="Arial" w:hAnsi="Arial" w:cs="Arial"/>
          <w:sz w:val="24"/>
          <w:szCs w:val="24"/>
        </w:rPr>
        <w:t xml:space="preserve">a situation that would previously </w:t>
      </w:r>
      <w:r w:rsidR="00A63492" w:rsidRPr="001F576D">
        <w:rPr>
          <w:rFonts w:ascii="Arial" w:hAnsi="Arial" w:cs="Arial"/>
          <w:sz w:val="24"/>
          <w:szCs w:val="24"/>
        </w:rPr>
        <w:t>have meant</w:t>
      </w:r>
      <w:r w:rsidR="002721D8" w:rsidRPr="001F576D">
        <w:rPr>
          <w:rFonts w:ascii="Arial" w:hAnsi="Arial" w:cs="Arial"/>
          <w:sz w:val="24"/>
          <w:szCs w:val="24"/>
        </w:rPr>
        <w:t xml:space="preserve"> a</w:t>
      </w:r>
      <w:r w:rsidR="00667123" w:rsidRPr="001F576D">
        <w:rPr>
          <w:rFonts w:ascii="Arial" w:hAnsi="Arial" w:cs="Arial"/>
          <w:sz w:val="24"/>
          <w:szCs w:val="24"/>
        </w:rPr>
        <w:t>n</w:t>
      </w:r>
      <w:r w:rsidR="006C4214" w:rsidRPr="001F576D">
        <w:rPr>
          <w:rFonts w:ascii="Arial" w:hAnsi="Arial" w:cs="Arial"/>
          <w:sz w:val="24"/>
          <w:szCs w:val="24"/>
        </w:rPr>
        <w:t xml:space="preserve"> indemnity</w:t>
      </w:r>
      <w:r w:rsidR="00667123" w:rsidRPr="001F576D">
        <w:rPr>
          <w:rFonts w:ascii="Arial" w:hAnsi="Arial" w:cs="Arial"/>
          <w:sz w:val="24"/>
          <w:szCs w:val="24"/>
        </w:rPr>
        <w:t xml:space="preserve"> claim</w:t>
      </w:r>
      <w:r w:rsidR="009B72FA" w:rsidRPr="001F576D">
        <w:rPr>
          <w:rFonts w:ascii="Arial" w:hAnsi="Arial" w:cs="Arial"/>
          <w:sz w:val="24"/>
          <w:szCs w:val="24"/>
        </w:rPr>
        <w:t>, as such cases like Armi</w:t>
      </w:r>
      <w:r w:rsidR="00563684" w:rsidRPr="001F576D">
        <w:rPr>
          <w:rFonts w:ascii="Arial" w:hAnsi="Arial" w:cs="Arial"/>
          <w:sz w:val="24"/>
          <w:szCs w:val="24"/>
        </w:rPr>
        <w:t xml:space="preserve">tage v Nurse [1998] would cease to exist as the fault would solely be on </w:t>
      </w:r>
      <w:r w:rsidR="00BC348B" w:rsidRPr="001F576D">
        <w:rPr>
          <w:rFonts w:ascii="Arial" w:hAnsi="Arial" w:cs="Arial"/>
          <w:sz w:val="24"/>
          <w:szCs w:val="24"/>
        </w:rPr>
        <w:t xml:space="preserve">the trustee at </w:t>
      </w:r>
      <w:r w:rsidR="00A63492" w:rsidRPr="001F576D">
        <w:rPr>
          <w:rFonts w:ascii="Arial" w:hAnsi="Arial" w:cs="Arial"/>
          <w:sz w:val="24"/>
          <w:szCs w:val="24"/>
        </w:rPr>
        <w:t xml:space="preserve">fault and there would be no dispute. By </w:t>
      </w:r>
      <w:r w:rsidR="00741582" w:rsidRPr="001F576D">
        <w:rPr>
          <w:rFonts w:ascii="Arial" w:hAnsi="Arial" w:cs="Arial"/>
          <w:sz w:val="24"/>
          <w:szCs w:val="24"/>
        </w:rPr>
        <w:t xml:space="preserve">introducing a governing body to oversee who can become a trustee and overseeing the trusts themselves again </w:t>
      </w:r>
      <w:r w:rsidR="00D635C5" w:rsidRPr="001F576D">
        <w:rPr>
          <w:rFonts w:ascii="Arial" w:hAnsi="Arial" w:cs="Arial"/>
          <w:sz w:val="24"/>
          <w:szCs w:val="24"/>
        </w:rPr>
        <w:t>mitigates any risks with being a trustee as all trustees will be deemed professional as they would have all received adequate training</w:t>
      </w:r>
      <w:r w:rsidR="00681F3B" w:rsidRPr="001F576D">
        <w:rPr>
          <w:rFonts w:ascii="Arial" w:hAnsi="Arial" w:cs="Arial"/>
          <w:sz w:val="24"/>
          <w:szCs w:val="24"/>
        </w:rPr>
        <w:t xml:space="preserve">, thus all held to a higher standard of work also removing lay and professional trustees as they will all be valued the same. </w:t>
      </w:r>
    </w:p>
    <w:p w14:paraId="299C6ED0" w14:textId="20A8650A" w:rsidR="00533ED1" w:rsidRPr="001F576D" w:rsidRDefault="007459D6" w:rsidP="00EB35D1">
      <w:pPr>
        <w:spacing w:line="360" w:lineRule="auto"/>
        <w:rPr>
          <w:rFonts w:ascii="Arial" w:hAnsi="Arial" w:cs="Arial"/>
          <w:sz w:val="24"/>
          <w:szCs w:val="24"/>
        </w:rPr>
      </w:pPr>
      <w:r w:rsidRPr="001F576D">
        <w:rPr>
          <w:rFonts w:ascii="Arial" w:hAnsi="Arial" w:cs="Arial"/>
          <w:sz w:val="24"/>
          <w:szCs w:val="24"/>
        </w:rPr>
        <w:t xml:space="preserve"> </w:t>
      </w:r>
      <w:r w:rsidR="00B5118E" w:rsidRPr="001F576D">
        <w:rPr>
          <w:rFonts w:ascii="Arial" w:hAnsi="Arial" w:cs="Arial"/>
          <w:sz w:val="24"/>
          <w:szCs w:val="24"/>
        </w:rPr>
        <w:t xml:space="preserve">The issues addressed within the reform suggestions </w:t>
      </w:r>
      <w:r w:rsidR="004A1795" w:rsidRPr="001F576D">
        <w:rPr>
          <w:rFonts w:ascii="Arial" w:hAnsi="Arial" w:cs="Arial"/>
          <w:sz w:val="24"/>
          <w:szCs w:val="24"/>
        </w:rPr>
        <w:t xml:space="preserve">remove the biases towards trustees </w:t>
      </w:r>
      <w:r w:rsidR="00C204D4" w:rsidRPr="001F576D">
        <w:rPr>
          <w:rFonts w:ascii="Arial" w:hAnsi="Arial" w:cs="Arial"/>
          <w:sz w:val="24"/>
          <w:szCs w:val="24"/>
        </w:rPr>
        <w:t>regarding</w:t>
      </w:r>
      <w:r w:rsidR="0098408D" w:rsidRPr="001F576D">
        <w:rPr>
          <w:rFonts w:ascii="Arial" w:hAnsi="Arial" w:cs="Arial"/>
          <w:sz w:val="24"/>
          <w:szCs w:val="24"/>
        </w:rPr>
        <w:t xml:space="preserve"> the protections they may have. </w:t>
      </w:r>
      <w:r w:rsidR="00B3283B" w:rsidRPr="001F576D">
        <w:rPr>
          <w:rFonts w:ascii="Arial" w:hAnsi="Arial" w:cs="Arial"/>
          <w:sz w:val="24"/>
          <w:szCs w:val="24"/>
        </w:rPr>
        <w:t xml:space="preserve">The </w:t>
      </w:r>
      <w:r w:rsidR="00C204D4" w:rsidRPr="001F576D">
        <w:rPr>
          <w:rFonts w:ascii="Arial" w:hAnsi="Arial" w:cs="Arial"/>
          <w:sz w:val="24"/>
          <w:szCs w:val="24"/>
        </w:rPr>
        <w:t>proposed</w:t>
      </w:r>
      <w:r w:rsidR="00B3283B" w:rsidRPr="001F576D">
        <w:rPr>
          <w:rFonts w:ascii="Arial" w:hAnsi="Arial" w:cs="Arial"/>
          <w:sz w:val="24"/>
          <w:szCs w:val="24"/>
        </w:rPr>
        <w:t xml:space="preserve"> </w:t>
      </w:r>
      <w:r w:rsidR="00C204D4" w:rsidRPr="001F576D">
        <w:rPr>
          <w:rFonts w:ascii="Arial" w:hAnsi="Arial" w:cs="Arial"/>
          <w:sz w:val="24"/>
          <w:szCs w:val="24"/>
        </w:rPr>
        <w:t>reforms</w:t>
      </w:r>
      <w:r w:rsidR="00B3283B" w:rsidRPr="001F576D">
        <w:rPr>
          <w:rFonts w:ascii="Arial" w:hAnsi="Arial" w:cs="Arial"/>
          <w:sz w:val="24"/>
          <w:szCs w:val="24"/>
        </w:rPr>
        <w:t xml:space="preserve"> fully cover the basis </w:t>
      </w:r>
      <w:r w:rsidR="00833F15" w:rsidRPr="001F576D">
        <w:rPr>
          <w:rFonts w:ascii="Arial" w:hAnsi="Arial" w:cs="Arial"/>
          <w:sz w:val="24"/>
          <w:szCs w:val="24"/>
        </w:rPr>
        <w:t>that those protections of forgiving clauses are removed</w:t>
      </w:r>
      <w:r w:rsidR="00FD4206" w:rsidRPr="001F576D">
        <w:rPr>
          <w:rFonts w:ascii="Arial" w:hAnsi="Arial" w:cs="Arial"/>
          <w:sz w:val="24"/>
          <w:szCs w:val="24"/>
        </w:rPr>
        <w:t xml:space="preserve">. Forcing trustees to </w:t>
      </w:r>
      <w:r w:rsidR="00427F71" w:rsidRPr="001F576D">
        <w:rPr>
          <w:rFonts w:ascii="Arial" w:hAnsi="Arial" w:cs="Arial"/>
          <w:sz w:val="24"/>
          <w:szCs w:val="24"/>
        </w:rPr>
        <w:t xml:space="preserve">be aware of the risks by removing the fallback option that they did have originally. The issue that arises </w:t>
      </w:r>
      <w:r w:rsidR="00FE792D" w:rsidRPr="001F576D">
        <w:rPr>
          <w:rFonts w:ascii="Arial" w:hAnsi="Arial" w:cs="Arial"/>
          <w:sz w:val="24"/>
          <w:szCs w:val="24"/>
        </w:rPr>
        <w:t xml:space="preserve">with </w:t>
      </w:r>
      <w:r w:rsidR="00080753" w:rsidRPr="001F576D">
        <w:rPr>
          <w:rFonts w:ascii="Arial" w:hAnsi="Arial" w:cs="Arial"/>
          <w:sz w:val="24"/>
          <w:szCs w:val="24"/>
        </w:rPr>
        <w:t>this</w:t>
      </w:r>
      <w:r w:rsidR="009B3080" w:rsidRPr="001F576D">
        <w:rPr>
          <w:rFonts w:ascii="Arial" w:hAnsi="Arial" w:cs="Arial"/>
          <w:sz w:val="24"/>
          <w:szCs w:val="24"/>
        </w:rPr>
        <w:t xml:space="preserve"> is that it is not specified if only trusts formed after the proposal is </w:t>
      </w:r>
      <w:r w:rsidR="00B322D9" w:rsidRPr="001F576D">
        <w:rPr>
          <w:rFonts w:ascii="Arial" w:hAnsi="Arial" w:cs="Arial"/>
          <w:sz w:val="24"/>
          <w:szCs w:val="24"/>
        </w:rPr>
        <w:t>in place</w:t>
      </w:r>
      <w:r w:rsidR="009B3080" w:rsidRPr="001F576D">
        <w:rPr>
          <w:rFonts w:ascii="Arial" w:hAnsi="Arial" w:cs="Arial"/>
          <w:sz w:val="24"/>
          <w:szCs w:val="24"/>
        </w:rPr>
        <w:t xml:space="preserve"> are </w:t>
      </w:r>
      <w:r w:rsidR="00B322D9" w:rsidRPr="001F576D">
        <w:rPr>
          <w:rFonts w:ascii="Arial" w:hAnsi="Arial" w:cs="Arial"/>
          <w:sz w:val="24"/>
          <w:szCs w:val="24"/>
        </w:rPr>
        <w:t>a</w:t>
      </w:r>
      <w:r w:rsidR="009B3080" w:rsidRPr="001F576D">
        <w:rPr>
          <w:rFonts w:ascii="Arial" w:hAnsi="Arial" w:cs="Arial"/>
          <w:sz w:val="24"/>
          <w:szCs w:val="24"/>
        </w:rPr>
        <w:t>ffec</w:t>
      </w:r>
      <w:r w:rsidR="00B322D9" w:rsidRPr="001F576D">
        <w:rPr>
          <w:rFonts w:ascii="Arial" w:hAnsi="Arial" w:cs="Arial"/>
          <w:sz w:val="24"/>
          <w:szCs w:val="24"/>
        </w:rPr>
        <w:t xml:space="preserve">ted or if all trusts and trustees </w:t>
      </w:r>
      <w:r w:rsidR="00333F69" w:rsidRPr="001F576D">
        <w:rPr>
          <w:rFonts w:ascii="Arial" w:hAnsi="Arial" w:cs="Arial"/>
          <w:sz w:val="24"/>
          <w:szCs w:val="24"/>
        </w:rPr>
        <w:t xml:space="preserve">will be included in the change. </w:t>
      </w:r>
      <w:r w:rsidR="0010296B" w:rsidRPr="001F576D">
        <w:rPr>
          <w:rFonts w:ascii="Arial" w:hAnsi="Arial" w:cs="Arial"/>
          <w:sz w:val="24"/>
          <w:szCs w:val="24"/>
        </w:rPr>
        <w:t>Again,</w:t>
      </w:r>
      <w:r w:rsidR="000F2B99" w:rsidRPr="001F576D">
        <w:rPr>
          <w:rFonts w:ascii="Arial" w:hAnsi="Arial" w:cs="Arial"/>
          <w:sz w:val="24"/>
          <w:szCs w:val="24"/>
        </w:rPr>
        <w:t xml:space="preserve"> with the implementation of a governing body overseeing and training </w:t>
      </w:r>
      <w:r w:rsidR="00D67F05" w:rsidRPr="001F576D">
        <w:rPr>
          <w:rFonts w:ascii="Arial" w:hAnsi="Arial" w:cs="Arial"/>
          <w:sz w:val="24"/>
          <w:szCs w:val="24"/>
        </w:rPr>
        <w:t xml:space="preserve">trustees, the question arises that will all trustees pre and post reform would be subjected to the training or if it would be </w:t>
      </w:r>
      <w:r w:rsidR="002326CF" w:rsidRPr="001F576D">
        <w:rPr>
          <w:rFonts w:ascii="Arial" w:hAnsi="Arial" w:cs="Arial"/>
          <w:sz w:val="24"/>
          <w:szCs w:val="24"/>
        </w:rPr>
        <w:t xml:space="preserve">solely trustees appointed post reform, would </w:t>
      </w:r>
      <w:r w:rsidR="00605D6C" w:rsidRPr="001F576D">
        <w:rPr>
          <w:rFonts w:ascii="Arial" w:hAnsi="Arial" w:cs="Arial"/>
          <w:sz w:val="24"/>
          <w:szCs w:val="24"/>
        </w:rPr>
        <w:t>be subject to the training and</w:t>
      </w:r>
      <w:r w:rsidR="00E22BB6" w:rsidRPr="001F576D">
        <w:rPr>
          <w:rFonts w:ascii="Arial" w:hAnsi="Arial" w:cs="Arial"/>
          <w:sz w:val="24"/>
          <w:szCs w:val="24"/>
        </w:rPr>
        <w:t xml:space="preserve"> the </w:t>
      </w:r>
      <w:r w:rsidR="00F100B2" w:rsidRPr="001F576D">
        <w:rPr>
          <w:rFonts w:ascii="Arial" w:hAnsi="Arial" w:cs="Arial"/>
          <w:sz w:val="24"/>
          <w:szCs w:val="24"/>
        </w:rPr>
        <w:t xml:space="preserve">overseeing governing body. The clauses that have been drafted for reform level the field in terms of </w:t>
      </w:r>
      <w:r w:rsidR="00514DF6" w:rsidRPr="001F576D">
        <w:rPr>
          <w:rFonts w:ascii="Arial" w:hAnsi="Arial" w:cs="Arial"/>
          <w:sz w:val="24"/>
          <w:szCs w:val="24"/>
        </w:rPr>
        <w:t xml:space="preserve">how trustees are treated, due to the fact they will then all be under the same lens as opposed to pre reform in where </w:t>
      </w:r>
      <w:r w:rsidR="002C3A0E" w:rsidRPr="001F576D">
        <w:rPr>
          <w:rFonts w:ascii="Arial" w:hAnsi="Arial" w:cs="Arial"/>
          <w:sz w:val="24"/>
          <w:szCs w:val="24"/>
        </w:rPr>
        <w:t>people appointed could be potentially out of depth as currently technically any person can become a trustee</w:t>
      </w:r>
      <w:r w:rsidR="00585291" w:rsidRPr="001F576D">
        <w:rPr>
          <w:rFonts w:ascii="Arial" w:hAnsi="Arial" w:cs="Arial"/>
          <w:sz w:val="24"/>
          <w:szCs w:val="24"/>
        </w:rPr>
        <w:t xml:space="preserve">. However, under the proposed reform to the legislation </w:t>
      </w:r>
      <w:r w:rsidR="00585291" w:rsidRPr="001F576D">
        <w:rPr>
          <w:rFonts w:ascii="Arial" w:hAnsi="Arial" w:cs="Arial"/>
          <w:sz w:val="24"/>
          <w:szCs w:val="24"/>
        </w:rPr>
        <w:lastRenderedPageBreak/>
        <w:t xml:space="preserve">everyone who is a trustee would be </w:t>
      </w:r>
      <w:r w:rsidR="003902A5" w:rsidRPr="001F576D">
        <w:rPr>
          <w:rFonts w:ascii="Arial" w:hAnsi="Arial" w:cs="Arial"/>
          <w:sz w:val="24"/>
          <w:szCs w:val="24"/>
        </w:rPr>
        <w:t xml:space="preserve">under the same brush due to the fact everyone would be receiving training </w:t>
      </w:r>
      <w:r w:rsidR="00573FE1" w:rsidRPr="001F576D">
        <w:rPr>
          <w:rFonts w:ascii="Arial" w:hAnsi="Arial" w:cs="Arial"/>
          <w:sz w:val="24"/>
          <w:szCs w:val="24"/>
        </w:rPr>
        <w:t xml:space="preserve">thus in theory would all be at a similar standard. </w:t>
      </w:r>
      <w:r w:rsidR="0056695E" w:rsidRPr="001F576D">
        <w:rPr>
          <w:rFonts w:ascii="Arial" w:hAnsi="Arial" w:cs="Arial"/>
          <w:sz w:val="24"/>
          <w:szCs w:val="24"/>
        </w:rPr>
        <w:t xml:space="preserve">There are however </w:t>
      </w:r>
      <w:r w:rsidR="00533ED1" w:rsidRPr="001F576D">
        <w:rPr>
          <w:rFonts w:ascii="Arial" w:hAnsi="Arial" w:cs="Arial"/>
          <w:sz w:val="24"/>
          <w:szCs w:val="24"/>
        </w:rPr>
        <w:t xml:space="preserve">some extra challenges that arise from these changes. Such as </w:t>
      </w:r>
      <w:r w:rsidR="003067DC" w:rsidRPr="001F576D">
        <w:rPr>
          <w:rFonts w:ascii="Arial" w:hAnsi="Arial" w:cs="Arial"/>
          <w:sz w:val="24"/>
          <w:szCs w:val="24"/>
        </w:rPr>
        <w:t xml:space="preserve">people </w:t>
      </w:r>
      <w:r w:rsidR="00EF4235" w:rsidRPr="001F576D">
        <w:rPr>
          <w:rFonts w:ascii="Arial" w:hAnsi="Arial" w:cs="Arial"/>
          <w:sz w:val="24"/>
          <w:szCs w:val="24"/>
        </w:rPr>
        <w:t xml:space="preserve">not willing to become trustees due to the fact they no longer </w:t>
      </w:r>
      <w:r w:rsidR="005F0DBE" w:rsidRPr="001F576D">
        <w:rPr>
          <w:rFonts w:ascii="Arial" w:hAnsi="Arial" w:cs="Arial"/>
          <w:sz w:val="24"/>
          <w:szCs w:val="24"/>
        </w:rPr>
        <w:t xml:space="preserve">have access to forgiving clauses </w:t>
      </w:r>
      <w:r w:rsidR="00600B31" w:rsidRPr="001F576D">
        <w:rPr>
          <w:rFonts w:ascii="Arial" w:hAnsi="Arial" w:cs="Arial"/>
          <w:sz w:val="24"/>
          <w:szCs w:val="24"/>
        </w:rPr>
        <w:t xml:space="preserve">so become unwilling to </w:t>
      </w:r>
      <w:r w:rsidR="000965FA" w:rsidRPr="001F576D">
        <w:rPr>
          <w:rFonts w:ascii="Arial" w:hAnsi="Arial" w:cs="Arial"/>
          <w:sz w:val="24"/>
          <w:szCs w:val="24"/>
        </w:rPr>
        <w:t xml:space="preserve">either become trustees continue their roles as trustees. </w:t>
      </w:r>
      <w:r w:rsidR="00EB6E8A" w:rsidRPr="001F576D">
        <w:rPr>
          <w:rFonts w:ascii="Arial" w:hAnsi="Arial" w:cs="Arial"/>
          <w:sz w:val="24"/>
          <w:szCs w:val="24"/>
        </w:rPr>
        <w:t xml:space="preserve"> There would also be massive </w:t>
      </w:r>
      <w:r w:rsidR="00475F21" w:rsidRPr="001F576D">
        <w:rPr>
          <w:rFonts w:ascii="Arial" w:hAnsi="Arial" w:cs="Arial"/>
          <w:sz w:val="24"/>
          <w:szCs w:val="24"/>
        </w:rPr>
        <w:t xml:space="preserve">costs in creating a new </w:t>
      </w:r>
      <w:r w:rsidR="00CC7F20" w:rsidRPr="001F576D">
        <w:rPr>
          <w:rFonts w:ascii="Arial" w:hAnsi="Arial" w:cs="Arial"/>
          <w:sz w:val="24"/>
          <w:szCs w:val="24"/>
        </w:rPr>
        <w:t xml:space="preserve">government sector to oversee trustees and initiate training, this cost alone is most likely the biggest factor in </w:t>
      </w:r>
      <w:r w:rsidR="00463161" w:rsidRPr="001F576D">
        <w:rPr>
          <w:rFonts w:ascii="Arial" w:hAnsi="Arial" w:cs="Arial"/>
          <w:sz w:val="24"/>
          <w:szCs w:val="24"/>
        </w:rPr>
        <w:t>causing issue in the proposed reforms.</w:t>
      </w:r>
      <w:r w:rsidR="00A31533" w:rsidRPr="001F576D">
        <w:rPr>
          <w:rFonts w:ascii="Arial" w:hAnsi="Arial" w:cs="Arial"/>
          <w:sz w:val="24"/>
          <w:szCs w:val="24"/>
        </w:rPr>
        <w:t xml:space="preserve"> </w:t>
      </w:r>
      <w:r w:rsidR="00985168" w:rsidRPr="001F576D">
        <w:rPr>
          <w:rFonts w:ascii="Arial" w:hAnsi="Arial" w:cs="Arial"/>
          <w:sz w:val="24"/>
          <w:szCs w:val="24"/>
        </w:rPr>
        <w:t xml:space="preserve"> </w:t>
      </w:r>
    </w:p>
    <w:p w14:paraId="0EA487AB" w14:textId="2C1613E2" w:rsidR="00446B28" w:rsidRPr="001F576D" w:rsidRDefault="00711A1E" w:rsidP="00EB35D1">
      <w:pPr>
        <w:spacing w:line="360" w:lineRule="auto"/>
        <w:rPr>
          <w:rFonts w:ascii="Arial" w:hAnsi="Arial" w:cs="Arial"/>
          <w:sz w:val="24"/>
          <w:szCs w:val="24"/>
        </w:rPr>
      </w:pPr>
      <w:r w:rsidRPr="001F576D">
        <w:rPr>
          <w:rFonts w:ascii="Arial" w:hAnsi="Arial" w:cs="Arial"/>
          <w:sz w:val="24"/>
          <w:szCs w:val="24"/>
        </w:rPr>
        <w:t xml:space="preserve">The proposed legislation created has a few minor issues in that it does not state </w:t>
      </w:r>
      <w:r w:rsidR="00A827C2" w:rsidRPr="001F576D">
        <w:rPr>
          <w:rFonts w:ascii="Arial" w:hAnsi="Arial" w:cs="Arial"/>
          <w:sz w:val="24"/>
          <w:szCs w:val="24"/>
        </w:rPr>
        <w:t xml:space="preserve">when the reforms will take place or to whom they may affect, </w:t>
      </w:r>
      <w:r w:rsidR="002C352A" w:rsidRPr="001F576D">
        <w:rPr>
          <w:rFonts w:ascii="Arial" w:hAnsi="Arial" w:cs="Arial"/>
          <w:sz w:val="24"/>
          <w:szCs w:val="24"/>
        </w:rPr>
        <w:t xml:space="preserve">such as trustees predating the reforms to the act or if it starts as a blank slate and that from the point of implementation any trustee appointed </w:t>
      </w:r>
      <w:r w:rsidR="00E34BE3" w:rsidRPr="001F576D">
        <w:rPr>
          <w:rFonts w:ascii="Arial" w:hAnsi="Arial" w:cs="Arial"/>
          <w:sz w:val="24"/>
          <w:szCs w:val="24"/>
        </w:rPr>
        <w:t xml:space="preserve">afterwards was then subject to the act. </w:t>
      </w:r>
      <w:r w:rsidR="00244413" w:rsidRPr="001F576D">
        <w:rPr>
          <w:rFonts w:ascii="Arial" w:hAnsi="Arial" w:cs="Arial"/>
          <w:sz w:val="24"/>
          <w:szCs w:val="24"/>
        </w:rPr>
        <w:t xml:space="preserve">There is also the omission that </w:t>
      </w:r>
      <w:r w:rsidR="000926A4" w:rsidRPr="001F576D">
        <w:rPr>
          <w:rFonts w:ascii="Arial" w:hAnsi="Arial" w:cs="Arial"/>
          <w:sz w:val="24"/>
          <w:szCs w:val="24"/>
        </w:rPr>
        <w:t>negligence is not defined in this c</w:t>
      </w:r>
      <w:r w:rsidR="00E01204" w:rsidRPr="001F576D">
        <w:rPr>
          <w:rFonts w:ascii="Arial" w:hAnsi="Arial" w:cs="Arial"/>
          <w:sz w:val="24"/>
          <w:szCs w:val="24"/>
        </w:rPr>
        <w:t xml:space="preserve">ase </w:t>
      </w:r>
      <w:r w:rsidR="009B4868" w:rsidRPr="001F576D">
        <w:rPr>
          <w:rFonts w:ascii="Arial" w:hAnsi="Arial" w:cs="Arial"/>
          <w:sz w:val="24"/>
          <w:szCs w:val="24"/>
        </w:rPr>
        <w:t>therefore leading</w:t>
      </w:r>
      <w:r w:rsidR="00E01204" w:rsidRPr="001F576D">
        <w:rPr>
          <w:rFonts w:ascii="Arial" w:hAnsi="Arial" w:cs="Arial"/>
          <w:sz w:val="24"/>
          <w:szCs w:val="24"/>
        </w:rPr>
        <w:t xml:space="preserve"> to a wide margin for what can be classed as negligence in this case. </w:t>
      </w:r>
      <w:r w:rsidR="009B4868" w:rsidRPr="001F576D">
        <w:rPr>
          <w:rFonts w:ascii="Arial" w:hAnsi="Arial" w:cs="Arial"/>
          <w:sz w:val="24"/>
          <w:szCs w:val="24"/>
        </w:rPr>
        <w:t xml:space="preserve">A greater clarification </w:t>
      </w:r>
      <w:r w:rsidR="00F6721E" w:rsidRPr="001F576D">
        <w:rPr>
          <w:rFonts w:ascii="Arial" w:hAnsi="Arial" w:cs="Arial"/>
          <w:sz w:val="24"/>
          <w:szCs w:val="24"/>
        </w:rPr>
        <w:t xml:space="preserve">would be needed to ensure that there is little room for </w:t>
      </w:r>
      <w:r w:rsidR="007121A0" w:rsidRPr="001F576D">
        <w:rPr>
          <w:rFonts w:ascii="Arial" w:hAnsi="Arial" w:cs="Arial"/>
          <w:sz w:val="24"/>
          <w:szCs w:val="24"/>
        </w:rPr>
        <w:t>interpretation for ones own personal gain as one person my believe someone has behaved in a negligent manner however negligence itself has not been specified under the re</w:t>
      </w:r>
      <w:r w:rsidR="0092118C" w:rsidRPr="001F576D">
        <w:rPr>
          <w:rFonts w:ascii="Arial" w:hAnsi="Arial" w:cs="Arial"/>
          <w:sz w:val="24"/>
          <w:szCs w:val="24"/>
        </w:rPr>
        <w:t>formed legislation.</w:t>
      </w:r>
    </w:p>
    <w:p w14:paraId="3C83E173" w14:textId="2D716079" w:rsidR="0059065C" w:rsidRPr="001F576D" w:rsidRDefault="0059065C" w:rsidP="00EB35D1">
      <w:pPr>
        <w:spacing w:line="360" w:lineRule="auto"/>
        <w:rPr>
          <w:rFonts w:ascii="Arial" w:hAnsi="Arial" w:cs="Arial"/>
          <w:sz w:val="24"/>
          <w:szCs w:val="24"/>
        </w:rPr>
      </w:pPr>
      <w:r w:rsidRPr="001F576D">
        <w:rPr>
          <w:rFonts w:ascii="Arial" w:hAnsi="Arial" w:cs="Arial"/>
          <w:sz w:val="24"/>
          <w:szCs w:val="24"/>
        </w:rPr>
        <w:t xml:space="preserve">The reform </w:t>
      </w:r>
      <w:r w:rsidR="00F71AF8" w:rsidRPr="001F576D">
        <w:rPr>
          <w:rFonts w:ascii="Arial" w:hAnsi="Arial" w:cs="Arial"/>
          <w:sz w:val="24"/>
          <w:szCs w:val="24"/>
        </w:rPr>
        <w:t xml:space="preserve">to the trustee act 2000 </w:t>
      </w:r>
      <w:r w:rsidR="00D03B3A" w:rsidRPr="001F576D">
        <w:rPr>
          <w:rFonts w:ascii="Arial" w:hAnsi="Arial" w:cs="Arial"/>
          <w:sz w:val="24"/>
          <w:szCs w:val="24"/>
        </w:rPr>
        <w:t>has some key points in which make for a good standpoint such as removing the ability of trustees to use forgiving clauses in their benefit but instead removing those clauses an</w:t>
      </w:r>
      <w:r w:rsidR="00765CFA" w:rsidRPr="001F576D">
        <w:rPr>
          <w:rFonts w:ascii="Arial" w:hAnsi="Arial" w:cs="Arial"/>
          <w:sz w:val="24"/>
          <w:szCs w:val="24"/>
        </w:rPr>
        <w:t xml:space="preserve">d instead implementing a </w:t>
      </w:r>
      <w:r w:rsidR="001F576D" w:rsidRPr="001F576D">
        <w:rPr>
          <w:rFonts w:ascii="Arial" w:hAnsi="Arial" w:cs="Arial"/>
          <w:sz w:val="24"/>
          <w:szCs w:val="24"/>
        </w:rPr>
        <w:t>stricter</w:t>
      </w:r>
      <w:r w:rsidR="00765CFA" w:rsidRPr="001F576D">
        <w:rPr>
          <w:rFonts w:ascii="Arial" w:hAnsi="Arial" w:cs="Arial"/>
          <w:sz w:val="24"/>
          <w:szCs w:val="24"/>
        </w:rPr>
        <w:t xml:space="preserve"> </w:t>
      </w:r>
      <w:r w:rsidR="005761FD" w:rsidRPr="001F576D">
        <w:rPr>
          <w:rFonts w:ascii="Arial" w:hAnsi="Arial" w:cs="Arial"/>
          <w:sz w:val="24"/>
          <w:szCs w:val="24"/>
        </w:rPr>
        <w:t xml:space="preserve">system which will also train </w:t>
      </w:r>
      <w:r w:rsidR="001D3CE3" w:rsidRPr="001F576D">
        <w:rPr>
          <w:rFonts w:ascii="Arial" w:hAnsi="Arial" w:cs="Arial"/>
          <w:sz w:val="24"/>
          <w:szCs w:val="24"/>
        </w:rPr>
        <w:t xml:space="preserve">up any future trustees. </w:t>
      </w:r>
      <w:r w:rsidR="00430E2E">
        <w:rPr>
          <w:rFonts w:ascii="Arial" w:hAnsi="Arial" w:cs="Arial"/>
          <w:sz w:val="24"/>
          <w:szCs w:val="24"/>
        </w:rPr>
        <w:t xml:space="preserve">The main weakness associated with the reform </w:t>
      </w:r>
      <w:r w:rsidR="007C56ED">
        <w:rPr>
          <w:rFonts w:ascii="Arial" w:hAnsi="Arial" w:cs="Arial"/>
          <w:sz w:val="24"/>
          <w:szCs w:val="24"/>
        </w:rPr>
        <w:t xml:space="preserve">suggestions is the wording not specifying as to </w:t>
      </w:r>
      <w:r w:rsidR="00E4239A">
        <w:rPr>
          <w:rFonts w:ascii="Arial" w:hAnsi="Arial" w:cs="Arial"/>
          <w:sz w:val="24"/>
          <w:szCs w:val="24"/>
        </w:rPr>
        <w:t>whether</w:t>
      </w:r>
      <w:r w:rsidR="00F829AB">
        <w:rPr>
          <w:rFonts w:ascii="Arial" w:hAnsi="Arial" w:cs="Arial"/>
          <w:sz w:val="24"/>
          <w:szCs w:val="24"/>
        </w:rPr>
        <w:t xml:space="preserve"> </w:t>
      </w:r>
      <w:r w:rsidR="00027E06">
        <w:rPr>
          <w:rFonts w:ascii="Arial" w:hAnsi="Arial" w:cs="Arial"/>
          <w:sz w:val="24"/>
          <w:szCs w:val="24"/>
        </w:rPr>
        <w:t xml:space="preserve">trustees pre reform would be exempt from </w:t>
      </w:r>
      <w:r w:rsidR="007F4508">
        <w:rPr>
          <w:rFonts w:ascii="Arial" w:hAnsi="Arial" w:cs="Arial"/>
          <w:sz w:val="24"/>
          <w:szCs w:val="24"/>
        </w:rPr>
        <w:t xml:space="preserve">the reforms or if they would also be subjected to the same standards of new trustees. </w:t>
      </w:r>
      <w:r w:rsidR="00E4239A">
        <w:rPr>
          <w:rFonts w:ascii="Arial" w:hAnsi="Arial" w:cs="Arial"/>
          <w:sz w:val="24"/>
          <w:szCs w:val="24"/>
        </w:rPr>
        <w:t xml:space="preserve">The lack of specification on what negligence </w:t>
      </w:r>
      <w:proofErr w:type="gramStart"/>
      <w:r w:rsidR="00E4239A">
        <w:rPr>
          <w:rFonts w:ascii="Arial" w:hAnsi="Arial" w:cs="Arial"/>
          <w:sz w:val="24"/>
          <w:szCs w:val="24"/>
        </w:rPr>
        <w:t>actually was</w:t>
      </w:r>
      <w:proofErr w:type="gramEnd"/>
      <w:r w:rsidR="00E4239A">
        <w:rPr>
          <w:rFonts w:ascii="Arial" w:hAnsi="Arial" w:cs="Arial"/>
          <w:sz w:val="24"/>
          <w:szCs w:val="24"/>
        </w:rPr>
        <w:t xml:space="preserve"> in regard to the new </w:t>
      </w:r>
      <w:r w:rsidR="00F363CD">
        <w:rPr>
          <w:rFonts w:ascii="Arial" w:hAnsi="Arial" w:cs="Arial"/>
          <w:sz w:val="24"/>
          <w:szCs w:val="24"/>
        </w:rPr>
        <w:t xml:space="preserve">suggestions. </w:t>
      </w:r>
      <w:r w:rsidR="009D7D5A">
        <w:rPr>
          <w:rFonts w:ascii="Arial" w:hAnsi="Arial" w:cs="Arial"/>
          <w:sz w:val="24"/>
          <w:szCs w:val="24"/>
        </w:rPr>
        <w:t xml:space="preserve"> </w:t>
      </w:r>
    </w:p>
    <w:p w14:paraId="76BBF982" w14:textId="77777777" w:rsidR="00B6435C" w:rsidRPr="00A13228" w:rsidRDefault="00B6435C" w:rsidP="00EB35D1">
      <w:pPr>
        <w:spacing w:line="360" w:lineRule="auto"/>
      </w:pPr>
    </w:p>
    <w:sdt>
      <w:sdtPr>
        <w:rPr>
          <w:rFonts w:asciiTheme="minorHAnsi" w:eastAsiaTheme="minorHAnsi" w:hAnsiTheme="minorHAnsi" w:cstheme="minorBidi"/>
          <w:color w:val="auto"/>
          <w:sz w:val="22"/>
          <w:szCs w:val="22"/>
        </w:rPr>
        <w:id w:val="-516534366"/>
        <w:docPartObj>
          <w:docPartGallery w:val="Bibliographies"/>
          <w:docPartUnique/>
        </w:docPartObj>
      </w:sdtPr>
      <w:sdtEndPr/>
      <w:sdtContent>
        <w:p w14:paraId="50B5962B" w14:textId="0A68C6B6" w:rsidR="003F7366" w:rsidRDefault="003F7366" w:rsidP="00EB35D1">
          <w:pPr>
            <w:pStyle w:val="Heading1"/>
            <w:spacing w:line="360" w:lineRule="auto"/>
          </w:pPr>
          <w:r>
            <w:t>References</w:t>
          </w:r>
        </w:p>
        <w:sdt>
          <w:sdtPr>
            <w:id w:val="-573587230"/>
            <w:bibliography/>
          </w:sdtPr>
          <w:sdtEndPr/>
          <w:sdtContent>
            <w:p w14:paraId="399D6256" w14:textId="77777777" w:rsidR="009059B4" w:rsidRDefault="003F7366" w:rsidP="00EB35D1">
              <w:pPr>
                <w:pStyle w:val="Bibliography"/>
                <w:spacing w:line="360" w:lineRule="auto"/>
                <w:rPr>
                  <w:noProof/>
                  <w:kern w:val="0"/>
                  <w:sz w:val="24"/>
                  <w:szCs w:val="24"/>
                  <w14:ligatures w14:val="none"/>
                </w:rPr>
              </w:pPr>
              <w:r>
                <w:fldChar w:fldCharType="begin"/>
              </w:r>
              <w:r>
                <w:instrText xml:space="preserve"> BIBLIOGRAPHY </w:instrText>
              </w:r>
              <w:r>
                <w:fldChar w:fldCharType="separate"/>
              </w:r>
              <w:r w:rsidR="009059B4">
                <w:rPr>
                  <w:i/>
                  <w:iCs/>
                  <w:noProof/>
                </w:rPr>
                <w:t xml:space="preserve">Armitage v Nurse [1998] Ch 241, Court of Appeal </w:t>
              </w:r>
              <w:r w:rsidR="009059B4">
                <w:rPr>
                  <w:noProof/>
                </w:rPr>
                <w:t xml:space="preserve">(2023) Derek Whayman. </w:t>
              </w:r>
            </w:p>
            <w:p w14:paraId="65D26218" w14:textId="77777777" w:rsidR="009059B4" w:rsidRDefault="009059B4" w:rsidP="00EB35D1">
              <w:pPr>
                <w:pStyle w:val="Bibliography"/>
                <w:spacing w:line="360" w:lineRule="auto"/>
                <w:rPr>
                  <w:noProof/>
                </w:rPr>
              </w:pPr>
              <w:r>
                <w:rPr>
                  <w:noProof/>
                </w:rPr>
                <w:t xml:space="preserve">Bell, J., 2023. </w:t>
              </w:r>
              <w:r>
                <w:rPr>
                  <w:i/>
                  <w:iCs/>
                  <w:noProof/>
                </w:rPr>
                <w:t xml:space="preserve">Trust Drafting and Precedents. </w:t>
              </w:r>
              <w:r>
                <w:rPr>
                  <w:noProof/>
                </w:rPr>
                <w:t>Issue 45 ed. s.l.:Bloomsbury Professional.</w:t>
              </w:r>
            </w:p>
            <w:p w14:paraId="530A1F4A" w14:textId="77777777" w:rsidR="009059B4" w:rsidRDefault="009059B4" w:rsidP="00EB35D1">
              <w:pPr>
                <w:pStyle w:val="Bibliography"/>
                <w:spacing w:line="360" w:lineRule="auto"/>
                <w:rPr>
                  <w:noProof/>
                </w:rPr>
              </w:pPr>
              <w:r>
                <w:rPr>
                  <w:noProof/>
                </w:rPr>
                <w:lastRenderedPageBreak/>
                <w:t xml:space="preserve">Charity Commission, 2012. </w:t>
              </w:r>
              <w:r>
                <w:rPr>
                  <w:i/>
                  <w:iCs/>
                  <w:noProof/>
                </w:rPr>
                <w:t xml:space="preserve">Our regulatory approach to protecting the public's interst in Charity. </w:t>
              </w:r>
              <w:r>
                <w:rPr>
                  <w:noProof/>
                </w:rPr>
                <w:t xml:space="preserve">[Online] </w:t>
              </w:r>
              <w:r>
                <w:rPr>
                  <w:noProof/>
                </w:rPr>
                <w:br/>
                <w:t xml:space="preserve">Available at: </w:t>
              </w:r>
              <w:r>
                <w:rPr>
                  <w:noProof/>
                  <w:u w:val="single"/>
                </w:rPr>
                <w:t>https://assets.publishing.service.gov.uk/government/uploads/system/uploads/attachment_data/file/313453/risk-framework-our-regulatory-approach-to-protecting-the-public_s-interest-in-charity.pdf</w:t>
              </w:r>
              <w:r>
                <w:rPr>
                  <w:noProof/>
                </w:rPr>
                <w:br/>
                <w:t>[Accessed 12 Novemeber 2024].</w:t>
              </w:r>
            </w:p>
            <w:p w14:paraId="465F3B4A" w14:textId="77777777" w:rsidR="009059B4" w:rsidRDefault="009059B4" w:rsidP="00EB35D1">
              <w:pPr>
                <w:pStyle w:val="Bibliography"/>
                <w:spacing w:line="360" w:lineRule="auto"/>
                <w:rPr>
                  <w:noProof/>
                </w:rPr>
              </w:pPr>
              <w:r>
                <w:rPr>
                  <w:noProof/>
                </w:rPr>
                <w:t xml:space="preserve">Dharshi Wijetunga, S. H., 2023. </w:t>
              </w:r>
              <w:r>
                <w:rPr>
                  <w:i/>
                  <w:iCs/>
                  <w:noProof/>
                </w:rPr>
                <w:t xml:space="preserve">Guiding Trustees: Protectiong Trustees from Loss and Liability. </w:t>
              </w:r>
              <w:r>
                <w:rPr>
                  <w:noProof/>
                </w:rPr>
                <w:t xml:space="preserve">[Online] </w:t>
              </w:r>
              <w:r>
                <w:rPr>
                  <w:noProof/>
                </w:rPr>
                <w:br/>
                <w:t xml:space="preserve">Available at: </w:t>
              </w:r>
              <w:r>
                <w:rPr>
                  <w:noProof/>
                  <w:u w:val="single"/>
                </w:rPr>
                <w:t>https://www.charlesrussellspeechlys.com/en/insights/expert-insights/private-client/2023/guiding-trustees-protecting-trustees-from-loss-and-liability/#:~:text=Most%20professional%20trustees%20will%20seek,the%20beneficiaries%20of%20the%20trust.</w:t>
              </w:r>
              <w:r>
                <w:rPr>
                  <w:noProof/>
                </w:rPr>
                <w:br/>
                <w:t>[Accessed 10 November 2024].</w:t>
              </w:r>
            </w:p>
            <w:p w14:paraId="4E7264D1" w14:textId="77777777" w:rsidR="009059B4" w:rsidRDefault="009059B4" w:rsidP="00EB35D1">
              <w:pPr>
                <w:pStyle w:val="Bibliography"/>
                <w:spacing w:line="360" w:lineRule="auto"/>
                <w:rPr>
                  <w:noProof/>
                </w:rPr>
              </w:pPr>
              <w:r>
                <w:rPr>
                  <w:noProof/>
                </w:rPr>
                <w:t xml:space="preserve">House of Commons, 2000. </w:t>
              </w:r>
              <w:r>
                <w:rPr>
                  <w:i/>
                  <w:iCs/>
                  <w:noProof/>
                </w:rPr>
                <w:t xml:space="preserve">Trustee Bill. </w:t>
              </w:r>
              <w:r>
                <w:rPr>
                  <w:noProof/>
                </w:rPr>
                <w:t xml:space="preserve">[Online] </w:t>
              </w:r>
              <w:r>
                <w:rPr>
                  <w:noProof/>
                </w:rPr>
                <w:br/>
                <w:t xml:space="preserve">Available at: </w:t>
              </w:r>
              <w:r>
                <w:rPr>
                  <w:noProof/>
                  <w:u w:val="single"/>
                </w:rPr>
                <w:t>https://publications.parliament.uk/pa/cm199900/cmbills/149/en/00149x-b.htm#:~:text=Clause%2028(2)%20reverses%20the,for%20services%20which%20could%20not</w:t>
              </w:r>
              <w:r>
                <w:rPr>
                  <w:noProof/>
                </w:rPr>
                <w:br/>
                <w:t>[Accessed 10 November 2024].</w:t>
              </w:r>
            </w:p>
            <w:p w14:paraId="15928516" w14:textId="77777777" w:rsidR="009059B4" w:rsidRDefault="009059B4" w:rsidP="00EB35D1">
              <w:pPr>
                <w:pStyle w:val="Bibliography"/>
                <w:spacing w:line="360" w:lineRule="auto"/>
                <w:rPr>
                  <w:noProof/>
                </w:rPr>
              </w:pPr>
              <w:r>
                <w:rPr>
                  <w:noProof/>
                </w:rPr>
                <w:t xml:space="preserve">Regulator, T. P., 2018. </w:t>
              </w:r>
              <w:r>
                <w:rPr>
                  <w:i/>
                  <w:iCs/>
                  <w:noProof/>
                </w:rPr>
                <w:t xml:space="preserve">Intorduction Pension Schemes - Tutorial three: What is a trustee. </w:t>
              </w:r>
              <w:r>
                <w:rPr>
                  <w:noProof/>
                </w:rPr>
                <w:t xml:space="preserve">[Online] </w:t>
              </w:r>
              <w:r>
                <w:rPr>
                  <w:noProof/>
                </w:rPr>
                <w:br/>
                <w:t xml:space="preserve">Available at: </w:t>
              </w:r>
              <w:r>
                <w:rPr>
                  <w:noProof/>
                  <w:u w:val="single"/>
                </w:rPr>
                <w:t>https://trusteetoolkit.thepensionsregulator.gov.uk/pluginfile.php/133/mod_data/content/2279/Introducing%20pension%20schemes%20-%20Tutorial%203%20What%20is%20a%20trustee.pdf</w:t>
              </w:r>
            </w:p>
            <w:p w14:paraId="31086AB2" w14:textId="77777777" w:rsidR="009059B4" w:rsidRDefault="009059B4" w:rsidP="00EB35D1">
              <w:pPr>
                <w:pStyle w:val="Bibliography"/>
                <w:spacing w:line="360" w:lineRule="auto"/>
                <w:rPr>
                  <w:noProof/>
                </w:rPr>
              </w:pPr>
              <w:r>
                <w:rPr>
                  <w:noProof/>
                </w:rPr>
                <w:t xml:space="preserve">The Law Commission, n.d. </w:t>
              </w:r>
              <w:r>
                <w:rPr>
                  <w:i/>
                  <w:iCs/>
                  <w:noProof/>
                </w:rPr>
                <w:t xml:space="preserve">Trustee Exemption Clauses, Consultation Paper No.171. </w:t>
              </w:r>
              <w:r>
                <w:rPr>
                  <w:noProof/>
                </w:rPr>
                <w:t xml:space="preserve">[Online] </w:t>
              </w:r>
              <w:r>
                <w:rPr>
                  <w:noProof/>
                </w:rPr>
                <w:br/>
                <w:t xml:space="preserve">Available at: </w:t>
              </w:r>
              <w:r>
                <w:rPr>
                  <w:noProof/>
                  <w:u w:val="single"/>
                </w:rPr>
                <w:t>https://www.treasurers.org/ACTmedia/cp171.pdf</w:t>
              </w:r>
              <w:r>
                <w:rPr>
                  <w:noProof/>
                </w:rPr>
                <w:br/>
                <w:t>[Accessed 10 November 2024].</w:t>
              </w:r>
            </w:p>
            <w:p w14:paraId="614EDA64" w14:textId="0AD437AE" w:rsidR="003F7366" w:rsidRDefault="003F7366" w:rsidP="00EB35D1">
              <w:pPr>
                <w:spacing w:line="360" w:lineRule="auto"/>
              </w:pPr>
              <w:r>
                <w:rPr>
                  <w:b/>
                  <w:bCs/>
                  <w:noProof/>
                </w:rPr>
                <w:fldChar w:fldCharType="end"/>
              </w:r>
            </w:p>
          </w:sdtContent>
        </w:sdt>
      </w:sdtContent>
    </w:sdt>
    <w:p w14:paraId="59362563" w14:textId="13B6116C" w:rsidR="004A38DD" w:rsidRDefault="003F7366" w:rsidP="004A38DD">
      <w:r>
        <w:t xml:space="preserve"> </w:t>
      </w:r>
    </w:p>
    <w:sectPr w:rsidR="004A38DD" w:rsidSect="00EB35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12B31" w14:textId="77777777" w:rsidR="001A40C9" w:rsidRDefault="001A40C9" w:rsidP="004E5A02">
      <w:pPr>
        <w:spacing w:after="0" w:line="240" w:lineRule="auto"/>
      </w:pPr>
      <w:r>
        <w:separator/>
      </w:r>
    </w:p>
  </w:endnote>
  <w:endnote w:type="continuationSeparator" w:id="0">
    <w:p w14:paraId="1E45C898" w14:textId="77777777" w:rsidR="001A40C9" w:rsidRDefault="001A40C9" w:rsidP="004E5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8B280" w14:textId="77777777" w:rsidR="001A40C9" w:rsidRDefault="001A40C9" w:rsidP="004E5A02">
      <w:pPr>
        <w:spacing w:after="0" w:line="240" w:lineRule="auto"/>
      </w:pPr>
      <w:r>
        <w:separator/>
      </w:r>
    </w:p>
  </w:footnote>
  <w:footnote w:type="continuationSeparator" w:id="0">
    <w:p w14:paraId="7C77C683" w14:textId="77777777" w:rsidR="001A40C9" w:rsidRDefault="001A40C9" w:rsidP="004E5A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DD"/>
    <w:rsid w:val="00003A22"/>
    <w:rsid w:val="00027E06"/>
    <w:rsid w:val="00030A47"/>
    <w:rsid w:val="00030ACF"/>
    <w:rsid w:val="000401C6"/>
    <w:rsid w:val="000601D9"/>
    <w:rsid w:val="00077A8B"/>
    <w:rsid w:val="00080753"/>
    <w:rsid w:val="000903A0"/>
    <w:rsid w:val="000926A4"/>
    <w:rsid w:val="000965FA"/>
    <w:rsid w:val="000B06D2"/>
    <w:rsid w:val="000B65D2"/>
    <w:rsid w:val="000C7853"/>
    <w:rsid w:val="000E063D"/>
    <w:rsid w:val="000E152C"/>
    <w:rsid w:val="000E57B9"/>
    <w:rsid w:val="000F2B99"/>
    <w:rsid w:val="0010296B"/>
    <w:rsid w:val="001561C8"/>
    <w:rsid w:val="00164B5F"/>
    <w:rsid w:val="001A2E0F"/>
    <w:rsid w:val="001A40C9"/>
    <w:rsid w:val="001C5A94"/>
    <w:rsid w:val="001D3CE3"/>
    <w:rsid w:val="001E5F6D"/>
    <w:rsid w:val="001F576D"/>
    <w:rsid w:val="002326CF"/>
    <w:rsid w:val="00233940"/>
    <w:rsid w:val="00244413"/>
    <w:rsid w:val="002721D8"/>
    <w:rsid w:val="002A0E58"/>
    <w:rsid w:val="002B603E"/>
    <w:rsid w:val="002C352A"/>
    <w:rsid w:val="002C3A0E"/>
    <w:rsid w:val="002C65B4"/>
    <w:rsid w:val="002D690D"/>
    <w:rsid w:val="002D793C"/>
    <w:rsid w:val="002E057C"/>
    <w:rsid w:val="003067DC"/>
    <w:rsid w:val="00322984"/>
    <w:rsid w:val="00333F69"/>
    <w:rsid w:val="00361611"/>
    <w:rsid w:val="00381336"/>
    <w:rsid w:val="003902A5"/>
    <w:rsid w:val="003A13F4"/>
    <w:rsid w:val="003D4D71"/>
    <w:rsid w:val="003E4FC1"/>
    <w:rsid w:val="003F7366"/>
    <w:rsid w:val="0040721E"/>
    <w:rsid w:val="00414BAA"/>
    <w:rsid w:val="00427F71"/>
    <w:rsid w:val="00430E2E"/>
    <w:rsid w:val="00446B28"/>
    <w:rsid w:val="00463161"/>
    <w:rsid w:val="00466E7B"/>
    <w:rsid w:val="00475F21"/>
    <w:rsid w:val="00481743"/>
    <w:rsid w:val="0049342C"/>
    <w:rsid w:val="004A1795"/>
    <w:rsid w:val="004A38DD"/>
    <w:rsid w:val="004C67AF"/>
    <w:rsid w:val="004E5A02"/>
    <w:rsid w:val="00514DF6"/>
    <w:rsid w:val="00533ED1"/>
    <w:rsid w:val="00536ABC"/>
    <w:rsid w:val="00541AEB"/>
    <w:rsid w:val="005434F2"/>
    <w:rsid w:val="00552F87"/>
    <w:rsid w:val="00563684"/>
    <w:rsid w:val="0056695E"/>
    <w:rsid w:val="00573FE1"/>
    <w:rsid w:val="005761FD"/>
    <w:rsid w:val="00585291"/>
    <w:rsid w:val="0059026E"/>
    <w:rsid w:val="0059065C"/>
    <w:rsid w:val="005A093A"/>
    <w:rsid w:val="005D26B1"/>
    <w:rsid w:val="005F0DBE"/>
    <w:rsid w:val="00600B31"/>
    <w:rsid w:val="00605D6C"/>
    <w:rsid w:val="00630251"/>
    <w:rsid w:val="0065502C"/>
    <w:rsid w:val="00667123"/>
    <w:rsid w:val="00675815"/>
    <w:rsid w:val="00681F3B"/>
    <w:rsid w:val="00695E44"/>
    <w:rsid w:val="006A4951"/>
    <w:rsid w:val="006B4B06"/>
    <w:rsid w:val="006C4214"/>
    <w:rsid w:val="006D4ACF"/>
    <w:rsid w:val="00711A1E"/>
    <w:rsid w:val="007121A0"/>
    <w:rsid w:val="007325F6"/>
    <w:rsid w:val="00741582"/>
    <w:rsid w:val="007459D6"/>
    <w:rsid w:val="0074667C"/>
    <w:rsid w:val="007523C3"/>
    <w:rsid w:val="0075608E"/>
    <w:rsid w:val="00765CFA"/>
    <w:rsid w:val="007A0E46"/>
    <w:rsid w:val="007B7F15"/>
    <w:rsid w:val="007C56ED"/>
    <w:rsid w:val="007C7B17"/>
    <w:rsid w:val="007D442D"/>
    <w:rsid w:val="007F4508"/>
    <w:rsid w:val="00833F15"/>
    <w:rsid w:val="008B35F5"/>
    <w:rsid w:val="009059B4"/>
    <w:rsid w:val="0092118C"/>
    <w:rsid w:val="00947901"/>
    <w:rsid w:val="0098336E"/>
    <w:rsid w:val="0098408D"/>
    <w:rsid w:val="00985064"/>
    <w:rsid w:val="00985168"/>
    <w:rsid w:val="00990799"/>
    <w:rsid w:val="009B3080"/>
    <w:rsid w:val="009B4868"/>
    <w:rsid w:val="009B72FA"/>
    <w:rsid w:val="009D28D6"/>
    <w:rsid w:val="009D7D5A"/>
    <w:rsid w:val="009F48BB"/>
    <w:rsid w:val="00A05585"/>
    <w:rsid w:val="00A13228"/>
    <w:rsid w:val="00A31533"/>
    <w:rsid w:val="00A35823"/>
    <w:rsid w:val="00A606C3"/>
    <w:rsid w:val="00A63492"/>
    <w:rsid w:val="00A827C2"/>
    <w:rsid w:val="00AC0422"/>
    <w:rsid w:val="00AC171A"/>
    <w:rsid w:val="00AC5437"/>
    <w:rsid w:val="00AC6ED1"/>
    <w:rsid w:val="00AC7EAA"/>
    <w:rsid w:val="00AD047E"/>
    <w:rsid w:val="00AD58C3"/>
    <w:rsid w:val="00B07F27"/>
    <w:rsid w:val="00B322D9"/>
    <w:rsid w:val="00B3283B"/>
    <w:rsid w:val="00B35886"/>
    <w:rsid w:val="00B44F92"/>
    <w:rsid w:val="00B5118E"/>
    <w:rsid w:val="00B625A8"/>
    <w:rsid w:val="00B6435C"/>
    <w:rsid w:val="00B679F6"/>
    <w:rsid w:val="00BB395C"/>
    <w:rsid w:val="00BB7A07"/>
    <w:rsid w:val="00BC009B"/>
    <w:rsid w:val="00BC348B"/>
    <w:rsid w:val="00BD2544"/>
    <w:rsid w:val="00C204D4"/>
    <w:rsid w:val="00C457C3"/>
    <w:rsid w:val="00C85540"/>
    <w:rsid w:val="00CA2FD3"/>
    <w:rsid w:val="00CC7BD3"/>
    <w:rsid w:val="00CC7F20"/>
    <w:rsid w:val="00D03B3A"/>
    <w:rsid w:val="00D4632F"/>
    <w:rsid w:val="00D53BCC"/>
    <w:rsid w:val="00D635C5"/>
    <w:rsid w:val="00D67F05"/>
    <w:rsid w:val="00D84BB4"/>
    <w:rsid w:val="00DB6801"/>
    <w:rsid w:val="00DD091D"/>
    <w:rsid w:val="00DF4A72"/>
    <w:rsid w:val="00E01204"/>
    <w:rsid w:val="00E21DB8"/>
    <w:rsid w:val="00E22BB6"/>
    <w:rsid w:val="00E34BE3"/>
    <w:rsid w:val="00E410EE"/>
    <w:rsid w:val="00E4239A"/>
    <w:rsid w:val="00E76381"/>
    <w:rsid w:val="00E77726"/>
    <w:rsid w:val="00E92FEF"/>
    <w:rsid w:val="00E95C38"/>
    <w:rsid w:val="00EB35D1"/>
    <w:rsid w:val="00EB6E8A"/>
    <w:rsid w:val="00EC577A"/>
    <w:rsid w:val="00ED093F"/>
    <w:rsid w:val="00EF4235"/>
    <w:rsid w:val="00F100B2"/>
    <w:rsid w:val="00F25D43"/>
    <w:rsid w:val="00F26E14"/>
    <w:rsid w:val="00F363CD"/>
    <w:rsid w:val="00F374F9"/>
    <w:rsid w:val="00F601EE"/>
    <w:rsid w:val="00F6721E"/>
    <w:rsid w:val="00F71AF8"/>
    <w:rsid w:val="00F829AB"/>
    <w:rsid w:val="00FD4206"/>
    <w:rsid w:val="00FE0297"/>
    <w:rsid w:val="00FE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E7B7"/>
  <w15:chartTrackingRefBased/>
  <w15:docId w15:val="{D9F5E63A-1689-43BD-AFD6-804E78BB7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8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38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38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8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8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8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8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8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8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8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38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38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38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8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8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8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8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8DD"/>
    <w:rPr>
      <w:rFonts w:eastAsiaTheme="majorEastAsia" w:cstheme="majorBidi"/>
      <w:color w:val="272727" w:themeColor="text1" w:themeTint="D8"/>
    </w:rPr>
  </w:style>
  <w:style w:type="paragraph" w:styleId="Title">
    <w:name w:val="Title"/>
    <w:basedOn w:val="Normal"/>
    <w:next w:val="Normal"/>
    <w:link w:val="TitleChar"/>
    <w:uiPriority w:val="10"/>
    <w:qFormat/>
    <w:rsid w:val="004A38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8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8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8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8DD"/>
    <w:pPr>
      <w:spacing w:before="160"/>
      <w:jc w:val="center"/>
    </w:pPr>
    <w:rPr>
      <w:i/>
      <w:iCs/>
      <w:color w:val="404040" w:themeColor="text1" w:themeTint="BF"/>
    </w:rPr>
  </w:style>
  <w:style w:type="character" w:customStyle="1" w:styleId="QuoteChar">
    <w:name w:val="Quote Char"/>
    <w:basedOn w:val="DefaultParagraphFont"/>
    <w:link w:val="Quote"/>
    <w:uiPriority w:val="29"/>
    <w:rsid w:val="004A38DD"/>
    <w:rPr>
      <w:i/>
      <w:iCs/>
      <w:color w:val="404040" w:themeColor="text1" w:themeTint="BF"/>
    </w:rPr>
  </w:style>
  <w:style w:type="paragraph" w:styleId="ListParagraph">
    <w:name w:val="List Paragraph"/>
    <w:basedOn w:val="Normal"/>
    <w:uiPriority w:val="34"/>
    <w:qFormat/>
    <w:rsid w:val="004A38DD"/>
    <w:pPr>
      <w:ind w:left="720"/>
      <w:contextualSpacing/>
    </w:pPr>
  </w:style>
  <w:style w:type="character" w:styleId="IntenseEmphasis">
    <w:name w:val="Intense Emphasis"/>
    <w:basedOn w:val="DefaultParagraphFont"/>
    <w:uiPriority w:val="21"/>
    <w:qFormat/>
    <w:rsid w:val="004A38DD"/>
    <w:rPr>
      <w:i/>
      <w:iCs/>
      <w:color w:val="0F4761" w:themeColor="accent1" w:themeShade="BF"/>
    </w:rPr>
  </w:style>
  <w:style w:type="paragraph" w:styleId="IntenseQuote">
    <w:name w:val="Intense Quote"/>
    <w:basedOn w:val="Normal"/>
    <w:next w:val="Normal"/>
    <w:link w:val="IntenseQuoteChar"/>
    <w:uiPriority w:val="30"/>
    <w:qFormat/>
    <w:rsid w:val="004A38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8DD"/>
    <w:rPr>
      <w:i/>
      <w:iCs/>
      <w:color w:val="0F4761" w:themeColor="accent1" w:themeShade="BF"/>
    </w:rPr>
  </w:style>
  <w:style w:type="character" w:styleId="IntenseReference">
    <w:name w:val="Intense Reference"/>
    <w:basedOn w:val="DefaultParagraphFont"/>
    <w:uiPriority w:val="32"/>
    <w:qFormat/>
    <w:rsid w:val="004A38DD"/>
    <w:rPr>
      <w:b/>
      <w:bCs/>
      <w:smallCaps/>
      <w:color w:val="0F4761" w:themeColor="accent1" w:themeShade="BF"/>
      <w:spacing w:val="5"/>
    </w:rPr>
  </w:style>
  <w:style w:type="paragraph" w:styleId="Bibliography">
    <w:name w:val="Bibliography"/>
    <w:basedOn w:val="Normal"/>
    <w:next w:val="Normal"/>
    <w:uiPriority w:val="37"/>
    <w:unhideWhenUsed/>
    <w:rsid w:val="003F7366"/>
  </w:style>
  <w:style w:type="paragraph" w:styleId="Header">
    <w:name w:val="header"/>
    <w:basedOn w:val="Normal"/>
    <w:link w:val="HeaderChar"/>
    <w:uiPriority w:val="99"/>
    <w:unhideWhenUsed/>
    <w:rsid w:val="004E5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A02"/>
  </w:style>
  <w:style w:type="paragraph" w:styleId="Footer">
    <w:name w:val="footer"/>
    <w:basedOn w:val="Normal"/>
    <w:link w:val="FooterChar"/>
    <w:uiPriority w:val="99"/>
    <w:unhideWhenUsed/>
    <w:rsid w:val="004E5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A02"/>
  </w:style>
  <w:style w:type="paragraph" w:styleId="NoSpacing">
    <w:name w:val="No Spacing"/>
    <w:link w:val="NoSpacingChar"/>
    <w:uiPriority w:val="1"/>
    <w:qFormat/>
    <w:rsid w:val="00EB35D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B35D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221354">
      <w:bodyDiv w:val="1"/>
      <w:marLeft w:val="0"/>
      <w:marRight w:val="0"/>
      <w:marTop w:val="0"/>
      <w:marBottom w:val="0"/>
      <w:divBdr>
        <w:top w:val="none" w:sz="0" w:space="0" w:color="auto"/>
        <w:left w:val="none" w:sz="0" w:space="0" w:color="auto"/>
        <w:bottom w:val="none" w:sz="0" w:space="0" w:color="auto"/>
        <w:right w:val="none" w:sz="0" w:space="0" w:color="auto"/>
      </w:divBdr>
    </w:div>
    <w:div w:id="64304011">
      <w:bodyDiv w:val="1"/>
      <w:marLeft w:val="0"/>
      <w:marRight w:val="0"/>
      <w:marTop w:val="0"/>
      <w:marBottom w:val="0"/>
      <w:divBdr>
        <w:top w:val="none" w:sz="0" w:space="0" w:color="auto"/>
        <w:left w:val="none" w:sz="0" w:space="0" w:color="auto"/>
        <w:bottom w:val="none" w:sz="0" w:space="0" w:color="auto"/>
        <w:right w:val="none" w:sz="0" w:space="0" w:color="auto"/>
      </w:divBdr>
    </w:div>
    <w:div w:id="218637468">
      <w:bodyDiv w:val="1"/>
      <w:marLeft w:val="0"/>
      <w:marRight w:val="0"/>
      <w:marTop w:val="0"/>
      <w:marBottom w:val="0"/>
      <w:divBdr>
        <w:top w:val="none" w:sz="0" w:space="0" w:color="auto"/>
        <w:left w:val="none" w:sz="0" w:space="0" w:color="auto"/>
        <w:bottom w:val="none" w:sz="0" w:space="0" w:color="auto"/>
        <w:right w:val="none" w:sz="0" w:space="0" w:color="auto"/>
      </w:divBdr>
    </w:div>
    <w:div w:id="320692869">
      <w:bodyDiv w:val="1"/>
      <w:marLeft w:val="0"/>
      <w:marRight w:val="0"/>
      <w:marTop w:val="0"/>
      <w:marBottom w:val="0"/>
      <w:divBdr>
        <w:top w:val="none" w:sz="0" w:space="0" w:color="auto"/>
        <w:left w:val="none" w:sz="0" w:space="0" w:color="auto"/>
        <w:bottom w:val="none" w:sz="0" w:space="0" w:color="auto"/>
        <w:right w:val="none" w:sz="0" w:space="0" w:color="auto"/>
      </w:divBdr>
    </w:div>
    <w:div w:id="381750683">
      <w:bodyDiv w:val="1"/>
      <w:marLeft w:val="0"/>
      <w:marRight w:val="0"/>
      <w:marTop w:val="0"/>
      <w:marBottom w:val="0"/>
      <w:divBdr>
        <w:top w:val="none" w:sz="0" w:space="0" w:color="auto"/>
        <w:left w:val="none" w:sz="0" w:space="0" w:color="auto"/>
        <w:bottom w:val="none" w:sz="0" w:space="0" w:color="auto"/>
        <w:right w:val="none" w:sz="0" w:space="0" w:color="auto"/>
      </w:divBdr>
    </w:div>
    <w:div w:id="424569093">
      <w:bodyDiv w:val="1"/>
      <w:marLeft w:val="0"/>
      <w:marRight w:val="0"/>
      <w:marTop w:val="0"/>
      <w:marBottom w:val="0"/>
      <w:divBdr>
        <w:top w:val="none" w:sz="0" w:space="0" w:color="auto"/>
        <w:left w:val="none" w:sz="0" w:space="0" w:color="auto"/>
        <w:bottom w:val="none" w:sz="0" w:space="0" w:color="auto"/>
        <w:right w:val="none" w:sz="0" w:space="0" w:color="auto"/>
      </w:divBdr>
    </w:div>
    <w:div w:id="430123240">
      <w:bodyDiv w:val="1"/>
      <w:marLeft w:val="0"/>
      <w:marRight w:val="0"/>
      <w:marTop w:val="0"/>
      <w:marBottom w:val="0"/>
      <w:divBdr>
        <w:top w:val="none" w:sz="0" w:space="0" w:color="auto"/>
        <w:left w:val="none" w:sz="0" w:space="0" w:color="auto"/>
        <w:bottom w:val="none" w:sz="0" w:space="0" w:color="auto"/>
        <w:right w:val="none" w:sz="0" w:space="0" w:color="auto"/>
      </w:divBdr>
    </w:div>
    <w:div w:id="513148666">
      <w:bodyDiv w:val="1"/>
      <w:marLeft w:val="0"/>
      <w:marRight w:val="0"/>
      <w:marTop w:val="0"/>
      <w:marBottom w:val="0"/>
      <w:divBdr>
        <w:top w:val="none" w:sz="0" w:space="0" w:color="auto"/>
        <w:left w:val="none" w:sz="0" w:space="0" w:color="auto"/>
        <w:bottom w:val="none" w:sz="0" w:space="0" w:color="auto"/>
        <w:right w:val="none" w:sz="0" w:space="0" w:color="auto"/>
      </w:divBdr>
    </w:div>
    <w:div w:id="689725088">
      <w:bodyDiv w:val="1"/>
      <w:marLeft w:val="0"/>
      <w:marRight w:val="0"/>
      <w:marTop w:val="0"/>
      <w:marBottom w:val="0"/>
      <w:divBdr>
        <w:top w:val="none" w:sz="0" w:space="0" w:color="auto"/>
        <w:left w:val="none" w:sz="0" w:space="0" w:color="auto"/>
        <w:bottom w:val="none" w:sz="0" w:space="0" w:color="auto"/>
        <w:right w:val="none" w:sz="0" w:space="0" w:color="auto"/>
      </w:divBdr>
    </w:div>
    <w:div w:id="809861027">
      <w:bodyDiv w:val="1"/>
      <w:marLeft w:val="0"/>
      <w:marRight w:val="0"/>
      <w:marTop w:val="0"/>
      <w:marBottom w:val="0"/>
      <w:divBdr>
        <w:top w:val="none" w:sz="0" w:space="0" w:color="auto"/>
        <w:left w:val="none" w:sz="0" w:space="0" w:color="auto"/>
        <w:bottom w:val="none" w:sz="0" w:space="0" w:color="auto"/>
        <w:right w:val="none" w:sz="0" w:space="0" w:color="auto"/>
      </w:divBdr>
    </w:div>
    <w:div w:id="810752949">
      <w:bodyDiv w:val="1"/>
      <w:marLeft w:val="0"/>
      <w:marRight w:val="0"/>
      <w:marTop w:val="0"/>
      <w:marBottom w:val="0"/>
      <w:divBdr>
        <w:top w:val="none" w:sz="0" w:space="0" w:color="auto"/>
        <w:left w:val="none" w:sz="0" w:space="0" w:color="auto"/>
        <w:bottom w:val="none" w:sz="0" w:space="0" w:color="auto"/>
        <w:right w:val="none" w:sz="0" w:space="0" w:color="auto"/>
      </w:divBdr>
    </w:div>
    <w:div w:id="854003928">
      <w:bodyDiv w:val="1"/>
      <w:marLeft w:val="0"/>
      <w:marRight w:val="0"/>
      <w:marTop w:val="0"/>
      <w:marBottom w:val="0"/>
      <w:divBdr>
        <w:top w:val="none" w:sz="0" w:space="0" w:color="auto"/>
        <w:left w:val="none" w:sz="0" w:space="0" w:color="auto"/>
        <w:bottom w:val="none" w:sz="0" w:space="0" w:color="auto"/>
        <w:right w:val="none" w:sz="0" w:space="0" w:color="auto"/>
      </w:divBdr>
    </w:div>
    <w:div w:id="915094498">
      <w:bodyDiv w:val="1"/>
      <w:marLeft w:val="0"/>
      <w:marRight w:val="0"/>
      <w:marTop w:val="0"/>
      <w:marBottom w:val="0"/>
      <w:divBdr>
        <w:top w:val="none" w:sz="0" w:space="0" w:color="auto"/>
        <w:left w:val="none" w:sz="0" w:space="0" w:color="auto"/>
        <w:bottom w:val="none" w:sz="0" w:space="0" w:color="auto"/>
        <w:right w:val="none" w:sz="0" w:space="0" w:color="auto"/>
      </w:divBdr>
    </w:div>
    <w:div w:id="956133565">
      <w:bodyDiv w:val="1"/>
      <w:marLeft w:val="0"/>
      <w:marRight w:val="0"/>
      <w:marTop w:val="0"/>
      <w:marBottom w:val="0"/>
      <w:divBdr>
        <w:top w:val="none" w:sz="0" w:space="0" w:color="auto"/>
        <w:left w:val="none" w:sz="0" w:space="0" w:color="auto"/>
        <w:bottom w:val="none" w:sz="0" w:space="0" w:color="auto"/>
        <w:right w:val="none" w:sz="0" w:space="0" w:color="auto"/>
      </w:divBdr>
    </w:div>
    <w:div w:id="1046297120">
      <w:bodyDiv w:val="1"/>
      <w:marLeft w:val="0"/>
      <w:marRight w:val="0"/>
      <w:marTop w:val="0"/>
      <w:marBottom w:val="0"/>
      <w:divBdr>
        <w:top w:val="none" w:sz="0" w:space="0" w:color="auto"/>
        <w:left w:val="none" w:sz="0" w:space="0" w:color="auto"/>
        <w:bottom w:val="none" w:sz="0" w:space="0" w:color="auto"/>
        <w:right w:val="none" w:sz="0" w:space="0" w:color="auto"/>
      </w:divBdr>
    </w:div>
    <w:div w:id="1076972420">
      <w:bodyDiv w:val="1"/>
      <w:marLeft w:val="0"/>
      <w:marRight w:val="0"/>
      <w:marTop w:val="0"/>
      <w:marBottom w:val="0"/>
      <w:divBdr>
        <w:top w:val="none" w:sz="0" w:space="0" w:color="auto"/>
        <w:left w:val="none" w:sz="0" w:space="0" w:color="auto"/>
        <w:bottom w:val="none" w:sz="0" w:space="0" w:color="auto"/>
        <w:right w:val="none" w:sz="0" w:space="0" w:color="auto"/>
      </w:divBdr>
    </w:div>
    <w:div w:id="1084455627">
      <w:bodyDiv w:val="1"/>
      <w:marLeft w:val="0"/>
      <w:marRight w:val="0"/>
      <w:marTop w:val="0"/>
      <w:marBottom w:val="0"/>
      <w:divBdr>
        <w:top w:val="none" w:sz="0" w:space="0" w:color="auto"/>
        <w:left w:val="none" w:sz="0" w:space="0" w:color="auto"/>
        <w:bottom w:val="none" w:sz="0" w:space="0" w:color="auto"/>
        <w:right w:val="none" w:sz="0" w:space="0" w:color="auto"/>
      </w:divBdr>
    </w:div>
    <w:div w:id="1107502043">
      <w:bodyDiv w:val="1"/>
      <w:marLeft w:val="0"/>
      <w:marRight w:val="0"/>
      <w:marTop w:val="0"/>
      <w:marBottom w:val="0"/>
      <w:divBdr>
        <w:top w:val="none" w:sz="0" w:space="0" w:color="auto"/>
        <w:left w:val="none" w:sz="0" w:space="0" w:color="auto"/>
        <w:bottom w:val="none" w:sz="0" w:space="0" w:color="auto"/>
        <w:right w:val="none" w:sz="0" w:space="0" w:color="auto"/>
      </w:divBdr>
    </w:div>
    <w:div w:id="1200389177">
      <w:bodyDiv w:val="1"/>
      <w:marLeft w:val="0"/>
      <w:marRight w:val="0"/>
      <w:marTop w:val="0"/>
      <w:marBottom w:val="0"/>
      <w:divBdr>
        <w:top w:val="none" w:sz="0" w:space="0" w:color="auto"/>
        <w:left w:val="none" w:sz="0" w:space="0" w:color="auto"/>
        <w:bottom w:val="none" w:sz="0" w:space="0" w:color="auto"/>
        <w:right w:val="none" w:sz="0" w:space="0" w:color="auto"/>
      </w:divBdr>
    </w:div>
    <w:div w:id="1305937351">
      <w:bodyDiv w:val="1"/>
      <w:marLeft w:val="0"/>
      <w:marRight w:val="0"/>
      <w:marTop w:val="0"/>
      <w:marBottom w:val="0"/>
      <w:divBdr>
        <w:top w:val="none" w:sz="0" w:space="0" w:color="auto"/>
        <w:left w:val="none" w:sz="0" w:space="0" w:color="auto"/>
        <w:bottom w:val="none" w:sz="0" w:space="0" w:color="auto"/>
        <w:right w:val="none" w:sz="0" w:space="0" w:color="auto"/>
      </w:divBdr>
    </w:div>
    <w:div w:id="1372799865">
      <w:bodyDiv w:val="1"/>
      <w:marLeft w:val="0"/>
      <w:marRight w:val="0"/>
      <w:marTop w:val="0"/>
      <w:marBottom w:val="0"/>
      <w:divBdr>
        <w:top w:val="none" w:sz="0" w:space="0" w:color="auto"/>
        <w:left w:val="none" w:sz="0" w:space="0" w:color="auto"/>
        <w:bottom w:val="none" w:sz="0" w:space="0" w:color="auto"/>
        <w:right w:val="none" w:sz="0" w:space="0" w:color="auto"/>
      </w:divBdr>
    </w:div>
    <w:div w:id="1384794627">
      <w:bodyDiv w:val="1"/>
      <w:marLeft w:val="0"/>
      <w:marRight w:val="0"/>
      <w:marTop w:val="0"/>
      <w:marBottom w:val="0"/>
      <w:divBdr>
        <w:top w:val="none" w:sz="0" w:space="0" w:color="auto"/>
        <w:left w:val="none" w:sz="0" w:space="0" w:color="auto"/>
        <w:bottom w:val="none" w:sz="0" w:space="0" w:color="auto"/>
        <w:right w:val="none" w:sz="0" w:space="0" w:color="auto"/>
      </w:divBdr>
    </w:div>
    <w:div w:id="1424647008">
      <w:bodyDiv w:val="1"/>
      <w:marLeft w:val="0"/>
      <w:marRight w:val="0"/>
      <w:marTop w:val="0"/>
      <w:marBottom w:val="0"/>
      <w:divBdr>
        <w:top w:val="none" w:sz="0" w:space="0" w:color="auto"/>
        <w:left w:val="none" w:sz="0" w:space="0" w:color="auto"/>
        <w:bottom w:val="none" w:sz="0" w:space="0" w:color="auto"/>
        <w:right w:val="none" w:sz="0" w:space="0" w:color="auto"/>
      </w:divBdr>
    </w:div>
    <w:div w:id="1532767693">
      <w:bodyDiv w:val="1"/>
      <w:marLeft w:val="0"/>
      <w:marRight w:val="0"/>
      <w:marTop w:val="0"/>
      <w:marBottom w:val="0"/>
      <w:divBdr>
        <w:top w:val="none" w:sz="0" w:space="0" w:color="auto"/>
        <w:left w:val="none" w:sz="0" w:space="0" w:color="auto"/>
        <w:bottom w:val="none" w:sz="0" w:space="0" w:color="auto"/>
        <w:right w:val="none" w:sz="0" w:space="0" w:color="auto"/>
      </w:divBdr>
    </w:div>
    <w:div w:id="1586650299">
      <w:bodyDiv w:val="1"/>
      <w:marLeft w:val="0"/>
      <w:marRight w:val="0"/>
      <w:marTop w:val="0"/>
      <w:marBottom w:val="0"/>
      <w:divBdr>
        <w:top w:val="none" w:sz="0" w:space="0" w:color="auto"/>
        <w:left w:val="none" w:sz="0" w:space="0" w:color="auto"/>
        <w:bottom w:val="none" w:sz="0" w:space="0" w:color="auto"/>
        <w:right w:val="none" w:sz="0" w:space="0" w:color="auto"/>
      </w:divBdr>
    </w:div>
    <w:div w:id="1647395680">
      <w:bodyDiv w:val="1"/>
      <w:marLeft w:val="0"/>
      <w:marRight w:val="0"/>
      <w:marTop w:val="0"/>
      <w:marBottom w:val="0"/>
      <w:divBdr>
        <w:top w:val="none" w:sz="0" w:space="0" w:color="auto"/>
        <w:left w:val="none" w:sz="0" w:space="0" w:color="auto"/>
        <w:bottom w:val="none" w:sz="0" w:space="0" w:color="auto"/>
        <w:right w:val="none" w:sz="0" w:space="0" w:color="auto"/>
      </w:divBdr>
    </w:div>
    <w:div w:id="1695577240">
      <w:bodyDiv w:val="1"/>
      <w:marLeft w:val="0"/>
      <w:marRight w:val="0"/>
      <w:marTop w:val="0"/>
      <w:marBottom w:val="0"/>
      <w:divBdr>
        <w:top w:val="none" w:sz="0" w:space="0" w:color="auto"/>
        <w:left w:val="none" w:sz="0" w:space="0" w:color="auto"/>
        <w:bottom w:val="none" w:sz="0" w:space="0" w:color="auto"/>
        <w:right w:val="none" w:sz="0" w:space="0" w:color="auto"/>
      </w:divBdr>
    </w:div>
    <w:div w:id="1727996758">
      <w:bodyDiv w:val="1"/>
      <w:marLeft w:val="0"/>
      <w:marRight w:val="0"/>
      <w:marTop w:val="0"/>
      <w:marBottom w:val="0"/>
      <w:divBdr>
        <w:top w:val="none" w:sz="0" w:space="0" w:color="auto"/>
        <w:left w:val="none" w:sz="0" w:space="0" w:color="auto"/>
        <w:bottom w:val="none" w:sz="0" w:space="0" w:color="auto"/>
        <w:right w:val="none" w:sz="0" w:space="0" w:color="auto"/>
      </w:divBdr>
    </w:div>
    <w:div w:id="1762946470">
      <w:bodyDiv w:val="1"/>
      <w:marLeft w:val="0"/>
      <w:marRight w:val="0"/>
      <w:marTop w:val="0"/>
      <w:marBottom w:val="0"/>
      <w:divBdr>
        <w:top w:val="none" w:sz="0" w:space="0" w:color="auto"/>
        <w:left w:val="none" w:sz="0" w:space="0" w:color="auto"/>
        <w:bottom w:val="none" w:sz="0" w:space="0" w:color="auto"/>
        <w:right w:val="none" w:sz="0" w:space="0" w:color="auto"/>
      </w:divBdr>
    </w:div>
    <w:div w:id="1785925563">
      <w:bodyDiv w:val="1"/>
      <w:marLeft w:val="0"/>
      <w:marRight w:val="0"/>
      <w:marTop w:val="0"/>
      <w:marBottom w:val="0"/>
      <w:divBdr>
        <w:top w:val="none" w:sz="0" w:space="0" w:color="auto"/>
        <w:left w:val="none" w:sz="0" w:space="0" w:color="auto"/>
        <w:bottom w:val="none" w:sz="0" w:space="0" w:color="auto"/>
        <w:right w:val="none" w:sz="0" w:space="0" w:color="auto"/>
      </w:divBdr>
    </w:div>
    <w:div w:id="1799570148">
      <w:bodyDiv w:val="1"/>
      <w:marLeft w:val="0"/>
      <w:marRight w:val="0"/>
      <w:marTop w:val="0"/>
      <w:marBottom w:val="0"/>
      <w:divBdr>
        <w:top w:val="none" w:sz="0" w:space="0" w:color="auto"/>
        <w:left w:val="none" w:sz="0" w:space="0" w:color="auto"/>
        <w:bottom w:val="none" w:sz="0" w:space="0" w:color="auto"/>
        <w:right w:val="none" w:sz="0" w:space="0" w:color="auto"/>
      </w:divBdr>
    </w:div>
    <w:div w:id="1898012786">
      <w:bodyDiv w:val="1"/>
      <w:marLeft w:val="0"/>
      <w:marRight w:val="0"/>
      <w:marTop w:val="0"/>
      <w:marBottom w:val="0"/>
      <w:divBdr>
        <w:top w:val="none" w:sz="0" w:space="0" w:color="auto"/>
        <w:left w:val="none" w:sz="0" w:space="0" w:color="auto"/>
        <w:bottom w:val="none" w:sz="0" w:space="0" w:color="auto"/>
        <w:right w:val="none" w:sz="0" w:space="0" w:color="auto"/>
      </w:divBdr>
    </w:div>
    <w:div w:id="2004166449">
      <w:bodyDiv w:val="1"/>
      <w:marLeft w:val="0"/>
      <w:marRight w:val="0"/>
      <w:marTop w:val="0"/>
      <w:marBottom w:val="0"/>
      <w:divBdr>
        <w:top w:val="none" w:sz="0" w:space="0" w:color="auto"/>
        <w:left w:val="none" w:sz="0" w:space="0" w:color="auto"/>
        <w:bottom w:val="none" w:sz="0" w:space="0" w:color="auto"/>
        <w:right w:val="none" w:sz="0" w:space="0" w:color="auto"/>
      </w:divBdr>
    </w:div>
    <w:div w:id="2013601701">
      <w:bodyDiv w:val="1"/>
      <w:marLeft w:val="0"/>
      <w:marRight w:val="0"/>
      <w:marTop w:val="0"/>
      <w:marBottom w:val="0"/>
      <w:divBdr>
        <w:top w:val="none" w:sz="0" w:space="0" w:color="auto"/>
        <w:left w:val="none" w:sz="0" w:space="0" w:color="auto"/>
        <w:bottom w:val="none" w:sz="0" w:space="0" w:color="auto"/>
        <w:right w:val="none" w:sz="0" w:space="0" w:color="auto"/>
      </w:divBdr>
    </w:div>
    <w:div w:id="2038197119">
      <w:bodyDiv w:val="1"/>
      <w:marLeft w:val="0"/>
      <w:marRight w:val="0"/>
      <w:marTop w:val="0"/>
      <w:marBottom w:val="0"/>
      <w:divBdr>
        <w:top w:val="none" w:sz="0" w:space="0" w:color="auto"/>
        <w:left w:val="none" w:sz="0" w:space="0" w:color="auto"/>
        <w:bottom w:val="none" w:sz="0" w:space="0" w:color="auto"/>
        <w:right w:val="none" w:sz="0" w:space="0" w:color="auto"/>
      </w:divBdr>
    </w:div>
    <w:div w:id="2042170516">
      <w:bodyDiv w:val="1"/>
      <w:marLeft w:val="0"/>
      <w:marRight w:val="0"/>
      <w:marTop w:val="0"/>
      <w:marBottom w:val="0"/>
      <w:divBdr>
        <w:top w:val="none" w:sz="0" w:space="0" w:color="auto"/>
        <w:left w:val="none" w:sz="0" w:space="0" w:color="auto"/>
        <w:bottom w:val="none" w:sz="0" w:space="0" w:color="auto"/>
        <w:right w:val="none" w:sz="0" w:space="0" w:color="auto"/>
      </w:divBdr>
    </w:div>
    <w:div w:id="2080326342">
      <w:bodyDiv w:val="1"/>
      <w:marLeft w:val="0"/>
      <w:marRight w:val="0"/>
      <w:marTop w:val="0"/>
      <w:marBottom w:val="0"/>
      <w:divBdr>
        <w:top w:val="none" w:sz="0" w:space="0" w:color="auto"/>
        <w:left w:val="none" w:sz="0" w:space="0" w:color="auto"/>
        <w:bottom w:val="none" w:sz="0" w:space="0" w:color="auto"/>
        <w:right w:val="none" w:sz="0" w:space="0" w:color="auto"/>
      </w:divBdr>
    </w:div>
    <w:div w:id="2082559160">
      <w:bodyDiv w:val="1"/>
      <w:marLeft w:val="0"/>
      <w:marRight w:val="0"/>
      <w:marTop w:val="0"/>
      <w:marBottom w:val="0"/>
      <w:divBdr>
        <w:top w:val="none" w:sz="0" w:space="0" w:color="auto"/>
        <w:left w:val="none" w:sz="0" w:space="0" w:color="auto"/>
        <w:bottom w:val="none" w:sz="0" w:space="0" w:color="auto"/>
        <w:right w:val="none" w:sz="0" w:space="0" w:color="auto"/>
      </w:divBdr>
    </w:div>
    <w:div w:id="209508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b:Tag>
    <b:SourceType>DocumentFromInternetSite</b:SourceType>
    <b:Guid>{E22FB89D-8D53-44F0-881D-FAF71E999BA5}</b:Guid>
    <b:Title>Intorduction Pension Schemes - Tutorial three: What is a trustee</b:Title>
    <b:Year>2018</b:Year>
    <b:Author>
      <b:Author>
        <b:NameList>
          <b:Person>
            <b:Last>Regulator</b:Last>
            <b:First>The</b:First>
            <b:Middle>Pensions</b:Middle>
          </b:Person>
        </b:NameList>
      </b:Author>
    </b:Author>
    <b:InternetSiteTitle>trusteetoolkit</b:InternetSiteTitle>
    <b:Month>August </b:Month>
    <b:URL>https://trusteetoolkit.thepensionsregulator.gov.uk/pluginfile.php/133/mod_data/content/2279/Introducing%20pension%20schemes%20-%20Tutorial%203%20What%20is%20a%20trustee.pdf</b:URL>
    <b:RefOrder>1</b:RefOrder>
  </b:Source>
  <b:Source>
    <b:Tag>The24</b:Tag>
    <b:SourceType>DocumentFromInternetSite</b:SourceType>
    <b:Guid>{ECAE7079-1FD4-4F93-B621-677A7DD7B61A}</b:Guid>
    <b:Author>
      <b:Author>
        <b:Corporate>The Law Commission</b:Corporate>
      </b:Author>
    </b:Author>
    <b:Title>Trustee Exemption Clauses, Consultation Paper No.171</b:Title>
    <b:YearAccessed>2024</b:YearAccessed>
    <b:MonthAccessed>November</b:MonthAccessed>
    <b:DayAccessed>10</b:DayAccessed>
    <b:URL>https://www.treasurers.org/ACTmedia/cp171.pdf</b:URL>
    <b:JournalName>Consultation Paper No.171</b:JournalName>
    <b:RefOrder>2</b:RefOrder>
  </b:Source>
  <b:Source>
    <b:Tag>Hou00</b:Tag>
    <b:SourceType>DocumentFromInternetSite</b:SourceType>
    <b:Guid>{67283926-0021-4679-BCC7-798320E07F38}</b:Guid>
    <b:Author>
      <b:Author>
        <b:Corporate>House of Commons</b:Corporate>
      </b:Author>
    </b:Author>
    <b:Title>Trustee Bill</b:Title>
    <b:Year>2000</b:Year>
    <b:Month>July</b:Month>
    <b:Day>5</b:Day>
    <b:YearAccessed>2024</b:YearAccessed>
    <b:MonthAccessed>November</b:MonthAccessed>
    <b:DayAccessed>10</b:DayAccessed>
    <b:URL>https://publications.parliament.uk/pa/cm199900/cmbills/149/en/00149x-b.htm#:~:text=Clause%2028(2)%20reverses%20the,for%20services%20which%20could%20not</b:URL>
    <b:RefOrder>3</b:RefOrder>
  </b:Source>
  <b:Source>
    <b:Tag>Dha23</b:Tag>
    <b:SourceType>InternetSite</b:SourceType>
    <b:Guid>{89E1898A-3643-459C-80AD-B244D059EE00}</b:Guid>
    <b:Title>Guiding Trustees: Protectiong Trustees from Loss and Liability</b:Title>
    <b:Year>2023</b:Year>
    <b:YearAccessed>2024</b:YearAccessed>
    <b:MonthAccessed>November</b:MonthAccessed>
    <b:DayAccessed>10</b:DayAccessed>
    <b:URL>https://www.charlesrussellspeechlys.com/en/insights/expert-insights/private-client/2023/guiding-trustees-protecting-trustees-from-loss-and-liability/#:~:text=Most%20professional%20trustees%20will%20seek,the%20beneficiaries%20of%20the%20trust.</b:URL>
    <b:Author>
      <b:Author>
        <b:NameList>
          <b:Person>
            <b:Last>Dharshi Wijetunga</b:Last>
            <b:First>Sophie</b:First>
            <b:Middle>Hart</b:Middle>
          </b:Person>
        </b:NameList>
      </b:Author>
    </b:Author>
    <b:RefOrder>4</b:RefOrder>
  </b:Source>
  <b:Source>
    <b:Tag>Cha12</b:Tag>
    <b:SourceType>InternetSite</b:SourceType>
    <b:Guid>{256707A5-F40B-4A91-88F2-C846D5980B44}</b:Guid>
    <b:Title>Our regulatory approach to protecting the public's interst in Charity</b:Title>
    <b:Year>2012</b:Year>
    <b:YearAccessed>2024</b:YearAccessed>
    <b:MonthAccessed>Novemeber</b:MonthAccessed>
    <b:DayAccessed>12</b:DayAccessed>
    <b:URL>https://assets.publishing.service.gov.uk/government/uploads/system/uploads/attachment_data/file/313453/risk-framework-our-regulatory-approach-to-protecting-the-public_s-interest-in-charity.pdf</b:URL>
    <b:Author>
      <b:Author>
        <b:Corporate>Charity Commission</b:Corporate>
      </b:Author>
    </b:Author>
    <b:RefOrder>5</b:RefOrder>
  </b:Source>
  <b:Source>
    <b:Tag>Bel23</b:Tag>
    <b:SourceType>Book</b:SourceType>
    <b:Guid>{939D005D-7D49-43B4-962E-5CA54BD5911E}</b:Guid>
    <b:Title>Trust Drafting and Precedents</b:Title>
    <b:Year>2023</b:Year>
    <b:Author>
      <b:Author>
        <b:NameList>
          <b:Person>
            <b:Last>Bell</b:Last>
            <b:First>Julie</b:First>
          </b:Person>
        </b:NameList>
      </b:Author>
    </b:Author>
    <b:Publisher>Bloomsbury Professional</b:Publisher>
    <b:Edition>Issue 45</b:Edition>
    <b:RefOrder>6</b:RefOrder>
  </b:Source>
  <b:Source>
    <b:Tag>Arm23</b:Tag>
    <b:SourceType>Case</b:SourceType>
    <b:Guid>{EFF9519B-29F0-40D8-A8EB-8A0C87C849E3}</b:Guid>
    <b:Title>Armitage v Nurse [1998] Ch 241, Court of Appeal</b:Title>
    <b:Year>2023</b:Year>
    <b:Reporter>Derek Whayman</b:Reporter>
    <b:RefOrder>7</b:RefOrder>
  </b:Source>
</b:Sources>
</file>

<file path=customXml/itemProps1.xml><?xml version="1.0" encoding="utf-8"?>
<ds:datastoreItem xmlns:ds="http://schemas.openxmlformats.org/officeDocument/2006/customXml" ds:itemID="{FCB1EC5A-1C95-48C4-9F16-45F0263CB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7</Pages>
  <Words>1943</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Project</dc:title>
  <dc:subject>Equity and Trusts</dc:subject>
  <dc:creator>Kyran Woods</dc:creator>
  <cp:keywords/>
  <dc:description/>
  <cp:lastModifiedBy>Kyran Woods</cp:lastModifiedBy>
  <cp:revision>176</cp:revision>
  <dcterms:created xsi:type="dcterms:W3CDTF">2024-11-13T20:00:00Z</dcterms:created>
  <dcterms:modified xsi:type="dcterms:W3CDTF">2024-11-15T17:11:00Z</dcterms:modified>
</cp:coreProperties>
</file>