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47B3" w14:textId="321D51E2" w:rsidR="003C57D0" w:rsidRDefault="00EC58A4" w:rsidP="00EC58A4">
      <w:pPr>
        <w:jc w:val="center"/>
        <w:rPr>
          <w:noProof/>
          <w:sz w:val="58"/>
          <w:szCs w:val="58"/>
        </w:rPr>
      </w:pPr>
      <w:r>
        <w:rPr>
          <w:noProof/>
          <w:sz w:val="58"/>
          <w:szCs w:val="58"/>
        </w:rPr>
        <w:t>Portofolio</w:t>
      </w:r>
    </w:p>
    <w:p w14:paraId="79D4B031" w14:textId="73F84D0E" w:rsidR="00EC58A4" w:rsidRDefault="00EC58A4" w:rsidP="00EC58A4">
      <w:pPr>
        <w:jc w:val="center"/>
        <w:rPr>
          <w:sz w:val="40"/>
          <w:szCs w:val="40"/>
        </w:rPr>
      </w:pPr>
      <w:r>
        <w:rPr>
          <w:sz w:val="40"/>
          <w:szCs w:val="40"/>
        </w:rPr>
        <w:t xml:space="preserve">Student : Ionut nica </w:t>
      </w:r>
    </w:p>
    <w:p w14:paraId="7C431337" w14:textId="2FC402AD" w:rsidR="00EC58A4" w:rsidRDefault="00EC58A4" w:rsidP="00EC58A4">
      <w:pPr>
        <w:jc w:val="center"/>
        <w:rPr>
          <w:sz w:val="40"/>
          <w:szCs w:val="40"/>
        </w:rPr>
      </w:pPr>
      <w:r>
        <w:rPr>
          <w:sz w:val="40"/>
          <w:szCs w:val="40"/>
        </w:rPr>
        <w:t>Student ID: 2239653</w:t>
      </w:r>
    </w:p>
    <w:p w14:paraId="6AFE5444" w14:textId="29E346C5" w:rsidR="00EC58A4" w:rsidRDefault="00EC58A4" w:rsidP="00EC58A4">
      <w:pPr>
        <w:jc w:val="center"/>
        <w:rPr>
          <w:sz w:val="40"/>
          <w:szCs w:val="40"/>
        </w:rPr>
      </w:pPr>
      <w:r>
        <w:rPr>
          <w:sz w:val="40"/>
          <w:szCs w:val="40"/>
        </w:rPr>
        <w:t xml:space="preserve">Module code : </w:t>
      </w:r>
      <w:r w:rsidR="00F63C3D">
        <w:rPr>
          <w:sz w:val="40"/>
          <w:szCs w:val="40"/>
        </w:rPr>
        <w:t xml:space="preserve"> Project Management </w:t>
      </w:r>
      <w:r>
        <w:rPr>
          <w:sz w:val="40"/>
          <w:szCs w:val="40"/>
        </w:rPr>
        <w:t>LCLM5004</w:t>
      </w:r>
    </w:p>
    <w:p w14:paraId="391AECAC" w14:textId="5D884883" w:rsidR="004D119B" w:rsidRDefault="004D119B" w:rsidP="004D119B">
      <w:pPr>
        <w:rPr>
          <w:sz w:val="40"/>
          <w:szCs w:val="40"/>
        </w:rPr>
      </w:pPr>
      <w:r>
        <w:rPr>
          <w:sz w:val="40"/>
          <w:szCs w:val="40"/>
        </w:rPr>
        <w:t xml:space="preserve">Part A </w:t>
      </w:r>
    </w:p>
    <w:p w14:paraId="0C3AE2FC" w14:textId="01E829C5" w:rsidR="00F63C3D" w:rsidRPr="00002724" w:rsidRDefault="00D616EC" w:rsidP="00A627CF">
      <w:pPr>
        <w:jc w:val="center"/>
        <w:rPr>
          <w:sz w:val="26"/>
          <w:szCs w:val="26"/>
        </w:rPr>
      </w:pPr>
      <w:r>
        <w:rPr>
          <w:noProof/>
          <w:sz w:val="40"/>
          <w:szCs w:val="40"/>
        </w:rPr>
        <w:drawing>
          <wp:anchor distT="0" distB="0" distL="114300" distR="114300" simplePos="0" relativeHeight="251659264" behindDoc="0" locked="0" layoutInCell="1" allowOverlap="1" wp14:anchorId="4F42748D" wp14:editId="0697AF75">
            <wp:simplePos x="0" y="0"/>
            <wp:positionH relativeFrom="column">
              <wp:posOffset>-325120</wp:posOffset>
            </wp:positionH>
            <wp:positionV relativeFrom="paragraph">
              <wp:posOffset>881380</wp:posOffset>
            </wp:positionV>
            <wp:extent cx="6847840" cy="5974080"/>
            <wp:effectExtent l="0" t="0" r="0" b="0"/>
            <wp:wrapTopAndBottom/>
            <wp:docPr id="102759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9609" name="Picture 102759609"/>
                    <pic:cNvPicPr/>
                  </pic:nvPicPr>
                  <pic:blipFill>
                    <a:blip r:embed="rId4">
                      <a:extLst>
                        <a:ext uri="{28A0092B-C50C-407E-A947-70E740481C1C}">
                          <a14:useLocalDpi xmlns:a14="http://schemas.microsoft.com/office/drawing/2010/main" val="0"/>
                        </a:ext>
                      </a:extLst>
                    </a:blip>
                    <a:stretch>
                      <a:fillRect/>
                    </a:stretch>
                  </pic:blipFill>
                  <pic:spPr>
                    <a:xfrm>
                      <a:off x="0" y="0"/>
                      <a:ext cx="6847840" cy="5974080"/>
                    </a:xfrm>
                    <a:prstGeom prst="rect">
                      <a:avLst/>
                    </a:prstGeom>
                  </pic:spPr>
                </pic:pic>
              </a:graphicData>
            </a:graphic>
            <wp14:sizeRelH relativeFrom="margin">
              <wp14:pctWidth>0</wp14:pctWidth>
            </wp14:sizeRelH>
            <wp14:sizeRelV relativeFrom="margin">
              <wp14:pctHeight>0</wp14:pctHeight>
            </wp14:sizeRelV>
          </wp:anchor>
        </w:drawing>
      </w:r>
    </w:p>
    <w:p w14:paraId="4EA42599"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lastRenderedPageBreak/>
        <w:t>Part B – Reflection Using Gibbs’ Reflective Cycle</w:t>
      </w:r>
    </w:p>
    <w:p w14:paraId="0A434E4E"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531FB324"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1. Description</w:t>
      </w:r>
    </w:p>
    <w:p w14:paraId="02285DC0"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61A130EA"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t>During the initial presentation and submission of my draft project plan, the tutor and my peers provided detailed feedback highlighting several gaps. The most significant issues included the absence of graphics such as the Gantt chart, quad chart and stakeholder mapping. There was also limited use of academic concepts and insufficient depth in areas such as risk analysis and stakeholder involvement. Additionally, I relied heavily on reading from my mobile phone during the presentation, which affected clarity and engagement. The overall message was that although the foundation of the project was strong, essential components were missing or underdeveloped.</w:t>
      </w:r>
    </w:p>
    <w:p w14:paraId="7FDE7A9D"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1512E8AD"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2. Feelings</w:t>
      </w:r>
    </w:p>
    <w:p w14:paraId="1174F045"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4E323C1D"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t>Initially, I felt disappointed because I believed the content I prepared covered the core requirements. However, I also recognised that the feedback was fair and constructive. I felt motivated to improve the work, especially because the missing elements were practical tools that I</w:t>
      </w:r>
      <w:r>
        <w:rPr>
          <w:rStyle w:val="apple-converted-space"/>
          <w:color w:val="000000"/>
          <w:sz w:val="27"/>
          <w:szCs w:val="27"/>
        </w:rPr>
        <w:t> </w:t>
      </w:r>
      <w:r>
        <w:rPr>
          <w:rStyle w:val="s5"/>
          <w:color w:val="000000"/>
          <w:sz w:val="27"/>
          <w:szCs w:val="27"/>
        </w:rPr>
        <w:t>am capable of producing. The feedback also reassured me that the project had potential, which encouraged me to refine it further rather than feeling discouraged.</w:t>
      </w:r>
    </w:p>
    <w:p w14:paraId="78391573"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40F8D2B7"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3. Evaluation</w:t>
      </w:r>
    </w:p>
    <w:p w14:paraId="24B88C93"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56F5B1ED"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t>There were clear strengths in my earlier submission, such as understanding the project context and presenting a logical narrative. Peers mentioned that the topic choice was</w:t>
      </w:r>
      <w:r>
        <w:rPr>
          <w:rStyle w:val="apple-converted-space"/>
          <w:color w:val="000000"/>
          <w:sz w:val="27"/>
          <w:szCs w:val="27"/>
        </w:rPr>
        <w:t> </w:t>
      </w:r>
      <w:r>
        <w:rPr>
          <w:rStyle w:val="s5"/>
          <w:color w:val="000000"/>
          <w:sz w:val="27"/>
          <w:szCs w:val="27"/>
        </w:rPr>
        <w:t>appropriate</w:t>
      </w:r>
      <w:r>
        <w:rPr>
          <w:rStyle w:val="apple-converted-space"/>
          <w:color w:val="000000"/>
          <w:sz w:val="27"/>
          <w:szCs w:val="27"/>
        </w:rPr>
        <w:t> </w:t>
      </w:r>
      <w:r>
        <w:rPr>
          <w:rStyle w:val="s5"/>
          <w:color w:val="000000"/>
          <w:sz w:val="27"/>
          <w:szCs w:val="27"/>
        </w:rPr>
        <w:t>and the explanation of the flooding event was clear. However, the weaknesses identified were important. Missing graphics made the project appear incomplete, while the lack of academic grounding weakened its analytical depth. The presentation delivery was also not professional because reading from a mobile phone reduced engagement and appeared</w:t>
      </w:r>
      <w:r>
        <w:rPr>
          <w:rStyle w:val="apple-converted-space"/>
          <w:color w:val="000000"/>
          <w:sz w:val="27"/>
          <w:szCs w:val="27"/>
        </w:rPr>
        <w:t> </w:t>
      </w:r>
      <w:r>
        <w:rPr>
          <w:rStyle w:val="s5"/>
          <w:color w:val="000000"/>
          <w:sz w:val="27"/>
          <w:szCs w:val="27"/>
        </w:rPr>
        <w:t>unprepared. Overall, the evaluation made it clear that although the draft had structure and intention, it required substantial improvement to meet academic expectations.</w:t>
      </w:r>
    </w:p>
    <w:p w14:paraId="2AB7B8BA"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65367310"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4. Analysis</w:t>
      </w:r>
    </w:p>
    <w:p w14:paraId="74E90F31"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2BF8B799"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lastRenderedPageBreak/>
        <w:t>The feedback emphasised that academic project management requires both theoretical grounding and practical tools. The absence of graphics meant I did not fully demonstrate my ability to apply project management techniques, such as scheduling, stakeholder analysis and visual planning tools. I realised that graphics like the Gantt chart and quad chart are not optional extras but essential elements that show planning competency. Furthermore, the lack of academic concepts suggested insufficient engagement with scholarly literature, which weakened the credibility of my arguments. The comments about risk analysis and stakeholder involvement showed that those sections were too descriptive and needed deeper explanation supported by theory. Finally, the presentation issue revealed the importance of professionalism and communication skills, which are key components of management practice.</w:t>
      </w:r>
    </w:p>
    <w:p w14:paraId="7FA83887"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738D8BF9"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5. Conclusion</w:t>
      </w:r>
    </w:p>
    <w:p w14:paraId="183FD61B"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64058D04"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t>The feedback was extremely useful in helping me understand the expectations of a strong project management submission. It highlighted areas that needed improvement and showed me how to enhance both academic depth and practical application. I learned that good structure must be supported by academic reasoning, visual tools and confident presentation delivery.</w:t>
      </w:r>
    </w:p>
    <w:p w14:paraId="43FFD008"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47DCAD3B" w14:textId="77777777" w:rsidR="00AC7554" w:rsidRDefault="00AC7554">
      <w:pPr>
        <w:pStyle w:val="s3"/>
        <w:spacing w:before="0" w:beforeAutospacing="0" w:after="120" w:afterAutospacing="0"/>
        <w:jc w:val="both"/>
        <w:rPr>
          <w:b/>
          <w:bCs/>
          <w:color w:val="000000"/>
          <w:sz w:val="27"/>
          <w:szCs w:val="27"/>
        </w:rPr>
      </w:pPr>
      <w:r>
        <w:rPr>
          <w:rStyle w:val="s2"/>
          <w:b/>
          <w:bCs/>
          <w:color w:val="000000"/>
          <w:sz w:val="27"/>
          <w:szCs w:val="27"/>
        </w:rPr>
        <w:t>6. Action Plan</w:t>
      </w:r>
    </w:p>
    <w:p w14:paraId="77EE809B" w14:textId="77777777" w:rsidR="00AC7554" w:rsidRDefault="00AC7554">
      <w:pPr>
        <w:pStyle w:val="s4"/>
        <w:spacing w:before="0" w:beforeAutospacing="0" w:after="120" w:afterAutospacing="0"/>
        <w:jc w:val="both"/>
        <w:rPr>
          <w:color w:val="000000"/>
          <w:sz w:val="27"/>
          <w:szCs w:val="27"/>
        </w:rPr>
      </w:pPr>
      <w:r>
        <w:rPr>
          <w:color w:val="000000"/>
          <w:sz w:val="27"/>
          <w:szCs w:val="27"/>
        </w:rPr>
        <w:t> </w:t>
      </w:r>
    </w:p>
    <w:p w14:paraId="13C8A1CA" w14:textId="77777777" w:rsidR="00AC7554" w:rsidRDefault="00AC7554">
      <w:pPr>
        <w:pStyle w:val="s6"/>
        <w:spacing w:before="0" w:beforeAutospacing="0" w:after="120" w:afterAutospacing="0"/>
        <w:ind w:firstLine="540"/>
        <w:jc w:val="both"/>
        <w:rPr>
          <w:color w:val="000000"/>
          <w:sz w:val="27"/>
          <w:szCs w:val="27"/>
        </w:rPr>
      </w:pPr>
      <w:r>
        <w:rPr>
          <w:rStyle w:val="s5"/>
          <w:color w:val="000000"/>
          <w:sz w:val="27"/>
          <w:szCs w:val="27"/>
        </w:rPr>
        <w:t>For the final submission, I have added a professional Gantt chart, quad chart and stakeholder map. I improved the risk analysis by integrating academic models and added more literature to support decisions. I also expanded sections that were too brief. For future</w:t>
      </w:r>
      <w:r>
        <w:rPr>
          <w:rStyle w:val="apple-converted-space"/>
          <w:color w:val="000000"/>
          <w:sz w:val="27"/>
          <w:szCs w:val="27"/>
        </w:rPr>
        <w:t> </w:t>
      </w:r>
      <w:r>
        <w:rPr>
          <w:rStyle w:val="s5"/>
          <w:color w:val="000000"/>
          <w:sz w:val="27"/>
          <w:szCs w:val="27"/>
        </w:rPr>
        <w:t>presentations, I will avoid using a mobile phone, prepare printed notes, rehearse in advance, and focus on maintaining eye contact and clear delivery. These steps will ensure a more complete, academically robust and professionally presented project.</w:t>
      </w:r>
    </w:p>
    <w:p w14:paraId="17594E17" w14:textId="57CB9A54" w:rsidR="00D616EC" w:rsidRDefault="00D616EC" w:rsidP="00F63C3D">
      <w:pPr>
        <w:rPr>
          <w:sz w:val="40"/>
          <w:szCs w:val="40"/>
        </w:rPr>
      </w:pPr>
    </w:p>
    <w:p w14:paraId="4927BD45" w14:textId="038C294A" w:rsidR="002C4BBE" w:rsidRDefault="002C4BBE" w:rsidP="00F63C3D">
      <w:pPr>
        <w:rPr>
          <w:sz w:val="40"/>
          <w:szCs w:val="40"/>
        </w:rPr>
      </w:pPr>
      <w:r>
        <w:rPr>
          <w:sz w:val="40"/>
          <w:szCs w:val="40"/>
        </w:rPr>
        <w:t xml:space="preserve">Part C </w:t>
      </w:r>
    </w:p>
    <w:p w14:paraId="6CF9C56E" w14:textId="77777777" w:rsidR="002C4BBE" w:rsidRPr="002C4BBE" w:rsidRDefault="002C4BBE" w:rsidP="002C4BBE">
      <w:pPr>
        <w:spacing w:after="120" w:line="240" w:lineRule="auto"/>
        <w:jc w:val="center"/>
        <w:rPr>
          <w:rFonts w:ascii="Times New Roman" w:hAnsi="Times New Roman" w:cs="Times New Roman"/>
          <w:b/>
          <w:bCs/>
          <w:color w:val="000000"/>
          <w:kern w:val="0"/>
          <w:sz w:val="36"/>
          <w:szCs w:val="36"/>
          <w14:ligatures w14:val="none"/>
        </w:rPr>
      </w:pPr>
      <w:r w:rsidRPr="002C4BBE">
        <w:rPr>
          <w:rFonts w:ascii="Times New Roman" w:hAnsi="Times New Roman" w:cs="Times New Roman"/>
          <w:b/>
          <w:bCs/>
          <w:color w:val="000000"/>
          <w:kern w:val="0"/>
          <w:sz w:val="36"/>
          <w:szCs w:val="36"/>
          <w14:ligatures w14:val="none"/>
        </w:rPr>
        <w:t>Reconstruction of Highway 5: A Project Management Plan for Restoring British Columbia’s Primary Transport Corridor</w:t>
      </w:r>
    </w:p>
    <w:p w14:paraId="4517FC4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437130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FE1D37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lastRenderedPageBreak/>
        <w:t> </w:t>
      </w:r>
    </w:p>
    <w:p w14:paraId="6579CFC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D25A9F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8F62EEF" w14:textId="77777777" w:rsidR="002C4BBE" w:rsidRPr="002C4BBE" w:rsidRDefault="002C4BBE" w:rsidP="002C4BBE">
      <w:pPr>
        <w:spacing w:after="120" w:line="240" w:lineRule="auto"/>
        <w:jc w:val="both"/>
        <w:rPr>
          <w:rFonts w:ascii="Times New Roman" w:hAnsi="Times New Roman" w:cs="Times New Roman"/>
          <w:color w:val="000000"/>
          <w:kern w:val="0"/>
          <w14:ligatures w14:val="none"/>
        </w:rPr>
      </w:pPr>
      <w:r w:rsidRPr="002C4BBE">
        <w:rPr>
          <w:rFonts w:ascii="Times New Roman" w:hAnsi="Times New Roman" w:cs="Times New Roman"/>
          <w:color w:val="000000"/>
          <w:kern w:val="0"/>
          <w:sz w:val="36"/>
          <w:szCs w:val="36"/>
          <w14:ligatures w14:val="none"/>
        </w:rPr>
        <w:t>Student: Ionut Alex Nica </w:t>
      </w:r>
    </w:p>
    <w:p w14:paraId="17738E99" w14:textId="77777777" w:rsidR="002C4BBE" w:rsidRPr="002C4BBE" w:rsidRDefault="002C4BBE" w:rsidP="002C4BBE">
      <w:pPr>
        <w:spacing w:after="120" w:line="240" w:lineRule="auto"/>
        <w:jc w:val="both"/>
        <w:rPr>
          <w:rFonts w:ascii="Times New Roman" w:hAnsi="Times New Roman" w:cs="Times New Roman"/>
          <w:color w:val="000000"/>
          <w:kern w:val="0"/>
          <w14:ligatures w14:val="none"/>
        </w:rPr>
      </w:pPr>
      <w:r w:rsidRPr="002C4BBE">
        <w:rPr>
          <w:rFonts w:ascii="Times New Roman" w:hAnsi="Times New Roman" w:cs="Times New Roman"/>
          <w:color w:val="000000"/>
          <w:kern w:val="0"/>
          <w:sz w:val="36"/>
          <w:szCs w:val="36"/>
          <w14:ligatures w14:val="none"/>
        </w:rPr>
        <w:t>ID: 2239653</w:t>
      </w:r>
    </w:p>
    <w:p w14:paraId="47323C2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D3A8353"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8CCFB3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ACE54C1" w14:textId="77777777" w:rsidR="002C4BBE" w:rsidRPr="002C4BBE" w:rsidRDefault="002C4BBE" w:rsidP="002C4BBE">
      <w:pPr>
        <w:spacing w:before="180" w:after="0" w:line="240" w:lineRule="auto"/>
        <w:jc w:val="center"/>
        <w:rPr>
          <w:rFonts w:ascii="-webkit-standard" w:hAnsi="-webkit-standard" w:cs="Times New Roman"/>
          <w:b/>
          <w:bCs/>
          <w:color w:val="000000"/>
          <w:kern w:val="0"/>
          <w:sz w:val="27"/>
          <w:szCs w:val="27"/>
          <w14:ligatures w14:val="none"/>
        </w:rPr>
      </w:pPr>
      <w:r w:rsidRPr="002C4BBE">
        <w:rPr>
          <w:rFonts w:ascii="Aptos Display" w:hAnsi="Aptos Display" w:cs="Times New Roman"/>
          <w:b/>
          <w:bCs/>
          <w:color w:val="000000"/>
          <w:kern w:val="0"/>
          <w:sz w:val="36"/>
          <w:szCs w:val="36"/>
          <w14:ligatures w14:val="none"/>
        </w:rPr>
        <w:t>Table of Contents</w:t>
      </w:r>
    </w:p>
    <w:p w14:paraId="08965FFC" w14:textId="77777777" w:rsidR="002C4BBE" w:rsidRPr="002C4BBE" w:rsidRDefault="002C4BBE" w:rsidP="002C4BBE">
      <w:pPr>
        <w:spacing w:after="120" w:line="240" w:lineRule="auto"/>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14:ligatures w14:val="none"/>
        </w:rPr>
        <w:t> </w:t>
      </w:r>
    </w:p>
    <w:p w14:paraId="0BED015E"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1. Introduction</w:t>
      </w:r>
      <w:r w:rsidRPr="002C4BBE">
        <w:rPr>
          <w:rFonts w:ascii="-webkit-standard" w:hAnsi="-webkit-standard" w:cs="Times New Roman"/>
          <w:color w:val="000000"/>
          <w:kern w:val="0"/>
          <w:sz w:val="27"/>
          <w:szCs w:val="27"/>
          <w14:ligatures w14:val="none"/>
        </w:rPr>
        <w:t>​3</w:t>
      </w:r>
    </w:p>
    <w:p w14:paraId="1E5A3D2E"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2. Project Description</w:t>
      </w:r>
      <w:r w:rsidRPr="002C4BBE">
        <w:rPr>
          <w:rFonts w:ascii="-webkit-standard" w:hAnsi="-webkit-standard" w:cs="Times New Roman"/>
          <w:color w:val="000000"/>
          <w:kern w:val="0"/>
          <w:sz w:val="27"/>
          <w:szCs w:val="27"/>
          <w14:ligatures w14:val="none"/>
        </w:rPr>
        <w:t>​3</w:t>
      </w:r>
    </w:p>
    <w:p w14:paraId="06E9D2E0"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3. Project Scope</w:t>
      </w:r>
      <w:r w:rsidRPr="002C4BBE">
        <w:rPr>
          <w:rFonts w:ascii="-webkit-standard" w:hAnsi="-webkit-standard" w:cs="Times New Roman"/>
          <w:color w:val="000000"/>
          <w:kern w:val="0"/>
          <w:sz w:val="27"/>
          <w:szCs w:val="27"/>
          <w14:ligatures w14:val="none"/>
        </w:rPr>
        <w:t>​4</w:t>
      </w:r>
    </w:p>
    <w:p w14:paraId="534B8196"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4. Work Breakdown Structure</w:t>
      </w:r>
      <w:r w:rsidRPr="002C4BBE">
        <w:rPr>
          <w:rFonts w:ascii="-webkit-standard" w:hAnsi="-webkit-standard" w:cs="Times New Roman"/>
          <w:color w:val="000000"/>
          <w:kern w:val="0"/>
          <w:sz w:val="27"/>
          <w:szCs w:val="27"/>
          <w14:ligatures w14:val="none"/>
        </w:rPr>
        <w:t>​5</w:t>
      </w:r>
    </w:p>
    <w:p w14:paraId="12B749C3"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5. Quad Chart</w:t>
      </w:r>
      <w:r w:rsidRPr="002C4BBE">
        <w:rPr>
          <w:rFonts w:ascii="-webkit-standard" w:hAnsi="-webkit-standard" w:cs="Times New Roman"/>
          <w:color w:val="000000"/>
          <w:kern w:val="0"/>
          <w:sz w:val="27"/>
          <w:szCs w:val="27"/>
          <w14:ligatures w14:val="none"/>
        </w:rPr>
        <w:t>​6</w:t>
      </w:r>
    </w:p>
    <w:p w14:paraId="1C957165"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6. Gantt Chart</w:t>
      </w:r>
      <w:r w:rsidRPr="002C4BBE">
        <w:rPr>
          <w:rFonts w:ascii="-webkit-standard" w:hAnsi="-webkit-standard" w:cs="Times New Roman"/>
          <w:color w:val="000000"/>
          <w:kern w:val="0"/>
          <w:sz w:val="27"/>
          <w:szCs w:val="27"/>
          <w14:ligatures w14:val="none"/>
        </w:rPr>
        <w:t>​7</w:t>
      </w:r>
    </w:p>
    <w:p w14:paraId="2C2BE1F8"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7. Stakeholders Involvement</w:t>
      </w:r>
      <w:r w:rsidRPr="002C4BBE">
        <w:rPr>
          <w:rFonts w:ascii="-webkit-standard" w:hAnsi="-webkit-standard" w:cs="Times New Roman"/>
          <w:color w:val="000000"/>
          <w:kern w:val="0"/>
          <w:sz w:val="27"/>
          <w:szCs w:val="27"/>
          <w14:ligatures w14:val="none"/>
        </w:rPr>
        <w:t>​9</w:t>
      </w:r>
    </w:p>
    <w:p w14:paraId="2A88BC5D"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Government of British Columbia – Ministry of Transportation and Infrastructure (MOTI)</w:t>
      </w:r>
      <w:r w:rsidRPr="002C4BBE">
        <w:rPr>
          <w:rFonts w:ascii="-webkit-standard" w:hAnsi="-webkit-standard" w:cs="Times New Roman"/>
          <w:color w:val="000000"/>
          <w:kern w:val="0"/>
          <w:sz w:val="27"/>
          <w:szCs w:val="27"/>
          <w14:ligatures w14:val="none"/>
        </w:rPr>
        <w:t>​9</w:t>
      </w:r>
    </w:p>
    <w:p w14:paraId="5AAF0A62"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Federal Government Agencies</w:t>
      </w:r>
      <w:r w:rsidRPr="002C4BBE">
        <w:rPr>
          <w:rFonts w:ascii="-webkit-standard" w:hAnsi="-webkit-standard" w:cs="Times New Roman"/>
          <w:color w:val="000000"/>
          <w:kern w:val="0"/>
          <w:sz w:val="27"/>
          <w:szCs w:val="27"/>
          <w14:ligatures w14:val="none"/>
        </w:rPr>
        <w:t>​9</w:t>
      </w:r>
    </w:p>
    <w:p w14:paraId="082E4033"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Engineering and Construction Firms</w:t>
      </w:r>
      <w:r w:rsidRPr="002C4BBE">
        <w:rPr>
          <w:rFonts w:ascii="-webkit-standard" w:hAnsi="-webkit-standard" w:cs="Times New Roman"/>
          <w:color w:val="000000"/>
          <w:kern w:val="0"/>
          <w:sz w:val="27"/>
          <w:szCs w:val="27"/>
          <w14:ligatures w14:val="none"/>
        </w:rPr>
        <w:t>​9</w:t>
      </w:r>
    </w:p>
    <w:p w14:paraId="71619BE6"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Local Communities and Municipal Governments</w:t>
      </w:r>
      <w:r w:rsidRPr="002C4BBE">
        <w:rPr>
          <w:rFonts w:ascii="-webkit-standard" w:hAnsi="-webkit-standard" w:cs="Times New Roman"/>
          <w:color w:val="000000"/>
          <w:kern w:val="0"/>
          <w:sz w:val="27"/>
          <w:szCs w:val="27"/>
          <w14:ligatures w14:val="none"/>
        </w:rPr>
        <w:t>​10</w:t>
      </w:r>
    </w:p>
    <w:p w14:paraId="48A6A94F"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Indigenous Communities</w:t>
      </w:r>
      <w:r w:rsidRPr="002C4BBE">
        <w:rPr>
          <w:rFonts w:ascii="-webkit-standard" w:hAnsi="-webkit-standard" w:cs="Times New Roman"/>
          <w:color w:val="000000"/>
          <w:kern w:val="0"/>
          <w:sz w:val="27"/>
          <w:szCs w:val="27"/>
          <w14:ligatures w14:val="none"/>
        </w:rPr>
        <w:t>​10</w:t>
      </w:r>
    </w:p>
    <w:p w14:paraId="3CBA24F9"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Transport and Logistics Companies</w:t>
      </w:r>
      <w:r w:rsidRPr="002C4BBE">
        <w:rPr>
          <w:rFonts w:ascii="-webkit-standard" w:hAnsi="-webkit-standard" w:cs="Times New Roman"/>
          <w:color w:val="000000"/>
          <w:kern w:val="0"/>
          <w:sz w:val="27"/>
          <w:szCs w:val="27"/>
          <w14:ligatures w14:val="none"/>
        </w:rPr>
        <w:t>​10</w:t>
      </w:r>
    </w:p>
    <w:p w14:paraId="4C29462A"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Environmental Organisations</w:t>
      </w:r>
      <w:r w:rsidRPr="002C4BBE">
        <w:rPr>
          <w:rFonts w:ascii="-webkit-standard" w:hAnsi="-webkit-standard" w:cs="Times New Roman"/>
          <w:color w:val="000000"/>
          <w:kern w:val="0"/>
          <w:sz w:val="27"/>
          <w:szCs w:val="27"/>
          <w14:ligatures w14:val="none"/>
        </w:rPr>
        <w:t>​10</w:t>
      </w:r>
    </w:p>
    <w:p w14:paraId="66758DB3"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Stakeholder Engagement Strategy</w:t>
      </w:r>
      <w:r w:rsidRPr="002C4BBE">
        <w:rPr>
          <w:rFonts w:ascii="-webkit-standard" w:hAnsi="-webkit-standard" w:cs="Times New Roman"/>
          <w:color w:val="000000"/>
          <w:kern w:val="0"/>
          <w:sz w:val="27"/>
          <w:szCs w:val="27"/>
          <w14:ligatures w14:val="none"/>
        </w:rPr>
        <w:t>​10</w:t>
      </w:r>
    </w:p>
    <w:p w14:paraId="46CA0111"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8. Allocation of Resources</w:t>
      </w:r>
      <w:r w:rsidRPr="002C4BBE">
        <w:rPr>
          <w:rFonts w:ascii="-webkit-standard" w:hAnsi="-webkit-standard" w:cs="Times New Roman"/>
          <w:color w:val="000000"/>
          <w:kern w:val="0"/>
          <w:sz w:val="27"/>
          <w:szCs w:val="27"/>
          <w14:ligatures w14:val="none"/>
        </w:rPr>
        <w:t>​11</w:t>
      </w:r>
    </w:p>
    <w:p w14:paraId="4E97B860"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Human Resources</w:t>
      </w:r>
      <w:r w:rsidRPr="002C4BBE">
        <w:rPr>
          <w:rFonts w:ascii="-webkit-standard" w:hAnsi="-webkit-standard" w:cs="Times New Roman"/>
          <w:color w:val="000000"/>
          <w:kern w:val="0"/>
          <w:sz w:val="27"/>
          <w:szCs w:val="27"/>
          <w14:ligatures w14:val="none"/>
        </w:rPr>
        <w:t>​11</w:t>
      </w:r>
    </w:p>
    <w:p w14:paraId="2D89147E"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Material Resources</w:t>
      </w:r>
      <w:r w:rsidRPr="002C4BBE">
        <w:rPr>
          <w:rFonts w:ascii="-webkit-standard" w:hAnsi="-webkit-standard" w:cs="Times New Roman"/>
          <w:color w:val="000000"/>
          <w:kern w:val="0"/>
          <w:sz w:val="27"/>
          <w:szCs w:val="27"/>
          <w14:ligatures w14:val="none"/>
        </w:rPr>
        <w:t>​11</w:t>
      </w:r>
    </w:p>
    <w:p w14:paraId="7EE3E289"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Financial Resources</w:t>
      </w:r>
      <w:r w:rsidRPr="002C4BBE">
        <w:rPr>
          <w:rFonts w:ascii="-webkit-standard" w:hAnsi="-webkit-standard" w:cs="Times New Roman"/>
          <w:color w:val="000000"/>
          <w:kern w:val="0"/>
          <w:sz w:val="27"/>
          <w:szCs w:val="27"/>
          <w14:ligatures w14:val="none"/>
        </w:rPr>
        <w:t>​12</w:t>
      </w:r>
    </w:p>
    <w:p w14:paraId="0776ADE4"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Technological Resources</w:t>
      </w:r>
      <w:r w:rsidRPr="002C4BBE">
        <w:rPr>
          <w:rFonts w:ascii="-webkit-standard" w:hAnsi="-webkit-standard" w:cs="Times New Roman"/>
          <w:color w:val="000000"/>
          <w:kern w:val="0"/>
          <w:sz w:val="27"/>
          <w:szCs w:val="27"/>
          <w14:ligatures w14:val="none"/>
        </w:rPr>
        <w:t>​12</w:t>
      </w:r>
    </w:p>
    <w:p w14:paraId="6EF9AA90"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9. Risk Analysis</w:t>
      </w:r>
      <w:r w:rsidRPr="002C4BBE">
        <w:rPr>
          <w:rFonts w:ascii="-webkit-standard" w:hAnsi="-webkit-standard" w:cs="Times New Roman"/>
          <w:color w:val="000000"/>
          <w:kern w:val="0"/>
          <w:sz w:val="27"/>
          <w:szCs w:val="27"/>
          <w14:ligatures w14:val="none"/>
        </w:rPr>
        <w:t>​12</w:t>
      </w:r>
    </w:p>
    <w:p w14:paraId="7B1152FD"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Environmental and Climate Risks</w:t>
      </w:r>
      <w:r w:rsidRPr="002C4BBE">
        <w:rPr>
          <w:rFonts w:ascii="-webkit-standard" w:hAnsi="-webkit-standard" w:cs="Times New Roman"/>
          <w:color w:val="000000"/>
          <w:kern w:val="0"/>
          <w:sz w:val="27"/>
          <w:szCs w:val="27"/>
          <w14:ligatures w14:val="none"/>
        </w:rPr>
        <w:t>​12</w:t>
      </w:r>
    </w:p>
    <w:p w14:paraId="62A9BDB4"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Geotechnical Risks</w:t>
      </w:r>
      <w:r w:rsidRPr="002C4BBE">
        <w:rPr>
          <w:rFonts w:ascii="-webkit-standard" w:hAnsi="-webkit-standard" w:cs="Times New Roman"/>
          <w:color w:val="000000"/>
          <w:kern w:val="0"/>
          <w:sz w:val="27"/>
          <w:szCs w:val="27"/>
          <w14:ligatures w14:val="none"/>
        </w:rPr>
        <w:t>​13</w:t>
      </w:r>
    </w:p>
    <w:p w14:paraId="24DF7DBB"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Operational and Construction Risks</w:t>
      </w:r>
      <w:r w:rsidRPr="002C4BBE">
        <w:rPr>
          <w:rFonts w:ascii="-webkit-standard" w:hAnsi="-webkit-standard" w:cs="Times New Roman"/>
          <w:color w:val="000000"/>
          <w:kern w:val="0"/>
          <w:sz w:val="27"/>
          <w:szCs w:val="27"/>
          <w14:ligatures w14:val="none"/>
        </w:rPr>
        <w:t>​13</w:t>
      </w:r>
    </w:p>
    <w:p w14:paraId="2CE73285"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Financial Risks</w:t>
      </w:r>
      <w:r w:rsidRPr="002C4BBE">
        <w:rPr>
          <w:rFonts w:ascii="-webkit-standard" w:hAnsi="-webkit-standard" w:cs="Times New Roman"/>
          <w:color w:val="000000"/>
          <w:kern w:val="0"/>
          <w:sz w:val="27"/>
          <w:szCs w:val="27"/>
          <w14:ligatures w14:val="none"/>
        </w:rPr>
        <w:t>​14</w:t>
      </w:r>
    </w:p>
    <w:p w14:paraId="3C89EC03"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Regulatory and Environmental Risks</w:t>
      </w:r>
      <w:r w:rsidRPr="002C4BBE">
        <w:rPr>
          <w:rFonts w:ascii="-webkit-standard" w:hAnsi="-webkit-standard" w:cs="Times New Roman"/>
          <w:color w:val="000000"/>
          <w:kern w:val="0"/>
          <w:sz w:val="27"/>
          <w:szCs w:val="27"/>
          <w14:ligatures w14:val="none"/>
        </w:rPr>
        <w:t>​14</w:t>
      </w:r>
    </w:p>
    <w:p w14:paraId="123004D0"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t>Conclusion</w:t>
      </w:r>
      <w:r w:rsidRPr="002C4BBE">
        <w:rPr>
          <w:rFonts w:ascii="-webkit-standard" w:hAnsi="-webkit-standard" w:cs="Times New Roman"/>
          <w:color w:val="000000"/>
          <w:kern w:val="0"/>
          <w:sz w:val="27"/>
          <w:szCs w:val="27"/>
          <w14:ligatures w14:val="none"/>
        </w:rPr>
        <w:t>​15</w:t>
      </w:r>
    </w:p>
    <w:p w14:paraId="57354B3F" w14:textId="77777777" w:rsidR="002C4BBE" w:rsidRPr="002C4BBE" w:rsidRDefault="002C4BBE" w:rsidP="002C4BBE">
      <w:pPr>
        <w:spacing w:after="0" w:line="324" w:lineRule="atLeast"/>
        <w:rPr>
          <w:rFonts w:ascii="-webkit-standard" w:hAnsi="-webkit-standard" w:cs="Times New Roman"/>
          <w:color w:val="000000"/>
          <w:kern w:val="0"/>
          <w:sz w:val="27"/>
          <w:szCs w:val="27"/>
          <w14:ligatures w14:val="none"/>
        </w:rPr>
      </w:pPr>
      <w:r w:rsidRPr="002C4BBE">
        <w:rPr>
          <w:rFonts w:ascii="-webkit-standard" w:hAnsi="-webkit-standard" w:cs="Times New Roman"/>
          <w:color w:val="000000"/>
          <w:kern w:val="0"/>
          <w:sz w:val="27"/>
          <w:szCs w:val="27"/>
          <w:u w:val="single"/>
          <w14:ligatures w14:val="none"/>
        </w:rPr>
        <w:lastRenderedPageBreak/>
        <w:t>11. References</w:t>
      </w:r>
      <w:r w:rsidRPr="002C4BBE">
        <w:rPr>
          <w:rFonts w:ascii="-webkit-standard" w:hAnsi="-webkit-standard" w:cs="Times New Roman"/>
          <w:color w:val="000000"/>
          <w:kern w:val="0"/>
          <w:sz w:val="27"/>
          <w:szCs w:val="27"/>
          <w14:ligatures w14:val="none"/>
        </w:rPr>
        <w:t>​17</w:t>
      </w:r>
    </w:p>
    <w:p w14:paraId="329485C1"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0" w:name="_Toc214604537"/>
      <w:bookmarkEnd w:id="0"/>
      <w:r w:rsidRPr="002C4BBE">
        <w:rPr>
          <w:rFonts w:ascii="Aptos Display" w:hAnsi="Aptos Display" w:cs="Times New Roman"/>
          <w:b/>
          <w:bCs/>
          <w:color w:val="000000"/>
          <w:kern w:val="0"/>
          <w:sz w:val="30"/>
          <w:szCs w:val="30"/>
          <w14:ligatures w14:val="none"/>
        </w:rPr>
        <w:t>1. Introduction</w:t>
      </w:r>
    </w:p>
    <w:p w14:paraId="06DC1D1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55515B5"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atmospheric river event that struck British Columbia in 2022 resulted in unprecedented infrastructure damage across the province, with Highway 5 (the </w:t>
      </w:r>
      <w:proofErr w:type="spellStart"/>
      <w:r w:rsidRPr="002C4BBE">
        <w:rPr>
          <w:rFonts w:ascii="Times New Roman" w:hAnsi="Times New Roman" w:cs="Times New Roman"/>
          <w:color w:val="000000"/>
          <w:kern w:val="0"/>
          <w:sz w:val="27"/>
          <w:szCs w:val="27"/>
          <w14:ligatures w14:val="none"/>
        </w:rPr>
        <w:t>Coquihalla</w:t>
      </w:r>
      <w:proofErr w:type="spellEnd"/>
      <w:r w:rsidRPr="002C4BBE">
        <w:rPr>
          <w:rFonts w:ascii="Times New Roman" w:hAnsi="Times New Roman" w:cs="Times New Roman"/>
          <w:color w:val="000000"/>
          <w:kern w:val="0"/>
          <w:sz w:val="27"/>
          <w:szCs w:val="27"/>
          <w14:ligatures w14:val="none"/>
        </w:rPr>
        <w:t xml:space="preserve"> Highway) experiencing some of the most severe impacts. Extreme rainfall triggered widespread flooding, slope failures, bridge collapses, and substantial road washouts, cutting off the Lower Mainland from the Interior and interrupting essential transport flows. Academic studies show that atmospheric river systems have intensified in both frequency and magnitude across western North America due to climate change, producing increasingly destructive outcomes for road networks built in mountainous terrain (Payne et al., 2020; Warner et al., 2022). These events threaten the structural integrity of transport corridors by saturating soils, undermining riverbanks, and overwhelming drainage systems (Jakob and Lambert, 2016).</w:t>
      </w:r>
    </w:p>
    <w:p w14:paraId="6C2EA17C"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Highway 5 is a critical component of British Columbia’s transportation infrastructure, enabling the movement of goods between the Port of Vancouver and inland regions. Disruption of this route has immediate economic, logistical, and social implications for communities and supply chains throughout the province. The uploaded poster reinforces the severity of the damage and the urgent requirement to rebuild Highway 5 using resilient, future-oriented engineering strategies.</w:t>
      </w:r>
    </w:p>
    <w:p w14:paraId="53F5FEFE"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This Project Management Plan sets out a structured, evidence-based framework for reconstructing and reopening Highway 5. It integrates key project management processes, including scope definition, work breakdown structure development, stakeholder involvement, resource allocation, time planning, and risk analysis. The objective is to deliver a climate-resilient, safe, and fully operational transportation corridor that restores mobility and strengthens long-term resilience to extreme weather events.</w:t>
      </w:r>
    </w:p>
    <w:p w14:paraId="1F44342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691D33A"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1" w:name="_Toc214604538"/>
      <w:bookmarkEnd w:id="1"/>
      <w:r w:rsidRPr="002C4BBE">
        <w:rPr>
          <w:rFonts w:ascii="Aptos Display" w:hAnsi="Aptos Display" w:cs="Times New Roman"/>
          <w:b/>
          <w:bCs/>
          <w:color w:val="000000"/>
          <w:kern w:val="0"/>
          <w:sz w:val="30"/>
          <w:szCs w:val="30"/>
          <w14:ligatures w14:val="none"/>
        </w:rPr>
        <w:t>2. Project Description</w:t>
      </w:r>
    </w:p>
    <w:p w14:paraId="736112B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E18BF1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Highway 5 reconstruction project focuses on repairing and upgrading the </w:t>
      </w:r>
      <w:proofErr w:type="spellStart"/>
      <w:r w:rsidRPr="002C4BBE">
        <w:rPr>
          <w:rFonts w:ascii="Times New Roman" w:hAnsi="Times New Roman" w:cs="Times New Roman"/>
          <w:color w:val="000000"/>
          <w:kern w:val="0"/>
          <w:sz w:val="27"/>
          <w:szCs w:val="27"/>
          <w14:ligatures w14:val="none"/>
        </w:rPr>
        <w:t>Coquihalla</w:t>
      </w:r>
      <w:proofErr w:type="spellEnd"/>
      <w:r w:rsidRPr="002C4BBE">
        <w:rPr>
          <w:rFonts w:ascii="Times New Roman" w:hAnsi="Times New Roman" w:cs="Times New Roman"/>
          <w:color w:val="000000"/>
          <w:kern w:val="0"/>
          <w:sz w:val="27"/>
          <w:szCs w:val="27"/>
          <w14:ligatures w14:val="none"/>
        </w:rPr>
        <w:t xml:space="preserve"> corridor following the 2022 atmospheric river event. The disaster caused extensive structural failures, including damaged bridges, destroyed pavement sections, landslides, and compromised drainage infrastructure. These impacts severely disrupted mobility and supply chain operations, emphasising the critical role of this corridor for regional connectivity. Research indicates that transport networks in mountainous areas are increasingly vulnerable to climate-driven precipitation extremes, requiring infrastructure to be rebuilt with enhanced resilience measures (Payne et al., 2020; Warner et al., 2022).</w:t>
      </w:r>
    </w:p>
    <w:p w14:paraId="4668AF4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lastRenderedPageBreak/>
        <w:t>The project therefore aims to restore full highway functionality by implementing reinforcement strategies, including slope stabilisation, bridge reconstruction, drainage upgrades, and installation of monitoring systems. The poster highlights these aims, presenting Highway 5 as a priority corridor for rapid restoration and resilience-focused reconstruction. The final outcome is a safer, modernised transportation route capable of withstanding future hydrological challenges.</w:t>
      </w:r>
    </w:p>
    <w:p w14:paraId="3919E8E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207B34A"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2" w:name="_Toc214604539"/>
      <w:bookmarkEnd w:id="2"/>
      <w:r w:rsidRPr="002C4BBE">
        <w:rPr>
          <w:rFonts w:ascii="Aptos Display" w:hAnsi="Aptos Display" w:cs="Times New Roman"/>
          <w:b/>
          <w:bCs/>
          <w:color w:val="000000"/>
          <w:kern w:val="0"/>
          <w:sz w:val="30"/>
          <w:szCs w:val="30"/>
          <w14:ligatures w14:val="none"/>
        </w:rPr>
        <w:t>3. Project Scope</w:t>
      </w:r>
    </w:p>
    <w:p w14:paraId="6C75F685"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47F47F4"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project scope includes all activities required to return Highway 5 to safe, operational, and climate-resilient conditions. In-scope components include reconstruction of damaged bridge structures; resurfacing and rebuilding washed-out pavement sections; slope stabilisation through rock bolting, retaining systems, and drainage blankets; upgrading of culverts and stormwater infrastructure; riverbank reinforcement; and installation of early-warning monitoring technologies. The poster confirms these deliverables as core elements of the reconstruction process, emphasising structural resilience and improved drainage performance.</w:t>
      </w:r>
    </w:p>
    <w:p w14:paraId="21F803E1"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scope also includes geotechnical and hydrological assessments, environmental protection measures, temporary traffic management systems, quality assurance testing, and final safety certification before reopening. Academic literature supports the integration of climate-adaptive engineering design and robust slope and drainage management to minimise recurrence of infrastructure failure (</w:t>
      </w:r>
      <w:proofErr w:type="spellStart"/>
      <w:r w:rsidRPr="002C4BBE">
        <w:rPr>
          <w:rFonts w:ascii="Times New Roman" w:hAnsi="Times New Roman" w:cs="Times New Roman"/>
          <w:color w:val="000000"/>
          <w:kern w:val="0"/>
          <w:sz w:val="27"/>
          <w:szCs w:val="27"/>
          <w14:ligatures w14:val="none"/>
        </w:rPr>
        <w:t>Cimellaro</w:t>
      </w:r>
      <w:proofErr w:type="spellEnd"/>
      <w:r w:rsidRPr="002C4BBE">
        <w:rPr>
          <w:rFonts w:ascii="Times New Roman" w:hAnsi="Times New Roman" w:cs="Times New Roman"/>
          <w:color w:val="000000"/>
          <w:kern w:val="0"/>
          <w:sz w:val="27"/>
          <w:szCs w:val="27"/>
          <w14:ligatures w14:val="none"/>
        </w:rPr>
        <w:t xml:space="preserve"> et al., 2016; Jakob and Lambert, 2016).</w:t>
      </w:r>
    </w:p>
    <w:p w14:paraId="42B996F8"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Out-of-scope elements include reconstruction of private properties, non-transport facilities (e.g., schools, hospitals), policy reform, and compensation processes. The defined scope ensures clear boundaries, reduces risk of scope creep, and supports efficient project delivery.</w:t>
      </w:r>
    </w:p>
    <w:p w14:paraId="64E185D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AD7F8C6"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3" w:name="_Toc214604540"/>
      <w:bookmarkEnd w:id="3"/>
      <w:r w:rsidRPr="002C4BBE">
        <w:rPr>
          <w:rFonts w:ascii="Aptos Display" w:hAnsi="Aptos Display" w:cs="Times New Roman"/>
          <w:b/>
          <w:bCs/>
          <w:color w:val="000000"/>
          <w:kern w:val="0"/>
          <w:sz w:val="30"/>
          <w:szCs w:val="30"/>
          <w14:ligatures w14:val="none"/>
        </w:rPr>
        <w:t>4. Work Breakdown Structure</w:t>
      </w:r>
    </w:p>
    <w:p w14:paraId="0A6F86D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394C7C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Work Breakdown Structure (WBS) divides the Highway 5 reconstruction into hierarchical components to support planning, coordination, and accountability. A structured WBS is essential for complex infrastructure projects because it clarifies deliverables, reduces ambiguity, and supports accurate scheduling and cost estimation (</w:t>
      </w:r>
      <w:proofErr w:type="spellStart"/>
      <w:r w:rsidRPr="002C4BBE">
        <w:rPr>
          <w:rFonts w:ascii="Times New Roman" w:hAnsi="Times New Roman" w:cs="Times New Roman"/>
          <w:color w:val="000000"/>
          <w:kern w:val="0"/>
          <w:sz w:val="27"/>
          <w:szCs w:val="27"/>
          <w14:ligatures w14:val="none"/>
        </w:rPr>
        <w:t>Kerzner</w:t>
      </w:r>
      <w:proofErr w:type="spellEnd"/>
      <w:r w:rsidRPr="002C4BBE">
        <w:rPr>
          <w:rFonts w:ascii="Times New Roman" w:hAnsi="Times New Roman" w:cs="Times New Roman"/>
          <w:color w:val="000000"/>
          <w:kern w:val="0"/>
          <w:sz w:val="27"/>
          <w:szCs w:val="27"/>
          <w14:ligatures w14:val="none"/>
        </w:rPr>
        <w:t>, 2017; PMI, 2021). The WBS for Highway 5 aligns with the priorities identified in the project poster, including bridge reconstruction, resurfacing, slope stabilisation, and drainage enhancement.</w:t>
      </w:r>
    </w:p>
    <w:p w14:paraId="2DC24B0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1C45A7B" w14:textId="77777777" w:rsidR="002C4BBE" w:rsidRPr="002C4BBE" w:rsidRDefault="002C4BBE" w:rsidP="002C4BBE">
      <w:pPr>
        <w:spacing w:after="120" w:line="240" w:lineRule="auto"/>
        <w:jc w:val="both"/>
        <w:rPr>
          <w:rFonts w:ascii="Times New Roman" w:hAnsi="Times New Roman" w:cs="Times New Roman"/>
          <w:b/>
          <w:bCs/>
          <w:color w:val="000000"/>
          <w:kern w:val="0"/>
          <w:sz w:val="27"/>
          <w:szCs w:val="27"/>
          <w14:ligatures w14:val="none"/>
        </w:rPr>
      </w:pPr>
      <w:r w:rsidRPr="002C4BBE">
        <w:rPr>
          <w:rFonts w:ascii="Times New Roman" w:hAnsi="Times New Roman" w:cs="Times New Roman"/>
          <w:b/>
          <w:bCs/>
          <w:color w:val="000000"/>
          <w:kern w:val="0"/>
          <w:sz w:val="27"/>
          <w:szCs w:val="27"/>
          <w14:ligatures w14:val="none"/>
        </w:rPr>
        <w:t>Level 1: Overall Project</w:t>
      </w:r>
    </w:p>
    <w:p w14:paraId="34CFD07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Reconstruction and Reopening of Highway 5.</w:t>
      </w:r>
    </w:p>
    <w:p w14:paraId="237E20E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8C1216C" w14:textId="77777777" w:rsidR="002C4BBE" w:rsidRPr="002C4BBE" w:rsidRDefault="002C4BBE" w:rsidP="002C4BBE">
      <w:pPr>
        <w:spacing w:after="120" w:line="240" w:lineRule="auto"/>
        <w:jc w:val="both"/>
        <w:rPr>
          <w:rFonts w:ascii="Times New Roman" w:hAnsi="Times New Roman" w:cs="Times New Roman"/>
          <w:b/>
          <w:bCs/>
          <w:color w:val="000000"/>
          <w:kern w:val="0"/>
          <w:sz w:val="27"/>
          <w:szCs w:val="27"/>
          <w14:ligatures w14:val="none"/>
        </w:rPr>
      </w:pPr>
      <w:r w:rsidRPr="002C4BBE">
        <w:rPr>
          <w:rFonts w:ascii="Times New Roman" w:hAnsi="Times New Roman" w:cs="Times New Roman"/>
          <w:b/>
          <w:bCs/>
          <w:color w:val="000000"/>
          <w:kern w:val="0"/>
          <w:sz w:val="27"/>
          <w:szCs w:val="27"/>
          <w14:ligatures w14:val="none"/>
        </w:rPr>
        <w:t>Level 2: Major Components</w:t>
      </w:r>
    </w:p>
    <w:p w14:paraId="642C0E77"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Project initiation and assessments</w:t>
      </w:r>
    </w:p>
    <w:p w14:paraId="0933CA18"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Detailed design and planning</w:t>
      </w:r>
    </w:p>
    <w:p w14:paraId="22DCAC8C"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Bridge reconstruction</w:t>
      </w:r>
    </w:p>
    <w:p w14:paraId="06D448AF"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Highway and slope rehabilitation</w:t>
      </w:r>
    </w:p>
    <w:p w14:paraId="18F5228A"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Drainage and climate-resilience upgrades</w:t>
      </w:r>
    </w:p>
    <w:p w14:paraId="0F3ACE1F"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Monitoring, testing, and handover</w:t>
      </w:r>
    </w:p>
    <w:p w14:paraId="5E02216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2C8315B" w14:textId="77777777" w:rsidR="002C4BBE" w:rsidRPr="002C4BBE" w:rsidRDefault="002C4BBE" w:rsidP="002C4BBE">
      <w:pPr>
        <w:spacing w:after="120" w:line="240" w:lineRule="auto"/>
        <w:jc w:val="both"/>
        <w:rPr>
          <w:rFonts w:ascii="Times New Roman" w:hAnsi="Times New Roman" w:cs="Times New Roman"/>
          <w:b/>
          <w:bCs/>
          <w:color w:val="000000"/>
          <w:kern w:val="0"/>
          <w:sz w:val="27"/>
          <w:szCs w:val="27"/>
          <w14:ligatures w14:val="none"/>
        </w:rPr>
      </w:pPr>
      <w:r w:rsidRPr="002C4BBE">
        <w:rPr>
          <w:rFonts w:ascii="Times New Roman" w:hAnsi="Times New Roman" w:cs="Times New Roman"/>
          <w:b/>
          <w:bCs/>
          <w:color w:val="000000"/>
          <w:kern w:val="0"/>
          <w:sz w:val="27"/>
          <w:szCs w:val="27"/>
          <w14:ligatures w14:val="none"/>
        </w:rPr>
        <w:t>Level 3: Key Work Packages</w:t>
      </w:r>
    </w:p>
    <w:p w14:paraId="251A27BB"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Geotechnical and environmental surveys</w:t>
      </w:r>
    </w:p>
    <w:p w14:paraId="77730932"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Engineering design development</w:t>
      </w:r>
    </w:p>
    <w:p w14:paraId="1334C252"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Demolition and debris removal</w:t>
      </w:r>
    </w:p>
    <w:p w14:paraId="6A0F80B4"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Foundation reinforcement and superstructure installation</w:t>
      </w:r>
    </w:p>
    <w:p w14:paraId="6FC96D14"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Pavement reconstruction and slope stabilisation</w:t>
      </w:r>
    </w:p>
    <w:p w14:paraId="1D6A837E"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Culvert upgrades and stormwater improvements</w:t>
      </w:r>
    </w:p>
    <w:p w14:paraId="1A43298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Quality assurance testing and commissioning</w:t>
      </w:r>
    </w:p>
    <w:p w14:paraId="1D9DE994"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This structured WBS ensures logical sequencing, clarifies responsibilities, and supports effective monitoring throughout the reconstruction.</w:t>
      </w:r>
    </w:p>
    <w:p w14:paraId="4E16A70F"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613D18D"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4" w:name="_Toc214604541"/>
      <w:bookmarkEnd w:id="4"/>
      <w:r w:rsidRPr="002C4BBE">
        <w:rPr>
          <w:rFonts w:ascii="Aptos Display" w:hAnsi="Aptos Display" w:cs="Times New Roman"/>
          <w:b/>
          <w:bCs/>
          <w:color w:val="000000"/>
          <w:kern w:val="0"/>
          <w:sz w:val="30"/>
          <w:szCs w:val="30"/>
          <w14:ligatures w14:val="none"/>
        </w:rPr>
        <w:t>5. Quad Chart</w:t>
      </w:r>
    </w:p>
    <w:p w14:paraId="515AE5A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72983A0"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quad chart summarises the core elements of the Highway 5 reconstruction project, providing a concise strategic overview for decision-makers. Quad charts are widely used in infrastructure and defence-related project management because they support rapid assessment of objectives, timelines, risks, and resource needs (</w:t>
      </w:r>
      <w:proofErr w:type="spellStart"/>
      <w:r w:rsidRPr="002C4BBE">
        <w:rPr>
          <w:rFonts w:ascii="Times New Roman" w:hAnsi="Times New Roman" w:cs="Times New Roman"/>
          <w:color w:val="000000"/>
          <w:kern w:val="0"/>
          <w:sz w:val="27"/>
          <w:szCs w:val="27"/>
          <w14:ligatures w14:val="none"/>
        </w:rPr>
        <w:t>Kerzner</w:t>
      </w:r>
      <w:proofErr w:type="spellEnd"/>
      <w:r w:rsidRPr="002C4BBE">
        <w:rPr>
          <w:rFonts w:ascii="Times New Roman" w:hAnsi="Times New Roman" w:cs="Times New Roman"/>
          <w:color w:val="000000"/>
          <w:kern w:val="0"/>
          <w:sz w:val="27"/>
          <w:szCs w:val="27"/>
          <w14:ligatures w14:val="none"/>
        </w:rPr>
        <w:t>, 2017; PMI, 2021). This project’s quad chart aligns with the priorities identified in the uploaded poster, which emphasises restoring connectivity, rebuilding damaged structures, improving resilience, and ensuring efficient coordination between government and contractors.</w:t>
      </w:r>
    </w:p>
    <w:p w14:paraId="7EAB54EE"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DE63D6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Table 1. Quad Chart for the Reconstruction of Highway 5</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332"/>
        <w:gridCol w:w="3678"/>
      </w:tblGrid>
      <w:tr w:rsidR="002C4BBE" w:rsidRPr="002C4BBE" w14:paraId="67F8ACDD"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54CF47F4"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Mission / Objectives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82ED0"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Schedule / Timeline</w:t>
            </w:r>
          </w:p>
        </w:tc>
      </w:tr>
      <w:tr w:rsidR="002C4BBE" w:rsidRPr="002C4BBE" w14:paraId="152FBCCD"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4A0C892E"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Restore connectivity between Lower Mainland and Interior BC. </w:t>
            </w:r>
          </w:p>
          <w:p w14:paraId="5DF77CF4"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Rebuild bridges and road sections destroyed in the 2022 atmospheric river event. </w:t>
            </w:r>
          </w:p>
          <w:p w14:paraId="7A819546"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Increase climate resilience through improved drainage, slope stabilisation, and reinforced structures. </w:t>
            </w:r>
          </w:p>
          <w:p w14:paraId="58488934"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Ensure safe transport of goods, people, and emergency services.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46395"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b/>
                <w:bCs/>
                <w:kern w:val="0"/>
                <w:sz w:val="18"/>
                <w:szCs w:val="18"/>
                <w14:ligatures w14:val="none"/>
              </w:rPr>
              <w:t>Total duration: 15 months</w:t>
            </w:r>
          </w:p>
          <w:p w14:paraId="162D4737"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Months 1–2: Initial assessment and safety works </w:t>
            </w:r>
          </w:p>
          <w:p w14:paraId="6211B4A9"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Months 3–4: Detailed design and procurement </w:t>
            </w:r>
          </w:p>
          <w:p w14:paraId="5C4CB3A0"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Months 5–14: Bridge, slope, pavement, and drainage construction </w:t>
            </w:r>
          </w:p>
          <w:p w14:paraId="0593E11D"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Month 15: Final inspection and handover</w:t>
            </w:r>
          </w:p>
        </w:tc>
      </w:tr>
      <w:tr w:rsidR="002C4BBE" w:rsidRPr="002C4BBE" w14:paraId="4D086F9B"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636ABED7"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b/>
                <w:bCs/>
                <w:kern w:val="0"/>
                <w:sz w:val="18"/>
                <w:szCs w:val="18"/>
                <w14:ligatures w14:val="none"/>
              </w:rPr>
              <w:t>Technical Approach / Resources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82B0E"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b/>
                <w:bCs/>
                <w:kern w:val="0"/>
                <w:sz w:val="18"/>
                <w:szCs w:val="18"/>
                <w14:ligatures w14:val="none"/>
              </w:rPr>
              <w:t>Major Risks / Mitigation</w:t>
            </w:r>
          </w:p>
        </w:tc>
      </w:tr>
      <w:tr w:rsidR="002C4BBE" w:rsidRPr="002C4BBE" w14:paraId="69271874"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57AE7E00"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Use of geotechnical, hydrological, and structural engineering techniques. </w:t>
            </w:r>
          </w:p>
          <w:p w14:paraId="5C24A708"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Heavy machinery, climate-adaptive materials, and advanced monitoring systems. </w:t>
            </w:r>
          </w:p>
          <w:p w14:paraId="0528C05E"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Skilled construction teams and environmental specialists. </w:t>
            </w:r>
          </w:p>
          <w:p w14:paraId="07687D31"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Integrated project management and phased execution.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76644"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b/>
                <w:bCs/>
                <w:kern w:val="0"/>
                <w:sz w:val="18"/>
                <w:szCs w:val="18"/>
                <w14:ligatures w14:val="none"/>
              </w:rPr>
              <w:t>Risks:</w:t>
            </w:r>
            <w:r w:rsidRPr="002C4BBE">
              <w:rPr>
                <w:rFonts w:ascii="Times New Roman" w:hAnsi="Times New Roman" w:cs="Times New Roman"/>
                <w:kern w:val="0"/>
                <w:sz w:val="18"/>
                <w:szCs w:val="18"/>
                <w14:ligatures w14:val="none"/>
              </w:rPr>
              <w:t> • Extreme weather disruptions </w:t>
            </w:r>
          </w:p>
          <w:p w14:paraId="213B11A7"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Geotechnical instability </w:t>
            </w:r>
          </w:p>
          <w:p w14:paraId="7220EA10"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Supply chain delays </w:t>
            </w:r>
          </w:p>
          <w:p w14:paraId="73C06311"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Environmental approval challenges </w:t>
            </w:r>
          </w:p>
          <w:p w14:paraId="36A57BBC"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b/>
                <w:bCs/>
                <w:kern w:val="0"/>
                <w:sz w:val="18"/>
                <w:szCs w:val="18"/>
                <w14:ligatures w14:val="none"/>
              </w:rPr>
              <w:t>Mitigation:</w:t>
            </w:r>
            <w:r w:rsidRPr="002C4BBE">
              <w:rPr>
                <w:rFonts w:ascii="Times New Roman" w:hAnsi="Times New Roman" w:cs="Times New Roman"/>
                <w:kern w:val="0"/>
                <w:sz w:val="18"/>
                <w:szCs w:val="18"/>
                <w14:ligatures w14:val="none"/>
              </w:rPr>
              <w:t> • Flexible scheduling </w:t>
            </w:r>
          </w:p>
          <w:p w14:paraId="0588BF2E"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Continuous slope monitoring </w:t>
            </w:r>
          </w:p>
          <w:p w14:paraId="6A1B000E"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Early procurement of materials </w:t>
            </w:r>
          </w:p>
          <w:p w14:paraId="28DE09B4"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 Regular environmental compliance reviews</w:t>
            </w:r>
          </w:p>
        </w:tc>
      </w:tr>
    </w:tbl>
    <w:p w14:paraId="1BE200B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8425FD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quad chart provides a strategic snapshot of the Highway 5 reconstruction plan, highlighting the core mission, timelines, required resources, and major risks. The mission aligns with the project’s primary objective: to rapidly restore a critical transportation route using climate-resilient engineering practices. The timeline reflects the 15-month duration outlined in the poster, demonstrating a structured sequence from early assessments to final commissioning. Research shows that clear phasing is essential for disaster recovery projects, enabling efficient coordination and reducing delays caused by environmental uncertainty (Chang et al., 2021; O’Rourke, 2019).</w:t>
      </w:r>
    </w:p>
    <w:p w14:paraId="3564BD5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technical approach emphasises the integration of geotechnical engineering, hydrological modelling, bridge reconstruction methods, and advanced monitoring tools such as inclinometers and rainfall sensors. These technologies are increasingly recommended for climate-exposed highway corridors, improving risk prediction and structural performance (Warner et al., 2022; Jakob and Lambert, 2016).</w:t>
      </w:r>
    </w:p>
    <w:p w14:paraId="74C159F8"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Finally, the chart identifies key risks—weather extremes, unstable slopes, supply constraints, and regulatory challenges—supported by mitigation measures grounded in professional best practice. In risk-intensive environments such as mountainous transport corridors, structured mitigation planning is shown to significantly enhance resilience and reduce project vulnerability (</w:t>
      </w:r>
      <w:proofErr w:type="spellStart"/>
      <w:r w:rsidRPr="002C4BBE">
        <w:rPr>
          <w:rFonts w:ascii="Times New Roman" w:hAnsi="Times New Roman" w:cs="Times New Roman"/>
          <w:color w:val="000000"/>
          <w:kern w:val="0"/>
          <w:sz w:val="27"/>
          <w:szCs w:val="27"/>
          <w14:ligatures w14:val="none"/>
        </w:rPr>
        <w:t>Cimellaro</w:t>
      </w:r>
      <w:proofErr w:type="spellEnd"/>
      <w:r w:rsidRPr="002C4BBE">
        <w:rPr>
          <w:rFonts w:ascii="Times New Roman" w:hAnsi="Times New Roman" w:cs="Times New Roman"/>
          <w:color w:val="000000"/>
          <w:kern w:val="0"/>
          <w:sz w:val="27"/>
          <w:szCs w:val="27"/>
          <w14:ligatures w14:val="none"/>
        </w:rPr>
        <w:t xml:space="preserve"> et al., 2016; Pant et al., 2021).</w:t>
      </w:r>
    </w:p>
    <w:p w14:paraId="38A5805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039968C"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5" w:name="_Toc214604542"/>
      <w:bookmarkEnd w:id="5"/>
      <w:r w:rsidRPr="002C4BBE">
        <w:rPr>
          <w:rFonts w:ascii="Aptos Display" w:hAnsi="Aptos Display" w:cs="Times New Roman"/>
          <w:b/>
          <w:bCs/>
          <w:color w:val="000000"/>
          <w:kern w:val="0"/>
          <w:sz w:val="30"/>
          <w:szCs w:val="30"/>
          <w14:ligatures w14:val="none"/>
        </w:rPr>
        <w:t>6. Gantt Chart</w:t>
      </w:r>
    </w:p>
    <w:p w14:paraId="7C5145E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4F2E4D0"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Gantt chart provides a timeline representation of the activities necessary to complete the reconstruction of Highway 5. Gantt charts are fundamental planning tools in project management because they illustrate task durations, dependencies, and sequencing, allowing for proactive monitoring and schedule adjustments (</w:t>
      </w:r>
      <w:proofErr w:type="spellStart"/>
      <w:r w:rsidRPr="002C4BBE">
        <w:rPr>
          <w:rFonts w:ascii="Times New Roman" w:hAnsi="Times New Roman" w:cs="Times New Roman"/>
          <w:color w:val="000000"/>
          <w:kern w:val="0"/>
          <w:sz w:val="27"/>
          <w:szCs w:val="27"/>
          <w14:ligatures w14:val="none"/>
        </w:rPr>
        <w:t>Kerzner</w:t>
      </w:r>
      <w:proofErr w:type="spellEnd"/>
      <w:r w:rsidRPr="002C4BBE">
        <w:rPr>
          <w:rFonts w:ascii="Times New Roman" w:hAnsi="Times New Roman" w:cs="Times New Roman"/>
          <w:color w:val="000000"/>
          <w:kern w:val="0"/>
          <w:sz w:val="27"/>
          <w:szCs w:val="27"/>
          <w14:ligatures w14:val="none"/>
        </w:rPr>
        <w:t>, 2017; Meredith and </w:t>
      </w:r>
      <w:proofErr w:type="spellStart"/>
      <w:r w:rsidRPr="002C4BBE">
        <w:rPr>
          <w:rFonts w:ascii="Times New Roman" w:hAnsi="Times New Roman" w:cs="Times New Roman"/>
          <w:color w:val="000000"/>
          <w:kern w:val="0"/>
          <w:sz w:val="27"/>
          <w:szCs w:val="27"/>
          <w14:ligatures w14:val="none"/>
        </w:rPr>
        <w:t>Shafer</w:t>
      </w:r>
      <w:proofErr w:type="spellEnd"/>
      <w:r w:rsidRPr="002C4BBE">
        <w:rPr>
          <w:rFonts w:ascii="Times New Roman" w:hAnsi="Times New Roman" w:cs="Times New Roman"/>
          <w:color w:val="000000"/>
          <w:kern w:val="0"/>
          <w:sz w:val="27"/>
          <w:szCs w:val="27"/>
          <w14:ligatures w14:val="none"/>
        </w:rPr>
        <w:t>, 2021). The timeline presented here aligns with the project poster’s 15-month schedule, reflecting realistic durations for geotechnical assessment, structural design, bridge rebuilding, slope stabilisation, and drainage upgrades</w:t>
      </w:r>
    </w:p>
    <w:p w14:paraId="0540E731" w14:textId="5A0F1BEC" w:rsidR="002C4BBE" w:rsidRPr="002C4BBE" w:rsidRDefault="00FF3697" w:rsidP="002C4BBE">
      <w:pPr>
        <w:spacing w:after="120" w:line="240" w:lineRule="auto"/>
        <w:jc w:val="both"/>
        <w:rPr>
          <w:rFonts w:ascii="Times New Roman" w:hAnsi="Times New Roman" w:cs="Times New Roman"/>
          <w:color w:val="000000"/>
          <w:kern w:val="0"/>
          <w:sz w:val="27"/>
          <w:szCs w:val="27"/>
          <w14:ligatures w14:val="none"/>
        </w:rPr>
      </w:pPr>
      <w:r>
        <w:rPr>
          <w:rFonts w:ascii="Times New Roman" w:hAnsi="Times New Roman" w:cs="Times New Roman"/>
          <w:noProof/>
          <w:color w:val="000000"/>
          <w:kern w:val="0"/>
          <w:sz w:val="27"/>
          <w:szCs w:val="27"/>
        </w:rPr>
        <w:drawing>
          <wp:anchor distT="0" distB="0" distL="114300" distR="114300" simplePos="0" relativeHeight="251660288" behindDoc="0" locked="0" layoutInCell="1" allowOverlap="1" wp14:anchorId="10AF248C" wp14:editId="142D9897">
            <wp:simplePos x="0" y="0"/>
            <wp:positionH relativeFrom="column">
              <wp:posOffset>431800</wp:posOffset>
            </wp:positionH>
            <wp:positionV relativeFrom="paragraph">
              <wp:posOffset>285115</wp:posOffset>
            </wp:positionV>
            <wp:extent cx="4762500" cy="1320800"/>
            <wp:effectExtent l="0" t="0" r="0" b="0"/>
            <wp:wrapTopAndBottom/>
            <wp:docPr id="1464659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59413" name="Picture 1464659413"/>
                    <pic:cNvPicPr/>
                  </pic:nvPicPr>
                  <pic:blipFill>
                    <a:blip r:embed="rId5">
                      <a:extLst>
                        <a:ext uri="{28A0092B-C50C-407E-A947-70E740481C1C}">
                          <a14:useLocalDpi xmlns:a14="http://schemas.microsoft.com/office/drawing/2010/main" val="0"/>
                        </a:ext>
                      </a:extLst>
                    </a:blip>
                    <a:stretch>
                      <a:fillRect/>
                    </a:stretch>
                  </pic:blipFill>
                  <pic:spPr>
                    <a:xfrm>
                      <a:off x="0" y="0"/>
                      <a:ext cx="4762500" cy="1320800"/>
                    </a:xfrm>
                    <a:prstGeom prst="rect">
                      <a:avLst/>
                    </a:prstGeom>
                  </pic:spPr>
                </pic:pic>
              </a:graphicData>
            </a:graphic>
          </wp:anchor>
        </w:drawing>
      </w:r>
      <w:r w:rsidR="002C4BBE" w:rsidRPr="002C4BBE">
        <w:rPr>
          <w:rFonts w:ascii="Times New Roman" w:hAnsi="Times New Roman" w:cs="Times New Roman"/>
          <w:noProof/>
          <w:color w:val="000000"/>
          <w:kern w:val="0"/>
          <w:sz w:val="27"/>
          <w:szCs w:val="27"/>
          <w14:ligatures w14:val="none"/>
        </w:rPr>
        <mc:AlternateContent>
          <mc:Choice Requires="wps">
            <w:drawing>
              <wp:inline distT="0" distB="0" distL="0" distR="0" wp14:anchorId="79280485" wp14:editId="0F4268E4">
                <wp:extent cx="302260" cy="302260"/>
                <wp:effectExtent l="0" t="0" r="0" b="0"/>
                <wp:docPr id="131624790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C23080"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p>
    <w:p w14:paraId="25F1FE4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FB565A0"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Gantt chart outlines the project’s phased timeline and activity durations. The initiation and assessment phase occupies Months 1 and 2, reflecting the need for immediate geotechnical surveys, structural inspections, and hydrological assessments. Early assessment is widely recognised as essential in post-disaster reconstruction, as it influences all subsequent design and construction decisions (</w:t>
      </w:r>
      <w:proofErr w:type="spellStart"/>
      <w:r w:rsidRPr="002C4BBE">
        <w:rPr>
          <w:rFonts w:ascii="Times New Roman" w:hAnsi="Times New Roman" w:cs="Times New Roman"/>
          <w:color w:val="000000"/>
          <w:kern w:val="0"/>
          <w:sz w:val="27"/>
          <w:szCs w:val="27"/>
          <w14:ligatures w14:val="none"/>
        </w:rPr>
        <w:t>Clague</w:t>
      </w:r>
      <w:proofErr w:type="spellEnd"/>
      <w:r w:rsidRPr="002C4BBE">
        <w:rPr>
          <w:rFonts w:ascii="Times New Roman" w:hAnsi="Times New Roman" w:cs="Times New Roman"/>
          <w:color w:val="000000"/>
          <w:kern w:val="0"/>
          <w:sz w:val="27"/>
          <w:szCs w:val="27"/>
          <w14:ligatures w14:val="none"/>
        </w:rPr>
        <w:t xml:space="preserve"> and Roberts, 2015; Chang et al., 2021).</w:t>
      </w:r>
    </w:p>
    <w:p w14:paraId="7D0897EB"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planning and design phase spans Months 3 and 4 and includes engineering design, environmental approvals, and procurement. Research shows that high-quality design work significantly reduces lifecycle costs and prevents schedule delays during construction (</w:t>
      </w:r>
      <w:proofErr w:type="spellStart"/>
      <w:r w:rsidRPr="002C4BBE">
        <w:rPr>
          <w:rFonts w:ascii="Times New Roman" w:hAnsi="Times New Roman" w:cs="Times New Roman"/>
          <w:color w:val="000000"/>
          <w:kern w:val="0"/>
          <w:sz w:val="27"/>
          <w:szCs w:val="27"/>
          <w14:ligatures w14:val="none"/>
        </w:rPr>
        <w:t>Cimellaro</w:t>
      </w:r>
      <w:proofErr w:type="spellEnd"/>
      <w:r w:rsidRPr="002C4BBE">
        <w:rPr>
          <w:rFonts w:ascii="Times New Roman" w:hAnsi="Times New Roman" w:cs="Times New Roman"/>
          <w:color w:val="000000"/>
          <w:kern w:val="0"/>
          <w:sz w:val="27"/>
          <w:szCs w:val="27"/>
          <w14:ligatures w14:val="none"/>
        </w:rPr>
        <w:t xml:space="preserve"> et al., 2016; O’Rourke, 2019).</w:t>
      </w:r>
    </w:p>
    <w:p w14:paraId="4DB908A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Execution activities—bridge reconstruction, slope stabilisation, pavement reconstruction, and drainage upgrades—are scheduled primarily between Months 5 and 14. This sequencing reflects the poster’s structure and the complex nature of heavy civil works in mountainous terrain.</w:t>
      </w:r>
    </w:p>
    <w:p w14:paraId="4E8EF438"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final phase, spanning Months 9 to 15, integrates monitoring, quality assurance, and commissioning. Overlapping testing with late-stage construction aligns with infrastructure best practice, improving safety and reducing post-completion defects (Kumar and </w:t>
      </w:r>
      <w:proofErr w:type="spellStart"/>
      <w:r w:rsidRPr="002C4BBE">
        <w:rPr>
          <w:rFonts w:ascii="Times New Roman" w:hAnsi="Times New Roman" w:cs="Times New Roman"/>
          <w:color w:val="000000"/>
          <w:kern w:val="0"/>
          <w:sz w:val="27"/>
          <w:szCs w:val="27"/>
          <w14:ligatures w14:val="none"/>
        </w:rPr>
        <w:t>Bansal</w:t>
      </w:r>
      <w:proofErr w:type="spellEnd"/>
      <w:r w:rsidRPr="002C4BBE">
        <w:rPr>
          <w:rFonts w:ascii="Times New Roman" w:hAnsi="Times New Roman" w:cs="Times New Roman"/>
          <w:color w:val="000000"/>
          <w:kern w:val="0"/>
          <w:sz w:val="27"/>
          <w:szCs w:val="27"/>
          <w14:ligatures w14:val="none"/>
        </w:rPr>
        <w:t>, 2018; PMBOK, 2021).</w:t>
      </w:r>
    </w:p>
    <w:p w14:paraId="5D3BEF9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F637F9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722E135"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6" w:name="_Toc214604543"/>
      <w:bookmarkEnd w:id="6"/>
      <w:r w:rsidRPr="002C4BBE">
        <w:rPr>
          <w:rFonts w:ascii="Aptos Display" w:hAnsi="Aptos Display" w:cs="Times New Roman"/>
          <w:b/>
          <w:bCs/>
          <w:color w:val="000000"/>
          <w:kern w:val="0"/>
          <w:sz w:val="30"/>
          <w:szCs w:val="30"/>
          <w14:ligatures w14:val="none"/>
        </w:rPr>
        <w:t>7. Stakeholders Involvement</w:t>
      </w:r>
    </w:p>
    <w:p w14:paraId="602672D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E0F771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Stakeholder involvement is fundamental to successful infrastructure reconstruction, as diverse groups influence planning, funding, regulatory approvals, environmental compliance, and public acceptance. Effective stakeholder management enhances transparency, reduces conflict, and strengthens project outcomes (</w:t>
      </w:r>
      <w:proofErr w:type="spellStart"/>
      <w:r w:rsidRPr="002C4BBE">
        <w:rPr>
          <w:rFonts w:ascii="Times New Roman" w:hAnsi="Times New Roman" w:cs="Times New Roman"/>
          <w:color w:val="000000"/>
          <w:kern w:val="0"/>
          <w:sz w:val="27"/>
          <w:szCs w:val="27"/>
          <w14:ligatures w14:val="none"/>
        </w:rPr>
        <w:t>Aaltonen</w:t>
      </w:r>
      <w:proofErr w:type="spellEnd"/>
      <w:r w:rsidRPr="002C4BBE">
        <w:rPr>
          <w:rFonts w:ascii="Times New Roman" w:hAnsi="Times New Roman" w:cs="Times New Roman"/>
          <w:color w:val="000000"/>
          <w:kern w:val="0"/>
          <w:sz w:val="27"/>
          <w:szCs w:val="27"/>
          <w14:ligatures w14:val="none"/>
        </w:rPr>
        <w:t xml:space="preserve"> and </w:t>
      </w:r>
      <w:proofErr w:type="spellStart"/>
      <w:r w:rsidRPr="002C4BBE">
        <w:rPr>
          <w:rFonts w:ascii="Times New Roman" w:hAnsi="Times New Roman" w:cs="Times New Roman"/>
          <w:color w:val="000000"/>
          <w:kern w:val="0"/>
          <w:sz w:val="27"/>
          <w:szCs w:val="27"/>
          <w14:ligatures w14:val="none"/>
        </w:rPr>
        <w:t>Kujala</w:t>
      </w:r>
      <w:proofErr w:type="spellEnd"/>
      <w:r w:rsidRPr="002C4BBE">
        <w:rPr>
          <w:rFonts w:ascii="Times New Roman" w:hAnsi="Times New Roman" w:cs="Times New Roman"/>
          <w:color w:val="000000"/>
          <w:kern w:val="0"/>
          <w:sz w:val="27"/>
          <w:szCs w:val="27"/>
          <w14:ligatures w14:val="none"/>
        </w:rPr>
        <w:t>, 2016; Reed et al., 2009). The Highway 5 project involves a multi-agency and community-based stakeholder environment, consistent with the roles highlighted in the poster.</w:t>
      </w:r>
    </w:p>
    <w:p w14:paraId="7259A6C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45FAA7B"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7" w:name="_Toc214604544"/>
      <w:bookmarkEnd w:id="7"/>
      <w:r w:rsidRPr="002C4BBE">
        <w:rPr>
          <w:rFonts w:ascii="Aptos Display" w:hAnsi="Aptos Display" w:cs="Times New Roman"/>
          <w:b/>
          <w:bCs/>
          <w:color w:val="000000"/>
          <w:kern w:val="0"/>
          <w:sz w:val="36"/>
          <w:szCs w:val="36"/>
          <w14:ligatures w14:val="none"/>
        </w:rPr>
        <w:t>Government of British Columbia – Ministry of Transportation and Infrastructure (MOTI)</w:t>
      </w:r>
    </w:p>
    <w:p w14:paraId="151C2580"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MOTI holds primary authority over standards, funding, and design approvals. Public-sector leadership is essential in post-disaster reconstruction because it provides governance, public accountability, and long-term strategic alignment (</w:t>
      </w:r>
      <w:proofErr w:type="spellStart"/>
      <w:r w:rsidRPr="002C4BBE">
        <w:rPr>
          <w:rFonts w:ascii="Times New Roman" w:hAnsi="Times New Roman" w:cs="Times New Roman"/>
          <w:color w:val="000000"/>
          <w:kern w:val="0"/>
          <w:sz w:val="27"/>
          <w:szCs w:val="27"/>
          <w14:ligatures w14:val="none"/>
        </w:rPr>
        <w:t>Bosher</w:t>
      </w:r>
      <w:proofErr w:type="spellEnd"/>
      <w:r w:rsidRPr="002C4BBE">
        <w:rPr>
          <w:rFonts w:ascii="Times New Roman" w:hAnsi="Times New Roman" w:cs="Times New Roman"/>
          <w:color w:val="000000"/>
          <w:kern w:val="0"/>
          <w:sz w:val="27"/>
          <w:szCs w:val="27"/>
          <w14:ligatures w14:val="none"/>
        </w:rPr>
        <w:t xml:space="preserve"> and </w:t>
      </w:r>
      <w:proofErr w:type="spellStart"/>
      <w:r w:rsidRPr="002C4BBE">
        <w:rPr>
          <w:rFonts w:ascii="Times New Roman" w:hAnsi="Times New Roman" w:cs="Times New Roman"/>
          <w:color w:val="000000"/>
          <w:kern w:val="0"/>
          <w:sz w:val="27"/>
          <w:szCs w:val="27"/>
          <w14:ligatures w14:val="none"/>
        </w:rPr>
        <w:t>Chmutina</w:t>
      </w:r>
      <w:proofErr w:type="spellEnd"/>
      <w:r w:rsidRPr="002C4BBE">
        <w:rPr>
          <w:rFonts w:ascii="Times New Roman" w:hAnsi="Times New Roman" w:cs="Times New Roman"/>
          <w:color w:val="000000"/>
          <w:kern w:val="0"/>
          <w:sz w:val="27"/>
          <w:szCs w:val="27"/>
          <w14:ligatures w14:val="none"/>
        </w:rPr>
        <w:t>, 2017; Chang et al., 2021).</w:t>
      </w:r>
    </w:p>
    <w:p w14:paraId="73D759D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79F8699"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8" w:name="_Toc214604545"/>
      <w:bookmarkEnd w:id="8"/>
      <w:r w:rsidRPr="002C4BBE">
        <w:rPr>
          <w:rFonts w:ascii="Aptos Display" w:hAnsi="Aptos Display" w:cs="Times New Roman"/>
          <w:b/>
          <w:bCs/>
          <w:color w:val="000000"/>
          <w:kern w:val="0"/>
          <w:sz w:val="36"/>
          <w:szCs w:val="36"/>
          <w14:ligatures w14:val="none"/>
        </w:rPr>
        <w:t>Federal Government Agencies</w:t>
      </w:r>
    </w:p>
    <w:p w14:paraId="2DFB531B"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Transport Canada and Environment and Climate Change Canada provide regulatory oversight, environmental evaluation, and climate-risk guidance. Federal–provincial coordination improves recovery timelines and ensures that reconstruction meets both national safety guidelines and environmental legislation (Tierney, 2014; </w:t>
      </w:r>
      <w:proofErr w:type="spellStart"/>
      <w:r w:rsidRPr="002C4BBE">
        <w:rPr>
          <w:rFonts w:ascii="Times New Roman" w:hAnsi="Times New Roman" w:cs="Times New Roman"/>
          <w:color w:val="000000"/>
          <w:kern w:val="0"/>
          <w:sz w:val="27"/>
          <w:szCs w:val="27"/>
          <w14:ligatures w14:val="none"/>
        </w:rPr>
        <w:t>Mysiak</w:t>
      </w:r>
      <w:proofErr w:type="spellEnd"/>
      <w:r w:rsidRPr="002C4BBE">
        <w:rPr>
          <w:rFonts w:ascii="Times New Roman" w:hAnsi="Times New Roman" w:cs="Times New Roman"/>
          <w:color w:val="000000"/>
          <w:kern w:val="0"/>
          <w:sz w:val="27"/>
          <w:szCs w:val="27"/>
          <w14:ligatures w14:val="none"/>
        </w:rPr>
        <w:t xml:space="preserve"> et al., 2016).</w:t>
      </w:r>
    </w:p>
    <w:p w14:paraId="1DAFFD2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38F08C0"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9" w:name="_Toc214604546"/>
      <w:bookmarkEnd w:id="9"/>
      <w:r w:rsidRPr="002C4BBE">
        <w:rPr>
          <w:rFonts w:ascii="Aptos Display" w:hAnsi="Aptos Display" w:cs="Times New Roman"/>
          <w:b/>
          <w:bCs/>
          <w:color w:val="000000"/>
          <w:kern w:val="0"/>
          <w:sz w:val="36"/>
          <w:szCs w:val="36"/>
          <w14:ligatures w14:val="none"/>
        </w:rPr>
        <w:t>Engineering and Construction Firms</w:t>
      </w:r>
    </w:p>
    <w:p w14:paraId="214F69D8"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Contractors deliver technical work, including bridge rebuilding, slope stabilisation, and drainage upgrades. Their capacity, equipment, and expertise directly influence project performance. Research shows that contractor collaboration and technical competence are major determinants of success in post-disaster infrastructure delivery (Kumar and </w:t>
      </w:r>
      <w:proofErr w:type="spellStart"/>
      <w:r w:rsidRPr="002C4BBE">
        <w:rPr>
          <w:rFonts w:ascii="Times New Roman" w:hAnsi="Times New Roman" w:cs="Times New Roman"/>
          <w:color w:val="000000"/>
          <w:kern w:val="0"/>
          <w:sz w:val="27"/>
          <w:szCs w:val="27"/>
          <w14:ligatures w14:val="none"/>
        </w:rPr>
        <w:t>Bansal</w:t>
      </w:r>
      <w:proofErr w:type="spellEnd"/>
      <w:r w:rsidRPr="002C4BBE">
        <w:rPr>
          <w:rFonts w:ascii="Times New Roman" w:hAnsi="Times New Roman" w:cs="Times New Roman"/>
          <w:color w:val="000000"/>
          <w:kern w:val="0"/>
          <w:sz w:val="27"/>
          <w:szCs w:val="27"/>
          <w14:ligatures w14:val="none"/>
        </w:rPr>
        <w:t xml:space="preserve">, 2018; </w:t>
      </w:r>
      <w:proofErr w:type="spellStart"/>
      <w:r w:rsidRPr="002C4BBE">
        <w:rPr>
          <w:rFonts w:ascii="Times New Roman" w:hAnsi="Times New Roman" w:cs="Times New Roman"/>
          <w:color w:val="000000"/>
          <w:kern w:val="0"/>
          <w:sz w:val="27"/>
          <w:szCs w:val="27"/>
          <w14:ligatures w14:val="none"/>
        </w:rPr>
        <w:t>Akgun</w:t>
      </w:r>
      <w:proofErr w:type="spellEnd"/>
      <w:r w:rsidRPr="002C4BBE">
        <w:rPr>
          <w:rFonts w:ascii="Times New Roman" w:hAnsi="Times New Roman" w:cs="Times New Roman"/>
          <w:color w:val="000000"/>
          <w:kern w:val="0"/>
          <w:sz w:val="27"/>
          <w:szCs w:val="27"/>
          <w14:ligatures w14:val="none"/>
        </w:rPr>
        <w:t xml:space="preserve"> et al., 2020).</w:t>
      </w:r>
    </w:p>
    <w:p w14:paraId="7E9C50D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DD746D7"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0" w:name="_Toc214604547"/>
      <w:bookmarkEnd w:id="10"/>
      <w:r w:rsidRPr="002C4BBE">
        <w:rPr>
          <w:rFonts w:ascii="Aptos Display" w:hAnsi="Aptos Display" w:cs="Times New Roman"/>
          <w:b/>
          <w:bCs/>
          <w:color w:val="000000"/>
          <w:kern w:val="0"/>
          <w:sz w:val="36"/>
          <w:szCs w:val="36"/>
          <w14:ligatures w14:val="none"/>
        </w:rPr>
        <w:t>Local Communities and Municipal Governments</w:t>
      </w:r>
    </w:p>
    <w:p w14:paraId="56C5790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Communities in Hope, Merritt, and surrounding areas rely on Highway 5 for mobility and economic activity. Community engagement is critical because local knowledge improves design suitability and reduces resistance to construction impacts (Olander and Landin, 2005; Innes and </w:t>
      </w:r>
      <w:proofErr w:type="spellStart"/>
      <w:r w:rsidRPr="002C4BBE">
        <w:rPr>
          <w:rFonts w:ascii="Times New Roman" w:hAnsi="Times New Roman" w:cs="Times New Roman"/>
          <w:color w:val="000000"/>
          <w:kern w:val="0"/>
          <w:sz w:val="27"/>
          <w:szCs w:val="27"/>
          <w14:ligatures w14:val="none"/>
        </w:rPr>
        <w:t>Booher</w:t>
      </w:r>
      <w:proofErr w:type="spellEnd"/>
      <w:r w:rsidRPr="002C4BBE">
        <w:rPr>
          <w:rFonts w:ascii="Times New Roman" w:hAnsi="Times New Roman" w:cs="Times New Roman"/>
          <w:color w:val="000000"/>
          <w:kern w:val="0"/>
          <w:sz w:val="27"/>
          <w:szCs w:val="27"/>
          <w14:ligatures w14:val="none"/>
        </w:rPr>
        <w:t>, 2010).</w:t>
      </w:r>
    </w:p>
    <w:p w14:paraId="70C1C47B"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49B9DF1"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1" w:name="_Toc214604548"/>
      <w:bookmarkEnd w:id="11"/>
      <w:r w:rsidRPr="002C4BBE">
        <w:rPr>
          <w:rFonts w:ascii="Aptos Display" w:hAnsi="Aptos Display" w:cs="Times New Roman"/>
          <w:b/>
          <w:bCs/>
          <w:color w:val="000000"/>
          <w:kern w:val="0"/>
          <w:sz w:val="36"/>
          <w:szCs w:val="36"/>
          <w14:ligatures w14:val="none"/>
        </w:rPr>
        <w:t>Indigenous Communities</w:t>
      </w:r>
    </w:p>
    <w:p w14:paraId="7106F8B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Indigenous nations are key rights-holders and must be engaged through culturally appropriate consultation processes. Indigenous participation supports environmental stewardship and strengthens project legitimacy across the region.</w:t>
      </w:r>
    </w:p>
    <w:p w14:paraId="33819B31"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E2B7E8C"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2" w:name="_Toc214604549"/>
      <w:bookmarkEnd w:id="12"/>
      <w:r w:rsidRPr="002C4BBE">
        <w:rPr>
          <w:rFonts w:ascii="Aptos Display" w:hAnsi="Aptos Display" w:cs="Times New Roman"/>
          <w:b/>
          <w:bCs/>
          <w:color w:val="000000"/>
          <w:kern w:val="0"/>
          <w:sz w:val="36"/>
          <w:szCs w:val="36"/>
          <w14:ligatures w14:val="none"/>
        </w:rPr>
        <w:t>Transport and Logistics Companies</w:t>
      </w:r>
    </w:p>
    <w:p w14:paraId="35A268D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Freight operators require timely communication regarding detours, reopening schedules, and load-capacity restrictions. Transport sector engagement is essential for restoring supply chain continuity after major disasters (Pant et al., 2020; </w:t>
      </w:r>
      <w:proofErr w:type="spellStart"/>
      <w:r w:rsidRPr="002C4BBE">
        <w:rPr>
          <w:rFonts w:ascii="Times New Roman" w:hAnsi="Times New Roman" w:cs="Times New Roman"/>
          <w:color w:val="000000"/>
          <w:kern w:val="0"/>
          <w:sz w:val="27"/>
          <w:szCs w:val="27"/>
          <w14:ligatures w14:val="none"/>
        </w:rPr>
        <w:t>Mattsson</w:t>
      </w:r>
      <w:proofErr w:type="spellEnd"/>
      <w:r w:rsidRPr="002C4BBE">
        <w:rPr>
          <w:rFonts w:ascii="Times New Roman" w:hAnsi="Times New Roman" w:cs="Times New Roman"/>
          <w:color w:val="000000"/>
          <w:kern w:val="0"/>
          <w:sz w:val="27"/>
          <w:szCs w:val="27"/>
          <w14:ligatures w14:val="none"/>
        </w:rPr>
        <w:t xml:space="preserve"> and </w:t>
      </w:r>
      <w:proofErr w:type="spellStart"/>
      <w:r w:rsidRPr="002C4BBE">
        <w:rPr>
          <w:rFonts w:ascii="Times New Roman" w:hAnsi="Times New Roman" w:cs="Times New Roman"/>
          <w:color w:val="000000"/>
          <w:kern w:val="0"/>
          <w:sz w:val="27"/>
          <w:szCs w:val="27"/>
          <w14:ligatures w14:val="none"/>
        </w:rPr>
        <w:t>Jenelius</w:t>
      </w:r>
      <w:proofErr w:type="spellEnd"/>
      <w:r w:rsidRPr="002C4BBE">
        <w:rPr>
          <w:rFonts w:ascii="Times New Roman" w:hAnsi="Times New Roman" w:cs="Times New Roman"/>
          <w:color w:val="000000"/>
          <w:kern w:val="0"/>
          <w:sz w:val="27"/>
          <w:szCs w:val="27"/>
          <w14:ligatures w14:val="none"/>
        </w:rPr>
        <w:t>, 2015).</w:t>
      </w:r>
    </w:p>
    <w:p w14:paraId="329E0CB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45A191F"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3" w:name="_Toc214604550"/>
      <w:bookmarkEnd w:id="13"/>
      <w:r w:rsidRPr="002C4BBE">
        <w:rPr>
          <w:rFonts w:ascii="Aptos Display" w:hAnsi="Aptos Display" w:cs="Times New Roman"/>
          <w:b/>
          <w:bCs/>
          <w:color w:val="000000"/>
          <w:kern w:val="0"/>
          <w:sz w:val="36"/>
          <w:szCs w:val="36"/>
          <w14:ligatures w14:val="none"/>
        </w:rPr>
        <w:t>Environmental Organisations</w:t>
      </w:r>
    </w:p>
    <w:p w14:paraId="3F82C242"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These groups ensure compliance with ecological standards and protection of habitats affected by construction. Their involvement reduces regulatory risk and supports sustainable reconstruction practices (Thorne, 2014; </w:t>
      </w:r>
      <w:proofErr w:type="spellStart"/>
      <w:r w:rsidRPr="002C4BBE">
        <w:rPr>
          <w:rFonts w:ascii="Times New Roman" w:hAnsi="Times New Roman" w:cs="Times New Roman"/>
          <w:color w:val="000000"/>
          <w:kern w:val="0"/>
          <w:sz w:val="27"/>
          <w:szCs w:val="27"/>
          <w14:ligatures w14:val="none"/>
        </w:rPr>
        <w:t>Tessler</w:t>
      </w:r>
      <w:proofErr w:type="spellEnd"/>
      <w:r w:rsidRPr="002C4BBE">
        <w:rPr>
          <w:rFonts w:ascii="Times New Roman" w:hAnsi="Times New Roman" w:cs="Times New Roman"/>
          <w:color w:val="000000"/>
          <w:kern w:val="0"/>
          <w:sz w:val="27"/>
          <w:szCs w:val="27"/>
          <w14:ligatures w14:val="none"/>
        </w:rPr>
        <w:t xml:space="preserve"> et al., 2021).</w:t>
      </w:r>
    </w:p>
    <w:p w14:paraId="16632B8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589B3CE"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4" w:name="_Toc214604551"/>
      <w:bookmarkEnd w:id="14"/>
      <w:r w:rsidRPr="002C4BBE">
        <w:rPr>
          <w:rFonts w:ascii="Aptos Display" w:hAnsi="Aptos Display" w:cs="Times New Roman"/>
          <w:b/>
          <w:bCs/>
          <w:color w:val="000000"/>
          <w:kern w:val="0"/>
          <w:sz w:val="36"/>
          <w:szCs w:val="36"/>
          <w14:ligatures w14:val="none"/>
        </w:rPr>
        <w:t>Stakeholder Engagement Strategy</w:t>
      </w:r>
    </w:p>
    <w:p w14:paraId="3EC3D6E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Effective engagement includes:</w:t>
      </w:r>
    </w:p>
    <w:p w14:paraId="7A183980"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Regular progress reporting to MOTI and federal agencies</w:t>
      </w:r>
    </w:p>
    <w:p w14:paraId="0E62DEAF"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Monthly stakeholder briefings and public updates</w:t>
      </w:r>
    </w:p>
    <w:p w14:paraId="0205AABB"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Technical coordination workshops with engineering teams</w:t>
      </w:r>
    </w:p>
    <w:p w14:paraId="2E738287"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Environmental monitoring meetings with regulatory bodies</w:t>
      </w:r>
    </w:p>
    <w:p w14:paraId="20635089"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Transparent communication platforms (web updates, bulletins)</w:t>
      </w:r>
    </w:p>
    <w:p w14:paraId="1D1559E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Research confirms that structured engagement improves decision-making quality and project acceptance, particularly in high-risk, high-visibility projects (</w:t>
      </w:r>
      <w:proofErr w:type="spellStart"/>
      <w:r w:rsidRPr="002C4BBE">
        <w:rPr>
          <w:rFonts w:ascii="Times New Roman" w:hAnsi="Times New Roman" w:cs="Times New Roman"/>
          <w:color w:val="000000"/>
          <w:kern w:val="0"/>
          <w:sz w:val="27"/>
          <w:szCs w:val="27"/>
          <w14:ligatures w14:val="none"/>
        </w:rPr>
        <w:t>Aaltonen</w:t>
      </w:r>
      <w:proofErr w:type="spellEnd"/>
      <w:r w:rsidRPr="002C4BBE">
        <w:rPr>
          <w:rFonts w:ascii="Times New Roman" w:hAnsi="Times New Roman" w:cs="Times New Roman"/>
          <w:color w:val="000000"/>
          <w:kern w:val="0"/>
          <w:sz w:val="27"/>
          <w:szCs w:val="27"/>
          <w14:ligatures w14:val="none"/>
        </w:rPr>
        <w:t xml:space="preserve"> and </w:t>
      </w:r>
      <w:proofErr w:type="spellStart"/>
      <w:r w:rsidRPr="002C4BBE">
        <w:rPr>
          <w:rFonts w:ascii="Times New Roman" w:hAnsi="Times New Roman" w:cs="Times New Roman"/>
          <w:color w:val="000000"/>
          <w:kern w:val="0"/>
          <w:sz w:val="27"/>
          <w:szCs w:val="27"/>
          <w14:ligatures w14:val="none"/>
        </w:rPr>
        <w:t>Kujala</w:t>
      </w:r>
      <w:proofErr w:type="spellEnd"/>
      <w:r w:rsidRPr="002C4BBE">
        <w:rPr>
          <w:rFonts w:ascii="Times New Roman" w:hAnsi="Times New Roman" w:cs="Times New Roman"/>
          <w:color w:val="000000"/>
          <w:kern w:val="0"/>
          <w:sz w:val="27"/>
          <w:szCs w:val="27"/>
          <w14:ligatures w14:val="none"/>
        </w:rPr>
        <w:t>, 2016; Yang et al., 2011).</w:t>
      </w:r>
    </w:p>
    <w:p w14:paraId="5727E83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10436E9"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15" w:name="_Toc214604552"/>
      <w:bookmarkEnd w:id="15"/>
      <w:r w:rsidRPr="002C4BBE">
        <w:rPr>
          <w:rFonts w:ascii="Aptos Display" w:hAnsi="Aptos Display" w:cs="Times New Roman"/>
          <w:b/>
          <w:bCs/>
          <w:color w:val="000000"/>
          <w:kern w:val="0"/>
          <w:sz w:val="30"/>
          <w:szCs w:val="30"/>
          <w14:ligatures w14:val="none"/>
        </w:rPr>
        <w:t>8. Allocation of Resources</w:t>
      </w:r>
    </w:p>
    <w:p w14:paraId="09BB539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281FA74"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Effective resource allocation is essential for completing the Highway 5 reconstruction within the planned timeframe, budget, and quality standards. Large-scale post-disaster projects require coordinated human, material, financial, and technological resources to address complex geotechnical and environmental challenges. Research emphasises that inadequate resource planning is one of the main causes of schedule delays and cost overruns in infrastructure projects (</w:t>
      </w:r>
      <w:proofErr w:type="spellStart"/>
      <w:r w:rsidRPr="002C4BBE">
        <w:rPr>
          <w:rFonts w:ascii="Times New Roman" w:hAnsi="Times New Roman" w:cs="Times New Roman"/>
          <w:color w:val="000000"/>
          <w:kern w:val="0"/>
          <w:sz w:val="27"/>
          <w:szCs w:val="27"/>
          <w14:ligatures w14:val="none"/>
        </w:rPr>
        <w:t>Olaniran</w:t>
      </w:r>
      <w:proofErr w:type="spellEnd"/>
      <w:r w:rsidRPr="002C4BBE">
        <w:rPr>
          <w:rFonts w:ascii="Times New Roman" w:hAnsi="Times New Roman" w:cs="Times New Roman"/>
          <w:color w:val="000000"/>
          <w:kern w:val="0"/>
          <w:sz w:val="27"/>
          <w:szCs w:val="27"/>
          <w14:ligatures w14:val="none"/>
        </w:rPr>
        <w:t xml:space="preserve"> et al., 2015; </w:t>
      </w:r>
      <w:proofErr w:type="spellStart"/>
      <w:r w:rsidRPr="002C4BBE">
        <w:rPr>
          <w:rFonts w:ascii="Times New Roman" w:hAnsi="Times New Roman" w:cs="Times New Roman"/>
          <w:color w:val="000000"/>
          <w:kern w:val="0"/>
          <w:sz w:val="27"/>
          <w:szCs w:val="27"/>
          <w14:ligatures w14:val="none"/>
        </w:rPr>
        <w:t>Cantarelli</w:t>
      </w:r>
      <w:proofErr w:type="spellEnd"/>
      <w:r w:rsidRPr="002C4BBE">
        <w:rPr>
          <w:rFonts w:ascii="Times New Roman" w:hAnsi="Times New Roman" w:cs="Times New Roman"/>
          <w:color w:val="000000"/>
          <w:kern w:val="0"/>
          <w:sz w:val="27"/>
          <w:szCs w:val="27"/>
          <w14:ligatures w14:val="none"/>
        </w:rPr>
        <w:t xml:space="preserve"> et al., 2012).</w:t>
      </w:r>
    </w:p>
    <w:p w14:paraId="7F721BF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7A8AFAC"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6" w:name="_Toc214604553"/>
      <w:bookmarkEnd w:id="16"/>
      <w:r w:rsidRPr="002C4BBE">
        <w:rPr>
          <w:rFonts w:ascii="Aptos Display" w:hAnsi="Aptos Display" w:cs="Times New Roman"/>
          <w:b/>
          <w:bCs/>
          <w:color w:val="000000"/>
          <w:kern w:val="0"/>
          <w:sz w:val="36"/>
          <w:szCs w:val="36"/>
          <w14:ligatures w14:val="none"/>
        </w:rPr>
        <w:t>Human Resources</w:t>
      </w:r>
    </w:p>
    <w:p w14:paraId="7D682F93"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reconstruction requires a multidisciplinary workforce, including structural engineers, geotechnical specialists, hydrologists, environmental managers, heavy equipment operators, and project control teams. These professionals support critical tasks such as slope stabilisation, bridge reconstruction, drainage installation, and quality assurance. Multidisciplinary expertise improves decision-making and enhances the effectiveness of reconstruction activities (Chang et al., 2021; Kumar and </w:t>
      </w:r>
      <w:proofErr w:type="spellStart"/>
      <w:r w:rsidRPr="002C4BBE">
        <w:rPr>
          <w:rFonts w:ascii="Times New Roman" w:hAnsi="Times New Roman" w:cs="Times New Roman"/>
          <w:color w:val="000000"/>
          <w:kern w:val="0"/>
          <w:sz w:val="27"/>
          <w:szCs w:val="27"/>
          <w14:ligatures w14:val="none"/>
        </w:rPr>
        <w:t>Bansal</w:t>
      </w:r>
      <w:proofErr w:type="spellEnd"/>
      <w:r w:rsidRPr="002C4BBE">
        <w:rPr>
          <w:rFonts w:ascii="Times New Roman" w:hAnsi="Times New Roman" w:cs="Times New Roman"/>
          <w:color w:val="000000"/>
          <w:kern w:val="0"/>
          <w:sz w:val="27"/>
          <w:szCs w:val="27"/>
          <w14:ligatures w14:val="none"/>
        </w:rPr>
        <w:t>, 2018). The project poster highlights the need for skilled engineers and specialised contractors, reinforcing the significance of human resources for this project.</w:t>
      </w:r>
    </w:p>
    <w:p w14:paraId="20F60F4B"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AB57183"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7" w:name="_Toc214604554"/>
      <w:bookmarkEnd w:id="17"/>
      <w:r w:rsidRPr="002C4BBE">
        <w:rPr>
          <w:rFonts w:ascii="Aptos Display" w:hAnsi="Aptos Display" w:cs="Times New Roman"/>
          <w:b/>
          <w:bCs/>
          <w:color w:val="000000"/>
          <w:kern w:val="0"/>
          <w:sz w:val="36"/>
          <w:szCs w:val="36"/>
          <w14:ligatures w14:val="none"/>
        </w:rPr>
        <w:t>Material Resources</w:t>
      </w:r>
    </w:p>
    <w:p w14:paraId="3DD06A15"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Key materials include high-strength steel, reinforced concrete, asphalt aggregates, rock-bolt systems, </w:t>
      </w:r>
      <w:proofErr w:type="spellStart"/>
      <w:r w:rsidRPr="002C4BBE">
        <w:rPr>
          <w:rFonts w:ascii="Times New Roman" w:hAnsi="Times New Roman" w:cs="Times New Roman"/>
          <w:color w:val="000000"/>
          <w:kern w:val="0"/>
          <w:sz w:val="27"/>
          <w:szCs w:val="27"/>
          <w14:ligatures w14:val="none"/>
        </w:rPr>
        <w:t>geotextiles</w:t>
      </w:r>
      <w:proofErr w:type="spellEnd"/>
      <w:r w:rsidRPr="002C4BBE">
        <w:rPr>
          <w:rFonts w:ascii="Times New Roman" w:hAnsi="Times New Roman" w:cs="Times New Roman"/>
          <w:color w:val="000000"/>
          <w:kern w:val="0"/>
          <w:sz w:val="27"/>
          <w:szCs w:val="27"/>
          <w14:ligatures w14:val="none"/>
        </w:rPr>
        <w:t xml:space="preserve">, and drainage components. Procurement planning is especially important due to supply chain disruptions following extreme weather events (Pant et al., 2020; </w:t>
      </w:r>
      <w:proofErr w:type="spellStart"/>
      <w:r w:rsidRPr="002C4BBE">
        <w:rPr>
          <w:rFonts w:ascii="Times New Roman" w:hAnsi="Times New Roman" w:cs="Times New Roman"/>
          <w:color w:val="000000"/>
          <w:kern w:val="0"/>
          <w:sz w:val="27"/>
          <w:szCs w:val="27"/>
          <w14:ligatures w14:val="none"/>
        </w:rPr>
        <w:t>Koks</w:t>
      </w:r>
      <w:proofErr w:type="spellEnd"/>
      <w:r w:rsidRPr="002C4BBE">
        <w:rPr>
          <w:rFonts w:ascii="Times New Roman" w:hAnsi="Times New Roman" w:cs="Times New Roman"/>
          <w:color w:val="000000"/>
          <w:kern w:val="0"/>
          <w:sz w:val="27"/>
          <w:szCs w:val="27"/>
          <w14:ligatures w14:val="none"/>
        </w:rPr>
        <w:t xml:space="preserve"> et al., 2019). The poster indicates the use of resilient materials designed to withstand future floods and landslides, aligning with modern climate-adaptive engineering standards.</w:t>
      </w:r>
    </w:p>
    <w:p w14:paraId="7F828A0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DF55B86"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8" w:name="_Toc214604555"/>
      <w:bookmarkEnd w:id="18"/>
      <w:r w:rsidRPr="002C4BBE">
        <w:rPr>
          <w:rFonts w:ascii="Aptos Display" w:hAnsi="Aptos Display" w:cs="Times New Roman"/>
          <w:b/>
          <w:bCs/>
          <w:color w:val="000000"/>
          <w:kern w:val="0"/>
          <w:sz w:val="36"/>
          <w:szCs w:val="36"/>
          <w14:ligatures w14:val="none"/>
        </w:rPr>
        <w:t>Financial Resources</w:t>
      </w:r>
    </w:p>
    <w:p w14:paraId="58C4F3A1"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project is estimated to cost CAD 400 million, consistent with the poster. Financial resources must cover labour, materials, machinery, environmental protections, monitoring systems, and project management. Cost overruns are common in transport </w:t>
      </w:r>
      <w:proofErr w:type="spellStart"/>
      <w:r w:rsidRPr="002C4BBE">
        <w:rPr>
          <w:rFonts w:ascii="Times New Roman" w:hAnsi="Times New Roman" w:cs="Times New Roman"/>
          <w:color w:val="000000"/>
          <w:kern w:val="0"/>
          <w:sz w:val="27"/>
          <w:szCs w:val="27"/>
          <w14:ligatures w14:val="none"/>
        </w:rPr>
        <w:t>megaprojects</w:t>
      </w:r>
      <w:proofErr w:type="spellEnd"/>
      <w:r w:rsidRPr="002C4BBE">
        <w:rPr>
          <w:rFonts w:ascii="Times New Roman" w:hAnsi="Times New Roman" w:cs="Times New Roman"/>
          <w:color w:val="000000"/>
          <w:kern w:val="0"/>
          <w:sz w:val="27"/>
          <w:szCs w:val="27"/>
          <w14:ligatures w14:val="none"/>
        </w:rPr>
        <w:t xml:space="preserve"> due to geological uncertainty and material price fluctuations (</w:t>
      </w:r>
      <w:proofErr w:type="spellStart"/>
      <w:r w:rsidRPr="002C4BBE">
        <w:rPr>
          <w:rFonts w:ascii="Times New Roman" w:hAnsi="Times New Roman" w:cs="Times New Roman"/>
          <w:color w:val="000000"/>
          <w:kern w:val="0"/>
          <w:sz w:val="27"/>
          <w:szCs w:val="27"/>
          <w14:ligatures w14:val="none"/>
        </w:rPr>
        <w:t>Flyvbjerg</w:t>
      </w:r>
      <w:proofErr w:type="spellEnd"/>
      <w:r w:rsidRPr="002C4BBE">
        <w:rPr>
          <w:rFonts w:ascii="Times New Roman" w:hAnsi="Times New Roman" w:cs="Times New Roman"/>
          <w:color w:val="000000"/>
          <w:kern w:val="0"/>
          <w:sz w:val="27"/>
          <w:szCs w:val="27"/>
          <w14:ligatures w14:val="none"/>
        </w:rPr>
        <w:t>, 2009; Shane and Smith, 2020). To mitigate this, a contingency of approximately 15 percent is included.</w:t>
      </w:r>
    </w:p>
    <w:p w14:paraId="16C33A1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A9731BB"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19" w:name="_Toc214604556"/>
      <w:bookmarkEnd w:id="19"/>
      <w:r w:rsidRPr="002C4BBE">
        <w:rPr>
          <w:rFonts w:ascii="Aptos Display" w:hAnsi="Aptos Display" w:cs="Times New Roman"/>
          <w:b/>
          <w:bCs/>
          <w:color w:val="000000"/>
          <w:kern w:val="0"/>
          <w:sz w:val="36"/>
          <w:szCs w:val="36"/>
          <w14:ligatures w14:val="none"/>
        </w:rPr>
        <w:t>Technological Resources</w:t>
      </w:r>
    </w:p>
    <w:p w14:paraId="755BBC6E"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Modern technologies support monitoring, design accuracy, and environmental compliance. These include LiDAR for slope mapping, hydrological sensors, UAV drones for inspections, and early-warning systems. Such technologies enhance resilience and enable proactive risk management (Warner et al., 2022; Jakob and Lambert, 2016).</w:t>
      </w:r>
    </w:p>
    <w:p w14:paraId="5B58BE9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7693D58E"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20" w:name="_Toc214604557"/>
      <w:bookmarkEnd w:id="20"/>
      <w:r w:rsidRPr="002C4BBE">
        <w:rPr>
          <w:rFonts w:ascii="Aptos Display" w:hAnsi="Aptos Display" w:cs="Times New Roman"/>
          <w:b/>
          <w:bCs/>
          <w:color w:val="000000"/>
          <w:kern w:val="0"/>
          <w:sz w:val="30"/>
          <w:szCs w:val="30"/>
          <w14:ligatures w14:val="none"/>
        </w:rPr>
        <w:t>9. Risk Analysis</w:t>
      </w:r>
    </w:p>
    <w:p w14:paraId="2074A5B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606445C"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Risk management is essential for ensuring the safe and timely reconstruction of Highway 5. The mountainous terrain, climatic instability, and complex engineering tasks create a high-risk environment. Infrastructure literature stresses the need for structured identification, assessment, and mitigation of risks in post-disaster reconstruction (</w:t>
      </w:r>
      <w:proofErr w:type="spellStart"/>
      <w:r w:rsidRPr="002C4BBE">
        <w:rPr>
          <w:rFonts w:ascii="Times New Roman" w:hAnsi="Times New Roman" w:cs="Times New Roman"/>
          <w:color w:val="000000"/>
          <w:kern w:val="0"/>
          <w:sz w:val="27"/>
          <w:szCs w:val="27"/>
          <w14:ligatures w14:val="none"/>
        </w:rPr>
        <w:t>Cimellaro</w:t>
      </w:r>
      <w:proofErr w:type="spellEnd"/>
      <w:r w:rsidRPr="002C4BBE">
        <w:rPr>
          <w:rFonts w:ascii="Times New Roman" w:hAnsi="Times New Roman" w:cs="Times New Roman"/>
          <w:color w:val="000000"/>
          <w:kern w:val="0"/>
          <w:sz w:val="27"/>
          <w:szCs w:val="27"/>
          <w14:ligatures w14:val="none"/>
        </w:rPr>
        <w:t xml:space="preserve"> et al., 2016; O’Rourke, 2019).</w:t>
      </w:r>
    </w:p>
    <w:p w14:paraId="29793FF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B977F3C"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21" w:name="_Toc214604558"/>
      <w:bookmarkEnd w:id="21"/>
      <w:r w:rsidRPr="002C4BBE">
        <w:rPr>
          <w:rFonts w:ascii="Aptos Display" w:hAnsi="Aptos Display" w:cs="Times New Roman"/>
          <w:b/>
          <w:bCs/>
          <w:color w:val="000000"/>
          <w:kern w:val="0"/>
          <w:sz w:val="36"/>
          <w:szCs w:val="36"/>
          <w14:ligatures w14:val="none"/>
        </w:rPr>
        <w:t>Environmental and Climate Risks</w:t>
      </w:r>
    </w:p>
    <w:p w14:paraId="6DF8E37B"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w:t>
      </w:r>
      <w:proofErr w:type="spellStart"/>
      <w:r w:rsidRPr="002C4BBE">
        <w:rPr>
          <w:rFonts w:ascii="Times New Roman" w:hAnsi="Times New Roman" w:cs="Times New Roman"/>
          <w:color w:val="000000"/>
          <w:kern w:val="0"/>
          <w:sz w:val="27"/>
          <w:szCs w:val="27"/>
          <w14:ligatures w14:val="none"/>
        </w:rPr>
        <w:t>Coquihalla</w:t>
      </w:r>
      <w:proofErr w:type="spellEnd"/>
      <w:r w:rsidRPr="002C4BBE">
        <w:rPr>
          <w:rFonts w:ascii="Times New Roman" w:hAnsi="Times New Roman" w:cs="Times New Roman"/>
          <w:color w:val="000000"/>
          <w:kern w:val="0"/>
          <w:sz w:val="27"/>
          <w:szCs w:val="27"/>
          <w14:ligatures w14:val="none"/>
        </w:rPr>
        <w:t xml:space="preserve"> corridor is highly susceptible to extreme rainfall, snowmelt, river overflow, and erosion. These conditions can cause delays, equipment immobilisation, and further slope failures. Academic studies show that atmospheric river events in British Columbia are increasing in frequency due to climate change, making future disruptions more likely (Payne et al., 2020; Warner et al., 2022).</w:t>
      </w:r>
    </w:p>
    <w:p w14:paraId="003BD8D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2FADDB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Mitigation measures:</w:t>
      </w:r>
    </w:p>
    <w:p w14:paraId="3D188A00"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Flexible scheduling to accommodate weather delays</w:t>
      </w:r>
    </w:p>
    <w:p w14:paraId="71730602"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Enhanced drainage and riverbank protection</w:t>
      </w:r>
    </w:p>
    <w:p w14:paraId="64BA6F3D"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Continuous hydrological monitoring</w:t>
      </w:r>
    </w:p>
    <w:p w14:paraId="5F4A6262"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Climate-resilient design of culverts and surface drainage (</w:t>
      </w:r>
      <w:proofErr w:type="spellStart"/>
      <w:r w:rsidRPr="002C4BBE">
        <w:rPr>
          <w:rFonts w:ascii="Times New Roman" w:eastAsia="Times New Roman" w:hAnsi="Times New Roman" w:cs="Times New Roman"/>
          <w:color w:val="000000"/>
          <w:kern w:val="0"/>
          <w:sz w:val="27"/>
          <w:szCs w:val="27"/>
          <w14:ligatures w14:val="none"/>
        </w:rPr>
        <w:t>Tessler</w:t>
      </w:r>
      <w:proofErr w:type="spellEnd"/>
      <w:r w:rsidRPr="002C4BBE">
        <w:rPr>
          <w:rFonts w:ascii="Times New Roman" w:eastAsia="Times New Roman" w:hAnsi="Times New Roman" w:cs="Times New Roman"/>
          <w:color w:val="000000"/>
          <w:kern w:val="0"/>
          <w:sz w:val="27"/>
          <w:szCs w:val="27"/>
          <w14:ligatures w14:val="none"/>
        </w:rPr>
        <w:t xml:space="preserve"> et al., 2021)</w:t>
      </w:r>
    </w:p>
    <w:p w14:paraId="43AD20AB"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3CB1C81"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22" w:name="_Toc214604559"/>
      <w:bookmarkEnd w:id="22"/>
      <w:r w:rsidRPr="002C4BBE">
        <w:rPr>
          <w:rFonts w:ascii="Aptos Display" w:hAnsi="Aptos Display" w:cs="Times New Roman"/>
          <w:b/>
          <w:bCs/>
          <w:color w:val="000000"/>
          <w:kern w:val="0"/>
          <w:sz w:val="36"/>
          <w:szCs w:val="36"/>
          <w14:ligatures w14:val="none"/>
        </w:rPr>
        <w:t>Geotechnical Risks</w:t>
      </w:r>
    </w:p>
    <w:p w14:paraId="02117FA5"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Geotechnical instability is a major hazard following the 2022 event. Landslides, debris flow, and soil saturation threaten construction personnel and infrastructure. Research shows that steep valleys and glacial deposits in BC are sensitive to rainfall-triggered failures (</w:t>
      </w:r>
      <w:proofErr w:type="spellStart"/>
      <w:r w:rsidRPr="002C4BBE">
        <w:rPr>
          <w:rFonts w:ascii="Times New Roman" w:hAnsi="Times New Roman" w:cs="Times New Roman"/>
          <w:color w:val="000000"/>
          <w:kern w:val="0"/>
          <w:sz w:val="27"/>
          <w:szCs w:val="27"/>
          <w14:ligatures w14:val="none"/>
        </w:rPr>
        <w:t>Geertsema</w:t>
      </w:r>
      <w:proofErr w:type="spellEnd"/>
      <w:r w:rsidRPr="002C4BBE">
        <w:rPr>
          <w:rFonts w:ascii="Times New Roman" w:hAnsi="Times New Roman" w:cs="Times New Roman"/>
          <w:color w:val="000000"/>
          <w:kern w:val="0"/>
          <w:sz w:val="27"/>
          <w:szCs w:val="27"/>
          <w14:ligatures w14:val="none"/>
        </w:rPr>
        <w:t xml:space="preserve"> et al., 2022; Jakob and Lambert, 2016).</w:t>
      </w:r>
    </w:p>
    <w:p w14:paraId="745A9D4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351944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Mitigation measures:</w:t>
      </w:r>
    </w:p>
    <w:p w14:paraId="7BB32C01"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Detailed geotechnical investigations during early project phases</w:t>
      </w:r>
    </w:p>
    <w:p w14:paraId="23AC20FF"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Slope stabilisation using rock bolts, retaining walls, and drainage blankets</w:t>
      </w:r>
    </w:p>
    <w:p w14:paraId="1D7A8911"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LiDAR and inclinometer sensors to detect early movement</w:t>
      </w:r>
    </w:p>
    <w:p w14:paraId="00E90E06"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Reinforcement of bridge foundations and abutments</w:t>
      </w:r>
    </w:p>
    <w:p w14:paraId="07CB9C2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9333355"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23" w:name="_Toc214604560"/>
      <w:bookmarkEnd w:id="23"/>
      <w:r w:rsidRPr="002C4BBE">
        <w:rPr>
          <w:rFonts w:ascii="Aptos Display" w:hAnsi="Aptos Display" w:cs="Times New Roman"/>
          <w:b/>
          <w:bCs/>
          <w:color w:val="000000"/>
          <w:kern w:val="0"/>
          <w:sz w:val="36"/>
          <w:szCs w:val="36"/>
          <w14:ligatures w14:val="none"/>
        </w:rPr>
        <w:t>Operational and Construction Risks</w:t>
      </w:r>
    </w:p>
    <w:p w14:paraId="2C44FFB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E12B14F"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Operational risks include equipment failure, labour shortages, supply chain delays, and traffic management challenges. Mountainous terrain complicates equipment mobility and staging areas. Studies confirm that supply disruptions and terrain constraints significantly impact construction efficiency in disaster-affected regions (Pant et al., 2020; </w:t>
      </w:r>
      <w:proofErr w:type="spellStart"/>
      <w:r w:rsidRPr="002C4BBE">
        <w:rPr>
          <w:rFonts w:ascii="Times New Roman" w:hAnsi="Times New Roman" w:cs="Times New Roman"/>
          <w:color w:val="000000"/>
          <w:kern w:val="0"/>
          <w:sz w:val="27"/>
          <w:szCs w:val="27"/>
          <w14:ligatures w14:val="none"/>
        </w:rPr>
        <w:t>Mattsson</w:t>
      </w:r>
      <w:proofErr w:type="spellEnd"/>
      <w:r w:rsidRPr="002C4BBE">
        <w:rPr>
          <w:rFonts w:ascii="Times New Roman" w:hAnsi="Times New Roman" w:cs="Times New Roman"/>
          <w:color w:val="000000"/>
          <w:kern w:val="0"/>
          <w:sz w:val="27"/>
          <w:szCs w:val="27"/>
          <w14:ligatures w14:val="none"/>
        </w:rPr>
        <w:t xml:space="preserve"> and </w:t>
      </w:r>
      <w:proofErr w:type="spellStart"/>
      <w:r w:rsidRPr="002C4BBE">
        <w:rPr>
          <w:rFonts w:ascii="Times New Roman" w:hAnsi="Times New Roman" w:cs="Times New Roman"/>
          <w:color w:val="000000"/>
          <w:kern w:val="0"/>
          <w:sz w:val="27"/>
          <w:szCs w:val="27"/>
          <w14:ligatures w14:val="none"/>
        </w:rPr>
        <w:t>Jenelius</w:t>
      </w:r>
      <w:proofErr w:type="spellEnd"/>
      <w:r w:rsidRPr="002C4BBE">
        <w:rPr>
          <w:rFonts w:ascii="Times New Roman" w:hAnsi="Times New Roman" w:cs="Times New Roman"/>
          <w:color w:val="000000"/>
          <w:kern w:val="0"/>
          <w:sz w:val="27"/>
          <w:szCs w:val="27"/>
          <w14:ligatures w14:val="none"/>
        </w:rPr>
        <w:t>, 2015).</w:t>
      </w:r>
    </w:p>
    <w:p w14:paraId="5E291121"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88316F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8143AB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Mitigation measures:</w:t>
      </w:r>
    </w:p>
    <w:p w14:paraId="0B1CB761"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Early procurement of critical materials</w:t>
      </w:r>
    </w:p>
    <w:p w14:paraId="67B3A940"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Backup equipment availability</w:t>
      </w:r>
    </w:p>
    <w:p w14:paraId="7270F21C"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Workforce scheduling to ensure sufficient labour during peak phases</w:t>
      </w:r>
    </w:p>
    <w:p w14:paraId="720511A8"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Detailed traffic management planning for detours and lane closures</w:t>
      </w:r>
    </w:p>
    <w:p w14:paraId="4783530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4158DF6"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24" w:name="_Toc214604561"/>
      <w:bookmarkEnd w:id="24"/>
      <w:r w:rsidRPr="002C4BBE">
        <w:rPr>
          <w:rFonts w:ascii="Aptos Display" w:hAnsi="Aptos Display" w:cs="Times New Roman"/>
          <w:b/>
          <w:bCs/>
          <w:color w:val="000000"/>
          <w:kern w:val="0"/>
          <w:sz w:val="36"/>
          <w:szCs w:val="36"/>
          <w14:ligatures w14:val="none"/>
        </w:rPr>
        <w:t>Financial Risks</w:t>
      </w:r>
    </w:p>
    <w:p w14:paraId="19F3DC5A"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project faces cost uncertainty due to material price variations and unpredictable geotechnical conditions. Transport </w:t>
      </w:r>
      <w:proofErr w:type="spellStart"/>
      <w:r w:rsidRPr="002C4BBE">
        <w:rPr>
          <w:rFonts w:ascii="Times New Roman" w:hAnsi="Times New Roman" w:cs="Times New Roman"/>
          <w:color w:val="000000"/>
          <w:kern w:val="0"/>
          <w:sz w:val="27"/>
          <w:szCs w:val="27"/>
          <w14:ligatures w14:val="none"/>
        </w:rPr>
        <w:t>megaprojects</w:t>
      </w:r>
      <w:proofErr w:type="spellEnd"/>
      <w:r w:rsidRPr="002C4BBE">
        <w:rPr>
          <w:rFonts w:ascii="Times New Roman" w:hAnsi="Times New Roman" w:cs="Times New Roman"/>
          <w:color w:val="000000"/>
          <w:kern w:val="0"/>
          <w:sz w:val="27"/>
          <w:szCs w:val="27"/>
          <w14:ligatures w14:val="none"/>
        </w:rPr>
        <w:t xml:space="preserve"> frequently experience overruns when site conditions differ from initial assumptions (</w:t>
      </w:r>
      <w:proofErr w:type="spellStart"/>
      <w:r w:rsidRPr="002C4BBE">
        <w:rPr>
          <w:rFonts w:ascii="Times New Roman" w:hAnsi="Times New Roman" w:cs="Times New Roman"/>
          <w:color w:val="000000"/>
          <w:kern w:val="0"/>
          <w:sz w:val="27"/>
          <w:szCs w:val="27"/>
          <w14:ligatures w14:val="none"/>
        </w:rPr>
        <w:t>Flyvbjerg</w:t>
      </w:r>
      <w:proofErr w:type="spellEnd"/>
      <w:r w:rsidRPr="002C4BBE">
        <w:rPr>
          <w:rFonts w:ascii="Times New Roman" w:hAnsi="Times New Roman" w:cs="Times New Roman"/>
          <w:color w:val="000000"/>
          <w:kern w:val="0"/>
          <w:sz w:val="27"/>
          <w:szCs w:val="27"/>
          <w14:ligatures w14:val="none"/>
        </w:rPr>
        <w:t xml:space="preserve">, 2009; </w:t>
      </w:r>
      <w:proofErr w:type="spellStart"/>
      <w:r w:rsidRPr="002C4BBE">
        <w:rPr>
          <w:rFonts w:ascii="Times New Roman" w:hAnsi="Times New Roman" w:cs="Times New Roman"/>
          <w:color w:val="000000"/>
          <w:kern w:val="0"/>
          <w:sz w:val="27"/>
          <w:szCs w:val="27"/>
          <w14:ligatures w14:val="none"/>
        </w:rPr>
        <w:t>Cantarelli</w:t>
      </w:r>
      <w:proofErr w:type="spellEnd"/>
      <w:r w:rsidRPr="002C4BBE">
        <w:rPr>
          <w:rFonts w:ascii="Times New Roman" w:hAnsi="Times New Roman" w:cs="Times New Roman"/>
          <w:color w:val="000000"/>
          <w:kern w:val="0"/>
          <w:sz w:val="27"/>
          <w:szCs w:val="27"/>
          <w14:ligatures w14:val="none"/>
        </w:rPr>
        <w:t xml:space="preserve"> et al., 2012).</w:t>
      </w:r>
    </w:p>
    <w:p w14:paraId="3B593533"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85AAA7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Mitigation measures:</w:t>
      </w:r>
    </w:p>
    <w:p w14:paraId="794A4EE6"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15 percent contingency allocation</w:t>
      </w:r>
    </w:p>
    <w:p w14:paraId="32C1CC2F"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Monthly cost tracking and variance analysis</w:t>
      </w:r>
    </w:p>
    <w:p w14:paraId="4FC2FFDD"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Use of fixed-price contracts where appropriate</w:t>
      </w:r>
    </w:p>
    <w:p w14:paraId="06DEA47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6593C22" w14:textId="77777777" w:rsidR="002C4BBE" w:rsidRPr="002C4BBE" w:rsidRDefault="002C4BBE" w:rsidP="002C4BBE">
      <w:pPr>
        <w:spacing w:before="120" w:after="60" w:line="240" w:lineRule="auto"/>
        <w:rPr>
          <w:rFonts w:ascii="-webkit-standard" w:hAnsi="-webkit-standard" w:cs="Times New Roman"/>
          <w:b/>
          <w:bCs/>
          <w:color w:val="000000"/>
          <w:kern w:val="0"/>
          <w:sz w:val="27"/>
          <w:szCs w:val="27"/>
          <w14:ligatures w14:val="none"/>
        </w:rPr>
      </w:pPr>
      <w:bookmarkStart w:id="25" w:name="_Toc214604562"/>
      <w:bookmarkEnd w:id="25"/>
      <w:r w:rsidRPr="002C4BBE">
        <w:rPr>
          <w:rFonts w:ascii="Aptos Display" w:hAnsi="Aptos Display" w:cs="Times New Roman"/>
          <w:b/>
          <w:bCs/>
          <w:color w:val="000000"/>
          <w:kern w:val="0"/>
          <w:sz w:val="36"/>
          <w:szCs w:val="36"/>
          <w14:ligatures w14:val="none"/>
        </w:rPr>
        <w:t>Regulatory and Environmental Risks</w:t>
      </w:r>
    </w:p>
    <w:p w14:paraId="4864AD55"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95A6C92"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Environmental legislation in British Columbia requires strict compliance with habitat protection, river management, and ecological standards. Delays in permitting or violations can stall construction. Studies highlight environmental compliance as a significant challenge in major reconstruction projects (Thorne, 2014; </w:t>
      </w:r>
      <w:proofErr w:type="spellStart"/>
      <w:r w:rsidRPr="002C4BBE">
        <w:rPr>
          <w:rFonts w:ascii="Times New Roman" w:hAnsi="Times New Roman" w:cs="Times New Roman"/>
          <w:color w:val="000000"/>
          <w:kern w:val="0"/>
          <w:sz w:val="27"/>
          <w:szCs w:val="27"/>
          <w14:ligatures w14:val="none"/>
        </w:rPr>
        <w:t>Mysiak</w:t>
      </w:r>
      <w:proofErr w:type="spellEnd"/>
      <w:r w:rsidRPr="002C4BBE">
        <w:rPr>
          <w:rFonts w:ascii="Times New Roman" w:hAnsi="Times New Roman" w:cs="Times New Roman"/>
          <w:color w:val="000000"/>
          <w:kern w:val="0"/>
          <w:sz w:val="27"/>
          <w:szCs w:val="27"/>
          <w14:ligatures w14:val="none"/>
        </w:rPr>
        <w:t xml:space="preserve"> et al., 2016).</w:t>
      </w:r>
    </w:p>
    <w:p w14:paraId="7D03FCF2"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D0BBCF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Mitigation measures:</w:t>
      </w:r>
    </w:p>
    <w:p w14:paraId="665C01C0"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Early coordination with environmental agencies</w:t>
      </w:r>
    </w:p>
    <w:p w14:paraId="72BC1649"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Environmental monitoring during riverbank work</w:t>
      </w:r>
    </w:p>
    <w:p w14:paraId="34AFF22B"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Use of low-impact construction methods</w:t>
      </w:r>
    </w:p>
    <w:p w14:paraId="5CEA3B01" w14:textId="77777777" w:rsidR="002C4BBE" w:rsidRPr="002C4BBE" w:rsidRDefault="002C4BBE" w:rsidP="002C4BBE">
      <w:pPr>
        <w:spacing w:after="0" w:line="240" w:lineRule="auto"/>
        <w:ind w:hanging="270"/>
        <w:jc w:val="both"/>
        <w:rPr>
          <w:rFonts w:ascii="Times New Roman" w:eastAsia="Times New Roman" w:hAnsi="Times New Roman" w:cs="Times New Roman"/>
          <w:color w:val="000000"/>
          <w:kern w:val="0"/>
          <w:sz w:val="27"/>
          <w:szCs w:val="27"/>
          <w14:ligatures w14:val="none"/>
        </w:rPr>
      </w:pPr>
      <w:r w:rsidRPr="002C4BBE">
        <w:rPr>
          <w:rFonts w:ascii="Segoe UI Symbol" w:eastAsia="Times New Roman" w:hAnsi="Segoe UI Symbol" w:cs="Segoe UI Symbol"/>
          <w:color w:val="000000"/>
          <w:kern w:val="0"/>
          <w:sz w:val="27"/>
          <w:szCs w:val="27"/>
          <w14:ligatures w14:val="none"/>
        </w:rPr>
        <w:t>➢</w:t>
      </w:r>
      <w:r w:rsidRPr="002C4BBE">
        <w:rPr>
          <w:rFonts w:ascii="Wingdings" w:eastAsia="Times New Roman" w:hAnsi="Wingdings" w:cs="Times New Roman"/>
          <w:color w:val="000000"/>
          <w:kern w:val="0"/>
          <w:sz w:val="27"/>
          <w:szCs w:val="27"/>
          <w14:ligatures w14:val="none"/>
        </w:rPr>
        <w:t> </w:t>
      </w:r>
      <w:r w:rsidRPr="002C4BBE">
        <w:rPr>
          <w:rFonts w:ascii="Times New Roman" w:eastAsia="Times New Roman" w:hAnsi="Times New Roman" w:cs="Times New Roman"/>
          <w:color w:val="000000"/>
          <w:kern w:val="0"/>
          <w:sz w:val="27"/>
          <w:szCs w:val="27"/>
          <w14:ligatures w14:val="none"/>
        </w:rPr>
        <w:t>Full documentation of compliance activities</w:t>
      </w:r>
    </w:p>
    <w:p w14:paraId="20E677F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495406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Table 2. Risk Matrix</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810"/>
        <w:gridCol w:w="1060"/>
        <w:gridCol w:w="640"/>
        <w:gridCol w:w="3399"/>
      </w:tblGrid>
      <w:tr w:rsidR="002C4BBE" w:rsidRPr="002C4BBE" w14:paraId="132DF666"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2CD5A5E9"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Risk Category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AAF58"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Probability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57253"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Impact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FAC32" w14:textId="77777777" w:rsidR="002C4BBE" w:rsidRPr="002C4BBE" w:rsidRDefault="002C4BBE" w:rsidP="002C4BBE">
            <w:pPr>
              <w:spacing w:after="0" w:line="240" w:lineRule="auto"/>
              <w:jc w:val="center"/>
              <w:rPr>
                <w:rFonts w:ascii="Times New Roman" w:hAnsi="Times New Roman" w:cs="Times New Roman"/>
                <w:b/>
                <w:bCs/>
                <w:kern w:val="0"/>
                <w:sz w:val="18"/>
                <w:szCs w:val="18"/>
                <w14:ligatures w14:val="none"/>
              </w:rPr>
            </w:pPr>
            <w:r w:rsidRPr="002C4BBE">
              <w:rPr>
                <w:rFonts w:ascii="Times New Roman" w:hAnsi="Times New Roman" w:cs="Times New Roman"/>
                <w:b/>
                <w:bCs/>
                <w:kern w:val="0"/>
                <w:sz w:val="18"/>
                <w:szCs w:val="18"/>
                <w14:ligatures w14:val="none"/>
              </w:rPr>
              <w:t>Mitigation Strategy</w:t>
            </w:r>
          </w:p>
        </w:tc>
      </w:tr>
      <w:tr w:rsidR="002C4BBE" w:rsidRPr="002C4BBE" w14:paraId="6F81EBFC"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655260AC"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Environmental / Climate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39A7A"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High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59F4B1"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High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CF0E2"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Climate-adaptive drainage, flexible scheduling</w:t>
            </w:r>
          </w:p>
        </w:tc>
      </w:tr>
      <w:tr w:rsidR="002C4BBE" w:rsidRPr="002C4BBE" w14:paraId="1B54C811"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6647133D"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Geotechnical hazards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9EC31"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High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6F642"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High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20F60"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Slope stabilisation, monitoring systems</w:t>
            </w:r>
          </w:p>
        </w:tc>
      </w:tr>
      <w:tr w:rsidR="002C4BBE" w:rsidRPr="002C4BBE" w14:paraId="2B04D5E3"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1E8C0720"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Operational disruptions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A0D05"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Medium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27413"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High</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BBCF19"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Early procurement, backup equipment</w:t>
            </w:r>
          </w:p>
        </w:tc>
      </w:tr>
      <w:tr w:rsidR="002C4BBE" w:rsidRPr="002C4BBE" w14:paraId="5A16D10B"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738E3D34"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Financial overruns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EE8A1"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Medium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F422D"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Medium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AA273"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Contingency budget, cost tracking</w:t>
            </w:r>
          </w:p>
        </w:tc>
      </w:tr>
      <w:tr w:rsidR="002C4BBE" w:rsidRPr="002C4BBE" w14:paraId="34F93074" w14:textId="77777777">
        <w:tc>
          <w:tcPr>
            <w:tcW w:w="0" w:type="auto"/>
            <w:tcBorders>
              <w:top w:val="single" w:sz="6" w:space="0" w:color="000000"/>
              <w:left w:val="single" w:sz="6" w:space="0" w:color="000000"/>
              <w:bottom w:val="single" w:sz="6" w:space="0" w:color="000000"/>
              <w:right w:val="single" w:sz="6" w:space="0" w:color="000000"/>
            </w:tcBorders>
            <w:vAlign w:val="center"/>
            <w:hideMark/>
          </w:tcPr>
          <w:p w14:paraId="385E86D6"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Regulatory delays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7928A"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Low–Medium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D86F6"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Medium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F4223" w14:textId="77777777" w:rsidR="002C4BBE" w:rsidRPr="002C4BBE" w:rsidRDefault="002C4BBE" w:rsidP="002C4BBE">
            <w:pPr>
              <w:spacing w:after="0" w:line="240" w:lineRule="auto"/>
              <w:rPr>
                <w:rFonts w:ascii="Times New Roman" w:hAnsi="Times New Roman" w:cs="Times New Roman"/>
                <w:kern w:val="0"/>
                <w:sz w:val="18"/>
                <w:szCs w:val="18"/>
                <w14:ligatures w14:val="none"/>
              </w:rPr>
            </w:pPr>
            <w:r w:rsidRPr="002C4BBE">
              <w:rPr>
                <w:rFonts w:ascii="Times New Roman" w:hAnsi="Times New Roman" w:cs="Times New Roman"/>
                <w:kern w:val="0"/>
                <w:sz w:val="18"/>
                <w:szCs w:val="18"/>
                <w14:ligatures w14:val="none"/>
              </w:rPr>
              <w:t>Early consultation, monitoring</w:t>
            </w:r>
          </w:p>
        </w:tc>
      </w:tr>
    </w:tbl>
    <w:p w14:paraId="56C48FA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DC7FEB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C848948"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26" w:name="_Toc214604563"/>
      <w:bookmarkEnd w:id="26"/>
      <w:r w:rsidRPr="002C4BBE">
        <w:rPr>
          <w:rFonts w:ascii="Aptos Display" w:hAnsi="Aptos Display" w:cs="Times New Roman"/>
          <w:b/>
          <w:bCs/>
          <w:color w:val="000000"/>
          <w:kern w:val="0"/>
          <w:sz w:val="30"/>
          <w:szCs w:val="30"/>
          <w14:ligatures w14:val="none"/>
        </w:rPr>
        <w:t>Conclusion</w:t>
      </w:r>
    </w:p>
    <w:p w14:paraId="539342DB"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378B222"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The reconstruction and reopening of Highway 5 is a critical infrastructure initiative designed to restore regional connectivity, economic stability, and public safety following the 2022 atmospheric river disaster. This Project Management Plan provides a structured, evidence-based approach incorporating project scope definition, resource allocation, scheduling, stakeholder engagement, and risk mitigation. These components align with best practice in infrastructure management and support the delivery of a climate-resilient transportation corridor (</w:t>
      </w:r>
      <w:proofErr w:type="spellStart"/>
      <w:r w:rsidRPr="002C4BBE">
        <w:rPr>
          <w:rFonts w:ascii="Times New Roman" w:hAnsi="Times New Roman" w:cs="Times New Roman"/>
          <w:color w:val="000000"/>
          <w:kern w:val="0"/>
          <w:sz w:val="27"/>
          <w:szCs w:val="27"/>
          <w14:ligatures w14:val="none"/>
        </w:rPr>
        <w:t>Kerzner</w:t>
      </w:r>
      <w:proofErr w:type="spellEnd"/>
      <w:r w:rsidRPr="002C4BBE">
        <w:rPr>
          <w:rFonts w:ascii="Times New Roman" w:hAnsi="Times New Roman" w:cs="Times New Roman"/>
          <w:color w:val="000000"/>
          <w:kern w:val="0"/>
          <w:sz w:val="27"/>
          <w:szCs w:val="27"/>
          <w14:ligatures w14:val="none"/>
        </w:rPr>
        <w:t>, 2017; PMI, 2021).</w:t>
      </w:r>
    </w:p>
    <w:p w14:paraId="5856B5BD"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The integration of climate-adaptive engineering, advanced monitoring systems, and improved drainage capacity strengthens the long-term resilience of the </w:t>
      </w:r>
      <w:proofErr w:type="spellStart"/>
      <w:r w:rsidRPr="002C4BBE">
        <w:rPr>
          <w:rFonts w:ascii="Times New Roman" w:hAnsi="Times New Roman" w:cs="Times New Roman"/>
          <w:color w:val="000000"/>
          <w:kern w:val="0"/>
          <w:sz w:val="27"/>
          <w:szCs w:val="27"/>
          <w14:ligatures w14:val="none"/>
        </w:rPr>
        <w:t>Coquihalla</w:t>
      </w:r>
      <w:proofErr w:type="spellEnd"/>
      <w:r w:rsidRPr="002C4BBE">
        <w:rPr>
          <w:rFonts w:ascii="Times New Roman" w:hAnsi="Times New Roman" w:cs="Times New Roman"/>
          <w:color w:val="000000"/>
          <w:kern w:val="0"/>
          <w:sz w:val="27"/>
          <w:szCs w:val="27"/>
          <w14:ligatures w14:val="none"/>
        </w:rPr>
        <w:t xml:space="preserve"> Highway. Stakeholder collaboration across government agencies, engineering firms, communities, and environmental organisations ensures transparency and improves decision quality. The risk analysis demonstrates that environmental and geotechnical challenges represent the most significant threats to the project, but these can be managed effectively through robust planning and continuous monitoring.</w:t>
      </w:r>
    </w:p>
    <w:p w14:paraId="11870960" w14:textId="77777777" w:rsidR="002C4BBE" w:rsidRPr="002C4BBE" w:rsidRDefault="002C4BBE" w:rsidP="002C4BBE">
      <w:pPr>
        <w:spacing w:after="120" w:line="240" w:lineRule="auto"/>
        <w:ind w:firstLine="540"/>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Overall, the plan provides a comprehensive framework for restoring Highway 5 safely, efficiently, and sustainably, ensuring the route can withstand future extreme weather events and support British Columbia’s economic and social needs.</w:t>
      </w:r>
    </w:p>
    <w:p w14:paraId="047F6911"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6EE65B4" w14:textId="77777777" w:rsidR="002C4BBE" w:rsidRPr="002C4BBE" w:rsidRDefault="002C4BBE" w:rsidP="002C4BBE">
      <w:pPr>
        <w:spacing w:before="270" w:after="60" w:line="240" w:lineRule="auto"/>
        <w:rPr>
          <w:rFonts w:ascii="-webkit-standard" w:hAnsi="-webkit-standard" w:cs="Times New Roman"/>
          <w:b/>
          <w:bCs/>
          <w:color w:val="000000"/>
          <w:kern w:val="0"/>
          <w:sz w:val="27"/>
          <w:szCs w:val="27"/>
          <w14:ligatures w14:val="none"/>
        </w:rPr>
      </w:pPr>
      <w:bookmarkStart w:id="27" w:name="_Toc214604564"/>
      <w:bookmarkEnd w:id="27"/>
      <w:r w:rsidRPr="002C4BBE">
        <w:rPr>
          <w:rFonts w:ascii="Aptos Display" w:hAnsi="Aptos Display" w:cs="Times New Roman"/>
          <w:b/>
          <w:bCs/>
          <w:color w:val="000000"/>
          <w:kern w:val="0"/>
          <w:sz w:val="30"/>
          <w:szCs w:val="30"/>
          <w14:ligatures w14:val="none"/>
        </w:rPr>
        <w:t>11. References</w:t>
      </w:r>
    </w:p>
    <w:p w14:paraId="22C06A88"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AC3A97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Aaltonen</w:t>
      </w:r>
      <w:proofErr w:type="spellEnd"/>
      <w:r w:rsidRPr="002C4BBE">
        <w:rPr>
          <w:rFonts w:ascii="Times New Roman" w:hAnsi="Times New Roman" w:cs="Times New Roman"/>
          <w:color w:val="000000"/>
          <w:kern w:val="0"/>
          <w:sz w:val="27"/>
          <w:szCs w:val="27"/>
          <w14:ligatures w14:val="none"/>
        </w:rPr>
        <w:t xml:space="preserve">, K. and </w:t>
      </w:r>
      <w:proofErr w:type="spellStart"/>
      <w:r w:rsidRPr="002C4BBE">
        <w:rPr>
          <w:rFonts w:ascii="Times New Roman" w:hAnsi="Times New Roman" w:cs="Times New Roman"/>
          <w:color w:val="000000"/>
          <w:kern w:val="0"/>
          <w:sz w:val="27"/>
          <w:szCs w:val="27"/>
          <w14:ligatures w14:val="none"/>
        </w:rPr>
        <w:t>Kujala</w:t>
      </w:r>
      <w:proofErr w:type="spellEnd"/>
      <w:r w:rsidRPr="002C4BBE">
        <w:rPr>
          <w:rFonts w:ascii="Times New Roman" w:hAnsi="Times New Roman" w:cs="Times New Roman"/>
          <w:color w:val="000000"/>
          <w:kern w:val="0"/>
          <w:sz w:val="27"/>
          <w:szCs w:val="27"/>
          <w14:ligatures w14:val="none"/>
        </w:rPr>
        <w:t>, J. (2016) ‘Towards an improved understanding of stakeholder dynamics in project management’, International Journal of Project Management, 34(8), pp. 1537–1552.</w:t>
      </w:r>
    </w:p>
    <w:p w14:paraId="4F490DB3"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09F733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Akgün</w:t>
      </w:r>
      <w:proofErr w:type="spellEnd"/>
      <w:r w:rsidRPr="002C4BBE">
        <w:rPr>
          <w:rFonts w:ascii="Times New Roman" w:hAnsi="Times New Roman" w:cs="Times New Roman"/>
          <w:color w:val="000000"/>
          <w:kern w:val="0"/>
          <w:sz w:val="27"/>
          <w:szCs w:val="27"/>
          <w14:ligatures w14:val="none"/>
        </w:rPr>
        <w:t xml:space="preserve">, A., </w:t>
      </w:r>
      <w:proofErr w:type="spellStart"/>
      <w:r w:rsidRPr="002C4BBE">
        <w:rPr>
          <w:rFonts w:ascii="Times New Roman" w:hAnsi="Times New Roman" w:cs="Times New Roman"/>
          <w:color w:val="000000"/>
          <w:kern w:val="0"/>
          <w:sz w:val="27"/>
          <w:szCs w:val="27"/>
          <w14:ligatures w14:val="none"/>
        </w:rPr>
        <w:t>Koçyiğit</w:t>
      </w:r>
      <w:proofErr w:type="spellEnd"/>
      <w:r w:rsidRPr="002C4BBE">
        <w:rPr>
          <w:rFonts w:ascii="Times New Roman" w:hAnsi="Times New Roman" w:cs="Times New Roman"/>
          <w:color w:val="000000"/>
          <w:kern w:val="0"/>
          <w:sz w:val="27"/>
          <w:szCs w:val="27"/>
          <w14:ligatures w14:val="none"/>
        </w:rPr>
        <w:t xml:space="preserve">, A. and </w:t>
      </w:r>
      <w:proofErr w:type="spellStart"/>
      <w:r w:rsidRPr="002C4BBE">
        <w:rPr>
          <w:rFonts w:ascii="Times New Roman" w:hAnsi="Times New Roman" w:cs="Times New Roman"/>
          <w:color w:val="000000"/>
          <w:kern w:val="0"/>
          <w:sz w:val="27"/>
          <w:szCs w:val="27"/>
          <w14:ligatures w14:val="none"/>
        </w:rPr>
        <w:t>Nefeslioğlu</w:t>
      </w:r>
      <w:proofErr w:type="spellEnd"/>
      <w:r w:rsidRPr="002C4BBE">
        <w:rPr>
          <w:rFonts w:ascii="Times New Roman" w:hAnsi="Times New Roman" w:cs="Times New Roman"/>
          <w:color w:val="000000"/>
          <w:kern w:val="0"/>
          <w:sz w:val="27"/>
          <w:szCs w:val="27"/>
          <w14:ligatures w14:val="none"/>
        </w:rPr>
        <w:t>, H. (2020) ‘Assessment of flood-induced bridge failures using geospatial technologies’, Engineering Geology, 270, pp. 1–12.</w:t>
      </w:r>
    </w:p>
    <w:p w14:paraId="4013704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4C80EB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Bosher</w:t>
      </w:r>
      <w:proofErr w:type="spellEnd"/>
      <w:r w:rsidRPr="002C4BBE">
        <w:rPr>
          <w:rFonts w:ascii="Times New Roman" w:hAnsi="Times New Roman" w:cs="Times New Roman"/>
          <w:color w:val="000000"/>
          <w:kern w:val="0"/>
          <w:sz w:val="27"/>
          <w:szCs w:val="27"/>
          <w14:ligatures w14:val="none"/>
        </w:rPr>
        <w:t xml:space="preserve">, L. and </w:t>
      </w:r>
      <w:proofErr w:type="spellStart"/>
      <w:r w:rsidRPr="002C4BBE">
        <w:rPr>
          <w:rFonts w:ascii="Times New Roman" w:hAnsi="Times New Roman" w:cs="Times New Roman"/>
          <w:color w:val="000000"/>
          <w:kern w:val="0"/>
          <w:sz w:val="27"/>
          <w:szCs w:val="27"/>
          <w14:ligatures w14:val="none"/>
        </w:rPr>
        <w:t>Chmutina</w:t>
      </w:r>
      <w:proofErr w:type="spellEnd"/>
      <w:r w:rsidRPr="002C4BBE">
        <w:rPr>
          <w:rFonts w:ascii="Times New Roman" w:hAnsi="Times New Roman" w:cs="Times New Roman"/>
          <w:color w:val="000000"/>
          <w:kern w:val="0"/>
          <w:sz w:val="27"/>
          <w:szCs w:val="27"/>
          <w14:ligatures w14:val="none"/>
        </w:rPr>
        <w:t>, K. (2017) ‘Disaster risk reduction and infrastructure resilience’, International Journal of Disaster Risk Reduction, 25, pp. 1–9.</w:t>
      </w:r>
    </w:p>
    <w:p w14:paraId="49E96D0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B088AA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Buma</w:t>
      </w:r>
      <w:proofErr w:type="spellEnd"/>
      <w:r w:rsidRPr="002C4BBE">
        <w:rPr>
          <w:rFonts w:ascii="Times New Roman" w:hAnsi="Times New Roman" w:cs="Times New Roman"/>
          <w:color w:val="000000"/>
          <w:kern w:val="0"/>
          <w:sz w:val="27"/>
          <w:szCs w:val="27"/>
          <w14:ligatures w14:val="none"/>
        </w:rPr>
        <w:t>, B. (2018) ‘The role of future wildfire in slope stability’, Earth Surface Processes and Landforms, 43(14), pp. 2887–2899.</w:t>
      </w:r>
    </w:p>
    <w:p w14:paraId="31BAD0E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6EBF66B"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Cantarelli</w:t>
      </w:r>
      <w:proofErr w:type="spellEnd"/>
      <w:r w:rsidRPr="002C4BBE">
        <w:rPr>
          <w:rFonts w:ascii="Times New Roman" w:hAnsi="Times New Roman" w:cs="Times New Roman"/>
          <w:color w:val="000000"/>
          <w:kern w:val="0"/>
          <w:sz w:val="27"/>
          <w:szCs w:val="27"/>
          <w14:ligatures w14:val="none"/>
        </w:rPr>
        <w:t xml:space="preserve">, C., </w:t>
      </w:r>
      <w:proofErr w:type="spellStart"/>
      <w:r w:rsidRPr="002C4BBE">
        <w:rPr>
          <w:rFonts w:ascii="Times New Roman" w:hAnsi="Times New Roman" w:cs="Times New Roman"/>
          <w:color w:val="000000"/>
          <w:kern w:val="0"/>
          <w:sz w:val="27"/>
          <w:szCs w:val="27"/>
          <w14:ligatures w14:val="none"/>
        </w:rPr>
        <w:t>Flyvbjerg</w:t>
      </w:r>
      <w:proofErr w:type="spellEnd"/>
      <w:r w:rsidRPr="002C4BBE">
        <w:rPr>
          <w:rFonts w:ascii="Times New Roman" w:hAnsi="Times New Roman" w:cs="Times New Roman"/>
          <w:color w:val="000000"/>
          <w:kern w:val="0"/>
          <w:sz w:val="27"/>
          <w:szCs w:val="27"/>
          <w14:ligatures w14:val="none"/>
        </w:rPr>
        <w:t xml:space="preserve">, B. and </w:t>
      </w:r>
      <w:proofErr w:type="spellStart"/>
      <w:r w:rsidRPr="002C4BBE">
        <w:rPr>
          <w:rFonts w:ascii="Times New Roman" w:hAnsi="Times New Roman" w:cs="Times New Roman"/>
          <w:color w:val="000000"/>
          <w:kern w:val="0"/>
          <w:sz w:val="27"/>
          <w:szCs w:val="27"/>
          <w14:ligatures w14:val="none"/>
        </w:rPr>
        <w:t>Buhl</w:t>
      </w:r>
      <w:proofErr w:type="spellEnd"/>
      <w:r w:rsidRPr="002C4BBE">
        <w:rPr>
          <w:rFonts w:ascii="Times New Roman" w:hAnsi="Times New Roman" w:cs="Times New Roman"/>
          <w:color w:val="000000"/>
          <w:kern w:val="0"/>
          <w:sz w:val="27"/>
          <w:szCs w:val="27"/>
          <w14:ligatures w14:val="none"/>
        </w:rPr>
        <w:t>, S. (2012) ‘Geographical variation in project cost performance’, Transport Policy, 24, pp. 34–46.</w:t>
      </w:r>
    </w:p>
    <w:p w14:paraId="055946EF"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D02ED0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Carney, G. et al. (2022) BMJ Open Diabetes Research and Care, 10(6). </w:t>
      </w:r>
    </w:p>
    <w:p w14:paraId="044D0EB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B39AFF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Chang, S., Yip, J. and Tse, W. (2021) ‘Enhancing infrastructure resilience after natural disasters’, Natural Hazards Review, 22(3), pp. 1–13.</w:t>
      </w:r>
    </w:p>
    <w:p w14:paraId="0F2130E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75E36B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Cimellaro</w:t>
      </w:r>
      <w:proofErr w:type="spellEnd"/>
      <w:r w:rsidRPr="002C4BBE">
        <w:rPr>
          <w:rFonts w:ascii="Times New Roman" w:hAnsi="Times New Roman" w:cs="Times New Roman"/>
          <w:color w:val="000000"/>
          <w:kern w:val="0"/>
          <w:sz w:val="27"/>
          <w:szCs w:val="27"/>
          <w14:ligatures w14:val="none"/>
        </w:rPr>
        <w:t xml:space="preserve">, G., </w:t>
      </w:r>
      <w:proofErr w:type="spellStart"/>
      <w:r w:rsidRPr="002C4BBE">
        <w:rPr>
          <w:rFonts w:ascii="Times New Roman" w:hAnsi="Times New Roman" w:cs="Times New Roman"/>
          <w:color w:val="000000"/>
          <w:kern w:val="0"/>
          <w:sz w:val="27"/>
          <w:szCs w:val="27"/>
          <w14:ligatures w14:val="none"/>
        </w:rPr>
        <w:t>Reinhorn</w:t>
      </w:r>
      <w:proofErr w:type="spellEnd"/>
      <w:r w:rsidRPr="002C4BBE">
        <w:rPr>
          <w:rFonts w:ascii="Times New Roman" w:hAnsi="Times New Roman" w:cs="Times New Roman"/>
          <w:color w:val="000000"/>
          <w:kern w:val="0"/>
          <w:sz w:val="27"/>
          <w:szCs w:val="27"/>
          <w14:ligatures w14:val="none"/>
        </w:rPr>
        <w:t xml:space="preserve">, A. and </w:t>
      </w:r>
      <w:proofErr w:type="spellStart"/>
      <w:r w:rsidRPr="002C4BBE">
        <w:rPr>
          <w:rFonts w:ascii="Times New Roman" w:hAnsi="Times New Roman" w:cs="Times New Roman"/>
          <w:color w:val="000000"/>
          <w:kern w:val="0"/>
          <w:sz w:val="27"/>
          <w:szCs w:val="27"/>
          <w14:ligatures w14:val="none"/>
        </w:rPr>
        <w:t>Bruneau</w:t>
      </w:r>
      <w:proofErr w:type="spellEnd"/>
      <w:r w:rsidRPr="002C4BBE">
        <w:rPr>
          <w:rFonts w:ascii="Times New Roman" w:hAnsi="Times New Roman" w:cs="Times New Roman"/>
          <w:color w:val="000000"/>
          <w:kern w:val="0"/>
          <w:sz w:val="27"/>
          <w:szCs w:val="27"/>
          <w14:ligatures w14:val="none"/>
        </w:rPr>
        <w:t>, M. (2016) Resilience-Based Design of Structures and Infrastructure. New York: Springer.</w:t>
      </w:r>
    </w:p>
    <w:p w14:paraId="446686D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C4FB6F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Clague</w:t>
      </w:r>
      <w:proofErr w:type="spellEnd"/>
      <w:r w:rsidRPr="002C4BBE">
        <w:rPr>
          <w:rFonts w:ascii="Times New Roman" w:hAnsi="Times New Roman" w:cs="Times New Roman"/>
          <w:color w:val="000000"/>
          <w:kern w:val="0"/>
          <w:sz w:val="27"/>
          <w:szCs w:val="27"/>
          <w14:ligatures w14:val="none"/>
        </w:rPr>
        <w:t>, J. and Roberts, N. (2015) ‘Landslide hazards in British Columbia’, Natural Hazards, 78(3), pp. 1923–1948.</w:t>
      </w:r>
    </w:p>
    <w:p w14:paraId="092A881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FB44901"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Flyvbjerg</w:t>
      </w:r>
      <w:proofErr w:type="spellEnd"/>
      <w:r w:rsidRPr="002C4BBE">
        <w:rPr>
          <w:rFonts w:ascii="Times New Roman" w:hAnsi="Times New Roman" w:cs="Times New Roman"/>
          <w:color w:val="000000"/>
          <w:kern w:val="0"/>
          <w:sz w:val="27"/>
          <w:szCs w:val="27"/>
          <w14:ligatures w14:val="none"/>
        </w:rPr>
        <w:t>, B. (2009) ‘Survival of the unfittest’, Oxford Review of Economic Policy, 25(3), pp. 344–367.</w:t>
      </w:r>
    </w:p>
    <w:p w14:paraId="02617300"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F856CF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Geertsema</w:t>
      </w:r>
      <w:proofErr w:type="spellEnd"/>
      <w:r w:rsidRPr="002C4BBE">
        <w:rPr>
          <w:rFonts w:ascii="Times New Roman" w:hAnsi="Times New Roman" w:cs="Times New Roman"/>
          <w:color w:val="000000"/>
          <w:kern w:val="0"/>
          <w:sz w:val="27"/>
          <w:szCs w:val="27"/>
          <w14:ligatures w14:val="none"/>
        </w:rPr>
        <w:t>, M. et al. (2022) Geophysical Research Letters, 49(6). </w:t>
      </w:r>
    </w:p>
    <w:p w14:paraId="6CB30345"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A916B4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BA (</w:t>
      </w:r>
      <w:proofErr w:type="spellStart"/>
      <w:r w:rsidRPr="002C4BBE">
        <w:rPr>
          <w:rFonts w:ascii="Times New Roman" w:hAnsi="Times New Roman" w:cs="Times New Roman"/>
          <w:color w:val="000000"/>
          <w:kern w:val="0"/>
          <w:sz w:val="27"/>
          <w:szCs w:val="27"/>
          <w14:ligatures w14:val="none"/>
        </w:rPr>
        <w:t>Hons</w:t>
      </w:r>
      <w:proofErr w:type="spellEnd"/>
      <w:r w:rsidRPr="002C4BBE">
        <w:rPr>
          <w:rFonts w:ascii="Times New Roman" w:hAnsi="Times New Roman" w:cs="Times New Roman"/>
          <w:color w:val="000000"/>
          <w:kern w:val="0"/>
          <w:sz w:val="27"/>
          <w:szCs w:val="27"/>
          <w14:ligatures w14:val="none"/>
        </w:rPr>
        <w:t>) Leadership and Manage…</w:t>
      </w:r>
    </w:p>
    <w:p w14:paraId="27CD23F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3EA664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Jakob, M. and Lambert, S. (2016) ‘Climate change effects on landslides’, Landslides, 13(1), pp. 1–13.</w:t>
      </w:r>
    </w:p>
    <w:p w14:paraId="52632CB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41B7C17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Kerzner</w:t>
      </w:r>
      <w:proofErr w:type="spellEnd"/>
      <w:r w:rsidRPr="002C4BBE">
        <w:rPr>
          <w:rFonts w:ascii="Times New Roman" w:hAnsi="Times New Roman" w:cs="Times New Roman"/>
          <w:color w:val="000000"/>
          <w:kern w:val="0"/>
          <w:sz w:val="27"/>
          <w:szCs w:val="27"/>
          <w14:ligatures w14:val="none"/>
        </w:rPr>
        <w:t>, H. (2017) Project Management: A Systems Approach. New York: Wiley.</w:t>
      </w:r>
    </w:p>
    <w:p w14:paraId="418619FF"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0A019B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Koks</w:t>
      </w:r>
      <w:proofErr w:type="spellEnd"/>
      <w:r w:rsidRPr="002C4BBE">
        <w:rPr>
          <w:rFonts w:ascii="Times New Roman" w:hAnsi="Times New Roman" w:cs="Times New Roman"/>
          <w:color w:val="000000"/>
          <w:kern w:val="0"/>
          <w:sz w:val="27"/>
          <w:szCs w:val="27"/>
          <w14:ligatures w14:val="none"/>
        </w:rPr>
        <w:t xml:space="preserve">, E., </w:t>
      </w:r>
      <w:proofErr w:type="spellStart"/>
      <w:r w:rsidRPr="002C4BBE">
        <w:rPr>
          <w:rFonts w:ascii="Times New Roman" w:hAnsi="Times New Roman" w:cs="Times New Roman"/>
          <w:color w:val="000000"/>
          <w:kern w:val="0"/>
          <w:sz w:val="27"/>
          <w:szCs w:val="27"/>
          <w14:ligatures w14:val="none"/>
        </w:rPr>
        <w:t>Rozenberg</w:t>
      </w:r>
      <w:proofErr w:type="spellEnd"/>
      <w:r w:rsidRPr="002C4BBE">
        <w:rPr>
          <w:rFonts w:ascii="Times New Roman" w:hAnsi="Times New Roman" w:cs="Times New Roman"/>
          <w:color w:val="000000"/>
          <w:kern w:val="0"/>
          <w:sz w:val="27"/>
          <w:szCs w:val="27"/>
          <w14:ligatures w14:val="none"/>
        </w:rPr>
        <w:t xml:space="preserve">, J. and </w:t>
      </w:r>
      <w:proofErr w:type="spellStart"/>
      <w:r w:rsidRPr="002C4BBE">
        <w:rPr>
          <w:rFonts w:ascii="Times New Roman" w:hAnsi="Times New Roman" w:cs="Times New Roman"/>
          <w:color w:val="000000"/>
          <w:kern w:val="0"/>
          <w:sz w:val="27"/>
          <w:szCs w:val="27"/>
          <w14:ligatures w14:val="none"/>
        </w:rPr>
        <w:t>Zorn</w:t>
      </w:r>
      <w:proofErr w:type="spellEnd"/>
      <w:r w:rsidRPr="002C4BBE">
        <w:rPr>
          <w:rFonts w:ascii="Times New Roman" w:hAnsi="Times New Roman" w:cs="Times New Roman"/>
          <w:color w:val="000000"/>
          <w:kern w:val="0"/>
          <w:sz w:val="27"/>
          <w:szCs w:val="27"/>
          <w14:ligatures w14:val="none"/>
        </w:rPr>
        <w:t>, C. (2019) ‘Regional economic impacts of transport disruptions’, Transportation Research Part D, 69, pp. 330–344.</w:t>
      </w:r>
    </w:p>
    <w:p w14:paraId="29073F4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6141AD5"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Kumar, A. and </w:t>
      </w:r>
      <w:proofErr w:type="spellStart"/>
      <w:r w:rsidRPr="002C4BBE">
        <w:rPr>
          <w:rFonts w:ascii="Times New Roman" w:hAnsi="Times New Roman" w:cs="Times New Roman"/>
          <w:color w:val="000000"/>
          <w:kern w:val="0"/>
          <w:sz w:val="27"/>
          <w:szCs w:val="27"/>
          <w14:ligatures w14:val="none"/>
        </w:rPr>
        <w:t>Bansal</w:t>
      </w:r>
      <w:proofErr w:type="spellEnd"/>
      <w:r w:rsidRPr="002C4BBE">
        <w:rPr>
          <w:rFonts w:ascii="Times New Roman" w:hAnsi="Times New Roman" w:cs="Times New Roman"/>
          <w:color w:val="000000"/>
          <w:kern w:val="0"/>
          <w:sz w:val="27"/>
          <w:szCs w:val="27"/>
          <w14:ligatures w14:val="none"/>
        </w:rPr>
        <w:t>, D. (2018) ‘Reliability considerations in infrastructure projects’, Journal of Construction Engineering and Management, 144(5), pp. 1–10.</w:t>
      </w:r>
    </w:p>
    <w:p w14:paraId="1C561727"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DC2E85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Mattsson</w:t>
      </w:r>
      <w:proofErr w:type="spellEnd"/>
      <w:r w:rsidRPr="002C4BBE">
        <w:rPr>
          <w:rFonts w:ascii="Times New Roman" w:hAnsi="Times New Roman" w:cs="Times New Roman"/>
          <w:color w:val="000000"/>
          <w:kern w:val="0"/>
          <w:sz w:val="27"/>
          <w:szCs w:val="27"/>
          <w14:ligatures w14:val="none"/>
        </w:rPr>
        <w:t xml:space="preserve">, L. and </w:t>
      </w:r>
      <w:proofErr w:type="spellStart"/>
      <w:r w:rsidRPr="002C4BBE">
        <w:rPr>
          <w:rFonts w:ascii="Times New Roman" w:hAnsi="Times New Roman" w:cs="Times New Roman"/>
          <w:color w:val="000000"/>
          <w:kern w:val="0"/>
          <w:sz w:val="27"/>
          <w:szCs w:val="27"/>
          <w14:ligatures w14:val="none"/>
        </w:rPr>
        <w:t>Jenelius</w:t>
      </w:r>
      <w:proofErr w:type="spellEnd"/>
      <w:r w:rsidRPr="002C4BBE">
        <w:rPr>
          <w:rFonts w:ascii="Times New Roman" w:hAnsi="Times New Roman" w:cs="Times New Roman"/>
          <w:color w:val="000000"/>
          <w:kern w:val="0"/>
          <w:sz w:val="27"/>
          <w:szCs w:val="27"/>
          <w14:ligatures w14:val="none"/>
        </w:rPr>
        <w:t>, E. (2015) ‘Vulnerability and resilience of transport systems’, Transportation Research Part A, 81, pp. 16–34.</w:t>
      </w:r>
    </w:p>
    <w:p w14:paraId="295936A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E91F8E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Meredith, J. and </w:t>
      </w:r>
      <w:proofErr w:type="spellStart"/>
      <w:r w:rsidRPr="002C4BBE">
        <w:rPr>
          <w:rFonts w:ascii="Times New Roman" w:hAnsi="Times New Roman" w:cs="Times New Roman"/>
          <w:color w:val="000000"/>
          <w:kern w:val="0"/>
          <w:sz w:val="27"/>
          <w:szCs w:val="27"/>
          <w14:ligatures w14:val="none"/>
        </w:rPr>
        <w:t>Shafer</w:t>
      </w:r>
      <w:proofErr w:type="spellEnd"/>
      <w:r w:rsidRPr="002C4BBE">
        <w:rPr>
          <w:rFonts w:ascii="Times New Roman" w:hAnsi="Times New Roman" w:cs="Times New Roman"/>
          <w:color w:val="000000"/>
          <w:kern w:val="0"/>
          <w:sz w:val="27"/>
          <w:szCs w:val="27"/>
          <w14:ligatures w14:val="none"/>
        </w:rPr>
        <w:t>, S. (2021) Operations Management for MBAs. Hoboken: Wiley.</w:t>
      </w:r>
    </w:p>
    <w:p w14:paraId="2106D97D"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1ED257E5"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Mysiak</w:t>
      </w:r>
      <w:proofErr w:type="spellEnd"/>
      <w:r w:rsidRPr="002C4BBE">
        <w:rPr>
          <w:rFonts w:ascii="Times New Roman" w:hAnsi="Times New Roman" w:cs="Times New Roman"/>
          <w:color w:val="000000"/>
          <w:kern w:val="0"/>
          <w:sz w:val="27"/>
          <w:szCs w:val="27"/>
          <w14:ligatures w14:val="none"/>
        </w:rPr>
        <w:t xml:space="preserve">, J., </w:t>
      </w:r>
      <w:proofErr w:type="spellStart"/>
      <w:r w:rsidRPr="002C4BBE">
        <w:rPr>
          <w:rFonts w:ascii="Times New Roman" w:hAnsi="Times New Roman" w:cs="Times New Roman"/>
          <w:color w:val="000000"/>
          <w:kern w:val="0"/>
          <w:sz w:val="27"/>
          <w:szCs w:val="27"/>
          <w14:ligatures w14:val="none"/>
        </w:rPr>
        <w:t>Surminski</w:t>
      </w:r>
      <w:proofErr w:type="spellEnd"/>
      <w:r w:rsidRPr="002C4BBE">
        <w:rPr>
          <w:rFonts w:ascii="Times New Roman" w:hAnsi="Times New Roman" w:cs="Times New Roman"/>
          <w:color w:val="000000"/>
          <w:kern w:val="0"/>
          <w:sz w:val="27"/>
          <w:szCs w:val="27"/>
          <w14:ligatures w14:val="none"/>
        </w:rPr>
        <w:t xml:space="preserve">, S. and </w:t>
      </w:r>
      <w:proofErr w:type="spellStart"/>
      <w:r w:rsidRPr="002C4BBE">
        <w:rPr>
          <w:rFonts w:ascii="Times New Roman" w:hAnsi="Times New Roman" w:cs="Times New Roman"/>
          <w:color w:val="000000"/>
          <w:kern w:val="0"/>
          <w:sz w:val="27"/>
          <w:szCs w:val="27"/>
          <w14:ligatures w14:val="none"/>
        </w:rPr>
        <w:t>Thieken</w:t>
      </w:r>
      <w:proofErr w:type="spellEnd"/>
      <w:r w:rsidRPr="002C4BBE">
        <w:rPr>
          <w:rFonts w:ascii="Times New Roman" w:hAnsi="Times New Roman" w:cs="Times New Roman"/>
          <w:color w:val="000000"/>
          <w:kern w:val="0"/>
          <w:sz w:val="27"/>
          <w:szCs w:val="27"/>
          <w14:ligatures w14:val="none"/>
        </w:rPr>
        <w:t>, A. (2016) ‘Sendai framework for disaster risk reduction’, Natural Hazards and Earth System Sciences, 16(12), pp. 1–4.</w:t>
      </w:r>
    </w:p>
    <w:p w14:paraId="0682AA9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5DD7E1E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O’Rourke, T. (2019) ‘Critical infrastructure and resilience’, Earthquake Spectra, 35(1), pp. 1–30.</w:t>
      </w:r>
    </w:p>
    <w:p w14:paraId="3E028D2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2EEAF8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Olaniran</w:t>
      </w:r>
      <w:proofErr w:type="spellEnd"/>
      <w:r w:rsidRPr="002C4BBE">
        <w:rPr>
          <w:rFonts w:ascii="Times New Roman" w:hAnsi="Times New Roman" w:cs="Times New Roman"/>
          <w:color w:val="000000"/>
          <w:kern w:val="0"/>
          <w:sz w:val="27"/>
          <w:szCs w:val="27"/>
          <w14:ligatures w14:val="none"/>
        </w:rPr>
        <w:t>, O., Love, P. and Edwards, D. (2015) ‘Cost overruns in infrastructure projects’, Structure and Infrastructure Engineering, 11(5), pp. 1–13.</w:t>
      </w:r>
    </w:p>
    <w:p w14:paraId="19D14A2E"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D1782A9"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Pant, R., Hall, J. and </w:t>
      </w:r>
      <w:proofErr w:type="spellStart"/>
      <w:r w:rsidRPr="002C4BBE">
        <w:rPr>
          <w:rFonts w:ascii="Times New Roman" w:hAnsi="Times New Roman" w:cs="Times New Roman"/>
          <w:color w:val="000000"/>
          <w:kern w:val="0"/>
          <w:sz w:val="27"/>
          <w:szCs w:val="27"/>
          <w14:ligatures w14:val="none"/>
        </w:rPr>
        <w:t>Blainey</w:t>
      </w:r>
      <w:proofErr w:type="spellEnd"/>
      <w:r w:rsidRPr="002C4BBE">
        <w:rPr>
          <w:rFonts w:ascii="Times New Roman" w:hAnsi="Times New Roman" w:cs="Times New Roman"/>
          <w:color w:val="000000"/>
          <w:kern w:val="0"/>
          <w:sz w:val="27"/>
          <w:szCs w:val="27"/>
          <w14:ligatures w14:val="none"/>
        </w:rPr>
        <w:t>, S. (2020) ‘Vulnerability of interdependent transport networks’, Transportation Research Part A, 134, pp. 96–113.</w:t>
      </w:r>
    </w:p>
    <w:p w14:paraId="59FC3D7F"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3CD02281"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PMI (2021) A Guide to the Project Management Body of Knowledge (PMBOK Guide). Newtown Square: PMI.</w:t>
      </w:r>
    </w:p>
    <w:p w14:paraId="17C881E3"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22B9ED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Shane, J. and Smith, N. (2020) ‘Cost performance of </w:t>
      </w:r>
      <w:proofErr w:type="spellStart"/>
      <w:r w:rsidRPr="002C4BBE">
        <w:rPr>
          <w:rFonts w:ascii="Times New Roman" w:hAnsi="Times New Roman" w:cs="Times New Roman"/>
          <w:color w:val="000000"/>
          <w:kern w:val="0"/>
          <w:sz w:val="27"/>
          <w:szCs w:val="27"/>
          <w14:ligatures w14:val="none"/>
        </w:rPr>
        <w:t>megaprojects</w:t>
      </w:r>
      <w:proofErr w:type="spellEnd"/>
      <w:r w:rsidRPr="002C4BBE">
        <w:rPr>
          <w:rFonts w:ascii="Times New Roman" w:hAnsi="Times New Roman" w:cs="Times New Roman"/>
          <w:color w:val="000000"/>
          <w:kern w:val="0"/>
          <w:sz w:val="27"/>
          <w:szCs w:val="27"/>
          <w14:ligatures w14:val="none"/>
        </w:rPr>
        <w:t>’, Journal of Management in Engineering, 36(3), pp. 1–12.</w:t>
      </w:r>
    </w:p>
    <w:p w14:paraId="5E79222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82004AA"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proofErr w:type="spellStart"/>
      <w:r w:rsidRPr="002C4BBE">
        <w:rPr>
          <w:rFonts w:ascii="Times New Roman" w:hAnsi="Times New Roman" w:cs="Times New Roman"/>
          <w:color w:val="000000"/>
          <w:kern w:val="0"/>
          <w:sz w:val="27"/>
          <w:szCs w:val="27"/>
          <w14:ligatures w14:val="none"/>
        </w:rPr>
        <w:t>Tessler</w:t>
      </w:r>
      <w:proofErr w:type="spellEnd"/>
      <w:r w:rsidRPr="002C4BBE">
        <w:rPr>
          <w:rFonts w:ascii="Times New Roman" w:hAnsi="Times New Roman" w:cs="Times New Roman"/>
          <w:color w:val="000000"/>
          <w:kern w:val="0"/>
          <w:sz w:val="27"/>
          <w:szCs w:val="27"/>
          <w14:ligatures w14:val="none"/>
        </w:rPr>
        <w:t>, N., Bridgman, J. and Amos, C. (2021) ‘Climate adaptation for riverine infrastructure’, Progress in Physical Geography, 45(4), pp. 563–579.</w:t>
      </w:r>
    </w:p>
    <w:p w14:paraId="2F5FDE1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0BD76376"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Thorne, C. (2014) ‘Geographies of flood risk management’, Progress in Physical Geography, 38(3), pp. 354–372.</w:t>
      </w:r>
    </w:p>
    <w:p w14:paraId="610F5033"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2384A66C"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Tierney, K. (2014) The Social Roots of Risk. Palo Alto: Stanford University Press.</w:t>
      </w:r>
    </w:p>
    <w:p w14:paraId="32F1344F"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w:t>
      </w:r>
    </w:p>
    <w:p w14:paraId="6A708194" w14:textId="77777777" w:rsidR="002C4BBE" w:rsidRPr="002C4BBE" w:rsidRDefault="002C4BBE" w:rsidP="002C4BBE">
      <w:pPr>
        <w:spacing w:after="120" w:line="240" w:lineRule="auto"/>
        <w:jc w:val="both"/>
        <w:rPr>
          <w:rFonts w:ascii="Times New Roman" w:hAnsi="Times New Roman" w:cs="Times New Roman"/>
          <w:color w:val="000000"/>
          <w:kern w:val="0"/>
          <w:sz w:val="27"/>
          <w:szCs w:val="27"/>
          <w14:ligatures w14:val="none"/>
        </w:rPr>
      </w:pPr>
      <w:r w:rsidRPr="002C4BBE">
        <w:rPr>
          <w:rFonts w:ascii="Times New Roman" w:hAnsi="Times New Roman" w:cs="Times New Roman"/>
          <w:color w:val="000000"/>
          <w:kern w:val="0"/>
          <w:sz w:val="27"/>
          <w:szCs w:val="27"/>
          <w14:ligatures w14:val="none"/>
        </w:rPr>
        <w:t xml:space="preserve">Warner, M., Mass, C. and </w:t>
      </w:r>
      <w:proofErr w:type="spellStart"/>
      <w:r w:rsidRPr="002C4BBE">
        <w:rPr>
          <w:rFonts w:ascii="Times New Roman" w:hAnsi="Times New Roman" w:cs="Times New Roman"/>
          <w:color w:val="000000"/>
          <w:kern w:val="0"/>
          <w:sz w:val="27"/>
          <w:szCs w:val="27"/>
          <w14:ligatures w14:val="none"/>
        </w:rPr>
        <w:t>Salathé</w:t>
      </w:r>
      <w:proofErr w:type="spellEnd"/>
      <w:r w:rsidRPr="002C4BBE">
        <w:rPr>
          <w:rFonts w:ascii="Times New Roman" w:hAnsi="Times New Roman" w:cs="Times New Roman"/>
          <w:color w:val="000000"/>
          <w:kern w:val="0"/>
          <w:sz w:val="27"/>
          <w:szCs w:val="27"/>
          <w14:ligatures w14:val="none"/>
        </w:rPr>
        <w:t>, E. (2022) ‘Future changes in atmospheric river events’, Journal of Climate, 35(6), pp. 1–17.</w:t>
      </w:r>
    </w:p>
    <w:p w14:paraId="553A2C06" w14:textId="77777777" w:rsidR="002C4BBE" w:rsidRPr="00EC58A4" w:rsidRDefault="002C4BBE" w:rsidP="00F63C3D">
      <w:pPr>
        <w:rPr>
          <w:sz w:val="40"/>
          <w:szCs w:val="40"/>
        </w:rPr>
      </w:pPr>
    </w:p>
    <w:sectPr w:rsidR="002C4BBE" w:rsidRPr="00EC5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7D0"/>
    <w:rsid w:val="00002724"/>
    <w:rsid w:val="002C4BBE"/>
    <w:rsid w:val="003C57D0"/>
    <w:rsid w:val="0046368A"/>
    <w:rsid w:val="004D119B"/>
    <w:rsid w:val="00A627CF"/>
    <w:rsid w:val="00AC7554"/>
    <w:rsid w:val="00B5565F"/>
    <w:rsid w:val="00D616EC"/>
    <w:rsid w:val="00EC58A4"/>
    <w:rsid w:val="00F63C3D"/>
    <w:rsid w:val="00FF3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4786C8"/>
  <w15:chartTrackingRefBased/>
  <w15:docId w15:val="{76FBD149-29B3-DB44-9565-999D41EF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7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57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57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57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57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57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7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7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7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7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57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57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57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57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57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7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7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7D0"/>
    <w:rPr>
      <w:rFonts w:eastAsiaTheme="majorEastAsia" w:cstheme="majorBidi"/>
      <w:color w:val="272727" w:themeColor="text1" w:themeTint="D8"/>
    </w:rPr>
  </w:style>
  <w:style w:type="paragraph" w:styleId="Title">
    <w:name w:val="Title"/>
    <w:basedOn w:val="Normal"/>
    <w:next w:val="Normal"/>
    <w:link w:val="TitleChar"/>
    <w:uiPriority w:val="10"/>
    <w:qFormat/>
    <w:rsid w:val="003C57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7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7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7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7D0"/>
    <w:pPr>
      <w:spacing w:before="160"/>
      <w:jc w:val="center"/>
    </w:pPr>
    <w:rPr>
      <w:i/>
      <w:iCs/>
      <w:color w:val="404040" w:themeColor="text1" w:themeTint="BF"/>
    </w:rPr>
  </w:style>
  <w:style w:type="character" w:customStyle="1" w:styleId="QuoteChar">
    <w:name w:val="Quote Char"/>
    <w:basedOn w:val="DefaultParagraphFont"/>
    <w:link w:val="Quote"/>
    <w:uiPriority w:val="29"/>
    <w:rsid w:val="003C57D0"/>
    <w:rPr>
      <w:i/>
      <w:iCs/>
      <w:color w:val="404040" w:themeColor="text1" w:themeTint="BF"/>
    </w:rPr>
  </w:style>
  <w:style w:type="paragraph" w:styleId="ListParagraph">
    <w:name w:val="List Paragraph"/>
    <w:basedOn w:val="Normal"/>
    <w:uiPriority w:val="34"/>
    <w:qFormat/>
    <w:rsid w:val="003C57D0"/>
    <w:pPr>
      <w:ind w:left="720"/>
      <w:contextualSpacing/>
    </w:pPr>
  </w:style>
  <w:style w:type="character" w:styleId="IntenseEmphasis">
    <w:name w:val="Intense Emphasis"/>
    <w:basedOn w:val="DefaultParagraphFont"/>
    <w:uiPriority w:val="21"/>
    <w:qFormat/>
    <w:rsid w:val="003C57D0"/>
    <w:rPr>
      <w:i/>
      <w:iCs/>
      <w:color w:val="2F5496" w:themeColor="accent1" w:themeShade="BF"/>
    </w:rPr>
  </w:style>
  <w:style w:type="paragraph" w:styleId="IntenseQuote">
    <w:name w:val="Intense Quote"/>
    <w:basedOn w:val="Normal"/>
    <w:next w:val="Normal"/>
    <w:link w:val="IntenseQuoteChar"/>
    <w:uiPriority w:val="30"/>
    <w:qFormat/>
    <w:rsid w:val="003C57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57D0"/>
    <w:rPr>
      <w:i/>
      <w:iCs/>
      <w:color w:val="2F5496" w:themeColor="accent1" w:themeShade="BF"/>
    </w:rPr>
  </w:style>
  <w:style w:type="character" w:styleId="IntenseReference">
    <w:name w:val="Intense Reference"/>
    <w:basedOn w:val="DefaultParagraphFont"/>
    <w:uiPriority w:val="32"/>
    <w:qFormat/>
    <w:rsid w:val="003C57D0"/>
    <w:rPr>
      <w:b/>
      <w:bCs/>
      <w:smallCaps/>
      <w:color w:val="2F5496" w:themeColor="accent1" w:themeShade="BF"/>
      <w:spacing w:val="5"/>
    </w:rPr>
  </w:style>
  <w:style w:type="paragraph" w:customStyle="1" w:styleId="s3">
    <w:name w:val="s3"/>
    <w:basedOn w:val="Normal"/>
    <w:rsid w:val="00AC755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C7554"/>
  </w:style>
  <w:style w:type="paragraph" w:customStyle="1" w:styleId="s4">
    <w:name w:val="s4"/>
    <w:basedOn w:val="Normal"/>
    <w:rsid w:val="00AC7554"/>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AC7554"/>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AC7554"/>
  </w:style>
  <w:style w:type="character" w:customStyle="1" w:styleId="apple-converted-space">
    <w:name w:val="apple-converted-space"/>
    <w:basedOn w:val="DefaultParagraphFont"/>
    <w:rsid w:val="00AC7554"/>
  </w:style>
  <w:style w:type="paragraph" w:customStyle="1" w:styleId="s7">
    <w:name w:val="s7"/>
    <w:basedOn w:val="Normal"/>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2C4BBE"/>
  </w:style>
  <w:style w:type="paragraph" w:customStyle="1" w:styleId="s9">
    <w:name w:val="s9"/>
    <w:basedOn w:val="Normal"/>
    <w:rsid w:val="002C4BBE"/>
    <w:pPr>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Normal"/>
    <w:rsid w:val="002C4BBE"/>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DefaultParagraphFont"/>
    <w:rsid w:val="002C4BBE"/>
  </w:style>
  <w:style w:type="paragraph" w:customStyle="1" w:styleId="s13">
    <w:name w:val="s13"/>
    <w:basedOn w:val="Normal"/>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s12">
    <w:name w:val="s12"/>
    <w:basedOn w:val="DefaultParagraphFont"/>
    <w:rsid w:val="002C4BBE"/>
  </w:style>
  <w:style w:type="paragraph" w:customStyle="1" w:styleId="s14">
    <w:name w:val="s14"/>
    <w:basedOn w:val="Normal"/>
    <w:rsid w:val="002C4BBE"/>
    <w:pPr>
      <w:spacing w:before="100" w:beforeAutospacing="1" w:after="100" w:afterAutospacing="1" w:line="240" w:lineRule="auto"/>
    </w:pPr>
    <w:rPr>
      <w:rFonts w:ascii="Times New Roman" w:hAnsi="Times New Roman" w:cs="Times New Roman"/>
      <w:kern w:val="0"/>
      <w14:ligatures w14:val="none"/>
    </w:rPr>
  </w:style>
  <w:style w:type="paragraph" w:customStyle="1" w:styleId="s16">
    <w:name w:val="s16"/>
    <w:basedOn w:val="Normal"/>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s15">
    <w:name w:val="s15"/>
    <w:basedOn w:val="DefaultParagraphFont"/>
    <w:rsid w:val="002C4BBE"/>
  </w:style>
  <w:style w:type="character" w:customStyle="1" w:styleId="s17">
    <w:name w:val="s17"/>
    <w:basedOn w:val="DefaultParagraphFont"/>
    <w:rsid w:val="002C4BBE"/>
  </w:style>
  <w:style w:type="paragraph" w:customStyle="1" w:styleId="s21">
    <w:name w:val="s21"/>
    <w:basedOn w:val="Normal"/>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s20">
    <w:name w:val="s20"/>
    <w:basedOn w:val="DefaultParagraphFont"/>
    <w:rsid w:val="002C4BBE"/>
  </w:style>
  <w:style w:type="paragraph" w:customStyle="1" w:styleId="s23">
    <w:name w:val="s23"/>
    <w:basedOn w:val="Normal"/>
    <w:rsid w:val="002C4BBE"/>
    <w:pPr>
      <w:spacing w:before="100" w:beforeAutospacing="1" w:after="100" w:afterAutospacing="1" w:line="240" w:lineRule="auto"/>
    </w:pPr>
    <w:rPr>
      <w:rFonts w:ascii="Times New Roman" w:hAnsi="Times New Roman" w:cs="Times New Roman"/>
      <w:kern w:val="0"/>
      <w14:ligatures w14:val="none"/>
    </w:rPr>
  </w:style>
  <w:style w:type="character" w:customStyle="1" w:styleId="s22">
    <w:name w:val="s22"/>
    <w:basedOn w:val="DefaultParagraphFont"/>
    <w:rsid w:val="002C4BBE"/>
  </w:style>
  <w:style w:type="paragraph" w:customStyle="1" w:styleId="s25">
    <w:name w:val="s25"/>
    <w:basedOn w:val="Normal"/>
    <w:rsid w:val="002C4BB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4556</Words>
  <Characters>25972</Characters>
  <Application>Microsoft Office Word</Application>
  <DocSecurity>0</DocSecurity>
  <Lines>216</Lines>
  <Paragraphs>60</Paragraphs>
  <ScaleCrop>false</ScaleCrop>
  <Company/>
  <LinksUpToDate>false</LinksUpToDate>
  <CharactersWithSpaces>30468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Nica (2239653)</dc:creator>
  <cp:keywords/>
  <dc:description/>
  <cp:lastModifiedBy>Ionut Nica (2239653)</cp:lastModifiedBy>
  <cp:revision>2</cp:revision>
  <dcterms:created xsi:type="dcterms:W3CDTF">2025-11-21T09:31:00Z</dcterms:created>
  <dcterms:modified xsi:type="dcterms:W3CDTF">2025-11-21T09:31:00Z</dcterms:modified>
</cp:coreProperties>
</file>