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B2A4A" w:val="clear"/>
            <w:tcMar>
              <w:top w:type="dxa" w:w="160"/>
              <w:left w:type="dxa" w:w="240"/>
              <w:bottom w:type="dxa" w:w="160"/>
              <w:right w:type="dxa" w:w="240"/>
            </w:tcMar>
          </w:tcPr>
          <w:p>
            <w:pPr>
              <w:spacing w:after="80" w:before="12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8AB0C0"/>
                <w:sz w:val="22"/>
                <w:szCs w:val="22"/>
              </w:rPr>
              <w:t xml:space="preserve">LCDB7007  |  Research Principles and Philosophy</w:t>
            </w:r>
          </w:p>
          <w:p>
            <w:pPr>
              <w:spacing w:after="120" w:before="0"/>
              <w:jc w:val="center"/>
            </w:pPr>
            <w:r>
              <w:rPr>
                <w:rFonts w:ascii="Cambria" w:cs="Cambria" w:eastAsia="Cambria" w:hAnsi="Cambria"/>
                <w:b/>
                <w:bCs/>
                <w:color w:val="C9A535"/>
                <w:sz w:val="52"/>
                <w:szCs w:val="52"/>
              </w:rPr>
              <w:t xml:space="preserve">Theory and the Pilot Study</w:t>
            </w:r>
          </w:p>
          <w:p>
            <w:pPr>
              <w:spacing w:after="80" w:before="0"/>
              <w:jc w:val="center"/>
            </w:pPr>
            <w:r>
              <w:rPr>
                <w:rFonts w:ascii="Cambria" w:cs="Cambria" w:eastAsia="Cambria" w:hAnsi="Cambria"/>
                <w:color w:val="FFFFFF"/>
                <w:sz w:val="30"/>
                <w:szCs w:val="30"/>
              </w:rPr>
              <w:t xml:space="preserve">Student Reference and Reflection Companion</w:t>
            </w:r>
          </w:p>
          <w:p>
            <w:pPr>
              <w:spacing w:after="120" w:before="60"/>
              <w:jc w:val="center"/>
            </w:pPr>
            <w:r>
              <w:rPr>
                <w:rFonts w:ascii="Calibri" w:cs="Calibri" w:eastAsia="Calibri" w:hAnsi="Calibri"/>
                <w:color w:val="8AB0C0"/>
                <w:sz w:val="20"/>
                <w:szCs w:val="20"/>
              </w:rPr>
              <w:t xml:space="preserve">Dr Caroline Jawad  |  University of Wales Trinity Saint David</w:t>
            </w:r>
          </w:p>
        </w:tc>
      </w:tr>
    </w:tbl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EEF4F4" w:val="clear"/>
            <w:tcMar>
              <w:top w:type="dxa" w:w="160"/>
              <w:left w:type="dxa" w:w="240"/>
              <w:bottom w:type="dxa" w:w="160"/>
              <w:right w:type="dxa" w:w="240"/>
            </w:tcMar>
          </w:tcPr>
          <w:p>
            <w:pPr>
              <w:spacing w:after="120" w:before="60"/>
            </w:pPr>
            <w:r>
              <w:rPr>
                <w:rFonts w:ascii="Calibri" w:cs="Calibri" w:eastAsia="Calibri" w:hAnsi="Calibri"/>
                <w:b/>
                <w:bCs/>
                <w:color w:val="006D77"/>
                <w:sz w:val="22"/>
                <w:szCs w:val="22"/>
              </w:rPr>
              <w:t xml:space="preserve">How to use this companion: </w:t>
            </w: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This document is your reference and reflection resource for the session. Activities 2 and 3 have their own separate handouts. This companion contains the key frameworks, the framework/model distinction table, and a theoretical position mapping template (Section 5) which should become a working section of your methodology chapter. Activity 1 and Activity 4 reflection spaces are included here.</w:t>
            </w:r>
          </w:p>
        </w:tc>
      </w:tr>
    </w:tbl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/>
              <w:left w:val="none"/>
              <w:bottom w:val="none"/>
              <w:right w:val="none"/>
            </w:tcBorders>
            <w:shd w:fill="006D77" w:val="clear"/>
            <w:tcMar>
              <w:top w:type="dxa" w:w="120"/>
              <w:left w:type="dxa" w:w="240"/>
              <w:bottom w:type="dxa" w:w="120"/>
              <w:right w:type="dxa" w:w="240"/>
            </w:tcMar>
          </w:tcPr>
          <w:p>
            <w:pPr>
              <w:spacing w:after="0" w:before="0"/>
            </w:pPr>
            <w:r>
              <w:rPr>
                <w:rFonts w:ascii="Cambria" w:cs="Cambria" w:eastAsia="Cambria" w:hAnsi="Cambria"/>
                <w:b/>
                <w:bCs/>
                <w:color w:val="FFFFFF"/>
                <w:sz w:val="30"/>
                <w:szCs w:val="30"/>
              </w:rPr>
              <w:t xml:space="preserve">1.  What Theory Does — and How to Choose It</w:t>
            </w:r>
          </w:p>
        </w:tc>
      </w:tr>
    </w:tbl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p>
      <w:pPr>
        <w:spacing w:after="120" w:before="6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At doctoral level, theory is an analytical tool. Its job is to explain, not decorate. Every theory in your framework must be doing identifiable work: illuminating a specific dimension of your phenomenon, posing a particular kind of question to your data, or situating your study within a specific intellectual tradition.</w:t>
      </w:r>
    </w:p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EEF4F4" w:val="clear"/>
            <w:tcMar>
              <w:top w:type="dxa" w:w="160"/>
              <w:left w:type="dxa" w:w="240"/>
              <w:bottom w:type="dxa" w:w="160"/>
              <w:right w:type="dxa" w:w="240"/>
            </w:tcMar>
          </w:tcPr>
          <w:p>
            <w:pPr>
              <w:spacing w:after="80" w:before="0"/>
            </w:pPr>
            <w:r>
              <w:rPr>
                <w:rFonts w:ascii="Calibri" w:cs="Calibri" w:eastAsia="Calibri" w:hAnsi="Calibri"/>
                <w:b/>
                <w:bCs/>
                <w:color w:val="1B2A4A"/>
                <w:sz w:val="22"/>
                <w:szCs w:val="22"/>
              </w:rPr>
              <w:t xml:space="preserve">Three functions of theory at doctoral level</w:t>
            </w:r>
          </w:p>
          <w:p>
            <w:pPr>
              <w:spacing w:after="80" w:before="50"/>
            </w:pPr>
            <w:r>
              <w:rPr>
                <w:rFonts w:ascii="Calibri" w:cs="Calibri" w:eastAsia="Calibri" w:hAnsi="Calibri"/>
                <w:b/>
                <w:bCs/>
                <w:color w:val="006D77"/>
                <w:sz w:val="22"/>
                <w:szCs w:val="22"/>
              </w:rPr>
              <w:t xml:space="preserve">Frame your analysis: </w:t>
            </w: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Theory provides the lens through which data is interpreted. Without it, findings describe rather than explain.</w:t>
            </w:r>
          </w:p>
          <w:p>
            <w:pPr>
              <w:spacing w:after="80" w:before="50"/>
            </w:pPr>
            <w:r>
              <w:rPr>
                <w:rFonts w:ascii="Calibri" w:cs="Calibri" w:eastAsia="Calibri" w:hAnsi="Calibri"/>
                <w:b/>
                <w:bCs/>
                <w:color w:val="006D77"/>
                <w:sz w:val="22"/>
                <w:szCs w:val="22"/>
              </w:rPr>
              <w:t xml:space="preserve">Position your research: </w:t>
            </w: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Theory locates your study within a scholarly conversation and demonstrates your command of the intellectual terrain.</w:t>
            </w:r>
          </w:p>
          <w:p>
            <w:pPr>
              <w:spacing w:after="80" w:before="50"/>
            </w:pPr>
            <w:r>
              <w:rPr>
                <w:rFonts w:ascii="Calibri" w:cs="Calibri" w:eastAsia="Calibri" w:hAnsi="Calibri"/>
                <w:b/>
                <w:bCs/>
                <w:color w:val="006D77"/>
                <w:sz w:val="22"/>
                <w:szCs w:val="22"/>
              </w:rPr>
              <w:t xml:space="preserve">Generate contribution: </w:t>
            </w: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Theory is the mechanism by which your findings connect to broader knowledge. Doctoral contribution requires a theoretical claim, not just an empirical one.</w:t>
            </w:r>
          </w:p>
        </w:tc>
      </w:tr>
    </w:tbl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EEF4F4" w:val="clear"/>
            <w:tcMar>
              <w:top w:type="dxa" w:w="160"/>
              <w:left w:type="dxa" w:w="240"/>
              <w:bottom w:type="dxa" w:w="160"/>
              <w:right w:type="dxa" w:w="240"/>
            </w:tcMar>
          </w:tcPr>
          <w:p>
            <w:pPr>
              <w:spacing w:after="80" w:before="0"/>
            </w:pPr>
            <w:r>
              <w:rPr>
                <w:rFonts w:ascii="Calibri" w:cs="Calibri" w:eastAsia="Calibri" w:hAnsi="Calibri"/>
                <w:b/>
                <w:bCs/>
                <w:color w:val="1B2A4A"/>
                <w:sz w:val="22"/>
                <w:szCs w:val="22"/>
              </w:rPr>
              <w:t xml:space="preserve">How to choose a theory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90" w:before="5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Start with your research question: what phenomenon are you explaining? What angle are you taking?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90" w:before="5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Consider your paradigm: constructivist and interpretivist researchers engage theory differently to post-positivists.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90" w:before="5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Review what theories are already used in your field. What are the dominant lenses and what are the debates?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90" w:before="5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Ask: does this theory illuminate something my data can speak to? Not: which theory sounds most impressive?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90" w:before="5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Multiple theories are legitimate — provided each does distinct analytical work that the others do not.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90" w:before="5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Tensions between theories are productive. Acknowledge them; do not paper over them.</w:t>
            </w:r>
          </w:p>
        </w:tc>
      </w:tr>
    </w:tbl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E07B39" w:sz="2"/>
              <w:left w:val="single" w:color="E07B39" w:sz="2"/>
              <w:bottom w:val="single" w:color="E07B39" w:sz="2"/>
              <w:right w:val="single" w:color="E07B39" w:sz="2"/>
            </w:tcBorders>
            <w:shd w:fill="FFF9F0" w:val="clear"/>
            <w:tcMar>
              <w:top w:type="dxa" w:w="160"/>
              <w:left w:type="dxa" w:w="240"/>
              <w:bottom w:type="dxa" w:w="160"/>
              <w:right w:type="dxa" w:w="240"/>
            </w:tcMar>
          </w:tcPr>
          <w:p>
            <w:pPr>
              <w:spacing w:after="80" w:before="0"/>
            </w:pPr>
            <w:r>
              <w:rPr>
                <w:rFonts w:ascii="Cambria" w:cs="Cambria" w:eastAsia="Cambria" w:hAnsi="Cambria"/>
                <w:b/>
                <w:bCs/>
                <w:color w:val="E07B39"/>
                <w:sz w:val="24"/>
                <w:szCs w:val="24"/>
              </w:rPr>
              <w:t xml:space="preserve">Activity 1 reflection — your notes</w:t>
            </w:r>
          </w:p>
          <w:p>
            <w:pPr>
              <w:spacing w:after="120" w:before="6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After Activity 1, record your theories here with a one-sentence statement of what analytical work each does.</w:t>
            </w:r>
          </w:p>
          <w:p>
            <w:pPr>
              <w:spacing w:after="120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/>
            </w:r>
          </w:p>
          <w:p>
            <w:pPr>
              <w:spacing w:after="120" w:before="60"/>
            </w:pPr>
            <w:r>
              <w:rPr>
                <w:rFonts w:ascii="Calibri" w:cs="Calibri" w:eastAsia="Calibri" w:hAnsi="Calibri"/>
                <w:b/>
                <w:bCs/>
                <w:color w:val="1A1A2E"/>
                <w:sz w:val="22"/>
                <w:szCs w:val="22"/>
              </w:rPr>
              <w:t xml:space="preserve">My theories and what they do: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spacing w:after="120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/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spacing w:after="120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/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spacing w:after="120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/>
            </w:r>
          </w:p>
          <w:p>
            <w:pPr>
              <w:spacing w:after="120" w:before="60"/>
            </w:pPr>
            <w:r>
              <w:rPr>
                <w:rFonts w:ascii="Calibri" w:cs="Calibri" w:eastAsia="Calibri" w:hAnsi="Calibri"/>
                <w:b/>
                <w:bCs/>
                <w:color w:val="1A1A2E"/>
                <w:sz w:val="22"/>
                <w:szCs w:val="22"/>
              </w:rPr>
              <w:t xml:space="preserve">What changed in my understanding of the theory-data relationship: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</w:tc>
      </w:tr>
    </w:tbl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/>
              <w:left w:val="none"/>
              <w:bottom w:val="none"/>
              <w:right w:val="none"/>
            </w:tcBorders>
            <w:shd w:fill="006D77" w:val="clear"/>
            <w:tcMar>
              <w:top w:type="dxa" w:w="120"/>
              <w:left w:type="dxa" w:w="240"/>
              <w:bottom w:type="dxa" w:w="120"/>
              <w:right w:type="dxa" w:w="240"/>
            </w:tcMar>
          </w:tcPr>
          <w:p>
            <w:pPr>
              <w:spacing w:after="0" w:before="0"/>
            </w:pPr>
            <w:r>
              <w:rPr>
                <w:rFonts w:ascii="Cambria" w:cs="Cambria" w:eastAsia="Cambria" w:hAnsi="Cambria"/>
                <w:b/>
                <w:bCs/>
                <w:color w:val="FFFFFF"/>
                <w:sz w:val="30"/>
                <w:szCs w:val="30"/>
              </w:rPr>
              <w:t xml:space="preserve">2.  Multi-Theoretical Frameworks: Two Case Studies</w:t>
            </w:r>
          </w:p>
        </w:tc>
      </w:tr>
    </w:tbl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p>
      <w:pPr>
        <w:spacing w:after="120" w:before="6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Both case studies below illustrate doctoral-level multi-theoretical frameworks. Note how each theory is justified by what it does analytically — not just by its relevance to the topic.</w:t>
      </w:r>
    </w:p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p>
      <w:pPr>
        <w:pStyle w:val="Heading2"/>
        <w:spacing w:after="120" w:before="240"/>
      </w:pPr>
      <w:r>
        <w:rPr>
          <w:rFonts w:ascii="Cambria" w:cs="Cambria" w:eastAsia="Cambria" w:hAnsi="Cambria"/>
          <w:b/>
          <w:bCs/>
          <w:color w:val="006D77"/>
          <w:sz w:val="26"/>
          <w:szCs w:val="26"/>
        </w:rPr>
        <w:t xml:space="preserve">Case Study A: Responsible Gambling Research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1600"/>
        <w:gridCol w:w="4626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4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1"/>
                <w:szCs w:val="21"/>
              </w:rPr>
              <w:t xml:space="preserve">Theory/tradition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4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1"/>
                <w:szCs w:val="21"/>
              </w:rPr>
              <w:t xml:space="preserve">Analytical lens</w:t>
            </w:r>
          </w:p>
        </w:tc>
        <w:tc>
          <w:tcPr>
            <w:tcW w:type="dxa" w:w="4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4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1"/>
                <w:szCs w:val="21"/>
              </w:rPr>
              <w:t xml:space="preserve">What it does in this study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EF4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006D77"/>
                <w:sz w:val="22"/>
                <w:szCs w:val="22"/>
              </w:rPr>
              <w:t xml:space="preserve">Ethical theories (Aristotle, Kant, Mill, Rawls)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EF4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color w:val="607085"/>
                <w:sz w:val="22"/>
                <w:szCs w:val="22"/>
              </w:rPr>
              <w:t xml:space="preserve">Moral frame</w:t>
            </w:r>
          </w:p>
        </w:tc>
        <w:tc>
          <w:tcPr>
            <w:tcW w:type="dxa" w:w="4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EF4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Four traditions ask four distinct questions of operator behaviour: character, welfare, duty, rights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006D77"/>
                <w:sz w:val="22"/>
                <w:szCs w:val="22"/>
              </w:rPr>
              <w:t xml:space="preserve">CSR (Carroll, Freeman, Friedman)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color w:val="607085"/>
                <w:sz w:val="22"/>
                <w:szCs w:val="22"/>
              </w:rPr>
              <w:t xml:space="preserve">Org. responsibility</w:t>
            </w:r>
          </w:p>
        </w:tc>
        <w:tc>
          <w:tcPr>
            <w:tcW w:type="dxa" w:w="4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Distinguishes genuine social commitment from instrumental CSR — the Friedman/Freeman tension is analytically productive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EF4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006D77"/>
                <w:sz w:val="22"/>
                <w:szCs w:val="22"/>
              </w:rPr>
              <w:t xml:space="preserve">Pathways Model (Blaszczynski &amp; Nower)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EF4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color w:val="607085"/>
                <w:sz w:val="22"/>
                <w:szCs w:val="22"/>
              </w:rPr>
              <w:t xml:space="preserve">Individual aetiology</w:t>
            </w:r>
          </w:p>
        </w:tc>
        <w:tc>
          <w:tcPr>
            <w:tcW w:type="dxa" w:w="4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EF4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Maps the three routes into problem gambling, identifying where intervention should be targeted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006D77"/>
                <w:sz w:val="22"/>
                <w:szCs w:val="22"/>
              </w:rPr>
              <w:t xml:space="preserve">RG frameworks (Blaszczynski et al.)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color w:val="607085"/>
                <w:sz w:val="22"/>
                <w:szCs w:val="22"/>
              </w:rPr>
              <w:t xml:space="preserve">Policy evaluation</w:t>
            </w:r>
          </w:p>
        </w:tc>
        <w:tc>
          <w:tcPr>
            <w:tcW w:type="dxa" w:w="4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Tests operator strategies against standards of informed choice and duty of care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EF4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006D77"/>
                <w:sz w:val="22"/>
                <w:szCs w:val="22"/>
              </w:rPr>
              <w:t xml:space="preserve">Goffman and Beck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EF4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color w:val="607085"/>
                <w:sz w:val="22"/>
                <w:szCs w:val="22"/>
              </w:rPr>
              <w:t xml:space="preserve">Social context</w:t>
            </w:r>
          </w:p>
        </w:tc>
        <w:tc>
          <w:tcPr>
            <w:tcW w:type="dxa" w:w="4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EF4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Situates gambling in identity performance and the normalisation of risk in late modernity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006D77"/>
                <w:sz w:val="22"/>
                <w:szCs w:val="22"/>
              </w:rPr>
              <w:t xml:space="preserve">GRET (Orford)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color w:val="607085"/>
                <w:sz w:val="22"/>
                <w:szCs w:val="22"/>
              </w:rPr>
              <w:t xml:space="preserve">Historical-regulatory</w:t>
            </w:r>
          </w:p>
        </w:tc>
        <w:tc>
          <w:tcPr>
            <w:tcW w:type="dxa" w:w="4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Explains how deregulation created the structural conditions for harm</w:t>
            </w:r>
          </w:p>
        </w:tc>
      </w:tr>
    </w:tbl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p>
      <w:pPr>
        <w:pStyle w:val="Heading2"/>
        <w:spacing w:after="120" w:before="240"/>
      </w:pPr>
      <w:r>
        <w:rPr>
          <w:rFonts w:ascii="Cambria" w:cs="Cambria" w:eastAsia="Cambria" w:hAnsi="Cambria"/>
          <w:b/>
          <w:bCs/>
          <w:color w:val="006D77"/>
          <w:sz w:val="26"/>
          <w:szCs w:val="26"/>
        </w:rPr>
        <w:t xml:space="preserve">Case Study B: Language Practitioners’ Employability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EEF4F4" w:val="clear"/>
            <w:tcMar>
              <w:top w:type="dxa" w:w="160"/>
              <w:left w:type="dxa" w:w="240"/>
              <w:bottom w:type="dxa" w:w="160"/>
              <w:right w:type="dxa" w:w="240"/>
            </w:tcMar>
          </w:tcPr>
          <w:p>
            <w:pPr>
              <w:spacing w:after="120" w:before="60"/>
            </w:pPr>
            <w:r>
              <w:rPr>
                <w:rFonts w:ascii="Calibri" w:cs="Calibri" w:eastAsia="Calibri" w:hAnsi="Calibri"/>
                <w:b/>
                <w:bCs/>
                <w:color w:val="006D77"/>
                <w:sz w:val="22"/>
                <w:szCs w:val="22"/>
              </w:rPr>
              <w:t xml:space="preserve">Core lens: Capital Theory (Bourdieu; Luthans). </w:t>
            </w: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All other theories illuminate one specific form of capital. This hierarchical structure gives the framework a clear logic: Capital Theory is the organising concept; the supporting theories elaborate its dimensions.</w:t>
            </w:r>
          </w:p>
          <w:p>
            <w:pPr>
              <w:spacing w:after="120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/>
            </w:r>
          </w:p>
          <w:p>
            <w:pPr>
              <w:spacing w:after="70" w:before="40"/>
            </w:pPr>
            <w:r>
              <w:rPr>
                <w:rFonts w:ascii="Calibri" w:cs="Calibri" w:eastAsia="Calibri" w:hAnsi="Calibri"/>
                <w:b/>
                <w:bCs/>
                <w:color w:val="006D77"/>
                <w:sz w:val="22"/>
                <w:szCs w:val="22"/>
              </w:rPr>
              <w:t xml:space="preserve">Bourdieu’s Sociology: </w:t>
            </w: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Cultural capital shaping professional identity and labour market access</w:t>
            </w:r>
          </w:p>
          <w:p>
            <w:pPr>
              <w:spacing w:after="70" w:before="40"/>
            </w:pPr>
            <w:r>
              <w:rPr>
                <w:rFonts w:ascii="Calibri" w:cs="Calibri" w:eastAsia="Calibri" w:hAnsi="Calibri"/>
                <w:b/>
                <w:bCs/>
                <w:color w:val="006D77"/>
                <w:sz w:val="22"/>
                <w:szCs w:val="22"/>
              </w:rPr>
              <w:t xml:space="preserve">Psychological Capital (Luthans): </w:t>
            </w: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Inner resources (self-efficacy, resilience) enabling adaptation to AI disruption</w:t>
            </w:r>
          </w:p>
          <w:p>
            <w:pPr>
              <w:spacing w:after="70" w:before="40"/>
            </w:pPr>
            <w:r>
              <w:rPr>
                <w:rFonts w:ascii="Calibri" w:cs="Calibri" w:eastAsia="Calibri" w:hAnsi="Calibri"/>
                <w:b/>
                <w:bCs/>
                <w:color w:val="006D77"/>
                <w:sz w:val="22"/>
                <w:szCs w:val="22"/>
              </w:rPr>
              <w:t xml:space="preserve">Actor-Network Theory (Latour): </w:t>
            </w: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AI tools as non-human actors that genuinely shape the translation process</w:t>
            </w:r>
          </w:p>
          <w:p>
            <w:pPr>
              <w:spacing w:after="70" w:before="40"/>
            </w:pPr>
            <w:r>
              <w:rPr>
                <w:rFonts w:ascii="Calibri" w:cs="Calibri" w:eastAsia="Calibri" w:hAnsi="Calibri"/>
                <w:b/>
                <w:bCs/>
                <w:color w:val="006D77"/>
                <w:sz w:val="22"/>
                <w:szCs w:val="22"/>
              </w:rPr>
              <w:t xml:space="preserve">Protean and Boundaryless Career theories: </w:t>
            </w: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Self-directed career management across organisational and national boundaries</w:t>
            </w:r>
          </w:p>
          <w:p>
            <w:pPr>
              <w:spacing w:after="70" w:before="40"/>
            </w:pPr>
            <w:r>
              <w:rPr>
                <w:rFonts w:ascii="Calibri" w:cs="Calibri" w:eastAsia="Calibri" w:hAnsi="Calibri"/>
                <w:b/>
                <w:bCs/>
                <w:color w:val="006D77"/>
                <w:sz w:val="22"/>
                <w:szCs w:val="22"/>
              </w:rPr>
              <w:t xml:space="preserve">Adaptability (Ployhart &amp; Bliese): </w:t>
            </w: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The capacity to respond to technological change — distinct from resilience</w:t>
            </w:r>
          </w:p>
          <w:p>
            <w:pPr>
              <w:spacing w:after="70" w:before="40"/>
            </w:pPr>
            <w:r>
              <w:rPr>
                <w:rFonts w:ascii="Calibri" w:cs="Calibri" w:eastAsia="Calibri" w:hAnsi="Calibri"/>
                <w:b/>
                <w:bCs/>
                <w:color w:val="006D77"/>
                <w:sz w:val="22"/>
                <w:szCs w:val="22"/>
              </w:rPr>
              <w:t xml:space="preserve">Capability Approach (Sen, Nussbaum): </w:t>
            </w: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What LPs are actually able to do and become, beyond credentials</w:t>
            </w:r>
          </w:p>
        </w:tc>
      </w:tr>
    </w:tbl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/>
              <w:left w:val="none"/>
              <w:bottom w:val="none"/>
              <w:right w:val="none"/>
            </w:tcBorders>
            <w:shd w:fill="006D77" w:val="clear"/>
            <w:tcMar>
              <w:top w:type="dxa" w:w="120"/>
              <w:left w:type="dxa" w:w="240"/>
              <w:bottom w:type="dxa" w:w="120"/>
              <w:right w:type="dxa" w:w="240"/>
            </w:tcMar>
          </w:tcPr>
          <w:p>
            <w:pPr>
              <w:spacing w:after="0" w:before="0"/>
            </w:pPr>
            <w:r>
              <w:rPr>
                <w:rFonts w:ascii="Cambria" w:cs="Cambria" w:eastAsia="Cambria" w:hAnsi="Cambria"/>
                <w:b/>
                <w:bCs/>
                <w:color w:val="FFFFFF"/>
                <w:sz w:val="30"/>
                <w:szCs w:val="30"/>
              </w:rPr>
              <w:t xml:space="preserve">3.  Conceptual Framework vs Conceptual Model</w:t>
            </w:r>
          </w:p>
        </w:tc>
      </w:tr>
    </w:tbl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400"/>
        <w:gridCol w:w="4626"/>
      </w:tblGrid>
      <w:tr>
        <w:tc>
          <w:tcPr>
            <w:tcW w:type="dxa" w:w="4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06D7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2"/>
                <w:szCs w:val="22"/>
              </w:rPr>
              <w:t xml:space="preserve">Conceptual Framework</w:t>
            </w:r>
          </w:p>
        </w:tc>
        <w:tc>
          <w:tcPr>
            <w:tcW w:type="dxa" w:w="4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B8860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2"/>
                <w:szCs w:val="22"/>
              </w:rPr>
              <w:t xml:space="preserve">Conceptual Model</w:t>
            </w:r>
          </w:p>
        </w:tc>
      </w:tr>
      <w:tr>
        <w:tc>
          <w:tcPr>
            <w:tcW w:type="dxa" w:w="4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EF4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color w:val="006D77"/>
                <w:sz w:val="22"/>
                <w:szCs w:val="22"/>
              </w:rPr>
              <w:t xml:space="preserve">What it is: </w:t>
            </w: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Synthesis of theoretical and conceptual lenses. Built from the literature. Represents your theoretical positioning.</w:t>
            </w:r>
          </w:p>
        </w:tc>
        <w:tc>
          <w:tcPr>
            <w:tcW w:type="dxa" w:w="4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EF4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color w:val="B8860B"/>
                <w:sz w:val="22"/>
                <w:szCs w:val="22"/>
              </w:rPr>
              <w:t xml:space="preserve">What it is: </w:t>
            </w: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Diagrammatic or narrative representation of relationships between concepts. Emerges from analysis of data.</w:t>
            </w:r>
          </w:p>
        </w:tc>
      </w:tr>
      <w:tr>
        <w:tc>
          <w:tcPr>
            <w:tcW w:type="dxa" w:w="4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color w:val="006D77"/>
                <w:sz w:val="22"/>
                <w:szCs w:val="22"/>
              </w:rPr>
              <w:t xml:space="preserve">When: </w:t>
            </w: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After the full literature review, before data collection (Chapter 2 or 3).</w:t>
            </w:r>
          </w:p>
        </w:tc>
        <w:tc>
          <w:tcPr>
            <w:tcW w:type="dxa" w:w="4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color w:val="B8860B"/>
                <w:sz w:val="22"/>
                <w:szCs w:val="22"/>
              </w:rPr>
              <w:t xml:space="preserve">When: </w:t>
            </w: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After full data analysis (findings or discussion chapter).</w:t>
            </w:r>
          </w:p>
        </w:tc>
      </w:tr>
      <w:tr>
        <w:tc>
          <w:tcPr>
            <w:tcW w:type="dxa" w:w="4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EF4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color w:val="006D77"/>
                <w:sz w:val="22"/>
                <w:szCs w:val="22"/>
              </w:rPr>
              <w:t xml:space="preserve">What it contains: </w:t>
            </w: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Key theories, concepts and their anticipated relationships. Shows how you will use theory to analyse data.</w:t>
            </w:r>
          </w:p>
        </w:tc>
        <w:tc>
          <w:tcPr>
            <w:tcW w:type="dxa" w:w="4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EF4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color w:val="B8860B"/>
                <w:sz w:val="22"/>
                <w:szCs w:val="22"/>
              </w:rPr>
              <w:t xml:space="preserve">What it contains: </w:t>
            </w: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The patterns and relationships that your data reveals, interpreted through your framework.</w:t>
            </w:r>
          </w:p>
        </w:tc>
      </w:tr>
      <w:tr>
        <w:tc>
          <w:tcPr>
            <w:tcW w:type="dxa" w:w="4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color w:val="006D77"/>
                <w:sz w:val="22"/>
                <w:szCs w:val="22"/>
              </w:rPr>
              <w:t xml:space="preserve">Pilot study?: </w:t>
            </w: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Pilot work may refine the framework — but cannot produce a finalised version. It is still provisional.</w:t>
            </w:r>
          </w:p>
        </w:tc>
        <w:tc>
          <w:tcPr>
            <w:tcW w:type="dxa" w:w="4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color w:val="B8860B"/>
                <w:sz w:val="22"/>
                <w:szCs w:val="22"/>
              </w:rPr>
              <w:t xml:space="preserve">Pilot study?: </w:t>
            </w: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Cannot be produced from a pilot study. Any model from 4–6 interviews is premature and unsupported.</w:t>
            </w:r>
          </w:p>
        </w:tc>
      </w:tr>
    </w:tbl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B91C1C" w:sz="2"/>
              <w:left w:val="single" w:color="B91C1C" w:sz="2"/>
              <w:bottom w:val="single" w:color="B91C1C" w:sz="2"/>
              <w:right w:val="single" w:color="B91C1C" w:sz="2"/>
            </w:tcBorders>
            <w:shd w:fill="FEE2E2" w:val="clear"/>
            <w:tcMar>
              <w:top w:type="dxa" w:w="160"/>
              <w:left w:type="dxa" w:w="240"/>
              <w:bottom w:type="dxa" w:w="160"/>
              <w:right w:type="dxa" w:w="240"/>
            </w:tcMar>
          </w:tcPr>
          <w:p>
            <w:pPr>
              <w:spacing w:after="120" w:before="60"/>
            </w:pPr>
            <w:r>
              <w:rPr>
                <w:rFonts w:ascii="Calibri" w:cs="Calibri" w:eastAsia="Calibri" w:hAnsi="Calibri"/>
                <w:b/>
                <w:bCs/>
                <w:color w:val="B91C1C"/>
                <w:sz w:val="22"/>
                <w:szCs w:val="22"/>
              </w:rPr>
              <w:t xml:space="preserve">The central principle: </w:t>
            </w: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Producing either a finalised conceptual framework or a conceptual model from pilot study work implies that your research questions have already been answered. They have not. The pilot study is a testing ground, not a conclusion platform.</w:t>
            </w:r>
          </w:p>
        </w:tc>
      </w:tr>
    </w:tbl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/>
              <w:left w:val="none"/>
              <w:bottom w:val="none"/>
              <w:right w:val="none"/>
            </w:tcBorders>
            <w:shd w:fill="006D77" w:val="clear"/>
            <w:tcMar>
              <w:top w:type="dxa" w:w="120"/>
              <w:left w:type="dxa" w:w="240"/>
              <w:bottom w:type="dxa" w:w="120"/>
              <w:right w:type="dxa" w:w="240"/>
            </w:tcMar>
          </w:tcPr>
          <w:p>
            <w:pPr>
              <w:spacing w:after="0" w:before="0"/>
            </w:pPr>
            <w:r>
              <w:rPr>
                <w:rFonts w:ascii="Cambria" w:cs="Cambria" w:eastAsia="Cambria" w:hAnsi="Cambria"/>
                <w:b/>
                <w:bCs/>
                <w:color w:val="FFFFFF"/>
                <w:sz w:val="30"/>
                <w:szCs w:val="30"/>
              </w:rPr>
              <w:t xml:space="preserve">4.  Red Lines: What Pilot Studies Cannot Claim</w:t>
            </w:r>
          </w:p>
        </w:tc>
      </w:tr>
    </w:tbl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p>
      <w:pPr>
        <w:spacing w:after="80" w:before="80"/>
      </w:pPr>
      <w:r>
        <w:rPr>
          <w:rFonts w:ascii="Calibri" w:cs="Calibri" w:eastAsia="Calibri" w:hAnsi="Calibri"/>
          <w:b/>
          <w:bCs/>
          <w:color w:val="B91C1C"/>
          <w:sz w:val="22"/>
          <w:szCs w:val="22"/>
        </w:rPr>
        <w:t xml:space="preserve">Finalised conceptual framework from pilot work: </w:t>
      </w:r>
      <w:r>
        <w:rPr>
          <w:rFonts w:ascii="Calibri" w:cs="Calibri" w:eastAsia="Calibri" w:hAnsi="Calibri"/>
          <w:color w:val="1A1A2E"/>
          <w:sz w:val="22"/>
          <w:szCs w:val="22"/>
        </w:rPr>
        <w:t xml:space="preserve">A framework developed from pilot data implies the literature review is complete and the theoretical position is fixed. At pilot stage, the framework is provisional and open to revision.</w:t>
      </w:r>
    </w:p>
    <w:p>
      <w:pPr>
        <w:spacing w:after="80" w:before="80"/>
      </w:pPr>
      <w:r>
        <w:rPr>
          <w:rFonts w:ascii="Calibri" w:cs="Calibri" w:eastAsia="Calibri" w:hAnsi="Calibri"/>
          <w:b/>
          <w:bCs/>
          <w:color w:val="B91C1C"/>
          <w:sz w:val="22"/>
          <w:szCs w:val="22"/>
        </w:rPr>
        <w:t xml:space="preserve">Conceptual model from pilot data: </w:t>
      </w:r>
      <w:r>
        <w:rPr>
          <w:rFonts w:ascii="Calibri" w:cs="Calibri" w:eastAsia="Calibri" w:hAnsi="Calibri"/>
          <w:color w:val="1A1A2E"/>
          <w:sz w:val="22"/>
          <w:szCs w:val="22"/>
        </w:rPr>
        <w:t xml:space="preserve">A model built from 3–6 interviews cannot represent the phenomenon. It is speculation presented as finding.</w:t>
      </w:r>
    </w:p>
    <w:p>
      <w:pPr>
        <w:spacing w:after="80" w:before="80"/>
      </w:pPr>
      <w:r>
        <w:rPr>
          <w:rFonts w:ascii="Calibri" w:cs="Calibri" w:eastAsia="Calibri" w:hAnsi="Calibri"/>
          <w:b/>
          <w:bCs/>
          <w:color w:val="B91C1C"/>
          <w:sz w:val="22"/>
          <w:szCs w:val="22"/>
        </w:rPr>
        <w:t xml:space="preserve">Theoretical saturation: </w:t>
      </w:r>
      <w:r>
        <w:rPr>
          <w:rFonts w:ascii="Calibri" w:cs="Calibri" w:eastAsia="Calibri" w:hAnsi="Calibri"/>
          <w:color w:val="1A1A2E"/>
          <w:sz w:val="22"/>
          <w:szCs w:val="22"/>
        </w:rPr>
        <w:t xml:space="preserve">Saturation is a claim about the full data set. It cannot be reached in a pilot study by definition.</w:t>
      </w:r>
    </w:p>
    <w:p>
      <w:pPr>
        <w:spacing w:after="80" w:before="80"/>
      </w:pPr>
      <w:r>
        <w:rPr>
          <w:rFonts w:ascii="Calibri" w:cs="Calibri" w:eastAsia="Calibri" w:hAnsi="Calibri"/>
          <w:b/>
          <w:bCs/>
          <w:color w:val="B91C1C"/>
          <w:sz w:val="22"/>
          <w:szCs w:val="22"/>
        </w:rPr>
        <w:t xml:space="preserve">Confirmatory use of theory: </w:t>
      </w:r>
      <w:r>
        <w:rPr>
          <w:rFonts w:ascii="Calibri" w:cs="Calibri" w:eastAsia="Calibri" w:hAnsi="Calibri"/>
          <w:color w:val="1A1A2E"/>
          <w:sz w:val="22"/>
          <w:szCs w:val="22"/>
        </w:rPr>
        <w:t xml:space="preserve">Theory should interrogate data and provoke questions. Pilot work that only confirms what theory predicted is analytically weak and raises bias concerns.</w:t>
      </w:r>
    </w:p>
    <w:p>
      <w:pPr>
        <w:spacing w:after="80" w:before="80"/>
      </w:pPr>
      <w:r>
        <w:rPr>
          <w:rFonts w:ascii="Calibri" w:cs="Calibri" w:eastAsia="Calibri" w:hAnsi="Calibri"/>
          <w:b/>
          <w:bCs/>
          <w:color w:val="B91C1C"/>
          <w:sz w:val="22"/>
          <w:szCs w:val="22"/>
        </w:rPr>
        <w:t xml:space="preserve">Definitive judgements about theory fit: </w:t>
      </w:r>
      <w:r>
        <w:rPr>
          <w:rFonts w:ascii="Calibri" w:cs="Calibri" w:eastAsia="Calibri" w:hAnsi="Calibri"/>
          <w:color w:val="1A1A2E"/>
          <w:sz w:val="22"/>
          <w:szCs w:val="22"/>
        </w:rPr>
        <w:t xml:space="preserve">Pilot data may suggest a theory is or is not generating insight, but dropping or finalising theories on the basis of pilot data alone is premature.</w:t>
      </w:r>
    </w:p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/>
              <w:left w:val="none"/>
              <w:bottom w:val="none"/>
              <w:right w:val="none"/>
            </w:tcBorders>
            <w:shd w:fill="006D77" w:val="clear"/>
            <w:tcMar>
              <w:top w:type="dxa" w:w="120"/>
              <w:left w:type="dxa" w:w="240"/>
              <w:bottom w:type="dxa" w:w="120"/>
              <w:right w:type="dxa" w:w="240"/>
            </w:tcMar>
          </w:tcPr>
          <w:p>
            <w:pPr>
              <w:spacing w:after="0" w:before="0"/>
            </w:pPr>
            <w:r>
              <w:rPr>
                <w:rFonts w:ascii="Cambria" w:cs="Cambria" w:eastAsia="Cambria" w:hAnsi="Cambria"/>
                <w:b/>
                <w:bCs/>
                <w:color w:val="FFFFFF"/>
                <w:sz w:val="30"/>
                <w:szCs w:val="30"/>
              </w:rPr>
              <w:t xml:space="preserve">5.  Theoretical Position Map: Your Own Research</w:t>
            </w:r>
          </w:p>
        </w:tc>
      </w:tr>
    </w:tbl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p>
      <w:pPr>
        <w:spacing w:after="120" w:before="6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Complete this section after Activity 4. This should become a working section of your methodology chapter, updated as your research develops.</w:t>
      </w:r>
    </w:p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p>
      <w:pPr>
        <w:pStyle w:val="Heading2"/>
        <w:spacing w:after="120" w:before="240"/>
      </w:pPr>
      <w:r>
        <w:rPr>
          <w:rFonts w:ascii="Cambria" w:cs="Cambria" w:eastAsia="Cambria" w:hAnsi="Cambria"/>
          <w:b/>
          <w:bCs/>
          <w:color w:val="006D77"/>
          <w:sz w:val="26"/>
          <w:szCs w:val="26"/>
        </w:rPr>
        <w:t xml:space="preserve">5.1  My theoretical framework at pilot stage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2000"/>
        <w:gridCol w:w="4626"/>
      </w:tblGrid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4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1"/>
                <w:szCs w:val="21"/>
              </w:rPr>
              <w:t xml:space="preserve">Theory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4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1"/>
                <w:szCs w:val="21"/>
              </w:rPr>
              <w:t xml:space="preserve">Analytical lens (what dimension of your topic)</w:t>
            </w:r>
          </w:p>
        </w:tc>
        <w:tc>
          <w:tcPr>
            <w:tcW w:type="dxa" w:w="4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4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1"/>
                <w:szCs w:val="21"/>
              </w:rPr>
              <w:t xml:space="preserve">What analytical work does it do? (one sentence)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EF4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EF4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</w:tc>
        <w:tc>
          <w:tcPr>
            <w:tcW w:type="dxa" w:w="4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</w:tc>
        <w:tc>
          <w:tcPr>
            <w:tcW w:type="dxa" w:w="4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EF4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EF4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</w:tc>
        <w:tc>
          <w:tcPr>
            <w:tcW w:type="dxa" w:w="4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</w:tc>
        <w:tc>
          <w:tcPr>
            <w:tcW w:type="dxa" w:w="4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EF4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EF4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</w:tc>
        <w:tc>
          <w:tcPr>
            <w:tcW w:type="dxa" w:w="4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</w:tc>
      </w:tr>
    </w:tbl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p>
      <w:pPr>
        <w:pStyle w:val="Heading2"/>
        <w:spacing w:after="120" w:before="240"/>
      </w:pPr>
      <w:r>
        <w:rPr>
          <w:rFonts w:ascii="Cambria" w:cs="Cambria" w:eastAsia="Cambria" w:hAnsi="Cambria"/>
          <w:b/>
          <w:bCs/>
          <w:color w:val="006D77"/>
          <w:sz w:val="26"/>
          <w:szCs w:val="26"/>
        </w:rPr>
        <w:t xml:space="preserve">5.2  Tensions I need to acknowledge</w:t>
      </w:r>
    </w:p>
    <w:p>
      <w:pPr>
        <w:spacing w:after="120" w:before="6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List any tensions between the theories you are using and state briefly how you will handle them analytically — not resolve them, handle them.</w:t>
      </w:r>
    </w:p>
    <w:p>
      <w:pPr>
        <w:pBdr>
          <w:bottom w:val="single" w:color="CCCCCC" w:sz="4"/>
        </w:pBdr>
        <w:spacing w:after="4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 </w:t>
      </w:r>
    </w:p>
    <w:p>
      <w:pPr>
        <w:pBdr>
          <w:bottom w:val="single" w:color="CCCCCC" w:sz="4"/>
        </w:pBdr>
        <w:spacing w:after="4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 </w:t>
      </w:r>
    </w:p>
    <w:p>
      <w:pPr>
        <w:pBdr>
          <w:bottom w:val="single" w:color="CCCCCC" w:sz="4"/>
        </w:pBdr>
        <w:spacing w:after="4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 </w:t>
      </w:r>
    </w:p>
    <w:p>
      <w:pPr>
        <w:pBdr>
          <w:bottom w:val="single" w:color="CCCCCC" w:sz="4"/>
        </w:pBdr>
        <w:spacing w:after="4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 </w:t>
      </w:r>
    </w:p>
    <w:p>
      <w:pPr>
        <w:pBdr>
          <w:bottom w:val="single" w:color="CCCCCC" w:sz="4"/>
        </w:pBdr>
        <w:spacing w:after="4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 </w:t>
      </w:r>
    </w:p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p>
      <w:pPr>
        <w:pStyle w:val="Heading2"/>
        <w:spacing w:after="120" w:before="240"/>
      </w:pPr>
      <w:r>
        <w:rPr>
          <w:rFonts w:ascii="Cambria" w:cs="Cambria" w:eastAsia="Cambria" w:hAnsi="Cambria"/>
          <w:b/>
          <w:bCs/>
          <w:color w:val="006D77"/>
          <w:sz w:val="26"/>
          <w:szCs w:val="26"/>
        </w:rPr>
        <w:t xml:space="preserve">5.3  What my pilot study can and cannot claim theoretically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400"/>
        <w:gridCol w:w="4626"/>
      </w:tblGrid>
      <w:tr>
        <w:tc>
          <w:tcPr>
            <w:tcW w:type="dxa" w:w="4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06D7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2"/>
                <w:szCs w:val="22"/>
              </w:rPr>
              <w:t xml:space="preserve">My pilot study CAN...</w:t>
            </w:r>
          </w:p>
        </w:tc>
        <w:tc>
          <w:tcPr>
            <w:tcW w:type="dxa" w:w="4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B91C1C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2"/>
                <w:szCs w:val="22"/>
              </w:rPr>
              <w:t xml:space="preserve">My pilot study CANNOT...</w:t>
            </w:r>
          </w:p>
        </w:tc>
      </w:tr>
      <w:tr>
        <w:tc>
          <w:tcPr>
            <w:tcW w:type="dxa" w:w="4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D1FAE5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</w:tc>
        <w:tc>
          <w:tcPr>
            <w:tcW w:type="dxa" w:w="4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EE2E2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</w:tc>
      </w:tr>
    </w:tbl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p>
      <w:pPr>
        <w:pStyle w:val="Heading2"/>
        <w:spacing w:after="120" w:before="240"/>
      </w:pPr>
      <w:r>
        <w:rPr>
          <w:rFonts w:ascii="Cambria" w:cs="Cambria" w:eastAsia="Cambria" w:hAnsi="Cambria"/>
          <w:b/>
          <w:bCs/>
          <w:color w:val="006D77"/>
          <w:sz w:val="26"/>
          <w:szCs w:val="26"/>
        </w:rPr>
        <w:t xml:space="preserve">5.4  My theoretical position statement (Activity 4 — revised draft)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E07B39" w:sz="2"/>
              <w:left w:val="single" w:color="E07B39" w:sz="2"/>
              <w:bottom w:val="single" w:color="E07B39" w:sz="2"/>
              <w:right w:val="single" w:color="E07B39" w:sz="2"/>
            </w:tcBorders>
            <w:shd w:fill="FFF9F0" w:val="clear"/>
            <w:tcMar>
              <w:top w:type="dxa" w:w="160"/>
              <w:left w:type="dxa" w:w="240"/>
              <w:bottom w:type="dxa" w:w="160"/>
              <w:right w:type="dxa" w:w="240"/>
            </w:tcMar>
          </w:tcPr>
          <w:p>
            <w:pPr>
              <w:spacing w:after="120" w:before="6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Write a one-paragraph reflexive account of your current theoretical position. This is not a conceptual framework — it is a statement of where you currently are: what theories you are using, what analytical work they do, what is still provisional, and what the pilot study revealed about the fit between your theoretical choices and your data.</w:t>
            </w:r>
          </w:p>
        </w:tc>
      </w:tr>
    </w:tbl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p>
      <w:pPr>
        <w:pBdr>
          <w:bottom w:val="single" w:color="CCCCCC" w:sz="4"/>
        </w:pBdr>
        <w:spacing w:after="4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 </w:t>
      </w:r>
    </w:p>
    <w:p>
      <w:pPr>
        <w:pBdr>
          <w:bottom w:val="single" w:color="CCCCCC" w:sz="4"/>
        </w:pBdr>
        <w:spacing w:after="4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 </w:t>
      </w:r>
    </w:p>
    <w:p>
      <w:pPr>
        <w:pBdr>
          <w:bottom w:val="single" w:color="CCCCCC" w:sz="4"/>
        </w:pBdr>
        <w:spacing w:after="4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 </w:t>
      </w:r>
    </w:p>
    <w:p>
      <w:pPr>
        <w:pBdr>
          <w:bottom w:val="single" w:color="CCCCCC" w:sz="4"/>
        </w:pBdr>
        <w:spacing w:after="4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 </w:t>
      </w:r>
    </w:p>
    <w:p>
      <w:pPr>
        <w:pBdr>
          <w:bottom w:val="single" w:color="CCCCCC" w:sz="4"/>
        </w:pBdr>
        <w:spacing w:after="4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 </w:t>
      </w:r>
    </w:p>
    <w:p>
      <w:pPr>
        <w:pBdr>
          <w:bottom w:val="single" w:color="CCCCCC" w:sz="4"/>
        </w:pBdr>
        <w:spacing w:after="4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 </w:t>
      </w:r>
    </w:p>
    <w:p>
      <w:pPr>
        <w:pBdr>
          <w:bottom w:val="single" w:color="CCCCCC" w:sz="4"/>
        </w:pBdr>
        <w:spacing w:after="4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 </w:t>
      </w:r>
    </w:p>
    <w:p>
      <w:pPr>
        <w:pBdr>
          <w:bottom w:val="single" w:color="CCCCCC" w:sz="4"/>
        </w:pBdr>
        <w:spacing w:after="4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 </w:t>
      </w:r>
    </w:p>
    <w:p>
      <w:pPr>
        <w:pBdr>
          <w:bottom w:val="single" w:color="CCCCCC" w:sz="4"/>
        </w:pBdr>
        <w:spacing w:after="4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 </w:t>
      </w:r>
    </w:p>
    <w:p>
      <w:pPr>
        <w:pBdr>
          <w:bottom w:val="single" w:color="CCCCCC" w:sz="4"/>
        </w:pBdr>
        <w:spacing w:after="4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 </w:t>
      </w:r>
    </w:p>
    <w:p>
      <w:pPr>
        <w:pBdr>
          <w:bottom w:val="single" w:color="CCCCCC" w:sz="4"/>
        </w:pBdr>
        <w:spacing w:after="4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 </w:t>
      </w:r>
    </w:p>
    <w:p>
      <w:pPr>
        <w:pBdr>
          <w:bottom w:val="single" w:color="CCCCCC" w:sz="4"/>
        </w:pBdr>
        <w:spacing w:after="4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 </w:t>
      </w:r>
    </w:p>
    <w:p>
      <w:pPr>
        <w:pBdr>
          <w:bottom w:val="single" w:color="CCCCCC" w:sz="4"/>
        </w:pBdr>
        <w:spacing w:after="4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 </w:t>
      </w:r>
    </w:p>
    <w:p>
      <w:pPr>
        <w:pBdr>
          <w:bottom w:val="single" w:color="CCCCCC" w:sz="4"/>
        </w:pBdr>
        <w:spacing w:after="4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 </w:t>
      </w:r>
    </w:p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p>
      <w:pPr>
        <w:pStyle w:val="Heading2"/>
        <w:spacing w:after="120" w:before="240"/>
      </w:pPr>
      <w:r>
        <w:rPr>
          <w:rFonts w:ascii="Cambria" w:cs="Cambria" w:eastAsia="Cambria" w:hAnsi="Cambria"/>
          <w:b/>
          <w:bCs/>
          <w:color w:val="006D77"/>
          <w:sz w:val="26"/>
          <w:szCs w:val="26"/>
        </w:rPr>
        <w:t xml:space="preserve">5.5  Peer feedback received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6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4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1"/>
                <w:szCs w:val="21"/>
              </w:rPr>
              <w:t xml:space="preserve">Feedback dimension</w:t>
            </w:r>
          </w:p>
        </w:tc>
        <w:tc>
          <w:tcPr>
            <w:tcW w:type="dxa" w:w="6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4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1"/>
                <w:szCs w:val="21"/>
              </w:rPr>
              <w:t xml:space="preserve">Peer’s comments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EF4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A1A2E"/>
                <w:sz w:val="22"/>
                <w:szCs w:val="22"/>
              </w:rPr>
              <w:t xml:space="preserve">One strength in my theoretical position</w:t>
            </w:r>
          </w:p>
        </w:tc>
        <w:tc>
          <w:tcPr>
            <w:tcW w:type="dxa" w:w="6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A1A2E"/>
                <w:sz w:val="22"/>
                <w:szCs w:val="22"/>
              </w:rPr>
              <w:t xml:space="preserve">One question for development</w:t>
            </w:r>
          </w:p>
        </w:tc>
        <w:tc>
          <w:tcPr>
            <w:tcW w:type="dxa" w:w="6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EF4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A1A2E"/>
                <w:sz w:val="22"/>
                <w:szCs w:val="22"/>
              </w:rPr>
              <w:t xml:space="preserve">Is my framework at the right stage of development for my DBA year?</w:t>
            </w:r>
          </w:p>
        </w:tc>
        <w:tc>
          <w:tcPr>
            <w:tcW w:type="dxa" w:w="6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4"/>
              </w:pBdr>
              <w:spacing w:after="4" w:before="0"/>
            </w:pPr>
            <w:r>
              <w:rPr>
                <w:rFonts w:ascii="Calibri" w:cs="Calibri" w:eastAsia="Calibri" w:hAnsi="Calibri"/>
                <w:color w:val="1A1A2E"/>
                <w:sz w:val="22"/>
                <w:szCs w:val="22"/>
              </w:rPr>
              <w:t xml:space="preserve"> </w:t>
            </w:r>
          </w:p>
        </w:tc>
      </w:tr>
    </w:tbl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/>
              <w:left w:val="none"/>
              <w:bottom w:val="none"/>
              <w:right w:val="none"/>
            </w:tcBorders>
            <w:shd w:fill="006D77" w:val="clear"/>
            <w:tcMar>
              <w:top w:type="dxa" w:w="120"/>
              <w:left w:type="dxa" w:w="240"/>
              <w:bottom w:type="dxa" w:w="120"/>
              <w:right w:type="dxa" w:w="240"/>
            </w:tcMar>
          </w:tcPr>
          <w:p>
            <w:pPr>
              <w:spacing w:after="0" w:before="0"/>
            </w:pPr>
            <w:r>
              <w:rPr>
                <w:rFonts w:ascii="Cambria" w:cs="Cambria" w:eastAsia="Cambria" w:hAnsi="Cambria"/>
                <w:b/>
                <w:bCs/>
                <w:color w:val="FFFFFF"/>
                <w:sz w:val="30"/>
                <w:szCs w:val="30"/>
              </w:rPr>
              <w:t xml:space="preserve">6.  Key Messages from the Session</w:t>
            </w:r>
          </w:p>
        </w:tc>
      </w:tr>
    </w:tbl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p>
      <w:pPr>
        <w:pStyle w:val="ListParagraph"/>
        <w:numPr>
          <w:ilvl w:val="0"/>
          <w:numId w:val="3"/>
        </w:numPr>
        <w:spacing w:after="90" w:before="5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Theory is an analytical tool, not a decoration. Every theory in your framework must be doing identifiable, distinct work.</w:t>
      </w:r>
    </w:p>
    <w:p>
      <w:pPr>
        <w:pStyle w:val="ListParagraph"/>
        <w:numPr>
          <w:ilvl w:val="0"/>
          <w:numId w:val="3"/>
        </w:numPr>
        <w:spacing w:after="90" w:before="5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Qualitative research has a distinctive relationship with theory: iterative, emergent and reflexive. Theory should be open to revision.</w:t>
      </w:r>
    </w:p>
    <w:p>
      <w:pPr>
        <w:pStyle w:val="ListParagraph"/>
        <w:numPr>
          <w:ilvl w:val="0"/>
          <w:numId w:val="3"/>
        </w:numPr>
        <w:spacing w:after="90" w:before="5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Multi-theoretical frameworks are legitimate and common in DBA research — provided each theory has a distinct analytical role.</w:t>
      </w:r>
    </w:p>
    <w:p>
      <w:pPr>
        <w:pStyle w:val="ListParagraph"/>
        <w:numPr>
          <w:ilvl w:val="0"/>
          <w:numId w:val="3"/>
        </w:numPr>
        <w:spacing w:after="90" w:before="5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A conceptual framework belongs after the full literature review. A conceptual model belongs after full data analysis. Neither belongs in a pilot study.</w:t>
      </w:r>
    </w:p>
    <w:p>
      <w:pPr>
        <w:pStyle w:val="ListParagraph"/>
        <w:numPr>
          <w:ilvl w:val="0"/>
          <w:numId w:val="3"/>
        </w:numPr>
        <w:spacing w:after="90" w:before="5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Producing either prematurely implies you have already answered your research questions. You have not.</w:t>
      </w:r>
    </w:p>
    <w:p>
      <w:pPr>
        <w:pStyle w:val="ListParagraph"/>
        <w:numPr>
          <w:ilvl w:val="0"/>
          <w:numId w:val="3"/>
        </w:numPr>
        <w:spacing w:after="90" w:before="5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The pilot study is a testing ground for your theoretical choices, not a platform for theoretical conclusions.</w:t>
      </w:r>
    </w:p>
    <w:p>
      <w:pPr>
        <w:pStyle w:val="ListParagraph"/>
        <w:numPr>
          <w:ilvl w:val="0"/>
          <w:numId w:val="3"/>
        </w:numPr>
        <w:spacing w:after="90" w:before="5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What the pilot should produce: refined theoretical awareness, honest reflexivity, and provisional observation.</w:t>
      </w:r>
    </w:p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/>
              <w:left w:val="none"/>
              <w:bottom w:val="none"/>
              <w:right w:val="none"/>
            </w:tcBorders>
            <w:shd w:fill="006D77" w:val="clear"/>
            <w:tcMar>
              <w:top w:type="dxa" w:w="120"/>
              <w:left w:type="dxa" w:w="240"/>
              <w:bottom w:type="dxa" w:w="120"/>
              <w:right w:type="dxa" w:w="240"/>
            </w:tcMar>
          </w:tcPr>
          <w:p>
            <w:pPr>
              <w:spacing w:after="0" w:before="0"/>
            </w:pPr>
            <w:r>
              <w:rPr>
                <w:rFonts w:ascii="Cambria" w:cs="Cambria" w:eastAsia="Cambria" w:hAnsi="Cambria"/>
                <w:b/>
                <w:bCs/>
                <w:color w:val="FFFFFF"/>
                <w:sz w:val="30"/>
                <w:szCs w:val="30"/>
              </w:rPr>
              <w:t xml:space="preserve">7.  Key References</w:t>
            </w:r>
          </w:p>
        </w:tc>
      </w:tr>
    </w:tbl>
    <w:p>
      <w:pPr>
        <w:spacing w:after="120" w:before="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/>
      </w:r>
    </w:p>
    <w:p>
      <w:pPr>
        <w:pStyle w:val="ListParagraph"/>
        <w:numPr>
          <w:ilvl w:val="0"/>
          <w:numId w:val="3"/>
        </w:numPr>
        <w:spacing w:after="90" w:before="5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Blaszczynski, A. and Nower, L. (2002). A pathways model of problem and pathological gambling. Addiction, 97(5), 487–499.</w:t>
      </w:r>
    </w:p>
    <w:p>
      <w:pPr>
        <w:pStyle w:val="ListParagraph"/>
        <w:numPr>
          <w:ilvl w:val="0"/>
          <w:numId w:val="3"/>
        </w:numPr>
        <w:spacing w:after="90" w:before="5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Bourdieu, P. (1986). The forms of capital. In Richardson, J. (ed.) Handbook of Theory and Research for the Sociology of Education. Greenwood, pp. 241–258.</w:t>
      </w:r>
    </w:p>
    <w:p>
      <w:pPr>
        <w:pStyle w:val="ListParagraph"/>
        <w:numPr>
          <w:ilvl w:val="0"/>
          <w:numId w:val="3"/>
        </w:numPr>
        <w:spacing w:after="90" w:before="5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Carroll, A.B. (1991). The pyramid of corporate social responsibility. Business Horizons, 34(4), 39–48.</w:t>
      </w:r>
    </w:p>
    <w:p>
      <w:pPr>
        <w:pStyle w:val="ListParagraph"/>
        <w:numPr>
          <w:ilvl w:val="0"/>
          <w:numId w:val="3"/>
        </w:numPr>
        <w:spacing w:after="90" w:before="5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Freeman, R.E. (1984). Strategic Management: A Stakeholder Approach. Pitman.</w:t>
      </w:r>
    </w:p>
    <w:p>
      <w:pPr>
        <w:pStyle w:val="ListParagraph"/>
        <w:numPr>
          <w:ilvl w:val="0"/>
          <w:numId w:val="3"/>
        </w:numPr>
        <w:spacing w:after="90" w:before="5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Luthans, F. (2006). Psychological capital. International Review of Industrial and Organizational Psychology. Wiley, pp. 249–272.</w:t>
      </w:r>
    </w:p>
    <w:p>
      <w:pPr>
        <w:pStyle w:val="ListParagraph"/>
        <w:numPr>
          <w:ilvl w:val="0"/>
          <w:numId w:val="3"/>
        </w:numPr>
        <w:spacing w:after="90" w:before="5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Orford, J. (2012). An Unsafe Bet? Wiley-Blackwell.</w:t>
      </w:r>
    </w:p>
    <w:p>
      <w:pPr>
        <w:pStyle w:val="ListParagraph"/>
        <w:numPr>
          <w:ilvl w:val="0"/>
          <w:numId w:val="3"/>
        </w:numPr>
        <w:spacing w:after="90" w:before="5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Ployhart, R.E. and Bliese, P.D. (2006). Individual adaptability theory. Advances in Human Performance and Cognitive Engineering Research, 6, pp. 3–39.</w:t>
      </w:r>
    </w:p>
    <w:p>
      <w:pPr>
        <w:pStyle w:val="ListParagraph"/>
        <w:numPr>
          <w:ilvl w:val="0"/>
          <w:numId w:val="3"/>
        </w:numPr>
        <w:spacing w:after="90" w:before="50"/>
      </w:pPr>
      <w:r>
        <w:rPr>
          <w:rFonts w:ascii="Calibri" w:cs="Calibri" w:eastAsia="Calibri" w:hAnsi="Calibri"/>
          <w:color w:val="1A1A2E"/>
          <w:sz w:val="22"/>
          <w:szCs w:val="22"/>
        </w:rPr>
        <w:t xml:space="preserve">Sen, A. (1999). Development as Freedom. Oxford University Press.</w:t>
      </w:r>
    </w:p>
    <w:sectPr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720" w:hanging="360"/>
      </w:pPr>
    </w:lvl>
  </w:abstractNum>
  <w:abstractNum w:abstractNumId="4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abstractNum w:abstractNumId="5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60" w:before="360"/>
      <w:outlineLvl w:val="0"/>
    </w:pPr>
    <w:rPr>
      <w:rFonts w:ascii="Cambria" w:cs="Cambria" w:eastAsia="Cambria" w:hAnsi="Cambria"/>
      <w:b/>
      <w:bCs/>
      <w:color w:val="1B2A4A"/>
      <w:sz w:val="34"/>
      <w:szCs w:val="34"/>
    </w:rPr>
  </w:style>
  <w:style w:type="paragraph" w:styleId="Heading2">
    <w:name w:val="Heading 2"/>
    <w:basedOn w:val="Normal"/>
    <w:next w:val="Normal"/>
    <w:qFormat/>
    <w:pPr>
      <w:spacing w:after="120" w:before="240"/>
      <w:outlineLvl w:val="1"/>
    </w:pPr>
    <w:rPr>
      <w:rFonts w:ascii="Cambria" w:cs="Cambria" w:eastAsia="Cambria" w:hAnsi="Cambria"/>
      <w:b/>
      <w:bCs/>
      <w:color w:val="006D77"/>
      <w:sz w:val="26"/>
      <w:szCs w:val="26"/>
    </w:rPr>
  </w:style>
  <w:style w:type="paragraph" w:styleId="Heading3">
    <w:name w:val="Heading 3"/>
    <w:basedOn w:val="Normal"/>
    <w:next w:val="Normal"/>
    <w:qFormat/>
    <w:pPr>
      <w:spacing w:after="80" w:before="180"/>
      <w:outlineLvl w:val="2"/>
    </w:pPr>
    <w:rPr>
      <w:rFonts w:ascii="Calibri" w:cs="Calibri" w:eastAsia="Calibri" w:hAnsi="Calibri"/>
      <w:b/>
      <w:bCs/>
      <w:color w:val="1A1A2E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2026-03-18T17:53:54.289Z</dcterms:created>
  <dcterms:modified xsi:type="dcterms:W3CDTF">2026-03-18T17:53:54.289Z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