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57DA3" w14:textId="0EBF225C" w:rsidR="00786750" w:rsidRDefault="00E578B4" w:rsidP="008C5097">
      <w:r>
        <w:rPr>
          <w:noProof/>
        </w:rPr>
        <w:drawing>
          <wp:inline distT="0" distB="0" distL="0" distR="0" wp14:anchorId="3121A03E" wp14:editId="3D02DE1E">
            <wp:extent cx="2894316" cy="1158240"/>
            <wp:effectExtent l="0" t="0" r="1905" b="3810"/>
            <wp:docPr id="1355616678" name="Picture 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675" cy="1166387"/>
                    </a:xfrm>
                    <a:prstGeom prst="rect">
                      <a:avLst/>
                    </a:prstGeom>
                    <a:noFill/>
                    <a:ln>
                      <a:noFill/>
                    </a:ln>
                  </pic:spPr>
                </pic:pic>
              </a:graphicData>
            </a:graphic>
          </wp:inline>
        </w:drawing>
      </w:r>
    </w:p>
    <w:p w14:paraId="314A005E" w14:textId="77777777" w:rsidR="00E578B4" w:rsidRDefault="00E578B4" w:rsidP="00790A99">
      <w:pPr>
        <w:spacing w:line="276" w:lineRule="auto"/>
        <w:rPr>
          <w:b/>
          <w:bCs/>
          <w:sz w:val="28"/>
          <w:szCs w:val="24"/>
        </w:rPr>
      </w:pPr>
    </w:p>
    <w:p w14:paraId="460BAB8D" w14:textId="77777777" w:rsidR="00E578B4" w:rsidRDefault="00E578B4" w:rsidP="00E578B4">
      <w:pPr>
        <w:spacing w:line="276" w:lineRule="auto"/>
        <w:jc w:val="center"/>
        <w:rPr>
          <w:b/>
          <w:bCs/>
          <w:sz w:val="28"/>
          <w:szCs w:val="24"/>
        </w:rPr>
      </w:pPr>
    </w:p>
    <w:p w14:paraId="4D0B2816" w14:textId="7EFCDF33" w:rsidR="00E578B4" w:rsidRPr="00BF7F61" w:rsidRDefault="00E578B4" w:rsidP="00790A99">
      <w:pPr>
        <w:spacing w:before="0" w:after="0"/>
        <w:jc w:val="center"/>
        <w:rPr>
          <w:sz w:val="28"/>
          <w:szCs w:val="24"/>
        </w:rPr>
      </w:pPr>
      <w:r w:rsidRPr="00BF7F61">
        <w:rPr>
          <w:b/>
          <w:bCs/>
          <w:sz w:val="28"/>
          <w:szCs w:val="24"/>
        </w:rPr>
        <w:t>Programme:</w:t>
      </w:r>
      <w:r>
        <w:rPr>
          <w:b/>
          <w:bCs/>
          <w:sz w:val="28"/>
          <w:szCs w:val="24"/>
        </w:rPr>
        <w:t xml:space="preserve"> </w:t>
      </w:r>
      <w:r w:rsidRPr="00BF7F61">
        <w:rPr>
          <w:sz w:val="28"/>
          <w:szCs w:val="24"/>
        </w:rPr>
        <w:t>Master of Business Administration</w:t>
      </w:r>
    </w:p>
    <w:p w14:paraId="400DBCAB" w14:textId="77777777" w:rsidR="00E578B4" w:rsidRPr="00BF7F61" w:rsidRDefault="00E578B4" w:rsidP="00790A99">
      <w:pPr>
        <w:spacing w:before="0" w:after="0"/>
        <w:jc w:val="center"/>
        <w:rPr>
          <w:sz w:val="28"/>
          <w:szCs w:val="24"/>
        </w:rPr>
      </w:pPr>
      <w:r w:rsidRPr="00BF7F61">
        <w:rPr>
          <w:b/>
          <w:bCs/>
          <w:sz w:val="28"/>
          <w:szCs w:val="24"/>
        </w:rPr>
        <w:t>Module:</w:t>
      </w:r>
      <w:r w:rsidRPr="00BF7F61">
        <w:rPr>
          <w:sz w:val="28"/>
          <w:szCs w:val="24"/>
        </w:rPr>
        <w:t xml:space="preserve"> Dissertation (LCMB7035)</w:t>
      </w:r>
    </w:p>
    <w:p w14:paraId="6A0BBC71" w14:textId="77777777" w:rsidR="00E578B4" w:rsidRDefault="00E578B4" w:rsidP="00790A99">
      <w:pPr>
        <w:spacing w:before="0" w:after="0"/>
        <w:jc w:val="center"/>
        <w:rPr>
          <w:sz w:val="28"/>
          <w:szCs w:val="24"/>
        </w:rPr>
      </w:pPr>
      <w:r w:rsidRPr="00BF7F61">
        <w:rPr>
          <w:b/>
          <w:bCs/>
          <w:sz w:val="28"/>
          <w:szCs w:val="24"/>
        </w:rPr>
        <w:t>Lecturer:</w:t>
      </w:r>
      <w:r w:rsidRPr="00BF7F61">
        <w:rPr>
          <w:sz w:val="28"/>
          <w:szCs w:val="24"/>
        </w:rPr>
        <w:t xml:space="preserve"> Masud Ibrahim</w:t>
      </w:r>
    </w:p>
    <w:p w14:paraId="392B6E36" w14:textId="77777777" w:rsidR="00E578B4" w:rsidRDefault="00E578B4" w:rsidP="00790A99">
      <w:pPr>
        <w:spacing w:before="0" w:after="0"/>
        <w:jc w:val="center"/>
        <w:rPr>
          <w:sz w:val="28"/>
          <w:szCs w:val="24"/>
        </w:rPr>
      </w:pPr>
    </w:p>
    <w:p w14:paraId="13F477FD" w14:textId="34AB5C0C" w:rsidR="00E578B4" w:rsidRPr="00790A99" w:rsidRDefault="00E578B4" w:rsidP="00790A99">
      <w:pPr>
        <w:spacing w:before="0" w:after="0"/>
        <w:jc w:val="center"/>
        <w:rPr>
          <w:rFonts w:cs="Arial"/>
          <w:b/>
          <w:bCs/>
          <w:i/>
          <w:iCs/>
          <w:sz w:val="28"/>
          <w:szCs w:val="28"/>
        </w:rPr>
      </w:pPr>
      <w:r w:rsidRPr="00790A99">
        <w:rPr>
          <w:rFonts w:cs="Arial"/>
          <w:b/>
          <w:bCs/>
          <w:i/>
          <w:iCs/>
          <w:sz w:val="28"/>
          <w:szCs w:val="28"/>
        </w:rPr>
        <w:t xml:space="preserve">A Systematic Review of </w:t>
      </w:r>
      <w:bookmarkStart w:id="0" w:name="_Hlk213691274"/>
      <w:r w:rsidRPr="00790A99">
        <w:rPr>
          <w:rFonts w:cs="Arial"/>
          <w:b/>
          <w:bCs/>
          <w:i/>
          <w:iCs/>
          <w:sz w:val="28"/>
          <w:szCs w:val="28"/>
        </w:rPr>
        <w:t>ESG Practices by Traditional Automotive vs Electric Vehicle Companies</w:t>
      </w:r>
      <w:bookmarkEnd w:id="0"/>
    </w:p>
    <w:p w14:paraId="5F493076" w14:textId="77777777" w:rsidR="00E578B4" w:rsidRPr="00BF7F61" w:rsidRDefault="00E578B4" w:rsidP="00790A99">
      <w:pPr>
        <w:spacing w:before="0" w:after="0"/>
        <w:jc w:val="center"/>
        <w:rPr>
          <w:b/>
          <w:bCs/>
          <w:sz w:val="28"/>
          <w:szCs w:val="24"/>
        </w:rPr>
      </w:pPr>
    </w:p>
    <w:p w14:paraId="15D510E9" w14:textId="77777777" w:rsidR="00E578B4" w:rsidRPr="001B056D" w:rsidRDefault="00E578B4" w:rsidP="00790A99">
      <w:pPr>
        <w:spacing w:before="0" w:after="0"/>
        <w:jc w:val="center"/>
        <w:rPr>
          <w:b/>
          <w:bCs/>
          <w:sz w:val="28"/>
          <w:szCs w:val="24"/>
          <w:lang w:val="nl-NL"/>
        </w:rPr>
      </w:pPr>
      <w:r w:rsidRPr="001B056D">
        <w:rPr>
          <w:b/>
          <w:bCs/>
          <w:sz w:val="28"/>
          <w:szCs w:val="24"/>
          <w:lang w:val="nl-NL"/>
        </w:rPr>
        <w:t xml:space="preserve">Student Name: </w:t>
      </w:r>
      <w:r w:rsidRPr="001B056D">
        <w:rPr>
          <w:sz w:val="28"/>
          <w:szCs w:val="24"/>
          <w:lang w:val="nl-NL"/>
        </w:rPr>
        <w:t>Dharmendra Rolaniya</w:t>
      </w:r>
    </w:p>
    <w:p w14:paraId="29F67FA8" w14:textId="77777777" w:rsidR="00E578B4" w:rsidRDefault="00E578B4" w:rsidP="00790A99">
      <w:pPr>
        <w:spacing w:before="0" w:after="0"/>
        <w:jc w:val="center"/>
        <w:rPr>
          <w:sz w:val="28"/>
          <w:szCs w:val="24"/>
          <w:lang w:val="nl-NL"/>
        </w:rPr>
      </w:pPr>
      <w:r w:rsidRPr="001B056D">
        <w:rPr>
          <w:b/>
          <w:bCs/>
          <w:sz w:val="28"/>
          <w:szCs w:val="24"/>
          <w:lang w:val="nl-NL"/>
        </w:rPr>
        <w:t xml:space="preserve">Student Number: </w:t>
      </w:r>
      <w:r w:rsidRPr="001B056D">
        <w:rPr>
          <w:sz w:val="28"/>
          <w:szCs w:val="24"/>
          <w:lang w:val="nl-NL"/>
        </w:rPr>
        <w:t>2426430</w:t>
      </w:r>
    </w:p>
    <w:p w14:paraId="1C57B7ED" w14:textId="325B68F2" w:rsidR="00790A99" w:rsidRPr="00F51EF3" w:rsidRDefault="00790A99" w:rsidP="00790A99">
      <w:pPr>
        <w:spacing w:before="0" w:after="0"/>
        <w:jc w:val="center"/>
        <w:rPr>
          <w:b/>
          <w:bCs/>
          <w:sz w:val="28"/>
          <w:szCs w:val="24"/>
          <w:lang w:val="en-US"/>
        </w:rPr>
      </w:pPr>
      <w:r w:rsidRPr="00F51EF3">
        <w:rPr>
          <w:b/>
          <w:bCs/>
          <w:sz w:val="28"/>
          <w:szCs w:val="24"/>
          <w:lang w:val="en-US"/>
        </w:rPr>
        <w:t>Word Count:</w:t>
      </w:r>
      <w:r w:rsidR="004C4DB6">
        <w:rPr>
          <w:b/>
          <w:bCs/>
          <w:sz w:val="28"/>
          <w:szCs w:val="24"/>
          <w:lang w:val="en-US"/>
        </w:rPr>
        <w:t xml:space="preserve"> </w:t>
      </w:r>
      <w:r w:rsidR="004C4DB6" w:rsidRPr="004C4DB6">
        <w:rPr>
          <w:sz w:val="28"/>
          <w:szCs w:val="24"/>
          <w:lang w:val="en-US"/>
        </w:rPr>
        <w:t>16305</w:t>
      </w:r>
    </w:p>
    <w:p w14:paraId="1C693BEF" w14:textId="66D994A0" w:rsidR="00790A99" w:rsidRPr="00790A99" w:rsidRDefault="00790A99" w:rsidP="00790A99">
      <w:pPr>
        <w:spacing w:before="0" w:after="0"/>
        <w:jc w:val="center"/>
        <w:rPr>
          <w:b/>
          <w:bCs/>
          <w:sz w:val="28"/>
          <w:szCs w:val="24"/>
          <w:lang w:val="en-US"/>
        </w:rPr>
      </w:pPr>
      <w:r w:rsidRPr="00790A99">
        <w:rPr>
          <w:b/>
          <w:bCs/>
          <w:sz w:val="28"/>
          <w:szCs w:val="24"/>
          <w:lang w:val="en-US"/>
        </w:rPr>
        <w:t xml:space="preserve">Submission Date: </w:t>
      </w:r>
      <w:r w:rsidRPr="00790A99">
        <w:rPr>
          <w:sz w:val="28"/>
          <w:szCs w:val="24"/>
          <w:lang w:val="en-US"/>
        </w:rPr>
        <w:t>7th January 2025</w:t>
      </w:r>
    </w:p>
    <w:p w14:paraId="12E0683D" w14:textId="77777777" w:rsidR="001F7590" w:rsidRPr="00790A99" w:rsidRDefault="001F7590" w:rsidP="008C5097">
      <w:pPr>
        <w:rPr>
          <w:lang w:val="en-US"/>
        </w:rPr>
      </w:pPr>
    </w:p>
    <w:p w14:paraId="7CE1E1BA" w14:textId="039D5EDA" w:rsidR="00786750" w:rsidRPr="00790A99" w:rsidRDefault="00786750" w:rsidP="001F7590">
      <w:pPr>
        <w:rPr>
          <w:b/>
          <w:bCs/>
          <w:szCs w:val="24"/>
        </w:rPr>
      </w:pPr>
      <w:r w:rsidRPr="00790A99">
        <w:rPr>
          <w:b/>
          <w:bCs/>
          <w:szCs w:val="24"/>
        </w:rPr>
        <w:t xml:space="preserve">DECLARATATION </w:t>
      </w:r>
    </w:p>
    <w:p w14:paraId="48865957" w14:textId="0510B2A4" w:rsidR="003C08E6" w:rsidRPr="001F7590" w:rsidRDefault="003C08E6" w:rsidP="001F7590">
      <w:pPr>
        <w:pStyle w:val="paragraph"/>
        <w:spacing w:before="0" w:beforeAutospacing="0" w:after="0" w:afterAutospacing="0" w:line="360" w:lineRule="auto"/>
        <w:textAlignment w:val="baseline"/>
        <w:rPr>
          <w:rFonts w:asciiTheme="minorBidi" w:hAnsiTheme="minorBidi" w:cstheme="minorBidi"/>
        </w:rPr>
      </w:pPr>
      <w:r w:rsidRPr="001F7590">
        <w:rPr>
          <w:rStyle w:val="normaltextrun"/>
          <w:rFonts w:asciiTheme="minorBidi" w:hAnsiTheme="minorBidi" w:cstheme="minorBidi"/>
        </w:rPr>
        <w:t xml:space="preserve">I, </w:t>
      </w:r>
      <w:r w:rsidR="00E578B4" w:rsidRPr="001F7590">
        <w:rPr>
          <w:rStyle w:val="normaltextrun"/>
          <w:rFonts w:asciiTheme="minorBidi" w:hAnsiTheme="minorBidi" w:cstheme="minorBidi"/>
          <w:i/>
          <w:iCs/>
        </w:rPr>
        <w:t xml:space="preserve">Dharmendra </w:t>
      </w:r>
      <w:proofErr w:type="spellStart"/>
      <w:r w:rsidR="00E578B4" w:rsidRPr="001F7590">
        <w:rPr>
          <w:rStyle w:val="normaltextrun"/>
          <w:rFonts w:asciiTheme="minorBidi" w:hAnsiTheme="minorBidi" w:cstheme="minorBidi"/>
          <w:i/>
          <w:iCs/>
        </w:rPr>
        <w:t>Rolaniya</w:t>
      </w:r>
      <w:proofErr w:type="spellEnd"/>
      <w:r w:rsidR="00E578B4" w:rsidRPr="001F7590">
        <w:rPr>
          <w:rStyle w:val="normaltextrun"/>
          <w:rFonts w:asciiTheme="minorBidi" w:hAnsiTheme="minorBidi" w:cstheme="minorBidi"/>
        </w:rPr>
        <w:t>,</w:t>
      </w:r>
      <w:r w:rsidRPr="001F7590">
        <w:rPr>
          <w:rStyle w:val="normaltextrun"/>
          <w:rFonts w:asciiTheme="minorBidi" w:hAnsiTheme="minorBidi" w:cstheme="minorBidi"/>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1F7590">
        <w:rPr>
          <w:rStyle w:val="eop"/>
          <w:rFonts w:asciiTheme="minorBidi" w:hAnsiTheme="minorBidi" w:cstheme="minorBidi"/>
        </w:rPr>
        <w:t> </w:t>
      </w:r>
    </w:p>
    <w:p w14:paraId="651E2ABB" w14:textId="77777777" w:rsidR="003C08E6" w:rsidRPr="001F7590" w:rsidRDefault="003C08E6" w:rsidP="001F7590">
      <w:pPr>
        <w:pStyle w:val="paragraph"/>
        <w:spacing w:before="0" w:beforeAutospacing="0" w:after="0" w:afterAutospacing="0" w:line="360" w:lineRule="auto"/>
        <w:textAlignment w:val="baseline"/>
        <w:rPr>
          <w:rFonts w:asciiTheme="minorBidi" w:hAnsiTheme="minorBidi" w:cstheme="minorBidi"/>
        </w:rPr>
      </w:pPr>
      <w:r w:rsidRPr="001F7590">
        <w:rPr>
          <w:rStyle w:val="eop"/>
          <w:rFonts w:asciiTheme="minorBidi" w:hAnsiTheme="minorBidi" w:cstheme="minorBidi"/>
        </w:rPr>
        <w:t> </w:t>
      </w:r>
    </w:p>
    <w:p w14:paraId="0CF35665" w14:textId="5EAE63B8" w:rsidR="003C08E6" w:rsidRPr="001F7590" w:rsidRDefault="003C08E6" w:rsidP="001F7590">
      <w:pPr>
        <w:pStyle w:val="paragraph"/>
        <w:spacing w:before="0" w:beforeAutospacing="0" w:after="0" w:afterAutospacing="0" w:line="360" w:lineRule="auto"/>
        <w:textAlignment w:val="baseline"/>
        <w:rPr>
          <w:rFonts w:asciiTheme="minorBidi" w:hAnsiTheme="minorBidi" w:cstheme="minorBidi"/>
        </w:rPr>
      </w:pPr>
      <w:r w:rsidRPr="001F7590">
        <w:rPr>
          <w:rStyle w:val="normaltextrun"/>
          <w:rFonts w:asciiTheme="minorBidi" w:hAnsiTheme="minorBidi" w:cstheme="minorBidi"/>
        </w:rPr>
        <w:t>Signature:</w:t>
      </w:r>
      <w:r w:rsidR="00E578B4" w:rsidRPr="001F7590">
        <w:rPr>
          <w:rStyle w:val="normaltextrun"/>
          <w:rFonts w:asciiTheme="minorBidi" w:hAnsiTheme="minorBidi" w:cstheme="minorBidi"/>
        </w:rPr>
        <w:t xml:space="preserve"> </w:t>
      </w:r>
      <w:r w:rsidRPr="001F7590">
        <w:rPr>
          <w:rStyle w:val="normaltextrun"/>
          <w:rFonts w:asciiTheme="minorBidi" w:hAnsiTheme="minorBidi" w:cstheme="minorBidi"/>
        </w:rPr>
        <w:t>..........</w:t>
      </w:r>
      <w:r w:rsidR="00E578B4" w:rsidRPr="001F7590">
        <w:t xml:space="preserve"> </w:t>
      </w:r>
      <w:r w:rsidR="00E578B4" w:rsidRPr="001F7590">
        <w:rPr>
          <w:rStyle w:val="normaltextrun"/>
          <w:rFonts w:asciiTheme="minorBidi" w:hAnsiTheme="minorBidi" w:cstheme="minorBidi"/>
        </w:rPr>
        <w:t xml:space="preserve">Dharmendra </w:t>
      </w:r>
      <w:proofErr w:type="spellStart"/>
      <w:r w:rsidR="00E578B4" w:rsidRPr="001F7590">
        <w:rPr>
          <w:rStyle w:val="normaltextrun"/>
          <w:rFonts w:asciiTheme="minorBidi" w:hAnsiTheme="minorBidi" w:cstheme="minorBidi"/>
        </w:rPr>
        <w:t>Rolaniya</w:t>
      </w:r>
      <w:proofErr w:type="spellEnd"/>
      <w:r w:rsidRPr="001F7590">
        <w:rPr>
          <w:rStyle w:val="normaltextrun"/>
          <w:rFonts w:asciiTheme="minorBidi" w:hAnsiTheme="minorBidi" w:cstheme="minorBidi"/>
        </w:rPr>
        <w:t>...........</w:t>
      </w:r>
    </w:p>
    <w:p w14:paraId="6E4610B8" w14:textId="1F1D9B50" w:rsidR="00E578B4" w:rsidRPr="001F7590" w:rsidRDefault="003C08E6" w:rsidP="001F7590">
      <w:pPr>
        <w:pStyle w:val="paragraph"/>
        <w:spacing w:before="0" w:beforeAutospacing="0" w:after="0" w:afterAutospacing="0" w:line="360" w:lineRule="auto"/>
        <w:textAlignment w:val="baseline"/>
        <w:rPr>
          <w:rStyle w:val="eop"/>
          <w:rFonts w:asciiTheme="minorBidi" w:hAnsiTheme="minorBidi" w:cstheme="minorBidi"/>
        </w:rPr>
      </w:pPr>
      <w:r w:rsidRPr="001F7590">
        <w:rPr>
          <w:rStyle w:val="normaltextrun"/>
          <w:rFonts w:asciiTheme="minorBidi" w:hAnsiTheme="minorBidi" w:cstheme="minorBidi"/>
        </w:rPr>
        <w:t>Date: ……………</w:t>
      </w:r>
      <w:r w:rsidR="00F21071">
        <w:rPr>
          <w:rStyle w:val="normaltextrun"/>
          <w:rFonts w:asciiTheme="minorBidi" w:hAnsiTheme="minorBidi" w:cstheme="minorBidi"/>
        </w:rPr>
        <w:t>30</w:t>
      </w:r>
      <w:r w:rsidR="00F21071" w:rsidRPr="00F21071">
        <w:rPr>
          <w:rStyle w:val="normaltextrun"/>
          <w:rFonts w:asciiTheme="minorBidi" w:hAnsiTheme="minorBidi" w:cstheme="minorBidi"/>
          <w:vertAlign w:val="superscript"/>
        </w:rPr>
        <w:t>th</w:t>
      </w:r>
      <w:r w:rsidR="00F21071">
        <w:rPr>
          <w:rStyle w:val="normaltextrun"/>
          <w:rFonts w:asciiTheme="minorBidi" w:hAnsiTheme="minorBidi" w:cstheme="minorBidi"/>
        </w:rPr>
        <w:t xml:space="preserve"> December 2025</w:t>
      </w:r>
      <w:r w:rsidRPr="001F7590">
        <w:rPr>
          <w:rStyle w:val="normaltextrun"/>
          <w:rFonts w:asciiTheme="minorBidi" w:hAnsiTheme="minorBidi" w:cstheme="minorBidi"/>
        </w:rPr>
        <w:t>..............</w:t>
      </w:r>
    </w:p>
    <w:p w14:paraId="13F85C26" w14:textId="77777777" w:rsidR="00E578B4" w:rsidRDefault="00E578B4">
      <w:pPr>
        <w:spacing w:before="0" w:after="160" w:line="259" w:lineRule="auto"/>
        <w:jc w:val="left"/>
        <w:rPr>
          <w:rStyle w:val="eop"/>
          <w:rFonts w:eastAsia="Times New Roman"/>
          <w:sz w:val="22"/>
          <w:lang w:eastAsia="zh-CN"/>
        </w:rPr>
      </w:pPr>
      <w:r>
        <w:rPr>
          <w:rStyle w:val="eop"/>
          <w:sz w:val="22"/>
        </w:rPr>
        <w:br w:type="page"/>
      </w:r>
    </w:p>
    <w:p w14:paraId="3AD61B31" w14:textId="547BE6E0" w:rsidR="00786750" w:rsidRPr="008C5097" w:rsidRDefault="00786750" w:rsidP="00E578B4">
      <w:pPr>
        <w:pStyle w:val="Heading1"/>
        <w:numPr>
          <w:ilvl w:val="0"/>
          <w:numId w:val="0"/>
        </w:numPr>
        <w:jc w:val="left"/>
      </w:pPr>
      <w:bookmarkStart w:id="1" w:name="_Toc217953830"/>
      <w:r w:rsidRPr="008C5097">
        <w:lastRenderedPageBreak/>
        <w:t>ACKNOWLEDGEMENT</w:t>
      </w:r>
      <w:bookmarkEnd w:id="1"/>
    </w:p>
    <w:p w14:paraId="1BC75D1A" w14:textId="7745FA16" w:rsidR="00F21071" w:rsidRPr="00F21071" w:rsidRDefault="003E714E" w:rsidP="00F21071">
      <w:pPr>
        <w:rPr>
          <w:lang w:val="en-US"/>
        </w:rPr>
      </w:pPr>
      <w:r w:rsidRPr="003E714E">
        <w:rPr>
          <w:lang w:val="en-US"/>
        </w:rPr>
        <w:t>I would also like to present my personal thanks to everyone who has aided and helped me during my MBA life. I would like to give credit to God who guided me, gave me strength and perseverance during my studies. I am also appreciative that my module leader provided me with academic support, a</w:t>
      </w:r>
      <w:r>
        <w:rPr>
          <w:lang w:val="en-US"/>
        </w:rPr>
        <w:t xml:space="preserve"> </w:t>
      </w:r>
      <w:r w:rsidRPr="003E714E">
        <w:rPr>
          <w:lang w:val="en-US"/>
        </w:rPr>
        <w:t>constructive</w:t>
      </w:r>
      <w:r>
        <w:rPr>
          <w:lang w:val="en-US"/>
        </w:rPr>
        <w:t>-</w:t>
      </w:r>
      <w:r w:rsidRPr="003E714E">
        <w:rPr>
          <w:lang w:val="en-US"/>
        </w:rPr>
        <w:t>feedback, and encouragement. I would like to express my gratitude to my supervisor who provided me with this research experience, skills, and useful knowledge. Lastly, I would like to thank my family to be supportive, patient, and motivational. This would not have been achieved without mutual encouragement and support of these people.</w:t>
      </w:r>
    </w:p>
    <w:p w14:paraId="249E2565" w14:textId="50562D96" w:rsidR="004B0E8E" w:rsidRPr="00F21071" w:rsidRDefault="004B0E8E" w:rsidP="008C5097">
      <w:pPr>
        <w:rPr>
          <w:lang w:val="en-US"/>
        </w:rPr>
      </w:pPr>
    </w:p>
    <w:p w14:paraId="1E6EE679" w14:textId="77777777" w:rsidR="00391EB6" w:rsidRPr="008C5097" w:rsidRDefault="00391EB6" w:rsidP="008C5097"/>
    <w:p w14:paraId="3DD94D6B" w14:textId="77777777" w:rsidR="008C5097" w:rsidRDefault="008C5097">
      <w:r>
        <w:br w:type="page"/>
      </w:r>
    </w:p>
    <w:sdt>
      <w:sdtPr>
        <w:rPr>
          <w:rFonts w:asciiTheme="minorBidi" w:eastAsiaTheme="minorEastAsia" w:hAnsiTheme="minorBidi" w:cstheme="minorBidi"/>
          <w:b w:val="0"/>
          <w:bCs w:val="0"/>
          <w:smallCaps w:val="0"/>
          <w:color w:val="auto"/>
          <w:sz w:val="24"/>
          <w:szCs w:val="22"/>
        </w:rPr>
        <w:id w:val="1045255892"/>
        <w:docPartObj>
          <w:docPartGallery w:val="Table of Contents"/>
          <w:docPartUnique/>
        </w:docPartObj>
      </w:sdtPr>
      <w:sdtEndPr>
        <w:rPr>
          <w:noProof/>
        </w:rPr>
      </w:sdtEndPr>
      <w:sdtContent>
        <w:p w14:paraId="5CB2B8C2" w14:textId="0A133D63" w:rsidR="008C5097" w:rsidRDefault="008C5097" w:rsidP="00917E8A">
          <w:pPr>
            <w:pStyle w:val="TOCHeading"/>
            <w:numPr>
              <w:ilvl w:val="0"/>
              <w:numId w:val="0"/>
            </w:numPr>
            <w:ind w:left="432" w:hanging="432"/>
            <w:jc w:val="both"/>
          </w:pPr>
          <w:r>
            <w:t>Table of Contents</w:t>
          </w:r>
        </w:p>
        <w:p w14:paraId="3BB4E9DC" w14:textId="156631E7" w:rsidR="00CC43B9" w:rsidRDefault="008C5097">
          <w:pPr>
            <w:pStyle w:val="TOC1"/>
            <w:tabs>
              <w:tab w:val="right" w:leader="dot" w:pos="9016"/>
            </w:tabs>
            <w:rPr>
              <w:rFonts w:asciiTheme="minorHAnsi" w:hAnsiTheme="minorHAnsi" w:cstheme="minorBidi"/>
              <w:noProof/>
              <w:kern w:val="2"/>
              <w:szCs w:val="30"/>
              <w:lang w:eastAsia="zh-CN" w:bidi="bn-IN"/>
              <w14:ligatures w14:val="standardContextual"/>
            </w:rPr>
          </w:pPr>
          <w:r>
            <w:fldChar w:fldCharType="begin"/>
          </w:r>
          <w:r>
            <w:instrText xml:space="preserve"> TOC \o "1-3" \h \z \u </w:instrText>
          </w:r>
          <w:r>
            <w:fldChar w:fldCharType="separate"/>
          </w:r>
          <w:hyperlink w:anchor="_Toc217953830" w:history="1">
            <w:r w:rsidR="00CC43B9" w:rsidRPr="00056B53">
              <w:rPr>
                <w:rStyle w:val="Hyperlink"/>
                <w:noProof/>
              </w:rPr>
              <w:t>ACKNOWLEDGEMENT</w:t>
            </w:r>
            <w:r w:rsidR="00CC43B9">
              <w:rPr>
                <w:noProof/>
                <w:webHidden/>
              </w:rPr>
              <w:tab/>
            </w:r>
            <w:r w:rsidR="00CC43B9">
              <w:rPr>
                <w:noProof/>
                <w:webHidden/>
              </w:rPr>
              <w:fldChar w:fldCharType="begin"/>
            </w:r>
            <w:r w:rsidR="00CC43B9">
              <w:rPr>
                <w:noProof/>
                <w:webHidden/>
              </w:rPr>
              <w:instrText xml:space="preserve"> PAGEREF _Toc217953830 \h </w:instrText>
            </w:r>
            <w:r w:rsidR="00CC43B9">
              <w:rPr>
                <w:noProof/>
                <w:webHidden/>
              </w:rPr>
            </w:r>
            <w:r w:rsidR="00CC43B9">
              <w:rPr>
                <w:noProof/>
                <w:webHidden/>
              </w:rPr>
              <w:fldChar w:fldCharType="separate"/>
            </w:r>
            <w:r w:rsidR="00CC43B9">
              <w:rPr>
                <w:noProof/>
                <w:webHidden/>
              </w:rPr>
              <w:t>2</w:t>
            </w:r>
            <w:r w:rsidR="00CC43B9">
              <w:rPr>
                <w:noProof/>
                <w:webHidden/>
              </w:rPr>
              <w:fldChar w:fldCharType="end"/>
            </w:r>
          </w:hyperlink>
        </w:p>
        <w:p w14:paraId="267C6C93" w14:textId="50263594" w:rsidR="00CC43B9" w:rsidRDefault="00CC43B9">
          <w:pPr>
            <w:pStyle w:val="TOC1"/>
            <w:tabs>
              <w:tab w:val="right" w:leader="dot" w:pos="9016"/>
            </w:tabs>
            <w:rPr>
              <w:rFonts w:asciiTheme="minorHAnsi" w:hAnsiTheme="minorHAnsi" w:cstheme="minorBidi"/>
              <w:noProof/>
              <w:kern w:val="2"/>
              <w:szCs w:val="30"/>
              <w:lang w:eastAsia="zh-CN" w:bidi="bn-IN"/>
              <w14:ligatures w14:val="standardContextual"/>
            </w:rPr>
          </w:pPr>
          <w:hyperlink w:anchor="_Toc217953831" w:history="1">
            <w:r w:rsidRPr="00056B53">
              <w:rPr>
                <w:rStyle w:val="Hyperlink"/>
                <w:noProof/>
              </w:rPr>
              <w:t>Contents of Figures</w:t>
            </w:r>
            <w:r>
              <w:rPr>
                <w:noProof/>
                <w:webHidden/>
              </w:rPr>
              <w:tab/>
            </w:r>
            <w:r>
              <w:rPr>
                <w:noProof/>
                <w:webHidden/>
              </w:rPr>
              <w:fldChar w:fldCharType="begin"/>
            </w:r>
            <w:r>
              <w:rPr>
                <w:noProof/>
                <w:webHidden/>
              </w:rPr>
              <w:instrText xml:space="preserve"> PAGEREF _Toc217953831 \h </w:instrText>
            </w:r>
            <w:r>
              <w:rPr>
                <w:noProof/>
                <w:webHidden/>
              </w:rPr>
            </w:r>
            <w:r>
              <w:rPr>
                <w:noProof/>
                <w:webHidden/>
              </w:rPr>
              <w:fldChar w:fldCharType="separate"/>
            </w:r>
            <w:r>
              <w:rPr>
                <w:noProof/>
                <w:webHidden/>
              </w:rPr>
              <w:t>6</w:t>
            </w:r>
            <w:r>
              <w:rPr>
                <w:noProof/>
                <w:webHidden/>
              </w:rPr>
              <w:fldChar w:fldCharType="end"/>
            </w:r>
          </w:hyperlink>
        </w:p>
        <w:p w14:paraId="0E5DFA1A" w14:textId="581C5313" w:rsidR="00CC43B9" w:rsidRDefault="00CC43B9">
          <w:pPr>
            <w:pStyle w:val="TOC1"/>
            <w:tabs>
              <w:tab w:val="right" w:leader="dot" w:pos="9016"/>
            </w:tabs>
            <w:rPr>
              <w:rFonts w:asciiTheme="minorHAnsi" w:hAnsiTheme="minorHAnsi" w:cstheme="minorBidi"/>
              <w:noProof/>
              <w:kern w:val="2"/>
              <w:szCs w:val="30"/>
              <w:lang w:eastAsia="zh-CN" w:bidi="bn-IN"/>
              <w14:ligatures w14:val="standardContextual"/>
            </w:rPr>
          </w:pPr>
          <w:hyperlink w:anchor="_Toc217953832" w:history="1">
            <w:r w:rsidRPr="00056B53">
              <w:rPr>
                <w:rStyle w:val="Hyperlink"/>
                <w:noProof/>
              </w:rPr>
              <w:t>Contents of Tables</w:t>
            </w:r>
            <w:r>
              <w:rPr>
                <w:noProof/>
                <w:webHidden/>
              </w:rPr>
              <w:tab/>
            </w:r>
            <w:r>
              <w:rPr>
                <w:noProof/>
                <w:webHidden/>
              </w:rPr>
              <w:fldChar w:fldCharType="begin"/>
            </w:r>
            <w:r>
              <w:rPr>
                <w:noProof/>
                <w:webHidden/>
              </w:rPr>
              <w:instrText xml:space="preserve"> PAGEREF _Toc217953832 \h </w:instrText>
            </w:r>
            <w:r>
              <w:rPr>
                <w:noProof/>
                <w:webHidden/>
              </w:rPr>
            </w:r>
            <w:r>
              <w:rPr>
                <w:noProof/>
                <w:webHidden/>
              </w:rPr>
              <w:fldChar w:fldCharType="separate"/>
            </w:r>
            <w:r>
              <w:rPr>
                <w:noProof/>
                <w:webHidden/>
              </w:rPr>
              <w:t>6</w:t>
            </w:r>
            <w:r>
              <w:rPr>
                <w:noProof/>
                <w:webHidden/>
              </w:rPr>
              <w:fldChar w:fldCharType="end"/>
            </w:r>
          </w:hyperlink>
        </w:p>
        <w:p w14:paraId="465081D9" w14:textId="4A28F00C" w:rsidR="00CC43B9" w:rsidRDefault="00CC43B9">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7953833" w:history="1">
            <w:r w:rsidRPr="00056B53">
              <w:rPr>
                <w:rStyle w:val="Hyperlink"/>
                <w:noProof/>
              </w:rPr>
              <w:t>1</w:t>
            </w:r>
            <w:r>
              <w:rPr>
                <w:rFonts w:asciiTheme="minorHAnsi" w:hAnsiTheme="minorHAnsi" w:cstheme="minorBidi"/>
                <w:noProof/>
                <w:kern w:val="2"/>
                <w:szCs w:val="30"/>
                <w:lang w:eastAsia="zh-CN" w:bidi="bn-IN"/>
                <w14:ligatures w14:val="standardContextual"/>
              </w:rPr>
              <w:tab/>
            </w:r>
            <w:r w:rsidRPr="00056B53">
              <w:rPr>
                <w:rStyle w:val="Hyperlink"/>
                <w:noProof/>
              </w:rPr>
              <w:t>CHAPTER 1: INTRODUCTION</w:t>
            </w:r>
            <w:r>
              <w:rPr>
                <w:noProof/>
                <w:webHidden/>
              </w:rPr>
              <w:tab/>
            </w:r>
            <w:r>
              <w:rPr>
                <w:noProof/>
                <w:webHidden/>
              </w:rPr>
              <w:fldChar w:fldCharType="begin"/>
            </w:r>
            <w:r>
              <w:rPr>
                <w:noProof/>
                <w:webHidden/>
              </w:rPr>
              <w:instrText xml:space="preserve"> PAGEREF _Toc217953833 \h </w:instrText>
            </w:r>
            <w:r>
              <w:rPr>
                <w:noProof/>
                <w:webHidden/>
              </w:rPr>
            </w:r>
            <w:r>
              <w:rPr>
                <w:noProof/>
                <w:webHidden/>
              </w:rPr>
              <w:fldChar w:fldCharType="separate"/>
            </w:r>
            <w:r>
              <w:rPr>
                <w:noProof/>
                <w:webHidden/>
              </w:rPr>
              <w:t>7</w:t>
            </w:r>
            <w:r>
              <w:rPr>
                <w:noProof/>
                <w:webHidden/>
              </w:rPr>
              <w:fldChar w:fldCharType="end"/>
            </w:r>
          </w:hyperlink>
        </w:p>
        <w:p w14:paraId="199249D6" w14:textId="1F50D4D9"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34" w:history="1">
            <w:r w:rsidRPr="00056B53">
              <w:rPr>
                <w:rStyle w:val="Hyperlink"/>
                <w:noProof/>
              </w:rPr>
              <w:t>1.1</w:t>
            </w:r>
            <w:r>
              <w:rPr>
                <w:rFonts w:asciiTheme="minorHAnsi" w:hAnsiTheme="minorHAnsi" w:cstheme="minorBidi"/>
                <w:noProof/>
                <w:kern w:val="2"/>
                <w:szCs w:val="30"/>
                <w:lang w:eastAsia="zh-CN" w:bidi="bn-IN"/>
                <w14:ligatures w14:val="standardContextual"/>
              </w:rPr>
              <w:tab/>
            </w:r>
            <w:r w:rsidRPr="00056B53">
              <w:rPr>
                <w:rStyle w:val="Hyperlink"/>
                <w:noProof/>
              </w:rPr>
              <w:t>Background &amp; Problem Statement</w:t>
            </w:r>
            <w:r>
              <w:rPr>
                <w:noProof/>
                <w:webHidden/>
              </w:rPr>
              <w:tab/>
            </w:r>
            <w:r>
              <w:rPr>
                <w:noProof/>
                <w:webHidden/>
              </w:rPr>
              <w:fldChar w:fldCharType="begin"/>
            </w:r>
            <w:r>
              <w:rPr>
                <w:noProof/>
                <w:webHidden/>
              </w:rPr>
              <w:instrText xml:space="preserve"> PAGEREF _Toc217953834 \h </w:instrText>
            </w:r>
            <w:r>
              <w:rPr>
                <w:noProof/>
                <w:webHidden/>
              </w:rPr>
            </w:r>
            <w:r>
              <w:rPr>
                <w:noProof/>
                <w:webHidden/>
              </w:rPr>
              <w:fldChar w:fldCharType="separate"/>
            </w:r>
            <w:r>
              <w:rPr>
                <w:noProof/>
                <w:webHidden/>
              </w:rPr>
              <w:t>7</w:t>
            </w:r>
            <w:r>
              <w:rPr>
                <w:noProof/>
                <w:webHidden/>
              </w:rPr>
              <w:fldChar w:fldCharType="end"/>
            </w:r>
          </w:hyperlink>
        </w:p>
        <w:p w14:paraId="1C274EB7" w14:textId="22D5B196"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35" w:history="1">
            <w:r w:rsidRPr="00056B53">
              <w:rPr>
                <w:rStyle w:val="Hyperlink"/>
                <w:noProof/>
              </w:rPr>
              <w:t>1.2</w:t>
            </w:r>
            <w:r>
              <w:rPr>
                <w:rFonts w:asciiTheme="minorHAnsi" w:hAnsiTheme="minorHAnsi" w:cstheme="minorBidi"/>
                <w:noProof/>
                <w:kern w:val="2"/>
                <w:szCs w:val="30"/>
                <w:lang w:eastAsia="zh-CN" w:bidi="bn-IN"/>
                <w14:ligatures w14:val="standardContextual"/>
              </w:rPr>
              <w:tab/>
            </w:r>
            <w:r w:rsidRPr="00056B53">
              <w:rPr>
                <w:rStyle w:val="Hyperlink"/>
                <w:noProof/>
              </w:rPr>
              <w:t>Research Aim</w:t>
            </w:r>
            <w:r>
              <w:rPr>
                <w:noProof/>
                <w:webHidden/>
              </w:rPr>
              <w:tab/>
            </w:r>
            <w:r>
              <w:rPr>
                <w:noProof/>
                <w:webHidden/>
              </w:rPr>
              <w:fldChar w:fldCharType="begin"/>
            </w:r>
            <w:r>
              <w:rPr>
                <w:noProof/>
                <w:webHidden/>
              </w:rPr>
              <w:instrText xml:space="preserve"> PAGEREF _Toc217953835 \h </w:instrText>
            </w:r>
            <w:r>
              <w:rPr>
                <w:noProof/>
                <w:webHidden/>
              </w:rPr>
            </w:r>
            <w:r>
              <w:rPr>
                <w:noProof/>
                <w:webHidden/>
              </w:rPr>
              <w:fldChar w:fldCharType="separate"/>
            </w:r>
            <w:r>
              <w:rPr>
                <w:noProof/>
                <w:webHidden/>
              </w:rPr>
              <w:t>9</w:t>
            </w:r>
            <w:r>
              <w:rPr>
                <w:noProof/>
                <w:webHidden/>
              </w:rPr>
              <w:fldChar w:fldCharType="end"/>
            </w:r>
          </w:hyperlink>
        </w:p>
        <w:p w14:paraId="2B039042" w14:textId="5CA6478E"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36" w:history="1">
            <w:r w:rsidRPr="00056B53">
              <w:rPr>
                <w:rStyle w:val="Hyperlink"/>
                <w:noProof/>
              </w:rPr>
              <w:t>1.3</w:t>
            </w:r>
            <w:r>
              <w:rPr>
                <w:rFonts w:asciiTheme="minorHAnsi" w:hAnsiTheme="minorHAnsi" w:cstheme="minorBidi"/>
                <w:noProof/>
                <w:kern w:val="2"/>
                <w:szCs w:val="30"/>
                <w:lang w:eastAsia="zh-CN" w:bidi="bn-IN"/>
                <w14:ligatures w14:val="standardContextual"/>
              </w:rPr>
              <w:tab/>
            </w:r>
            <w:r w:rsidRPr="00056B53">
              <w:rPr>
                <w:rStyle w:val="Hyperlink"/>
                <w:noProof/>
              </w:rPr>
              <w:t>Research Objectives</w:t>
            </w:r>
            <w:r>
              <w:rPr>
                <w:noProof/>
                <w:webHidden/>
              </w:rPr>
              <w:tab/>
            </w:r>
            <w:r>
              <w:rPr>
                <w:noProof/>
                <w:webHidden/>
              </w:rPr>
              <w:fldChar w:fldCharType="begin"/>
            </w:r>
            <w:r>
              <w:rPr>
                <w:noProof/>
                <w:webHidden/>
              </w:rPr>
              <w:instrText xml:space="preserve"> PAGEREF _Toc217953836 \h </w:instrText>
            </w:r>
            <w:r>
              <w:rPr>
                <w:noProof/>
                <w:webHidden/>
              </w:rPr>
            </w:r>
            <w:r>
              <w:rPr>
                <w:noProof/>
                <w:webHidden/>
              </w:rPr>
              <w:fldChar w:fldCharType="separate"/>
            </w:r>
            <w:r>
              <w:rPr>
                <w:noProof/>
                <w:webHidden/>
              </w:rPr>
              <w:t>9</w:t>
            </w:r>
            <w:r>
              <w:rPr>
                <w:noProof/>
                <w:webHidden/>
              </w:rPr>
              <w:fldChar w:fldCharType="end"/>
            </w:r>
          </w:hyperlink>
        </w:p>
        <w:p w14:paraId="42C1FC48" w14:textId="06302BEC"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37" w:history="1">
            <w:r w:rsidRPr="00056B53">
              <w:rPr>
                <w:rStyle w:val="Hyperlink"/>
                <w:noProof/>
              </w:rPr>
              <w:t>1.4</w:t>
            </w:r>
            <w:r>
              <w:rPr>
                <w:rFonts w:asciiTheme="minorHAnsi" w:hAnsiTheme="minorHAnsi" w:cstheme="minorBidi"/>
                <w:noProof/>
                <w:kern w:val="2"/>
                <w:szCs w:val="30"/>
                <w:lang w:eastAsia="zh-CN" w:bidi="bn-IN"/>
                <w14:ligatures w14:val="standardContextual"/>
              </w:rPr>
              <w:tab/>
            </w:r>
            <w:r w:rsidRPr="00056B53">
              <w:rPr>
                <w:rStyle w:val="Hyperlink"/>
                <w:noProof/>
              </w:rPr>
              <w:t>Research Questions</w:t>
            </w:r>
            <w:r>
              <w:rPr>
                <w:noProof/>
                <w:webHidden/>
              </w:rPr>
              <w:tab/>
            </w:r>
            <w:r>
              <w:rPr>
                <w:noProof/>
                <w:webHidden/>
              </w:rPr>
              <w:fldChar w:fldCharType="begin"/>
            </w:r>
            <w:r>
              <w:rPr>
                <w:noProof/>
                <w:webHidden/>
              </w:rPr>
              <w:instrText xml:space="preserve"> PAGEREF _Toc217953837 \h </w:instrText>
            </w:r>
            <w:r>
              <w:rPr>
                <w:noProof/>
                <w:webHidden/>
              </w:rPr>
            </w:r>
            <w:r>
              <w:rPr>
                <w:noProof/>
                <w:webHidden/>
              </w:rPr>
              <w:fldChar w:fldCharType="separate"/>
            </w:r>
            <w:r>
              <w:rPr>
                <w:noProof/>
                <w:webHidden/>
              </w:rPr>
              <w:t>10</w:t>
            </w:r>
            <w:r>
              <w:rPr>
                <w:noProof/>
                <w:webHidden/>
              </w:rPr>
              <w:fldChar w:fldCharType="end"/>
            </w:r>
          </w:hyperlink>
        </w:p>
        <w:p w14:paraId="26F83ADD" w14:textId="1EB8D842"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38" w:history="1">
            <w:r w:rsidRPr="00056B53">
              <w:rPr>
                <w:rStyle w:val="Hyperlink"/>
                <w:noProof/>
              </w:rPr>
              <w:t>1.5</w:t>
            </w:r>
            <w:r>
              <w:rPr>
                <w:rFonts w:asciiTheme="minorHAnsi" w:hAnsiTheme="minorHAnsi" w:cstheme="minorBidi"/>
                <w:noProof/>
                <w:kern w:val="2"/>
                <w:szCs w:val="30"/>
                <w:lang w:eastAsia="zh-CN" w:bidi="bn-IN"/>
                <w14:ligatures w14:val="standardContextual"/>
              </w:rPr>
              <w:tab/>
            </w:r>
            <w:r w:rsidRPr="00056B53">
              <w:rPr>
                <w:rStyle w:val="Hyperlink"/>
                <w:noProof/>
              </w:rPr>
              <w:t>Significance / Relevance of Study</w:t>
            </w:r>
            <w:r>
              <w:rPr>
                <w:noProof/>
                <w:webHidden/>
              </w:rPr>
              <w:tab/>
            </w:r>
            <w:r>
              <w:rPr>
                <w:noProof/>
                <w:webHidden/>
              </w:rPr>
              <w:fldChar w:fldCharType="begin"/>
            </w:r>
            <w:r>
              <w:rPr>
                <w:noProof/>
                <w:webHidden/>
              </w:rPr>
              <w:instrText xml:space="preserve"> PAGEREF _Toc217953838 \h </w:instrText>
            </w:r>
            <w:r>
              <w:rPr>
                <w:noProof/>
                <w:webHidden/>
              </w:rPr>
            </w:r>
            <w:r>
              <w:rPr>
                <w:noProof/>
                <w:webHidden/>
              </w:rPr>
              <w:fldChar w:fldCharType="separate"/>
            </w:r>
            <w:r>
              <w:rPr>
                <w:noProof/>
                <w:webHidden/>
              </w:rPr>
              <w:t>10</w:t>
            </w:r>
            <w:r>
              <w:rPr>
                <w:noProof/>
                <w:webHidden/>
              </w:rPr>
              <w:fldChar w:fldCharType="end"/>
            </w:r>
          </w:hyperlink>
        </w:p>
        <w:p w14:paraId="1BF6E88F" w14:textId="0C1469C8"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39" w:history="1">
            <w:r w:rsidRPr="00056B53">
              <w:rPr>
                <w:rStyle w:val="Hyperlink"/>
                <w:noProof/>
              </w:rPr>
              <w:t>1.6</w:t>
            </w:r>
            <w:r>
              <w:rPr>
                <w:rFonts w:asciiTheme="minorHAnsi" w:hAnsiTheme="minorHAnsi" w:cstheme="minorBidi"/>
                <w:noProof/>
                <w:kern w:val="2"/>
                <w:szCs w:val="30"/>
                <w:lang w:eastAsia="zh-CN" w:bidi="bn-IN"/>
                <w14:ligatures w14:val="standardContextual"/>
              </w:rPr>
              <w:tab/>
            </w:r>
            <w:r w:rsidRPr="00056B53">
              <w:rPr>
                <w:rStyle w:val="Hyperlink"/>
                <w:noProof/>
              </w:rPr>
              <w:t>Brief Research Methodology</w:t>
            </w:r>
            <w:r>
              <w:rPr>
                <w:noProof/>
                <w:webHidden/>
              </w:rPr>
              <w:tab/>
            </w:r>
            <w:r>
              <w:rPr>
                <w:noProof/>
                <w:webHidden/>
              </w:rPr>
              <w:fldChar w:fldCharType="begin"/>
            </w:r>
            <w:r>
              <w:rPr>
                <w:noProof/>
                <w:webHidden/>
              </w:rPr>
              <w:instrText xml:space="preserve"> PAGEREF _Toc217953839 \h </w:instrText>
            </w:r>
            <w:r>
              <w:rPr>
                <w:noProof/>
                <w:webHidden/>
              </w:rPr>
            </w:r>
            <w:r>
              <w:rPr>
                <w:noProof/>
                <w:webHidden/>
              </w:rPr>
              <w:fldChar w:fldCharType="separate"/>
            </w:r>
            <w:r>
              <w:rPr>
                <w:noProof/>
                <w:webHidden/>
              </w:rPr>
              <w:t>11</w:t>
            </w:r>
            <w:r>
              <w:rPr>
                <w:noProof/>
                <w:webHidden/>
              </w:rPr>
              <w:fldChar w:fldCharType="end"/>
            </w:r>
          </w:hyperlink>
        </w:p>
        <w:p w14:paraId="6A44793C" w14:textId="35425477"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40" w:history="1">
            <w:r w:rsidRPr="00056B53">
              <w:rPr>
                <w:rStyle w:val="Hyperlink"/>
                <w:noProof/>
              </w:rPr>
              <w:t>1.7</w:t>
            </w:r>
            <w:r>
              <w:rPr>
                <w:rFonts w:asciiTheme="minorHAnsi" w:hAnsiTheme="minorHAnsi" w:cstheme="minorBidi"/>
                <w:noProof/>
                <w:kern w:val="2"/>
                <w:szCs w:val="30"/>
                <w:lang w:eastAsia="zh-CN" w:bidi="bn-IN"/>
                <w14:ligatures w14:val="standardContextual"/>
              </w:rPr>
              <w:tab/>
            </w:r>
            <w:r w:rsidRPr="00056B53">
              <w:rPr>
                <w:rStyle w:val="Hyperlink"/>
                <w:noProof/>
              </w:rPr>
              <w:t>Structure of Rest of Project</w:t>
            </w:r>
            <w:r>
              <w:rPr>
                <w:noProof/>
                <w:webHidden/>
              </w:rPr>
              <w:tab/>
            </w:r>
            <w:r>
              <w:rPr>
                <w:noProof/>
                <w:webHidden/>
              </w:rPr>
              <w:fldChar w:fldCharType="begin"/>
            </w:r>
            <w:r>
              <w:rPr>
                <w:noProof/>
                <w:webHidden/>
              </w:rPr>
              <w:instrText xml:space="preserve"> PAGEREF _Toc217953840 \h </w:instrText>
            </w:r>
            <w:r>
              <w:rPr>
                <w:noProof/>
                <w:webHidden/>
              </w:rPr>
            </w:r>
            <w:r>
              <w:rPr>
                <w:noProof/>
                <w:webHidden/>
              </w:rPr>
              <w:fldChar w:fldCharType="separate"/>
            </w:r>
            <w:r>
              <w:rPr>
                <w:noProof/>
                <w:webHidden/>
              </w:rPr>
              <w:t>11</w:t>
            </w:r>
            <w:r>
              <w:rPr>
                <w:noProof/>
                <w:webHidden/>
              </w:rPr>
              <w:fldChar w:fldCharType="end"/>
            </w:r>
          </w:hyperlink>
        </w:p>
        <w:p w14:paraId="5FEBD0FB" w14:textId="78B2D65C" w:rsidR="00CC43B9" w:rsidRDefault="00CC43B9">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7953841" w:history="1">
            <w:r w:rsidRPr="00056B53">
              <w:rPr>
                <w:rStyle w:val="Hyperlink"/>
                <w:noProof/>
              </w:rPr>
              <w:t>2</w:t>
            </w:r>
            <w:r>
              <w:rPr>
                <w:rFonts w:asciiTheme="minorHAnsi" w:hAnsiTheme="minorHAnsi" w:cstheme="minorBidi"/>
                <w:noProof/>
                <w:kern w:val="2"/>
                <w:szCs w:val="30"/>
                <w:lang w:eastAsia="zh-CN" w:bidi="bn-IN"/>
                <w14:ligatures w14:val="standardContextual"/>
              </w:rPr>
              <w:tab/>
            </w:r>
            <w:r w:rsidRPr="00056B53">
              <w:rPr>
                <w:rStyle w:val="Hyperlink"/>
                <w:noProof/>
              </w:rPr>
              <w:t>CHAPTER 2: LITERATURE REVIEW</w:t>
            </w:r>
            <w:r>
              <w:rPr>
                <w:noProof/>
                <w:webHidden/>
              </w:rPr>
              <w:tab/>
            </w:r>
            <w:r>
              <w:rPr>
                <w:noProof/>
                <w:webHidden/>
              </w:rPr>
              <w:fldChar w:fldCharType="begin"/>
            </w:r>
            <w:r>
              <w:rPr>
                <w:noProof/>
                <w:webHidden/>
              </w:rPr>
              <w:instrText xml:space="preserve"> PAGEREF _Toc217953841 \h </w:instrText>
            </w:r>
            <w:r>
              <w:rPr>
                <w:noProof/>
                <w:webHidden/>
              </w:rPr>
            </w:r>
            <w:r>
              <w:rPr>
                <w:noProof/>
                <w:webHidden/>
              </w:rPr>
              <w:fldChar w:fldCharType="separate"/>
            </w:r>
            <w:r>
              <w:rPr>
                <w:noProof/>
                <w:webHidden/>
              </w:rPr>
              <w:t>13</w:t>
            </w:r>
            <w:r>
              <w:rPr>
                <w:noProof/>
                <w:webHidden/>
              </w:rPr>
              <w:fldChar w:fldCharType="end"/>
            </w:r>
          </w:hyperlink>
        </w:p>
        <w:p w14:paraId="74BD1362" w14:textId="61019AC5"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42" w:history="1">
            <w:r w:rsidRPr="00056B53">
              <w:rPr>
                <w:rStyle w:val="Hyperlink"/>
                <w:noProof/>
              </w:rPr>
              <w:t>2.1</w:t>
            </w:r>
            <w:r>
              <w:rPr>
                <w:rFonts w:asciiTheme="minorHAnsi" w:hAnsiTheme="minorHAnsi" w:cstheme="minorBidi"/>
                <w:noProof/>
                <w:kern w:val="2"/>
                <w:szCs w:val="30"/>
                <w:lang w:eastAsia="zh-CN" w:bidi="bn-IN"/>
                <w14:ligatures w14:val="standardContextual"/>
              </w:rPr>
              <w:tab/>
            </w:r>
            <w:r w:rsidRPr="00056B53">
              <w:rPr>
                <w:rStyle w:val="Hyperlink"/>
                <w:noProof/>
              </w:rPr>
              <w:t>Introduction</w:t>
            </w:r>
            <w:r>
              <w:rPr>
                <w:noProof/>
                <w:webHidden/>
              </w:rPr>
              <w:tab/>
            </w:r>
            <w:r>
              <w:rPr>
                <w:noProof/>
                <w:webHidden/>
              </w:rPr>
              <w:fldChar w:fldCharType="begin"/>
            </w:r>
            <w:r>
              <w:rPr>
                <w:noProof/>
                <w:webHidden/>
              </w:rPr>
              <w:instrText xml:space="preserve"> PAGEREF _Toc217953842 \h </w:instrText>
            </w:r>
            <w:r>
              <w:rPr>
                <w:noProof/>
                <w:webHidden/>
              </w:rPr>
            </w:r>
            <w:r>
              <w:rPr>
                <w:noProof/>
                <w:webHidden/>
              </w:rPr>
              <w:fldChar w:fldCharType="separate"/>
            </w:r>
            <w:r>
              <w:rPr>
                <w:noProof/>
                <w:webHidden/>
              </w:rPr>
              <w:t>13</w:t>
            </w:r>
            <w:r>
              <w:rPr>
                <w:noProof/>
                <w:webHidden/>
              </w:rPr>
              <w:fldChar w:fldCharType="end"/>
            </w:r>
          </w:hyperlink>
        </w:p>
        <w:p w14:paraId="149D8D84" w14:textId="032FCD37"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43" w:history="1">
            <w:r w:rsidRPr="00056B53">
              <w:rPr>
                <w:rStyle w:val="Hyperlink"/>
                <w:noProof/>
              </w:rPr>
              <w:t>2.2</w:t>
            </w:r>
            <w:r>
              <w:rPr>
                <w:rFonts w:asciiTheme="minorHAnsi" w:hAnsiTheme="minorHAnsi" w:cstheme="minorBidi"/>
                <w:noProof/>
                <w:kern w:val="2"/>
                <w:szCs w:val="30"/>
                <w:lang w:eastAsia="zh-CN" w:bidi="bn-IN"/>
                <w14:ligatures w14:val="standardContextual"/>
              </w:rPr>
              <w:tab/>
            </w:r>
            <w:r w:rsidRPr="00056B53">
              <w:rPr>
                <w:rStyle w:val="Hyperlink"/>
                <w:noProof/>
              </w:rPr>
              <w:t>Research Areas / Topics</w:t>
            </w:r>
            <w:r>
              <w:rPr>
                <w:noProof/>
                <w:webHidden/>
              </w:rPr>
              <w:tab/>
            </w:r>
            <w:r>
              <w:rPr>
                <w:noProof/>
                <w:webHidden/>
              </w:rPr>
              <w:fldChar w:fldCharType="begin"/>
            </w:r>
            <w:r>
              <w:rPr>
                <w:noProof/>
                <w:webHidden/>
              </w:rPr>
              <w:instrText xml:space="preserve"> PAGEREF _Toc217953843 \h </w:instrText>
            </w:r>
            <w:r>
              <w:rPr>
                <w:noProof/>
                <w:webHidden/>
              </w:rPr>
            </w:r>
            <w:r>
              <w:rPr>
                <w:noProof/>
                <w:webHidden/>
              </w:rPr>
              <w:fldChar w:fldCharType="separate"/>
            </w:r>
            <w:r>
              <w:rPr>
                <w:noProof/>
                <w:webHidden/>
              </w:rPr>
              <w:t>13</w:t>
            </w:r>
            <w:r>
              <w:rPr>
                <w:noProof/>
                <w:webHidden/>
              </w:rPr>
              <w:fldChar w:fldCharType="end"/>
            </w:r>
          </w:hyperlink>
        </w:p>
        <w:p w14:paraId="7B4ABE9E" w14:textId="4B389DFD"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44" w:history="1">
            <w:r w:rsidRPr="00056B53">
              <w:rPr>
                <w:rStyle w:val="Hyperlink"/>
                <w:noProof/>
              </w:rPr>
              <w:t>2.2.1</w:t>
            </w:r>
            <w:r>
              <w:rPr>
                <w:rFonts w:asciiTheme="minorHAnsi" w:hAnsiTheme="minorHAnsi" w:cstheme="minorBidi"/>
                <w:noProof/>
                <w:kern w:val="2"/>
                <w:szCs w:val="30"/>
                <w:lang w:eastAsia="zh-CN" w:bidi="bn-IN"/>
                <w14:ligatures w14:val="standardContextual"/>
              </w:rPr>
              <w:tab/>
            </w:r>
            <w:r w:rsidRPr="00056B53">
              <w:rPr>
                <w:rStyle w:val="Hyperlink"/>
                <w:noProof/>
              </w:rPr>
              <w:t>Definition of the Key Concepts</w:t>
            </w:r>
            <w:r>
              <w:rPr>
                <w:noProof/>
                <w:webHidden/>
              </w:rPr>
              <w:tab/>
            </w:r>
            <w:r>
              <w:rPr>
                <w:noProof/>
                <w:webHidden/>
              </w:rPr>
              <w:fldChar w:fldCharType="begin"/>
            </w:r>
            <w:r>
              <w:rPr>
                <w:noProof/>
                <w:webHidden/>
              </w:rPr>
              <w:instrText xml:space="preserve"> PAGEREF _Toc217953844 \h </w:instrText>
            </w:r>
            <w:r>
              <w:rPr>
                <w:noProof/>
                <w:webHidden/>
              </w:rPr>
            </w:r>
            <w:r>
              <w:rPr>
                <w:noProof/>
                <w:webHidden/>
              </w:rPr>
              <w:fldChar w:fldCharType="separate"/>
            </w:r>
            <w:r>
              <w:rPr>
                <w:noProof/>
                <w:webHidden/>
              </w:rPr>
              <w:t>13</w:t>
            </w:r>
            <w:r>
              <w:rPr>
                <w:noProof/>
                <w:webHidden/>
              </w:rPr>
              <w:fldChar w:fldCharType="end"/>
            </w:r>
          </w:hyperlink>
        </w:p>
        <w:p w14:paraId="7D7FA00B" w14:textId="046FCD59"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45" w:history="1">
            <w:r w:rsidRPr="00056B53">
              <w:rPr>
                <w:rStyle w:val="Hyperlink"/>
                <w:noProof/>
                <w:lang w:eastAsia="zh-CN"/>
              </w:rPr>
              <w:t>2.2.2</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Review of ESG-related Theoretical Frameworks</w:t>
            </w:r>
            <w:r>
              <w:rPr>
                <w:noProof/>
                <w:webHidden/>
              </w:rPr>
              <w:tab/>
            </w:r>
            <w:r>
              <w:rPr>
                <w:noProof/>
                <w:webHidden/>
              </w:rPr>
              <w:fldChar w:fldCharType="begin"/>
            </w:r>
            <w:r>
              <w:rPr>
                <w:noProof/>
                <w:webHidden/>
              </w:rPr>
              <w:instrText xml:space="preserve"> PAGEREF _Toc217953845 \h </w:instrText>
            </w:r>
            <w:r>
              <w:rPr>
                <w:noProof/>
                <w:webHidden/>
              </w:rPr>
            </w:r>
            <w:r>
              <w:rPr>
                <w:noProof/>
                <w:webHidden/>
              </w:rPr>
              <w:fldChar w:fldCharType="separate"/>
            </w:r>
            <w:r>
              <w:rPr>
                <w:noProof/>
                <w:webHidden/>
              </w:rPr>
              <w:t>14</w:t>
            </w:r>
            <w:r>
              <w:rPr>
                <w:noProof/>
                <w:webHidden/>
              </w:rPr>
              <w:fldChar w:fldCharType="end"/>
            </w:r>
          </w:hyperlink>
        </w:p>
        <w:p w14:paraId="242BAE86" w14:textId="49BEF4E1"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46" w:history="1">
            <w:r w:rsidRPr="00056B53">
              <w:rPr>
                <w:rStyle w:val="Hyperlink"/>
                <w:noProof/>
                <w:lang w:eastAsia="zh-CN"/>
              </w:rPr>
              <w:t>2.2.3</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ESG Frameworks and Reporting Standards</w:t>
            </w:r>
            <w:r>
              <w:rPr>
                <w:noProof/>
                <w:webHidden/>
              </w:rPr>
              <w:tab/>
            </w:r>
            <w:r>
              <w:rPr>
                <w:noProof/>
                <w:webHidden/>
              </w:rPr>
              <w:fldChar w:fldCharType="begin"/>
            </w:r>
            <w:r>
              <w:rPr>
                <w:noProof/>
                <w:webHidden/>
              </w:rPr>
              <w:instrText xml:space="preserve"> PAGEREF _Toc217953846 \h </w:instrText>
            </w:r>
            <w:r>
              <w:rPr>
                <w:noProof/>
                <w:webHidden/>
              </w:rPr>
            </w:r>
            <w:r>
              <w:rPr>
                <w:noProof/>
                <w:webHidden/>
              </w:rPr>
              <w:fldChar w:fldCharType="separate"/>
            </w:r>
            <w:r>
              <w:rPr>
                <w:noProof/>
                <w:webHidden/>
              </w:rPr>
              <w:t>17</w:t>
            </w:r>
            <w:r>
              <w:rPr>
                <w:noProof/>
                <w:webHidden/>
              </w:rPr>
              <w:fldChar w:fldCharType="end"/>
            </w:r>
          </w:hyperlink>
        </w:p>
        <w:p w14:paraId="3AD30D24" w14:textId="5379CB5B"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47" w:history="1">
            <w:r w:rsidRPr="00056B53">
              <w:rPr>
                <w:rStyle w:val="Hyperlink"/>
                <w:noProof/>
                <w:lang w:eastAsia="zh-CN"/>
              </w:rPr>
              <w:t>2.2.4</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Environmental Practices in the Automotive Industry</w:t>
            </w:r>
            <w:r>
              <w:rPr>
                <w:noProof/>
                <w:webHidden/>
              </w:rPr>
              <w:tab/>
            </w:r>
            <w:r>
              <w:rPr>
                <w:noProof/>
                <w:webHidden/>
              </w:rPr>
              <w:fldChar w:fldCharType="begin"/>
            </w:r>
            <w:r>
              <w:rPr>
                <w:noProof/>
                <w:webHidden/>
              </w:rPr>
              <w:instrText xml:space="preserve"> PAGEREF _Toc217953847 \h </w:instrText>
            </w:r>
            <w:r>
              <w:rPr>
                <w:noProof/>
                <w:webHidden/>
              </w:rPr>
            </w:r>
            <w:r>
              <w:rPr>
                <w:noProof/>
                <w:webHidden/>
              </w:rPr>
              <w:fldChar w:fldCharType="separate"/>
            </w:r>
            <w:r>
              <w:rPr>
                <w:noProof/>
                <w:webHidden/>
              </w:rPr>
              <w:t>19</w:t>
            </w:r>
            <w:r>
              <w:rPr>
                <w:noProof/>
                <w:webHidden/>
              </w:rPr>
              <w:fldChar w:fldCharType="end"/>
            </w:r>
          </w:hyperlink>
        </w:p>
        <w:p w14:paraId="4DABFC56" w14:textId="4F75F88B"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48" w:history="1">
            <w:r w:rsidRPr="00056B53">
              <w:rPr>
                <w:rStyle w:val="Hyperlink"/>
                <w:noProof/>
                <w:lang w:eastAsia="zh-CN"/>
              </w:rPr>
              <w:t>2.2.5</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Social Practices in the Automotive Industry</w:t>
            </w:r>
            <w:r>
              <w:rPr>
                <w:noProof/>
                <w:webHidden/>
              </w:rPr>
              <w:tab/>
            </w:r>
            <w:r>
              <w:rPr>
                <w:noProof/>
                <w:webHidden/>
              </w:rPr>
              <w:fldChar w:fldCharType="begin"/>
            </w:r>
            <w:r>
              <w:rPr>
                <w:noProof/>
                <w:webHidden/>
              </w:rPr>
              <w:instrText xml:space="preserve"> PAGEREF _Toc217953848 \h </w:instrText>
            </w:r>
            <w:r>
              <w:rPr>
                <w:noProof/>
                <w:webHidden/>
              </w:rPr>
            </w:r>
            <w:r>
              <w:rPr>
                <w:noProof/>
                <w:webHidden/>
              </w:rPr>
              <w:fldChar w:fldCharType="separate"/>
            </w:r>
            <w:r>
              <w:rPr>
                <w:noProof/>
                <w:webHidden/>
              </w:rPr>
              <w:t>21</w:t>
            </w:r>
            <w:r>
              <w:rPr>
                <w:noProof/>
                <w:webHidden/>
              </w:rPr>
              <w:fldChar w:fldCharType="end"/>
            </w:r>
          </w:hyperlink>
        </w:p>
        <w:p w14:paraId="59FC5C69" w14:textId="77FBEFC5"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49" w:history="1">
            <w:r w:rsidRPr="00056B53">
              <w:rPr>
                <w:rStyle w:val="Hyperlink"/>
                <w:noProof/>
                <w:lang w:eastAsia="zh-CN"/>
              </w:rPr>
              <w:t>2.2.6</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Governance Practices in the Automotive Industry</w:t>
            </w:r>
            <w:r>
              <w:rPr>
                <w:noProof/>
                <w:webHidden/>
              </w:rPr>
              <w:tab/>
            </w:r>
            <w:r>
              <w:rPr>
                <w:noProof/>
                <w:webHidden/>
              </w:rPr>
              <w:fldChar w:fldCharType="begin"/>
            </w:r>
            <w:r>
              <w:rPr>
                <w:noProof/>
                <w:webHidden/>
              </w:rPr>
              <w:instrText xml:space="preserve"> PAGEREF _Toc217953849 \h </w:instrText>
            </w:r>
            <w:r>
              <w:rPr>
                <w:noProof/>
                <w:webHidden/>
              </w:rPr>
            </w:r>
            <w:r>
              <w:rPr>
                <w:noProof/>
                <w:webHidden/>
              </w:rPr>
              <w:fldChar w:fldCharType="separate"/>
            </w:r>
            <w:r>
              <w:rPr>
                <w:noProof/>
                <w:webHidden/>
              </w:rPr>
              <w:t>23</w:t>
            </w:r>
            <w:r>
              <w:rPr>
                <w:noProof/>
                <w:webHidden/>
              </w:rPr>
              <w:fldChar w:fldCharType="end"/>
            </w:r>
          </w:hyperlink>
        </w:p>
        <w:p w14:paraId="41721AEF" w14:textId="4E125585"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50" w:history="1">
            <w:r w:rsidRPr="00056B53">
              <w:rPr>
                <w:rStyle w:val="Hyperlink"/>
                <w:noProof/>
              </w:rPr>
              <w:t>2.3</w:t>
            </w:r>
            <w:r>
              <w:rPr>
                <w:rFonts w:asciiTheme="minorHAnsi" w:hAnsiTheme="minorHAnsi" w:cstheme="minorBidi"/>
                <w:noProof/>
                <w:kern w:val="2"/>
                <w:szCs w:val="30"/>
                <w:lang w:eastAsia="zh-CN" w:bidi="bn-IN"/>
                <w14:ligatures w14:val="standardContextual"/>
              </w:rPr>
              <w:tab/>
            </w:r>
            <w:r w:rsidRPr="00056B53">
              <w:rPr>
                <w:rStyle w:val="Hyperlink"/>
                <w:noProof/>
              </w:rPr>
              <w:t>Conceptual Framework</w:t>
            </w:r>
            <w:r>
              <w:rPr>
                <w:noProof/>
                <w:webHidden/>
              </w:rPr>
              <w:tab/>
            </w:r>
            <w:r>
              <w:rPr>
                <w:noProof/>
                <w:webHidden/>
              </w:rPr>
              <w:fldChar w:fldCharType="begin"/>
            </w:r>
            <w:r>
              <w:rPr>
                <w:noProof/>
                <w:webHidden/>
              </w:rPr>
              <w:instrText xml:space="preserve"> PAGEREF _Toc217953850 \h </w:instrText>
            </w:r>
            <w:r>
              <w:rPr>
                <w:noProof/>
                <w:webHidden/>
              </w:rPr>
            </w:r>
            <w:r>
              <w:rPr>
                <w:noProof/>
                <w:webHidden/>
              </w:rPr>
              <w:fldChar w:fldCharType="separate"/>
            </w:r>
            <w:r>
              <w:rPr>
                <w:noProof/>
                <w:webHidden/>
              </w:rPr>
              <w:t>25</w:t>
            </w:r>
            <w:r>
              <w:rPr>
                <w:noProof/>
                <w:webHidden/>
              </w:rPr>
              <w:fldChar w:fldCharType="end"/>
            </w:r>
          </w:hyperlink>
        </w:p>
        <w:p w14:paraId="51802727" w14:textId="15B13F9C"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51" w:history="1">
            <w:r w:rsidRPr="00056B53">
              <w:rPr>
                <w:rStyle w:val="Hyperlink"/>
                <w:noProof/>
              </w:rPr>
              <w:t>2.4</w:t>
            </w:r>
            <w:r>
              <w:rPr>
                <w:rFonts w:asciiTheme="minorHAnsi" w:hAnsiTheme="minorHAnsi" w:cstheme="minorBidi"/>
                <w:noProof/>
                <w:kern w:val="2"/>
                <w:szCs w:val="30"/>
                <w:lang w:eastAsia="zh-CN" w:bidi="bn-IN"/>
                <w14:ligatures w14:val="standardContextual"/>
              </w:rPr>
              <w:tab/>
            </w:r>
            <w:r w:rsidRPr="00056B53">
              <w:rPr>
                <w:rStyle w:val="Hyperlink"/>
                <w:noProof/>
              </w:rPr>
              <w:t>Conclusion of Chapter</w:t>
            </w:r>
            <w:r>
              <w:rPr>
                <w:noProof/>
                <w:webHidden/>
              </w:rPr>
              <w:tab/>
            </w:r>
            <w:r>
              <w:rPr>
                <w:noProof/>
                <w:webHidden/>
              </w:rPr>
              <w:fldChar w:fldCharType="begin"/>
            </w:r>
            <w:r>
              <w:rPr>
                <w:noProof/>
                <w:webHidden/>
              </w:rPr>
              <w:instrText xml:space="preserve"> PAGEREF _Toc217953851 \h </w:instrText>
            </w:r>
            <w:r>
              <w:rPr>
                <w:noProof/>
                <w:webHidden/>
              </w:rPr>
            </w:r>
            <w:r>
              <w:rPr>
                <w:noProof/>
                <w:webHidden/>
              </w:rPr>
              <w:fldChar w:fldCharType="separate"/>
            </w:r>
            <w:r>
              <w:rPr>
                <w:noProof/>
                <w:webHidden/>
              </w:rPr>
              <w:t>25</w:t>
            </w:r>
            <w:r>
              <w:rPr>
                <w:noProof/>
                <w:webHidden/>
              </w:rPr>
              <w:fldChar w:fldCharType="end"/>
            </w:r>
          </w:hyperlink>
        </w:p>
        <w:p w14:paraId="3C6AE553" w14:textId="371B1B3F" w:rsidR="00CC43B9" w:rsidRDefault="00CC43B9">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7953852" w:history="1">
            <w:r w:rsidRPr="00056B53">
              <w:rPr>
                <w:rStyle w:val="Hyperlink"/>
                <w:noProof/>
              </w:rPr>
              <w:t>3</w:t>
            </w:r>
            <w:r>
              <w:rPr>
                <w:rFonts w:asciiTheme="minorHAnsi" w:hAnsiTheme="minorHAnsi" w:cstheme="minorBidi"/>
                <w:noProof/>
                <w:kern w:val="2"/>
                <w:szCs w:val="30"/>
                <w:lang w:eastAsia="zh-CN" w:bidi="bn-IN"/>
                <w14:ligatures w14:val="standardContextual"/>
              </w:rPr>
              <w:tab/>
            </w:r>
            <w:r w:rsidRPr="00056B53">
              <w:rPr>
                <w:rStyle w:val="Hyperlink"/>
                <w:noProof/>
              </w:rPr>
              <w:t>CHAPTER 3: RESEARCH METHODOLOGY</w:t>
            </w:r>
            <w:r>
              <w:rPr>
                <w:noProof/>
                <w:webHidden/>
              </w:rPr>
              <w:tab/>
            </w:r>
            <w:r>
              <w:rPr>
                <w:noProof/>
                <w:webHidden/>
              </w:rPr>
              <w:fldChar w:fldCharType="begin"/>
            </w:r>
            <w:r>
              <w:rPr>
                <w:noProof/>
                <w:webHidden/>
              </w:rPr>
              <w:instrText xml:space="preserve"> PAGEREF _Toc217953852 \h </w:instrText>
            </w:r>
            <w:r>
              <w:rPr>
                <w:noProof/>
                <w:webHidden/>
              </w:rPr>
            </w:r>
            <w:r>
              <w:rPr>
                <w:noProof/>
                <w:webHidden/>
              </w:rPr>
              <w:fldChar w:fldCharType="separate"/>
            </w:r>
            <w:r>
              <w:rPr>
                <w:noProof/>
                <w:webHidden/>
              </w:rPr>
              <w:t>26</w:t>
            </w:r>
            <w:r>
              <w:rPr>
                <w:noProof/>
                <w:webHidden/>
              </w:rPr>
              <w:fldChar w:fldCharType="end"/>
            </w:r>
          </w:hyperlink>
        </w:p>
        <w:p w14:paraId="6BEC790A" w14:textId="2972946A"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53" w:history="1">
            <w:r w:rsidRPr="00056B53">
              <w:rPr>
                <w:rStyle w:val="Hyperlink"/>
                <w:noProof/>
              </w:rPr>
              <w:t>3.1</w:t>
            </w:r>
            <w:r>
              <w:rPr>
                <w:rFonts w:asciiTheme="minorHAnsi" w:hAnsiTheme="minorHAnsi" w:cstheme="minorBidi"/>
                <w:noProof/>
                <w:kern w:val="2"/>
                <w:szCs w:val="30"/>
                <w:lang w:eastAsia="zh-CN" w:bidi="bn-IN"/>
                <w14:ligatures w14:val="standardContextual"/>
              </w:rPr>
              <w:tab/>
            </w:r>
            <w:r w:rsidRPr="00056B53">
              <w:rPr>
                <w:rStyle w:val="Hyperlink"/>
                <w:noProof/>
              </w:rPr>
              <w:t>Introduction</w:t>
            </w:r>
            <w:r>
              <w:rPr>
                <w:noProof/>
                <w:webHidden/>
              </w:rPr>
              <w:tab/>
            </w:r>
            <w:r>
              <w:rPr>
                <w:noProof/>
                <w:webHidden/>
              </w:rPr>
              <w:fldChar w:fldCharType="begin"/>
            </w:r>
            <w:r>
              <w:rPr>
                <w:noProof/>
                <w:webHidden/>
              </w:rPr>
              <w:instrText xml:space="preserve"> PAGEREF _Toc217953853 \h </w:instrText>
            </w:r>
            <w:r>
              <w:rPr>
                <w:noProof/>
                <w:webHidden/>
              </w:rPr>
            </w:r>
            <w:r>
              <w:rPr>
                <w:noProof/>
                <w:webHidden/>
              </w:rPr>
              <w:fldChar w:fldCharType="separate"/>
            </w:r>
            <w:r>
              <w:rPr>
                <w:noProof/>
                <w:webHidden/>
              </w:rPr>
              <w:t>26</w:t>
            </w:r>
            <w:r>
              <w:rPr>
                <w:noProof/>
                <w:webHidden/>
              </w:rPr>
              <w:fldChar w:fldCharType="end"/>
            </w:r>
          </w:hyperlink>
        </w:p>
        <w:p w14:paraId="69EC774E" w14:textId="42DE33D8"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54" w:history="1">
            <w:r w:rsidRPr="00056B53">
              <w:rPr>
                <w:rStyle w:val="Hyperlink"/>
                <w:noProof/>
              </w:rPr>
              <w:t>3.2</w:t>
            </w:r>
            <w:r>
              <w:rPr>
                <w:rFonts w:asciiTheme="minorHAnsi" w:hAnsiTheme="minorHAnsi" w:cstheme="minorBidi"/>
                <w:noProof/>
                <w:kern w:val="2"/>
                <w:szCs w:val="30"/>
                <w:lang w:eastAsia="zh-CN" w:bidi="bn-IN"/>
                <w14:ligatures w14:val="standardContextual"/>
              </w:rPr>
              <w:tab/>
            </w:r>
            <w:r w:rsidRPr="00056B53">
              <w:rPr>
                <w:rStyle w:val="Hyperlink"/>
                <w:noProof/>
              </w:rPr>
              <w:t>Research Philosophies and Assumptions</w:t>
            </w:r>
            <w:r>
              <w:rPr>
                <w:noProof/>
                <w:webHidden/>
              </w:rPr>
              <w:tab/>
            </w:r>
            <w:r>
              <w:rPr>
                <w:noProof/>
                <w:webHidden/>
              </w:rPr>
              <w:fldChar w:fldCharType="begin"/>
            </w:r>
            <w:r>
              <w:rPr>
                <w:noProof/>
                <w:webHidden/>
              </w:rPr>
              <w:instrText xml:space="preserve"> PAGEREF _Toc217953854 \h </w:instrText>
            </w:r>
            <w:r>
              <w:rPr>
                <w:noProof/>
                <w:webHidden/>
              </w:rPr>
            </w:r>
            <w:r>
              <w:rPr>
                <w:noProof/>
                <w:webHidden/>
              </w:rPr>
              <w:fldChar w:fldCharType="separate"/>
            </w:r>
            <w:r>
              <w:rPr>
                <w:noProof/>
                <w:webHidden/>
              </w:rPr>
              <w:t>26</w:t>
            </w:r>
            <w:r>
              <w:rPr>
                <w:noProof/>
                <w:webHidden/>
              </w:rPr>
              <w:fldChar w:fldCharType="end"/>
            </w:r>
          </w:hyperlink>
        </w:p>
        <w:p w14:paraId="2FA9E326" w14:textId="4C46109A"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55" w:history="1">
            <w:r w:rsidRPr="00056B53">
              <w:rPr>
                <w:rStyle w:val="Hyperlink"/>
                <w:noProof/>
              </w:rPr>
              <w:t>3.3</w:t>
            </w:r>
            <w:r>
              <w:rPr>
                <w:rFonts w:asciiTheme="minorHAnsi" w:hAnsiTheme="minorHAnsi" w:cstheme="minorBidi"/>
                <w:noProof/>
                <w:kern w:val="2"/>
                <w:szCs w:val="30"/>
                <w:lang w:eastAsia="zh-CN" w:bidi="bn-IN"/>
                <w14:ligatures w14:val="standardContextual"/>
              </w:rPr>
              <w:tab/>
            </w:r>
            <w:r w:rsidRPr="00056B53">
              <w:rPr>
                <w:rStyle w:val="Hyperlink"/>
                <w:noProof/>
              </w:rPr>
              <w:t>Research Design</w:t>
            </w:r>
            <w:r>
              <w:rPr>
                <w:noProof/>
                <w:webHidden/>
              </w:rPr>
              <w:tab/>
            </w:r>
            <w:r>
              <w:rPr>
                <w:noProof/>
                <w:webHidden/>
              </w:rPr>
              <w:fldChar w:fldCharType="begin"/>
            </w:r>
            <w:r>
              <w:rPr>
                <w:noProof/>
                <w:webHidden/>
              </w:rPr>
              <w:instrText xml:space="preserve"> PAGEREF _Toc217953855 \h </w:instrText>
            </w:r>
            <w:r>
              <w:rPr>
                <w:noProof/>
                <w:webHidden/>
              </w:rPr>
            </w:r>
            <w:r>
              <w:rPr>
                <w:noProof/>
                <w:webHidden/>
              </w:rPr>
              <w:fldChar w:fldCharType="separate"/>
            </w:r>
            <w:r>
              <w:rPr>
                <w:noProof/>
                <w:webHidden/>
              </w:rPr>
              <w:t>27</w:t>
            </w:r>
            <w:r>
              <w:rPr>
                <w:noProof/>
                <w:webHidden/>
              </w:rPr>
              <w:fldChar w:fldCharType="end"/>
            </w:r>
          </w:hyperlink>
        </w:p>
        <w:p w14:paraId="237BED4B" w14:textId="57CB8A1D"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56" w:history="1">
            <w:r w:rsidRPr="00056B53">
              <w:rPr>
                <w:rStyle w:val="Hyperlink"/>
                <w:noProof/>
              </w:rPr>
              <w:t>3.4</w:t>
            </w:r>
            <w:r>
              <w:rPr>
                <w:rFonts w:asciiTheme="minorHAnsi" w:hAnsiTheme="minorHAnsi" w:cstheme="minorBidi"/>
                <w:noProof/>
                <w:kern w:val="2"/>
                <w:szCs w:val="30"/>
                <w:lang w:eastAsia="zh-CN" w:bidi="bn-IN"/>
                <w14:ligatures w14:val="standardContextual"/>
              </w:rPr>
              <w:tab/>
            </w:r>
            <w:r w:rsidRPr="00056B53">
              <w:rPr>
                <w:rStyle w:val="Hyperlink"/>
                <w:noProof/>
              </w:rPr>
              <w:t>Research Approaches &amp; Rationale</w:t>
            </w:r>
            <w:r>
              <w:rPr>
                <w:noProof/>
                <w:webHidden/>
              </w:rPr>
              <w:tab/>
            </w:r>
            <w:r>
              <w:rPr>
                <w:noProof/>
                <w:webHidden/>
              </w:rPr>
              <w:fldChar w:fldCharType="begin"/>
            </w:r>
            <w:r>
              <w:rPr>
                <w:noProof/>
                <w:webHidden/>
              </w:rPr>
              <w:instrText xml:space="preserve"> PAGEREF _Toc217953856 \h </w:instrText>
            </w:r>
            <w:r>
              <w:rPr>
                <w:noProof/>
                <w:webHidden/>
              </w:rPr>
            </w:r>
            <w:r>
              <w:rPr>
                <w:noProof/>
                <w:webHidden/>
              </w:rPr>
              <w:fldChar w:fldCharType="separate"/>
            </w:r>
            <w:r>
              <w:rPr>
                <w:noProof/>
                <w:webHidden/>
              </w:rPr>
              <w:t>27</w:t>
            </w:r>
            <w:r>
              <w:rPr>
                <w:noProof/>
                <w:webHidden/>
              </w:rPr>
              <w:fldChar w:fldCharType="end"/>
            </w:r>
          </w:hyperlink>
        </w:p>
        <w:p w14:paraId="644B0A78" w14:textId="2B182EC7"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57" w:history="1">
            <w:r w:rsidRPr="00056B53">
              <w:rPr>
                <w:rStyle w:val="Hyperlink"/>
                <w:noProof/>
              </w:rPr>
              <w:t>3.5</w:t>
            </w:r>
            <w:r>
              <w:rPr>
                <w:rFonts w:asciiTheme="minorHAnsi" w:hAnsiTheme="minorHAnsi" w:cstheme="minorBidi"/>
                <w:noProof/>
                <w:kern w:val="2"/>
                <w:szCs w:val="30"/>
                <w:lang w:eastAsia="zh-CN" w:bidi="bn-IN"/>
                <w14:ligatures w14:val="standardContextual"/>
              </w:rPr>
              <w:tab/>
            </w:r>
            <w:r w:rsidRPr="00056B53">
              <w:rPr>
                <w:rStyle w:val="Hyperlink"/>
                <w:noProof/>
              </w:rPr>
              <w:t>Data Collection Methods</w:t>
            </w:r>
            <w:r>
              <w:rPr>
                <w:noProof/>
                <w:webHidden/>
              </w:rPr>
              <w:tab/>
            </w:r>
            <w:r>
              <w:rPr>
                <w:noProof/>
                <w:webHidden/>
              </w:rPr>
              <w:fldChar w:fldCharType="begin"/>
            </w:r>
            <w:r>
              <w:rPr>
                <w:noProof/>
                <w:webHidden/>
              </w:rPr>
              <w:instrText xml:space="preserve"> PAGEREF _Toc217953857 \h </w:instrText>
            </w:r>
            <w:r>
              <w:rPr>
                <w:noProof/>
                <w:webHidden/>
              </w:rPr>
            </w:r>
            <w:r>
              <w:rPr>
                <w:noProof/>
                <w:webHidden/>
              </w:rPr>
              <w:fldChar w:fldCharType="separate"/>
            </w:r>
            <w:r>
              <w:rPr>
                <w:noProof/>
                <w:webHidden/>
              </w:rPr>
              <w:t>28</w:t>
            </w:r>
            <w:r>
              <w:rPr>
                <w:noProof/>
                <w:webHidden/>
              </w:rPr>
              <w:fldChar w:fldCharType="end"/>
            </w:r>
          </w:hyperlink>
        </w:p>
        <w:p w14:paraId="2DDD8E96" w14:textId="4CF912F8"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58" w:history="1">
            <w:r w:rsidRPr="00056B53">
              <w:rPr>
                <w:rStyle w:val="Hyperlink"/>
                <w:noProof/>
                <w:lang w:eastAsia="zh-CN"/>
              </w:rPr>
              <w:t>3.5.1</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Source of Data and Search Strategy</w:t>
            </w:r>
            <w:r>
              <w:rPr>
                <w:noProof/>
                <w:webHidden/>
              </w:rPr>
              <w:tab/>
            </w:r>
            <w:r>
              <w:rPr>
                <w:noProof/>
                <w:webHidden/>
              </w:rPr>
              <w:fldChar w:fldCharType="begin"/>
            </w:r>
            <w:r>
              <w:rPr>
                <w:noProof/>
                <w:webHidden/>
              </w:rPr>
              <w:instrText xml:space="preserve"> PAGEREF _Toc217953858 \h </w:instrText>
            </w:r>
            <w:r>
              <w:rPr>
                <w:noProof/>
                <w:webHidden/>
              </w:rPr>
            </w:r>
            <w:r>
              <w:rPr>
                <w:noProof/>
                <w:webHidden/>
              </w:rPr>
              <w:fldChar w:fldCharType="separate"/>
            </w:r>
            <w:r>
              <w:rPr>
                <w:noProof/>
                <w:webHidden/>
              </w:rPr>
              <w:t>29</w:t>
            </w:r>
            <w:r>
              <w:rPr>
                <w:noProof/>
                <w:webHidden/>
              </w:rPr>
              <w:fldChar w:fldCharType="end"/>
            </w:r>
          </w:hyperlink>
        </w:p>
        <w:p w14:paraId="27B3E709" w14:textId="288CFCA9"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59" w:history="1">
            <w:r w:rsidRPr="00056B53">
              <w:rPr>
                <w:rStyle w:val="Hyperlink"/>
                <w:noProof/>
                <w:lang w:eastAsia="zh-CN"/>
              </w:rPr>
              <w:t>3.5.2</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Study Selection, Screening, and Inclusion</w:t>
            </w:r>
            <w:r>
              <w:rPr>
                <w:noProof/>
                <w:webHidden/>
              </w:rPr>
              <w:tab/>
            </w:r>
            <w:r>
              <w:rPr>
                <w:noProof/>
                <w:webHidden/>
              </w:rPr>
              <w:fldChar w:fldCharType="begin"/>
            </w:r>
            <w:r>
              <w:rPr>
                <w:noProof/>
                <w:webHidden/>
              </w:rPr>
              <w:instrText xml:space="preserve"> PAGEREF _Toc217953859 \h </w:instrText>
            </w:r>
            <w:r>
              <w:rPr>
                <w:noProof/>
                <w:webHidden/>
              </w:rPr>
            </w:r>
            <w:r>
              <w:rPr>
                <w:noProof/>
                <w:webHidden/>
              </w:rPr>
              <w:fldChar w:fldCharType="separate"/>
            </w:r>
            <w:r>
              <w:rPr>
                <w:noProof/>
                <w:webHidden/>
              </w:rPr>
              <w:t>29</w:t>
            </w:r>
            <w:r>
              <w:rPr>
                <w:noProof/>
                <w:webHidden/>
              </w:rPr>
              <w:fldChar w:fldCharType="end"/>
            </w:r>
          </w:hyperlink>
        </w:p>
        <w:p w14:paraId="3BB3163E" w14:textId="131DE772"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0" w:history="1">
            <w:r w:rsidRPr="00056B53">
              <w:rPr>
                <w:rStyle w:val="Hyperlink"/>
                <w:noProof/>
                <w:lang w:eastAsia="zh-CN"/>
              </w:rPr>
              <w:t>3.6</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Quality Appraisal of the Included Articles</w:t>
            </w:r>
            <w:r>
              <w:rPr>
                <w:noProof/>
                <w:webHidden/>
              </w:rPr>
              <w:tab/>
            </w:r>
            <w:r>
              <w:rPr>
                <w:noProof/>
                <w:webHidden/>
              </w:rPr>
              <w:fldChar w:fldCharType="begin"/>
            </w:r>
            <w:r>
              <w:rPr>
                <w:noProof/>
                <w:webHidden/>
              </w:rPr>
              <w:instrText xml:space="preserve"> PAGEREF _Toc217953860 \h </w:instrText>
            </w:r>
            <w:r>
              <w:rPr>
                <w:noProof/>
                <w:webHidden/>
              </w:rPr>
            </w:r>
            <w:r>
              <w:rPr>
                <w:noProof/>
                <w:webHidden/>
              </w:rPr>
              <w:fldChar w:fldCharType="separate"/>
            </w:r>
            <w:r>
              <w:rPr>
                <w:noProof/>
                <w:webHidden/>
              </w:rPr>
              <w:t>30</w:t>
            </w:r>
            <w:r>
              <w:rPr>
                <w:noProof/>
                <w:webHidden/>
              </w:rPr>
              <w:fldChar w:fldCharType="end"/>
            </w:r>
          </w:hyperlink>
        </w:p>
        <w:p w14:paraId="6069176C" w14:textId="5259851C"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1" w:history="1">
            <w:r w:rsidRPr="00056B53">
              <w:rPr>
                <w:rStyle w:val="Hyperlink"/>
                <w:noProof/>
                <w:lang w:eastAsia="zh-CN"/>
              </w:rPr>
              <w:t>3.7</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Data Extraction and Synthesis</w:t>
            </w:r>
            <w:r>
              <w:rPr>
                <w:noProof/>
                <w:webHidden/>
              </w:rPr>
              <w:tab/>
            </w:r>
            <w:r>
              <w:rPr>
                <w:noProof/>
                <w:webHidden/>
              </w:rPr>
              <w:fldChar w:fldCharType="begin"/>
            </w:r>
            <w:r>
              <w:rPr>
                <w:noProof/>
                <w:webHidden/>
              </w:rPr>
              <w:instrText xml:space="preserve"> PAGEREF _Toc217953861 \h </w:instrText>
            </w:r>
            <w:r>
              <w:rPr>
                <w:noProof/>
                <w:webHidden/>
              </w:rPr>
            </w:r>
            <w:r>
              <w:rPr>
                <w:noProof/>
                <w:webHidden/>
              </w:rPr>
              <w:fldChar w:fldCharType="separate"/>
            </w:r>
            <w:r>
              <w:rPr>
                <w:noProof/>
                <w:webHidden/>
              </w:rPr>
              <w:t>31</w:t>
            </w:r>
            <w:r>
              <w:rPr>
                <w:noProof/>
                <w:webHidden/>
              </w:rPr>
              <w:fldChar w:fldCharType="end"/>
            </w:r>
          </w:hyperlink>
        </w:p>
        <w:p w14:paraId="3AB46E57" w14:textId="710B5E92"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2" w:history="1">
            <w:r w:rsidRPr="00056B53">
              <w:rPr>
                <w:rStyle w:val="Hyperlink"/>
                <w:noProof/>
              </w:rPr>
              <w:t>3.8</w:t>
            </w:r>
            <w:r>
              <w:rPr>
                <w:rFonts w:asciiTheme="minorHAnsi" w:hAnsiTheme="minorHAnsi" w:cstheme="minorBidi"/>
                <w:noProof/>
                <w:kern w:val="2"/>
                <w:szCs w:val="30"/>
                <w:lang w:eastAsia="zh-CN" w:bidi="bn-IN"/>
                <w14:ligatures w14:val="standardContextual"/>
              </w:rPr>
              <w:tab/>
            </w:r>
            <w:r w:rsidRPr="00056B53">
              <w:rPr>
                <w:rStyle w:val="Hyperlink"/>
                <w:noProof/>
              </w:rPr>
              <w:t>Ethical Considerations</w:t>
            </w:r>
            <w:r>
              <w:rPr>
                <w:noProof/>
                <w:webHidden/>
              </w:rPr>
              <w:tab/>
            </w:r>
            <w:r>
              <w:rPr>
                <w:noProof/>
                <w:webHidden/>
              </w:rPr>
              <w:fldChar w:fldCharType="begin"/>
            </w:r>
            <w:r>
              <w:rPr>
                <w:noProof/>
                <w:webHidden/>
              </w:rPr>
              <w:instrText xml:space="preserve"> PAGEREF _Toc217953862 \h </w:instrText>
            </w:r>
            <w:r>
              <w:rPr>
                <w:noProof/>
                <w:webHidden/>
              </w:rPr>
            </w:r>
            <w:r>
              <w:rPr>
                <w:noProof/>
                <w:webHidden/>
              </w:rPr>
              <w:fldChar w:fldCharType="separate"/>
            </w:r>
            <w:r>
              <w:rPr>
                <w:noProof/>
                <w:webHidden/>
              </w:rPr>
              <w:t>31</w:t>
            </w:r>
            <w:r>
              <w:rPr>
                <w:noProof/>
                <w:webHidden/>
              </w:rPr>
              <w:fldChar w:fldCharType="end"/>
            </w:r>
          </w:hyperlink>
        </w:p>
        <w:p w14:paraId="36F9CCDB" w14:textId="6C35AA5F"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3" w:history="1">
            <w:r w:rsidRPr="00056B53">
              <w:rPr>
                <w:rStyle w:val="Hyperlink"/>
                <w:noProof/>
              </w:rPr>
              <w:t>3.9</w:t>
            </w:r>
            <w:r>
              <w:rPr>
                <w:rFonts w:asciiTheme="minorHAnsi" w:hAnsiTheme="minorHAnsi" w:cstheme="minorBidi"/>
                <w:noProof/>
                <w:kern w:val="2"/>
                <w:szCs w:val="30"/>
                <w:lang w:eastAsia="zh-CN" w:bidi="bn-IN"/>
                <w14:ligatures w14:val="standardContextual"/>
              </w:rPr>
              <w:tab/>
            </w:r>
            <w:r w:rsidRPr="00056B53">
              <w:rPr>
                <w:rStyle w:val="Hyperlink"/>
                <w:noProof/>
              </w:rPr>
              <w:t>Conclusion</w:t>
            </w:r>
            <w:r>
              <w:rPr>
                <w:noProof/>
                <w:webHidden/>
              </w:rPr>
              <w:tab/>
            </w:r>
            <w:r>
              <w:rPr>
                <w:noProof/>
                <w:webHidden/>
              </w:rPr>
              <w:fldChar w:fldCharType="begin"/>
            </w:r>
            <w:r>
              <w:rPr>
                <w:noProof/>
                <w:webHidden/>
              </w:rPr>
              <w:instrText xml:space="preserve"> PAGEREF _Toc217953863 \h </w:instrText>
            </w:r>
            <w:r>
              <w:rPr>
                <w:noProof/>
                <w:webHidden/>
              </w:rPr>
            </w:r>
            <w:r>
              <w:rPr>
                <w:noProof/>
                <w:webHidden/>
              </w:rPr>
              <w:fldChar w:fldCharType="separate"/>
            </w:r>
            <w:r>
              <w:rPr>
                <w:noProof/>
                <w:webHidden/>
              </w:rPr>
              <w:t>32</w:t>
            </w:r>
            <w:r>
              <w:rPr>
                <w:noProof/>
                <w:webHidden/>
              </w:rPr>
              <w:fldChar w:fldCharType="end"/>
            </w:r>
          </w:hyperlink>
        </w:p>
        <w:p w14:paraId="2834D1D0" w14:textId="6826B4FC" w:rsidR="00CC43B9" w:rsidRDefault="00CC43B9">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7953864" w:history="1">
            <w:r w:rsidRPr="00056B53">
              <w:rPr>
                <w:rStyle w:val="Hyperlink"/>
                <w:noProof/>
              </w:rPr>
              <w:t>4</w:t>
            </w:r>
            <w:r>
              <w:rPr>
                <w:rFonts w:asciiTheme="minorHAnsi" w:hAnsiTheme="minorHAnsi" w:cstheme="minorBidi"/>
                <w:noProof/>
                <w:kern w:val="2"/>
                <w:szCs w:val="30"/>
                <w:lang w:eastAsia="zh-CN" w:bidi="bn-IN"/>
                <w14:ligatures w14:val="standardContextual"/>
              </w:rPr>
              <w:tab/>
            </w:r>
            <w:r w:rsidRPr="00056B53">
              <w:rPr>
                <w:rStyle w:val="Hyperlink"/>
                <w:noProof/>
              </w:rPr>
              <w:t>CHAPTER 4: FINDINGS, ANALYSIS AND DISCUSSION</w:t>
            </w:r>
            <w:r>
              <w:rPr>
                <w:noProof/>
                <w:webHidden/>
              </w:rPr>
              <w:tab/>
            </w:r>
            <w:r>
              <w:rPr>
                <w:noProof/>
                <w:webHidden/>
              </w:rPr>
              <w:fldChar w:fldCharType="begin"/>
            </w:r>
            <w:r>
              <w:rPr>
                <w:noProof/>
                <w:webHidden/>
              </w:rPr>
              <w:instrText xml:space="preserve"> PAGEREF _Toc217953864 \h </w:instrText>
            </w:r>
            <w:r>
              <w:rPr>
                <w:noProof/>
                <w:webHidden/>
              </w:rPr>
            </w:r>
            <w:r>
              <w:rPr>
                <w:noProof/>
                <w:webHidden/>
              </w:rPr>
              <w:fldChar w:fldCharType="separate"/>
            </w:r>
            <w:r>
              <w:rPr>
                <w:noProof/>
                <w:webHidden/>
              </w:rPr>
              <w:t>33</w:t>
            </w:r>
            <w:r>
              <w:rPr>
                <w:noProof/>
                <w:webHidden/>
              </w:rPr>
              <w:fldChar w:fldCharType="end"/>
            </w:r>
          </w:hyperlink>
        </w:p>
        <w:p w14:paraId="0D61F3C1" w14:textId="264796CD"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5" w:history="1">
            <w:r w:rsidRPr="00056B53">
              <w:rPr>
                <w:rStyle w:val="Hyperlink"/>
                <w:noProof/>
              </w:rPr>
              <w:t>4.1</w:t>
            </w:r>
            <w:r>
              <w:rPr>
                <w:rFonts w:asciiTheme="minorHAnsi" w:hAnsiTheme="minorHAnsi" w:cstheme="minorBidi"/>
                <w:noProof/>
                <w:kern w:val="2"/>
                <w:szCs w:val="30"/>
                <w:lang w:eastAsia="zh-CN" w:bidi="bn-IN"/>
                <w14:ligatures w14:val="standardContextual"/>
              </w:rPr>
              <w:tab/>
            </w:r>
            <w:r w:rsidRPr="00056B53">
              <w:rPr>
                <w:rStyle w:val="Hyperlink"/>
                <w:noProof/>
              </w:rPr>
              <w:t>Introduction</w:t>
            </w:r>
            <w:r>
              <w:rPr>
                <w:noProof/>
                <w:webHidden/>
              </w:rPr>
              <w:tab/>
            </w:r>
            <w:r>
              <w:rPr>
                <w:noProof/>
                <w:webHidden/>
              </w:rPr>
              <w:fldChar w:fldCharType="begin"/>
            </w:r>
            <w:r>
              <w:rPr>
                <w:noProof/>
                <w:webHidden/>
              </w:rPr>
              <w:instrText xml:space="preserve"> PAGEREF _Toc217953865 \h </w:instrText>
            </w:r>
            <w:r>
              <w:rPr>
                <w:noProof/>
                <w:webHidden/>
              </w:rPr>
            </w:r>
            <w:r>
              <w:rPr>
                <w:noProof/>
                <w:webHidden/>
              </w:rPr>
              <w:fldChar w:fldCharType="separate"/>
            </w:r>
            <w:r>
              <w:rPr>
                <w:noProof/>
                <w:webHidden/>
              </w:rPr>
              <w:t>33</w:t>
            </w:r>
            <w:r>
              <w:rPr>
                <w:noProof/>
                <w:webHidden/>
              </w:rPr>
              <w:fldChar w:fldCharType="end"/>
            </w:r>
          </w:hyperlink>
        </w:p>
        <w:p w14:paraId="01D0E8C4" w14:textId="40A3203B"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6" w:history="1">
            <w:r w:rsidRPr="00056B53">
              <w:rPr>
                <w:rStyle w:val="Hyperlink"/>
                <w:noProof/>
              </w:rPr>
              <w:t>4.2</w:t>
            </w:r>
            <w:r>
              <w:rPr>
                <w:rFonts w:asciiTheme="minorHAnsi" w:hAnsiTheme="minorHAnsi" w:cstheme="minorBidi"/>
                <w:noProof/>
                <w:kern w:val="2"/>
                <w:szCs w:val="30"/>
                <w:lang w:eastAsia="zh-CN" w:bidi="bn-IN"/>
                <w14:ligatures w14:val="standardContextual"/>
              </w:rPr>
              <w:tab/>
            </w:r>
            <w:r w:rsidRPr="00056B53">
              <w:rPr>
                <w:rStyle w:val="Hyperlink"/>
                <w:noProof/>
              </w:rPr>
              <w:t>Summary of the Search Results and Quality Assessment</w:t>
            </w:r>
            <w:r>
              <w:rPr>
                <w:noProof/>
                <w:webHidden/>
              </w:rPr>
              <w:tab/>
            </w:r>
            <w:r>
              <w:rPr>
                <w:noProof/>
                <w:webHidden/>
              </w:rPr>
              <w:fldChar w:fldCharType="begin"/>
            </w:r>
            <w:r>
              <w:rPr>
                <w:noProof/>
                <w:webHidden/>
              </w:rPr>
              <w:instrText xml:space="preserve"> PAGEREF _Toc217953866 \h </w:instrText>
            </w:r>
            <w:r>
              <w:rPr>
                <w:noProof/>
                <w:webHidden/>
              </w:rPr>
            </w:r>
            <w:r>
              <w:rPr>
                <w:noProof/>
                <w:webHidden/>
              </w:rPr>
              <w:fldChar w:fldCharType="separate"/>
            </w:r>
            <w:r>
              <w:rPr>
                <w:noProof/>
                <w:webHidden/>
              </w:rPr>
              <w:t>33</w:t>
            </w:r>
            <w:r>
              <w:rPr>
                <w:noProof/>
                <w:webHidden/>
              </w:rPr>
              <w:fldChar w:fldCharType="end"/>
            </w:r>
          </w:hyperlink>
        </w:p>
        <w:p w14:paraId="467E5CC7" w14:textId="37DBE8A6"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7" w:history="1">
            <w:r w:rsidRPr="00056B53">
              <w:rPr>
                <w:rStyle w:val="Hyperlink"/>
                <w:noProof/>
              </w:rPr>
              <w:t>4.3</w:t>
            </w:r>
            <w:r>
              <w:rPr>
                <w:rFonts w:asciiTheme="minorHAnsi" w:hAnsiTheme="minorHAnsi" w:cstheme="minorBidi"/>
                <w:noProof/>
                <w:kern w:val="2"/>
                <w:szCs w:val="30"/>
                <w:lang w:eastAsia="zh-CN" w:bidi="bn-IN"/>
                <w14:ligatures w14:val="standardContextual"/>
              </w:rPr>
              <w:tab/>
            </w:r>
            <w:r w:rsidRPr="00056B53">
              <w:rPr>
                <w:rStyle w:val="Hyperlink"/>
                <w:noProof/>
              </w:rPr>
              <w:t>Summary of Findings from the Included Articles</w:t>
            </w:r>
            <w:r>
              <w:rPr>
                <w:noProof/>
                <w:webHidden/>
              </w:rPr>
              <w:tab/>
            </w:r>
            <w:r>
              <w:rPr>
                <w:noProof/>
                <w:webHidden/>
              </w:rPr>
              <w:fldChar w:fldCharType="begin"/>
            </w:r>
            <w:r>
              <w:rPr>
                <w:noProof/>
                <w:webHidden/>
              </w:rPr>
              <w:instrText xml:space="preserve"> PAGEREF _Toc217953867 \h </w:instrText>
            </w:r>
            <w:r>
              <w:rPr>
                <w:noProof/>
                <w:webHidden/>
              </w:rPr>
            </w:r>
            <w:r>
              <w:rPr>
                <w:noProof/>
                <w:webHidden/>
              </w:rPr>
              <w:fldChar w:fldCharType="separate"/>
            </w:r>
            <w:r>
              <w:rPr>
                <w:noProof/>
                <w:webHidden/>
              </w:rPr>
              <w:t>34</w:t>
            </w:r>
            <w:r>
              <w:rPr>
                <w:noProof/>
                <w:webHidden/>
              </w:rPr>
              <w:fldChar w:fldCharType="end"/>
            </w:r>
          </w:hyperlink>
        </w:p>
        <w:p w14:paraId="78BA1343" w14:textId="5BED1E4C"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68" w:history="1">
            <w:r w:rsidRPr="00056B53">
              <w:rPr>
                <w:rStyle w:val="Hyperlink"/>
                <w:noProof/>
              </w:rPr>
              <w:t>4.4</w:t>
            </w:r>
            <w:r>
              <w:rPr>
                <w:rFonts w:asciiTheme="minorHAnsi" w:hAnsiTheme="minorHAnsi" w:cstheme="minorBidi"/>
                <w:noProof/>
                <w:kern w:val="2"/>
                <w:szCs w:val="30"/>
                <w:lang w:eastAsia="zh-CN" w:bidi="bn-IN"/>
                <w14:ligatures w14:val="standardContextual"/>
              </w:rPr>
              <w:tab/>
            </w:r>
            <w:r w:rsidRPr="00056B53">
              <w:rPr>
                <w:rStyle w:val="Hyperlink"/>
                <w:noProof/>
              </w:rPr>
              <w:t>Thematic Analysis and Narrative Synthesis of Results</w:t>
            </w:r>
            <w:r>
              <w:rPr>
                <w:noProof/>
                <w:webHidden/>
              </w:rPr>
              <w:tab/>
            </w:r>
            <w:r>
              <w:rPr>
                <w:noProof/>
                <w:webHidden/>
              </w:rPr>
              <w:fldChar w:fldCharType="begin"/>
            </w:r>
            <w:r>
              <w:rPr>
                <w:noProof/>
                <w:webHidden/>
              </w:rPr>
              <w:instrText xml:space="preserve"> PAGEREF _Toc217953868 \h </w:instrText>
            </w:r>
            <w:r>
              <w:rPr>
                <w:noProof/>
                <w:webHidden/>
              </w:rPr>
            </w:r>
            <w:r>
              <w:rPr>
                <w:noProof/>
                <w:webHidden/>
              </w:rPr>
              <w:fldChar w:fldCharType="separate"/>
            </w:r>
            <w:r>
              <w:rPr>
                <w:noProof/>
                <w:webHidden/>
              </w:rPr>
              <w:t>48</w:t>
            </w:r>
            <w:r>
              <w:rPr>
                <w:noProof/>
                <w:webHidden/>
              </w:rPr>
              <w:fldChar w:fldCharType="end"/>
            </w:r>
          </w:hyperlink>
        </w:p>
        <w:p w14:paraId="1581E16F" w14:textId="2D6340E3"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69" w:history="1">
            <w:r w:rsidRPr="00056B53">
              <w:rPr>
                <w:rStyle w:val="Hyperlink"/>
                <w:noProof/>
                <w:lang w:eastAsia="zh-CN"/>
              </w:rPr>
              <w:t>4.4.1</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Differences in ESG Practices Between Traditional Automotive and Electric Vehicle Companies (RQ1)</w:t>
            </w:r>
            <w:r>
              <w:rPr>
                <w:noProof/>
                <w:webHidden/>
              </w:rPr>
              <w:tab/>
            </w:r>
            <w:r>
              <w:rPr>
                <w:noProof/>
                <w:webHidden/>
              </w:rPr>
              <w:fldChar w:fldCharType="begin"/>
            </w:r>
            <w:r>
              <w:rPr>
                <w:noProof/>
                <w:webHidden/>
              </w:rPr>
              <w:instrText xml:space="preserve"> PAGEREF _Toc217953869 \h </w:instrText>
            </w:r>
            <w:r>
              <w:rPr>
                <w:noProof/>
                <w:webHidden/>
              </w:rPr>
            </w:r>
            <w:r>
              <w:rPr>
                <w:noProof/>
                <w:webHidden/>
              </w:rPr>
              <w:fldChar w:fldCharType="separate"/>
            </w:r>
            <w:r>
              <w:rPr>
                <w:noProof/>
                <w:webHidden/>
              </w:rPr>
              <w:t>48</w:t>
            </w:r>
            <w:r>
              <w:rPr>
                <w:noProof/>
                <w:webHidden/>
              </w:rPr>
              <w:fldChar w:fldCharType="end"/>
            </w:r>
          </w:hyperlink>
        </w:p>
        <w:p w14:paraId="32B22EF9" w14:textId="1612EC9C"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0" w:history="1">
            <w:r w:rsidRPr="00056B53">
              <w:rPr>
                <w:rStyle w:val="Hyperlink"/>
                <w:noProof/>
                <w:lang w:eastAsia="zh-CN"/>
              </w:rPr>
              <w:t>4.4.2</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Key Drivers and Barriers Affecting ESG Adoption and Effectiveness in Automotive Firms (RQ2)</w:t>
            </w:r>
            <w:r>
              <w:rPr>
                <w:noProof/>
                <w:webHidden/>
              </w:rPr>
              <w:tab/>
            </w:r>
            <w:r>
              <w:rPr>
                <w:noProof/>
                <w:webHidden/>
              </w:rPr>
              <w:fldChar w:fldCharType="begin"/>
            </w:r>
            <w:r>
              <w:rPr>
                <w:noProof/>
                <w:webHidden/>
              </w:rPr>
              <w:instrText xml:space="preserve"> PAGEREF _Toc217953870 \h </w:instrText>
            </w:r>
            <w:r>
              <w:rPr>
                <w:noProof/>
                <w:webHidden/>
              </w:rPr>
            </w:r>
            <w:r>
              <w:rPr>
                <w:noProof/>
                <w:webHidden/>
              </w:rPr>
              <w:fldChar w:fldCharType="separate"/>
            </w:r>
            <w:r>
              <w:rPr>
                <w:noProof/>
                <w:webHidden/>
              </w:rPr>
              <w:t>52</w:t>
            </w:r>
            <w:r>
              <w:rPr>
                <w:noProof/>
                <w:webHidden/>
              </w:rPr>
              <w:fldChar w:fldCharType="end"/>
            </w:r>
          </w:hyperlink>
        </w:p>
        <w:p w14:paraId="78C0E384" w14:textId="357919BE"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1" w:history="1">
            <w:r w:rsidRPr="00056B53">
              <w:rPr>
                <w:rStyle w:val="Hyperlink"/>
                <w:noProof/>
                <w:lang w:eastAsia="zh-CN"/>
              </w:rPr>
              <w:t>4.4.3</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Impact of ESG Considerations on Financial Performance of Automotive Companies (RQ3)</w:t>
            </w:r>
            <w:r>
              <w:rPr>
                <w:noProof/>
                <w:webHidden/>
              </w:rPr>
              <w:tab/>
            </w:r>
            <w:r>
              <w:rPr>
                <w:noProof/>
                <w:webHidden/>
              </w:rPr>
              <w:fldChar w:fldCharType="begin"/>
            </w:r>
            <w:r>
              <w:rPr>
                <w:noProof/>
                <w:webHidden/>
              </w:rPr>
              <w:instrText xml:space="preserve"> PAGEREF _Toc217953871 \h </w:instrText>
            </w:r>
            <w:r>
              <w:rPr>
                <w:noProof/>
                <w:webHidden/>
              </w:rPr>
            </w:r>
            <w:r>
              <w:rPr>
                <w:noProof/>
                <w:webHidden/>
              </w:rPr>
              <w:fldChar w:fldCharType="separate"/>
            </w:r>
            <w:r>
              <w:rPr>
                <w:noProof/>
                <w:webHidden/>
              </w:rPr>
              <w:t>59</w:t>
            </w:r>
            <w:r>
              <w:rPr>
                <w:noProof/>
                <w:webHidden/>
              </w:rPr>
              <w:fldChar w:fldCharType="end"/>
            </w:r>
          </w:hyperlink>
        </w:p>
        <w:p w14:paraId="1AE52FB9" w14:textId="23AD3491"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72" w:history="1">
            <w:r w:rsidRPr="00056B53">
              <w:rPr>
                <w:rStyle w:val="Hyperlink"/>
                <w:noProof/>
              </w:rPr>
              <w:t>4.5</w:t>
            </w:r>
            <w:r>
              <w:rPr>
                <w:rFonts w:asciiTheme="minorHAnsi" w:hAnsiTheme="minorHAnsi" w:cstheme="minorBidi"/>
                <w:noProof/>
                <w:kern w:val="2"/>
                <w:szCs w:val="30"/>
                <w:lang w:eastAsia="zh-CN" w:bidi="bn-IN"/>
                <w14:ligatures w14:val="standardContextual"/>
              </w:rPr>
              <w:tab/>
            </w:r>
            <w:r w:rsidRPr="00056B53">
              <w:rPr>
                <w:rStyle w:val="Hyperlink"/>
                <w:noProof/>
              </w:rPr>
              <w:t>Discussion of Results</w:t>
            </w:r>
            <w:r>
              <w:rPr>
                <w:noProof/>
                <w:webHidden/>
              </w:rPr>
              <w:tab/>
            </w:r>
            <w:r>
              <w:rPr>
                <w:noProof/>
                <w:webHidden/>
              </w:rPr>
              <w:fldChar w:fldCharType="begin"/>
            </w:r>
            <w:r>
              <w:rPr>
                <w:noProof/>
                <w:webHidden/>
              </w:rPr>
              <w:instrText xml:space="preserve"> PAGEREF _Toc217953872 \h </w:instrText>
            </w:r>
            <w:r>
              <w:rPr>
                <w:noProof/>
                <w:webHidden/>
              </w:rPr>
            </w:r>
            <w:r>
              <w:rPr>
                <w:noProof/>
                <w:webHidden/>
              </w:rPr>
              <w:fldChar w:fldCharType="separate"/>
            </w:r>
            <w:r>
              <w:rPr>
                <w:noProof/>
                <w:webHidden/>
              </w:rPr>
              <w:t>62</w:t>
            </w:r>
            <w:r>
              <w:rPr>
                <w:noProof/>
                <w:webHidden/>
              </w:rPr>
              <w:fldChar w:fldCharType="end"/>
            </w:r>
          </w:hyperlink>
        </w:p>
        <w:p w14:paraId="65648DEB" w14:textId="42C5F9C6"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3" w:history="1">
            <w:r w:rsidRPr="00056B53">
              <w:rPr>
                <w:rStyle w:val="Hyperlink"/>
                <w:noProof/>
              </w:rPr>
              <w:t>4.5.1</w:t>
            </w:r>
            <w:r>
              <w:rPr>
                <w:rFonts w:asciiTheme="minorHAnsi" w:hAnsiTheme="minorHAnsi" w:cstheme="minorBidi"/>
                <w:noProof/>
                <w:kern w:val="2"/>
                <w:szCs w:val="30"/>
                <w:lang w:eastAsia="zh-CN" w:bidi="bn-IN"/>
                <w14:ligatures w14:val="standardContextual"/>
              </w:rPr>
              <w:tab/>
            </w:r>
            <w:r w:rsidRPr="00056B53">
              <w:rPr>
                <w:rStyle w:val="Hyperlink"/>
                <w:noProof/>
              </w:rPr>
              <w:t>Environmental Dimension</w:t>
            </w:r>
            <w:r>
              <w:rPr>
                <w:noProof/>
                <w:webHidden/>
              </w:rPr>
              <w:tab/>
            </w:r>
            <w:r>
              <w:rPr>
                <w:noProof/>
                <w:webHidden/>
              </w:rPr>
              <w:fldChar w:fldCharType="begin"/>
            </w:r>
            <w:r>
              <w:rPr>
                <w:noProof/>
                <w:webHidden/>
              </w:rPr>
              <w:instrText xml:space="preserve"> PAGEREF _Toc217953873 \h </w:instrText>
            </w:r>
            <w:r>
              <w:rPr>
                <w:noProof/>
                <w:webHidden/>
              </w:rPr>
            </w:r>
            <w:r>
              <w:rPr>
                <w:noProof/>
                <w:webHidden/>
              </w:rPr>
              <w:fldChar w:fldCharType="separate"/>
            </w:r>
            <w:r>
              <w:rPr>
                <w:noProof/>
                <w:webHidden/>
              </w:rPr>
              <w:t>62</w:t>
            </w:r>
            <w:r>
              <w:rPr>
                <w:noProof/>
                <w:webHidden/>
              </w:rPr>
              <w:fldChar w:fldCharType="end"/>
            </w:r>
          </w:hyperlink>
        </w:p>
        <w:p w14:paraId="5DA555AC" w14:textId="242AA590"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4" w:history="1">
            <w:r w:rsidRPr="00056B53">
              <w:rPr>
                <w:rStyle w:val="Hyperlink"/>
                <w:noProof/>
              </w:rPr>
              <w:t>4.5.2</w:t>
            </w:r>
            <w:r>
              <w:rPr>
                <w:rFonts w:asciiTheme="minorHAnsi" w:hAnsiTheme="minorHAnsi" w:cstheme="minorBidi"/>
                <w:noProof/>
                <w:kern w:val="2"/>
                <w:szCs w:val="30"/>
                <w:lang w:eastAsia="zh-CN" w:bidi="bn-IN"/>
                <w14:ligatures w14:val="standardContextual"/>
              </w:rPr>
              <w:tab/>
            </w:r>
            <w:r w:rsidRPr="00056B53">
              <w:rPr>
                <w:rStyle w:val="Hyperlink"/>
                <w:noProof/>
              </w:rPr>
              <w:t>Social Dimension</w:t>
            </w:r>
            <w:r>
              <w:rPr>
                <w:noProof/>
                <w:webHidden/>
              </w:rPr>
              <w:tab/>
            </w:r>
            <w:r>
              <w:rPr>
                <w:noProof/>
                <w:webHidden/>
              </w:rPr>
              <w:fldChar w:fldCharType="begin"/>
            </w:r>
            <w:r>
              <w:rPr>
                <w:noProof/>
                <w:webHidden/>
              </w:rPr>
              <w:instrText xml:space="preserve"> PAGEREF _Toc217953874 \h </w:instrText>
            </w:r>
            <w:r>
              <w:rPr>
                <w:noProof/>
                <w:webHidden/>
              </w:rPr>
            </w:r>
            <w:r>
              <w:rPr>
                <w:noProof/>
                <w:webHidden/>
              </w:rPr>
              <w:fldChar w:fldCharType="separate"/>
            </w:r>
            <w:r>
              <w:rPr>
                <w:noProof/>
                <w:webHidden/>
              </w:rPr>
              <w:t>63</w:t>
            </w:r>
            <w:r>
              <w:rPr>
                <w:noProof/>
                <w:webHidden/>
              </w:rPr>
              <w:fldChar w:fldCharType="end"/>
            </w:r>
          </w:hyperlink>
        </w:p>
        <w:p w14:paraId="2AD49781" w14:textId="0C696D0C"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5" w:history="1">
            <w:r w:rsidRPr="00056B53">
              <w:rPr>
                <w:rStyle w:val="Hyperlink"/>
                <w:noProof/>
              </w:rPr>
              <w:t>4.5.3</w:t>
            </w:r>
            <w:r>
              <w:rPr>
                <w:rFonts w:asciiTheme="minorHAnsi" w:hAnsiTheme="minorHAnsi" w:cstheme="minorBidi"/>
                <w:noProof/>
                <w:kern w:val="2"/>
                <w:szCs w:val="30"/>
                <w:lang w:eastAsia="zh-CN" w:bidi="bn-IN"/>
                <w14:ligatures w14:val="standardContextual"/>
              </w:rPr>
              <w:tab/>
            </w:r>
            <w:r w:rsidRPr="00056B53">
              <w:rPr>
                <w:rStyle w:val="Hyperlink"/>
                <w:noProof/>
              </w:rPr>
              <w:t>Governance Dimension</w:t>
            </w:r>
            <w:r>
              <w:rPr>
                <w:noProof/>
                <w:webHidden/>
              </w:rPr>
              <w:tab/>
            </w:r>
            <w:r>
              <w:rPr>
                <w:noProof/>
                <w:webHidden/>
              </w:rPr>
              <w:fldChar w:fldCharType="begin"/>
            </w:r>
            <w:r>
              <w:rPr>
                <w:noProof/>
                <w:webHidden/>
              </w:rPr>
              <w:instrText xml:space="preserve"> PAGEREF _Toc217953875 \h </w:instrText>
            </w:r>
            <w:r>
              <w:rPr>
                <w:noProof/>
                <w:webHidden/>
              </w:rPr>
            </w:r>
            <w:r>
              <w:rPr>
                <w:noProof/>
                <w:webHidden/>
              </w:rPr>
              <w:fldChar w:fldCharType="separate"/>
            </w:r>
            <w:r>
              <w:rPr>
                <w:noProof/>
                <w:webHidden/>
              </w:rPr>
              <w:t>63</w:t>
            </w:r>
            <w:r>
              <w:rPr>
                <w:noProof/>
                <w:webHidden/>
              </w:rPr>
              <w:fldChar w:fldCharType="end"/>
            </w:r>
          </w:hyperlink>
        </w:p>
        <w:p w14:paraId="38C4F88B" w14:textId="7C068CDF"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6" w:history="1">
            <w:r w:rsidRPr="00056B53">
              <w:rPr>
                <w:rStyle w:val="Hyperlink"/>
                <w:noProof/>
              </w:rPr>
              <w:t>4.5.4</w:t>
            </w:r>
            <w:r>
              <w:rPr>
                <w:rFonts w:asciiTheme="minorHAnsi" w:hAnsiTheme="minorHAnsi" w:cstheme="minorBidi"/>
                <w:noProof/>
                <w:kern w:val="2"/>
                <w:szCs w:val="30"/>
                <w:lang w:eastAsia="zh-CN" w:bidi="bn-IN"/>
                <w14:ligatures w14:val="standardContextual"/>
              </w:rPr>
              <w:tab/>
            </w:r>
            <w:r w:rsidRPr="00056B53">
              <w:rPr>
                <w:rStyle w:val="Hyperlink"/>
                <w:noProof/>
              </w:rPr>
              <w:t>Drivers and Barriers</w:t>
            </w:r>
            <w:r>
              <w:rPr>
                <w:noProof/>
                <w:webHidden/>
              </w:rPr>
              <w:tab/>
            </w:r>
            <w:r>
              <w:rPr>
                <w:noProof/>
                <w:webHidden/>
              </w:rPr>
              <w:fldChar w:fldCharType="begin"/>
            </w:r>
            <w:r>
              <w:rPr>
                <w:noProof/>
                <w:webHidden/>
              </w:rPr>
              <w:instrText xml:space="preserve"> PAGEREF _Toc217953876 \h </w:instrText>
            </w:r>
            <w:r>
              <w:rPr>
                <w:noProof/>
                <w:webHidden/>
              </w:rPr>
            </w:r>
            <w:r>
              <w:rPr>
                <w:noProof/>
                <w:webHidden/>
              </w:rPr>
              <w:fldChar w:fldCharType="separate"/>
            </w:r>
            <w:r>
              <w:rPr>
                <w:noProof/>
                <w:webHidden/>
              </w:rPr>
              <w:t>63</w:t>
            </w:r>
            <w:r>
              <w:rPr>
                <w:noProof/>
                <w:webHidden/>
              </w:rPr>
              <w:fldChar w:fldCharType="end"/>
            </w:r>
          </w:hyperlink>
        </w:p>
        <w:p w14:paraId="777FCDAD" w14:textId="06659C8F"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7" w:history="1">
            <w:r w:rsidRPr="00056B53">
              <w:rPr>
                <w:rStyle w:val="Hyperlink"/>
                <w:noProof/>
              </w:rPr>
              <w:t>4.5.5</w:t>
            </w:r>
            <w:r>
              <w:rPr>
                <w:rFonts w:asciiTheme="minorHAnsi" w:hAnsiTheme="minorHAnsi" w:cstheme="minorBidi"/>
                <w:noProof/>
                <w:kern w:val="2"/>
                <w:szCs w:val="30"/>
                <w:lang w:eastAsia="zh-CN" w:bidi="bn-IN"/>
                <w14:ligatures w14:val="standardContextual"/>
              </w:rPr>
              <w:tab/>
            </w:r>
            <w:r w:rsidRPr="00056B53">
              <w:rPr>
                <w:rStyle w:val="Hyperlink"/>
                <w:noProof/>
              </w:rPr>
              <w:t>Impact on Financial Performance</w:t>
            </w:r>
            <w:r>
              <w:rPr>
                <w:noProof/>
                <w:webHidden/>
              </w:rPr>
              <w:tab/>
            </w:r>
            <w:r>
              <w:rPr>
                <w:noProof/>
                <w:webHidden/>
              </w:rPr>
              <w:fldChar w:fldCharType="begin"/>
            </w:r>
            <w:r>
              <w:rPr>
                <w:noProof/>
                <w:webHidden/>
              </w:rPr>
              <w:instrText xml:space="preserve"> PAGEREF _Toc217953877 \h </w:instrText>
            </w:r>
            <w:r>
              <w:rPr>
                <w:noProof/>
                <w:webHidden/>
              </w:rPr>
            </w:r>
            <w:r>
              <w:rPr>
                <w:noProof/>
                <w:webHidden/>
              </w:rPr>
              <w:fldChar w:fldCharType="separate"/>
            </w:r>
            <w:r>
              <w:rPr>
                <w:noProof/>
                <w:webHidden/>
              </w:rPr>
              <w:t>64</w:t>
            </w:r>
            <w:r>
              <w:rPr>
                <w:noProof/>
                <w:webHidden/>
              </w:rPr>
              <w:fldChar w:fldCharType="end"/>
            </w:r>
          </w:hyperlink>
        </w:p>
        <w:p w14:paraId="7D02563D" w14:textId="7798A688" w:rsidR="00CC43B9" w:rsidRDefault="00CC43B9">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7953878" w:history="1">
            <w:r w:rsidRPr="00056B53">
              <w:rPr>
                <w:rStyle w:val="Hyperlink"/>
                <w:noProof/>
              </w:rPr>
              <w:t>4.5.6</w:t>
            </w:r>
            <w:r>
              <w:rPr>
                <w:rFonts w:asciiTheme="minorHAnsi" w:hAnsiTheme="minorHAnsi" w:cstheme="minorBidi"/>
                <w:noProof/>
                <w:kern w:val="2"/>
                <w:szCs w:val="30"/>
                <w:lang w:eastAsia="zh-CN" w:bidi="bn-IN"/>
                <w14:ligatures w14:val="standardContextual"/>
              </w:rPr>
              <w:tab/>
            </w:r>
            <w:r w:rsidRPr="00056B53">
              <w:rPr>
                <w:rStyle w:val="Hyperlink"/>
                <w:noProof/>
              </w:rPr>
              <w:t>Synthesis</w:t>
            </w:r>
            <w:r>
              <w:rPr>
                <w:noProof/>
                <w:webHidden/>
              </w:rPr>
              <w:tab/>
            </w:r>
            <w:r>
              <w:rPr>
                <w:noProof/>
                <w:webHidden/>
              </w:rPr>
              <w:fldChar w:fldCharType="begin"/>
            </w:r>
            <w:r>
              <w:rPr>
                <w:noProof/>
                <w:webHidden/>
              </w:rPr>
              <w:instrText xml:space="preserve"> PAGEREF _Toc217953878 \h </w:instrText>
            </w:r>
            <w:r>
              <w:rPr>
                <w:noProof/>
                <w:webHidden/>
              </w:rPr>
            </w:r>
            <w:r>
              <w:rPr>
                <w:noProof/>
                <w:webHidden/>
              </w:rPr>
              <w:fldChar w:fldCharType="separate"/>
            </w:r>
            <w:r>
              <w:rPr>
                <w:noProof/>
                <w:webHidden/>
              </w:rPr>
              <w:t>64</w:t>
            </w:r>
            <w:r>
              <w:rPr>
                <w:noProof/>
                <w:webHidden/>
              </w:rPr>
              <w:fldChar w:fldCharType="end"/>
            </w:r>
          </w:hyperlink>
        </w:p>
        <w:p w14:paraId="5DB34DAE" w14:textId="5BD6D628" w:rsidR="00CC43B9" w:rsidRDefault="00CC43B9">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7953879" w:history="1">
            <w:r w:rsidRPr="00056B53">
              <w:rPr>
                <w:rStyle w:val="Hyperlink"/>
                <w:noProof/>
              </w:rPr>
              <w:t>5</w:t>
            </w:r>
            <w:r>
              <w:rPr>
                <w:rFonts w:asciiTheme="minorHAnsi" w:hAnsiTheme="minorHAnsi" w:cstheme="minorBidi"/>
                <w:noProof/>
                <w:kern w:val="2"/>
                <w:szCs w:val="30"/>
                <w:lang w:eastAsia="zh-CN" w:bidi="bn-IN"/>
                <w14:ligatures w14:val="standardContextual"/>
              </w:rPr>
              <w:tab/>
            </w:r>
            <w:r w:rsidRPr="00056B53">
              <w:rPr>
                <w:rStyle w:val="Hyperlink"/>
                <w:noProof/>
              </w:rPr>
              <w:t>CHAPTER 5: CONCLUSIONS AND RECOMMENDATIONS</w:t>
            </w:r>
            <w:r>
              <w:rPr>
                <w:noProof/>
                <w:webHidden/>
              </w:rPr>
              <w:tab/>
            </w:r>
            <w:r>
              <w:rPr>
                <w:noProof/>
                <w:webHidden/>
              </w:rPr>
              <w:fldChar w:fldCharType="begin"/>
            </w:r>
            <w:r>
              <w:rPr>
                <w:noProof/>
                <w:webHidden/>
              </w:rPr>
              <w:instrText xml:space="preserve"> PAGEREF _Toc217953879 \h </w:instrText>
            </w:r>
            <w:r>
              <w:rPr>
                <w:noProof/>
                <w:webHidden/>
              </w:rPr>
            </w:r>
            <w:r>
              <w:rPr>
                <w:noProof/>
                <w:webHidden/>
              </w:rPr>
              <w:fldChar w:fldCharType="separate"/>
            </w:r>
            <w:r>
              <w:rPr>
                <w:noProof/>
                <w:webHidden/>
              </w:rPr>
              <w:t>66</w:t>
            </w:r>
            <w:r>
              <w:rPr>
                <w:noProof/>
                <w:webHidden/>
              </w:rPr>
              <w:fldChar w:fldCharType="end"/>
            </w:r>
          </w:hyperlink>
        </w:p>
        <w:p w14:paraId="42B7FF3A" w14:textId="2078979F"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80" w:history="1">
            <w:r w:rsidRPr="00056B53">
              <w:rPr>
                <w:rStyle w:val="Hyperlink"/>
                <w:noProof/>
              </w:rPr>
              <w:t>5.1</w:t>
            </w:r>
            <w:r>
              <w:rPr>
                <w:rFonts w:asciiTheme="minorHAnsi" w:hAnsiTheme="minorHAnsi" w:cstheme="minorBidi"/>
                <w:noProof/>
                <w:kern w:val="2"/>
                <w:szCs w:val="30"/>
                <w:lang w:eastAsia="zh-CN" w:bidi="bn-IN"/>
                <w14:ligatures w14:val="standardContextual"/>
              </w:rPr>
              <w:tab/>
            </w:r>
            <w:r w:rsidRPr="00056B53">
              <w:rPr>
                <w:rStyle w:val="Hyperlink"/>
                <w:noProof/>
              </w:rPr>
              <w:t>Summary of Main Findings</w:t>
            </w:r>
            <w:r>
              <w:rPr>
                <w:noProof/>
                <w:webHidden/>
              </w:rPr>
              <w:tab/>
            </w:r>
            <w:r>
              <w:rPr>
                <w:noProof/>
                <w:webHidden/>
              </w:rPr>
              <w:fldChar w:fldCharType="begin"/>
            </w:r>
            <w:r>
              <w:rPr>
                <w:noProof/>
                <w:webHidden/>
              </w:rPr>
              <w:instrText xml:space="preserve"> PAGEREF _Toc217953880 \h </w:instrText>
            </w:r>
            <w:r>
              <w:rPr>
                <w:noProof/>
                <w:webHidden/>
              </w:rPr>
            </w:r>
            <w:r>
              <w:rPr>
                <w:noProof/>
                <w:webHidden/>
              </w:rPr>
              <w:fldChar w:fldCharType="separate"/>
            </w:r>
            <w:r>
              <w:rPr>
                <w:noProof/>
                <w:webHidden/>
              </w:rPr>
              <w:t>66</w:t>
            </w:r>
            <w:r>
              <w:rPr>
                <w:noProof/>
                <w:webHidden/>
              </w:rPr>
              <w:fldChar w:fldCharType="end"/>
            </w:r>
          </w:hyperlink>
        </w:p>
        <w:p w14:paraId="27C726F1" w14:textId="17C733B3"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81" w:history="1">
            <w:r w:rsidRPr="00056B53">
              <w:rPr>
                <w:rStyle w:val="Hyperlink"/>
                <w:noProof/>
              </w:rPr>
              <w:t>5.2</w:t>
            </w:r>
            <w:r>
              <w:rPr>
                <w:rFonts w:asciiTheme="minorHAnsi" w:hAnsiTheme="minorHAnsi" w:cstheme="minorBidi"/>
                <w:noProof/>
                <w:kern w:val="2"/>
                <w:szCs w:val="30"/>
                <w:lang w:eastAsia="zh-CN" w:bidi="bn-IN"/>
                <w14:ligatures w14:val="standardContextual"/>
              </w:rPr>
              <w:tab/>
            </w:r>
            <w:r w:rsidRPr="00056B53">
              <w:rPr>
                <w:rStyle w:val="Hyperlink"/>
                <w:noProof/>
              </w:rPr>
              <w:t>Conclusion Based on the Research Questions</w:t>
            </w:r>
            <w:r>
              <w:rPr>
                <w:noProof/>
                <w:webHidden/>
              </w:rPr>
              <w:tab/>
            </w:r>
            <w:r>
              <w:rPr>
                <w:noProof/>
                <w:webHidden/>
              </w:rPr>
              <w:fldChar w:fldCharType="begin"/>
            </w:r>
            <w:r>
              <w:rPr>
                <w:noProof/>
                <w:webHidden/>
              </w:rPr>
              <w:instrText xml:space="preserve"> PAGEREF _Toc217953881 \h </w:instrText>
            </w:r>
            <w:r>
              <w:rPr>
                <w:noProof/>
                <w:webHidden/>
              </w:rPr>
            </w:r>
            <w:r>
              <w:rPr>
                <w:noProof/>
                <w:webHidden/>
              </w:rPr>
              <w:fldChar w:fldCharType="separate"/>
            </w:r>
            <w:r>
              <w:rPr>
                <w:noProof/>
                <w:webHidden/>
              </w:rPr>
              <w:t>66</w:t>
            </w:r>
            <w:r>
              <w:rPr>
                <w:noProof/>
                <w:webHidden/>
              </w:rPr>
              <w:fldChar w:fldCharType="end"/>
            </w:r>
          </w:hyperlink>
        </w:p>
        <w:p w14:paraId="1E2DC159" w14:textId="1FA47D15"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82" w:history="1">
            <w:r w:rsidRPr="00056B53">
              <w:rPr>
                <w:rStyle w:val="Hyperlink"/>
                <w:noProof/>
              </w:rPr>
              <w:t>5.3</w:t>
            </w:r>
            <w:r>
              <w:rPr>
                <w:rFonts w:asciiTheme="minorHAnsi" w:hAnsiTheme="minorHAnsi" w:cstheme="minorBidi"/>
                <w:noProof/>
                <w:kern w:val="2"/>
                <w:szCs w:val="30"/>
                <w:lang w:eastAsia="zh-CN" w:bidi="bn-IN"/>
                <w14:ligatures w14:val="standardContextual"/>
              </w:rPr>
              <w:tab/>
            </w:r>
            <w:r w:rsidRPr="00056B53">
              <w:rPr>
                <w:rStyle w:val="Hyperlink"/>
                <w:noProof/>
              </w:rPr>
              <w:t>Recommendations (Practical and Theoretical)</w:t>
            </w:r>
            <w:r>
              <w:rPr>
                <w:noProof/>
                <w:webHidden/>
              </w:rPr>
              <w:tab/>
            </w:r>
            <w:r>
              <w:rPr>
                <w:noProof/>
                <w:webHidden/>
              </w:rPr>
              <w:fldChar w:fldCharType="begin"/>
            </w:r>
            <w:r>
              <w:rPr>
                <w:noProof/>
                <w:webHidden/>
              </w:rPr>
              <w:instrText xml:space="preserve"> PAGEREF _Toc217953882 \h </w:instrText>
            </w:r>
            <w:r>
              <w:rPr>
                <w:noProof/>
                <w:webHidden/>
              </w:rPr>
            </w:r>
            <w:r>
              <w:rPr>
                <w:noProof/>
                <w:webHidden/>
              </w:rPr>
              <w:fldChar w:fldCharType="separate"/>
            </w:r>
            <w:r>
              <w:rPr>
                <w:noProof/>
                <w:webHidden/>
              </w:rPr>
              <w:t>67</w:t>
            </w:r>
            <w:r>
              <w:rPr>
                <w:noProof/>
                <w:webHidden/>
              </w:rPr>
              <w:fldChar w:fldCharType="end"/>
            </w:r>
          </w:hyperlink>
        </w:p>
        <w:p w14:paraId="5C5F25FB" w14:textId="552A3AF9"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83" w:history="1">
            <w:r w:rsidRPr="00056B53">
              <w:rPr>
                <w:rStyle w:val="Hyperlink"/>
                <w:noProof/>
              </w:rPr>
              <w:t>5.4</w:t>
            </w:r>
            <w:r>
              <w:rPr>
                <w:rFonts w:asciiTheme="minorHAnsi" w:hAnsiTheme="minorHAnsi" w:cstheme="minorBidi"/>
                <w:noProof/>
                <w:kern w:val="2"/>
                <w:szCs w:val="30"/>
                <w:lang w:eastAsia="zh-CN" w:bidi="bn-IN"/>
                <w14:ligatures w14:val="standardContextual"/>
              </w:rPr>
              <w:tab/>
            </w:r>
            <w:r w:rsidRPr="00056B53">
              <w:rPr>
                <w:rStyle w:val="Hyperlink"/>
                <w:noProof/>
              </w:rPr>
              <w:t>Limitations of Research</w:t>
            </w:r>
            <w:r>
              <w:rPr>
                <w:noProof/>
                <w:webHidden/>
              </w:rPr>
              <w:tab/>
            </w:r>
            <w:r>
              <w:rPr>
                <w:noProof/>
                <w:webHidden/>
              </w:rPr>
              <w:fldChar w:fldCharType="begin"/>
            </w:r>
            <w:r>
              <w:rPr>
                <w:noProof/>
                <w:webHidden/>
              </w:rPr>
              <w:instrText xml:space="preserve"> PAGEREF _Toc217953883 \h </w:instrText>
            </w:r>
            <w:r>
              <w:rPr>
                <w:noProof/>
                <w:webHidden/>
              </w:rPr>
            </w:r>
            <w:r>
              <w:rPr>
                <w:noProof/>
                <w:webHidden/>
              </w:rPr>
              <w:fldChar w:fldCharType="separate"/>
            </w:r>
            <w:r>
              <w:rPr>
                <w:noProof/>
                <w:webHidden/>
              </w:rPr>
              <w:t>68</w:t>
            </w:r>
            <w:r>
              <w:rPr>
                <w:noProof/>
                <w:webHidden/>
              </w:rPr>
              <w:fldChar w:fldCharType="end"/>
            </w:r>
          </w:hyperlink>
        </w:p>
        <w:p w14:paraId="4941064B" w14:textId="3EE328A7"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84" w:history="1">
            <w:r w:rsidRPr="00056B53">
              <w:rPr>
                <w:rStyle w:val="Hyperlink"/>
                <w:noProof/>
              </w:rPr>
              <w:t>5.5</w:t>
            </w:r>
            <w:r>
              <w:rPr>
                <w:rFonts w:asciiTheme="minorHAnsi" w:hAnsiTheme="minorHAnsi" w:cstheme="minorBidi"/>
                <w:noProof/>
                <w:kern w:val="2"/>
                <w:szCs w:val="30"/>
                <w:lang w:eastAsia="zh-CN" w:bidi="bn-IN"/>
                <w14:ligatures w14:val="standardContextual"/>
              </w:rPr>
              <w:tab/>
            </w:r>
            <w:r w:rsidRPr="00056B53">
              <w:rPr>
                <w:rStyle w:val="Hyperlink"/>
                <w:noProof/>
              </w:rPr>
              <w:t>Recommendations for Future Work</w:t>
            </w:r>
            <w:r>
              <w:rPr>
                <w:noProof/>
                <w:webHidden/>
              </w:rPr>
              <w:tab/>
            </w:r>
            <w:r>
              <w:rPr>
                <w:noProof/>
                <w:webHidden/>
              </w:rPr>
              <w:fldChar w:fldCharType="begin"/>
            </w:r>
            <w:r>
              <w:rPr>
                <w:noProof/>
                <w:webHidden/>
              </w:rPr>
              <w:instrText xml:space="preserve"> PAGEREF _Toc217953884 \h </w:instrText>
            </w:r>
            <w:r>
              <w:rPr>
                <w:noProof/>
                <w:webHidden/>
              </w:rPr>
            </w:r>
            <w:r>
              <w:rPr>
                <w:noProof/>
                <w:webHidden/>
              </w:rPr>
              <w:fldChar w:fldCharType="separate"/>
            </w:r>
            <w:r>
              <w:rPr>
                <w:noProof/>
                <w:webHidden/>
              </w:rPr>
              <w:t>68</w:t>
            </w:r>
            <w:r>
              <w:rPr>
                <w:noProof/>
                <w:webHidden/>
              </w:rPr>
              <w:fldChar w:fldCharType="end"/>
            </w:r>
          </w:hyperlink>
        </w:p>
        <w:p w14:paraId="5E9B4B9A" w14:textId="04A8ED88" w:rsidR="00CC43B9" w:rsidRDefault="00CC43B9">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7953885" w:history="1">
            <w:r w:rsidRPr="00056B53">
              <w:rPr>
                <w:rStyle w:val="Hyperlink"/>
                <w:noProof/>
              </w:rPr>
              <w:t>6</w:t>
            </w:r>
            <w:r>
              <w:rPr>
                <w:rFonts w:asciiTheme="minorHAnsi" w:hAnsiTheme="minorHAnsi" w:cstheme="minorBidi"/>
                <w:noProof/>
                <w:kern w:val="2"/>
                <w:szCs w:val="30"/>
                <w:lang w:eastAsia="zh-CN" w:bidi="bn-IN"/>
                <w14:ligatures w14:val="standardContextual"/>
              </w:rPr>
              <w:tab/>
            </w:r>
            <w:r w:rsidRPr="00056B53">
              <w:rPr>
                <w:rStyle w:val="Hyperlink"/>
                <w:noProof/>
              </w:rPr>
              <w:t>REFERENCES</w:t>
            </w:r>
            <w:r>
              <w:rPr>
                <w:noProof/>
                <w:webHidden/>
              </w:rPr>
              <w:tab/>
            </w:r>
            <w:r>
              <w:rPr>
                <w:noProof/>
                <w:webHidden/>
              </w:rPr>
              <w:fldChar w:fldCharType="begin"/>
            </w:r>
            <w:r>
              <w:rPr>
                <w:noProof/>
                <w:webHidden/>
              </w:rPr>
              <w:instrText xml:space="preserve"> PAGEREF _Toc217953885 \h </w:instrText>
            </w:r>
            <w:r>
              <w:rPr>
                <w:noProof/>
                <w:webHidden/>
              </w:rPr>
            </w:r>
            <w:r>
              <w:rPr>
                <w:noProof/>
                <w:webHidden/>
              </w:rPr>
              <w:fldChar w:fldCharType="separate"/>
            </w:r>
            <w:r>
              <w:rPr>
                <w:noProof/>
                <w:webHidden/>
              </w:rPr>
              <w:t>69</w:t>
            </w:r>
            <w:r>
              <w:rPr>
                <w:noProof/>
                <w:webHidden/>
              </w:rPr>
              <w:fldChar w:fldCharType="end"/>
            </w:r>
          </w:hyperlink>
        </w:p>
        <w:p w14:paraId="06B0436B" w14:textId="10FFB1B3" w:rsidR="00CC43B9" w:rsidRDefault="00CC43B9">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7953886" w:history="1">
            <w:r w:rsidRPr="00056B53">
              <w:rPr>
                <w:rStyle w:val="Hyperlink"/>
                <w:noProof/>
              </w:rPr>
              <w:t>7</w:t>
            </w:r>
            <w:r>
              <w:rPr>
                <w:rFonts w:asciiTheme="minorHAnsi" w:hAnsiTheme="minorHAnsi" w:cstheme="minorBidi"/>
                <w:noProof/>
                <w:kern w:val="2"/>
                <w:szCs w:val="30"/>
                <w:lang w:eastAsia="zh-CN" w:bidi="bn-IN"/>
                <w14:ligatures w14:val="standardContextual"/>
              </w:rPr>
              <w:tab/>
            </w:r>
            <w:r w:rsidRPr="00056B53">
              <w:rPr>
                <w:rStyle w:val="Hyperlink"/>
                <w:noProof/>
              </w:rPr>
              <w:t>Appendices</w:t>
            </w:r>
            <w:r>
              <w:rPr>
                <w:noProof/>
                <w:webHidden/>
              </w:rPr>
              <w:tab/>
            </w:r>
            <w:r>
              <w:rPr>
                <w:noProof/>
                <w:webHidden/>
              </w:rPr>
              <w:fldChar w:fldCharType="begin"/>
            </w:r>
            <w:r>
              <w:rPr>
                <w:noProof/>
                <w:webHidden/>
              </w:rPr>
              <w:instrText xml:space="preserve"> PAGEREF _Toc217953886 \h </w:instrText>
            </w:r>
            <w:r>
              <w:rPr>
                <w:noProof/>
                <w:webHidden/>
              </w:rPr>
            </w:r>
            <w:r>
              <w:rPr>
                <w:noProof/>
                <w:webHidden/>
              </w:rPr>
              <w:fldChar w:fldCharType="separate"/>
            </w:r>
            <w:r>
              <w:rPr>
                <w:noProof/>
                <w:webHidden/>
              </w:rPr>
              <w:t>78</w:t>
            </w:r>
            <w:r>
              <w:rPr>
                <w:noProof/>
                <w:webHidden/>
              </w:rPr>
              <w:fldChar w:fldCharType="end"/>
            </w:r>
          </w:hyperlink>
        </w:p>
        <w:p w14:paraId="331705A3" w14:textId="061C1307"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87" w:history="1">
            <w:r w:rsidRPr="00056B53">
              <w:rPr>
                <w:rStyle w:val="Hyperlink"/>
                <w:noProof/>
                <w:lang w:eastAsia="zh-CN"/>
              </w:rPr>
              <w:t>7.1</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 xml:space="preserve">Appendix 1: </w:t>
            </w:r>
            <w:r w:rsidRPr="00056B53">
              <w:rPr>
                <w:rStyle w:val="Hyperlink"/>
                <w:noProof/>
              </w:rPr>
              <w:t>Scopus</w:t>
            </w:r>
            <w:r w:rsidRPr="00056B53">
              <w:rPr>
                <w:rStyle w:val="Hyperlink"/>
                <w:noProof/>
                <w:lang w:eastAsia="zh-CN"/>
              </w:rPr>
              <w:t xml:space="preserve"> Search Strings, Applied Filters, and Results</w:t>
            </w:r>
            <w:r>
              <w:rPr>
                <w:noProof/>
                <w:webHidden/>
              </w:rPr>
              <w:tab/>
            </w:r>
            <w:r>
              <w:rPr>
                <w:noProof/>
                <w:webHidden/>
              </w:rPr>
              <w:fldChar w:fldCharType="begin"/>
            </w:r>
            <w:r>
              <w:rPr>
                <w:noProof/>
                <w:webHidden/>
              </w:rPr>
              <w:instrText xml:space="preserve"> PAGEREF _Toc217953887 \h </w:instrText>
            </w:r>
            <w:r>
              <w:rPr>
                <w:noProof/>
                <w:webHidden/>
              </w:rPr>
            </w:r>
            <w:r>
              <w:rPr>
                <w:noProof/>
                <w:webHidden/>
              </w:rPr>
              <w:fldChar w:fldCharType="separate"/>
            </w:r>
            <w:r>
              <w:rPr>
                <w:noProof/>
                <w:webHidden/>
              </w:rPr>
              <w:t>78</w:t>
            </w:r>
            <w:r>
              <w:rPr>
                <w:noProof/>
                <w:webHidden/>
              </w:rPr>
              <w:fldChar w:fldCharType="end"/>
            </w:r>
          </w:hyperlink>
        </w:p>
        <w:p w14:paraId="154006AC" w14:textId="2C6D5EB0" w:rsidR="00CC43B9" w:rsidRDefault="00CC43B9">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7953888" w:history="1">
            <w:r w:rsidRPr="00056B53">
              <w:rPr>
                <w:rStyle w:val="Hyperlink"/>
                <w:noProof/>
              </w:rPr>
              <w:t>7.2</w:t>
            </w:r>
            <w:r>
              <w:rPr>
                <w:rFonts w:asciiTheme="minorHAnsi" w:hAnsiTheme="minorHAnsi" w:cstheme="minorBidi"/>
                <w:noProof/>
                <w:kern w:val="2"/>
                <w:szCs w:val="30"/>
                <w:lang w:eastAsia="zh-CN" w:bidi="bn-IN"/>
                <w14:ligatures w14:val="standardContextual"/>
              </w:rPr>
              <w:tab/>
            </w:r>
            <w:r w:rsidRPr="00056B53">
              <w:rPr>
                <w:rStyle w:val="Hyperlink"/>
                <w:noProof/>
                <w:lang w:eastAsia="zh-CN"/>
              </w:rPr>
              <w:t xml:space="preserve">Appendix 2: </w:t>
            </w:r>
            <w:r w:rsidRPr="00056B53">
              <w:rPr>
                <w:rStyle w:val="Hyperlink"/>
                <w:noProof/>
              </w:rPr>
              <w:t>Quality Assessment of Included Studies Using CASP</w:t>
            </w:r>
            <w:r>
              <w:rPr>
                <w:noProof/>
                <w:webHidden/>
              </w:rPr>
              <w:tab/>
            </w:r>
            <w:r>
              <w:rPr>
                <w:noProof/>
                <w:webHidden/>
              </w:rPr>
              <w:fldChar w:fldCharType="begin"/>
            </w:r>
            <w:r>
              <w:rPr>
                <w:noProof/>
                <w:webHidden/>
              </w:rPr>
              <w:instrText xml:space="preserve"> PAGEREF _Toc217953888 \h </w:instrText>
            </w:r>
            <w:r>
              <w:rPr>
                <w:noProof/>
                <w:webHidden/>
              </w:rPr>
            </w:r>
            <w:r>
              <w:rPr>
                <w:noProof/>
                <w:webHidden/>
              </w:rPr>
              <w:fldChar w:fldCharType="separate"/>
            </w:r>
            <w:r>
              <w:rPr>
                <w:noProof/>
                <w:webHidden/>
              </w:rPr>
              <w:t>79</w:t>
            </w:r>
            <w:r>
              <w:rPr>
                <w:noProof/>
                <w:webHidden/>
              </w:rPr>
              <w:fldChar w:fldCharType="end"/>
            </w:r>
          </w:hyperlink>
        </w:p>
        <w:p w14:paraId="4F66C24B" w14:textId="544CC0C3" w:rsidR="008C5097" w:rsidRDefault="008C5097">
          <w:r>
            <w:rPr>
              <w:b/>
              <w:bCs/>
              <w:noProof/>
            </w:rPr>
            <w:fldChar w:fldCharType="end"/>
          </w:r>
        </w:p>
      </w:sdtContent>
    </w:sdt>
    <w:p w14:paraId="1F8C7AD1" w14:textId="5393335C" w:rsidR="00391EB6" w:rsidRPr="008C5097" w:rsidRDefault="00391EB6" w:rsidP="008C5097"/>
    <w:p w14:paraId="56A7FDB1" w14:textId="77777777" w:rsidR="008C5097" w:rsidRDefault="008C5097">
      <w:r>
        <w:br w:type="page"/>
      </w:r>
    </w:p>
    <w:p w14:paraId="6B5059A6" w14:textId="270A7144" w:rsidR="00391EB6" w:rsidRDefault="00391EB6" w:rsidP="00F21071">
      <w:pPr>
        <w:pStyle w:val="Heading1"/>
        <w:numPr>
          <w:ilvl w:val="0"/>
          <w:numId w:val="0"/>
        </w:numPr>
        <w:ind w:left="432" w:hanging="432"/>
        <w:jc w:val="both"/>
      </w:pPr>
      <w:bookmarkStart w:id="2" w:name="_Toc217953831"/>
      <w:r w:rsidRPr="008C5097">
        <w:lastRenderedPageBreak/>
        <w:t>Contents of Figures</w:t>
      </w:r>
      <w:bookmarkEnd w:id="2"/>
      <w:r w:rsidRPr="008C5097">
        <w:t xml:space="preserve"> </w:t>
      </w:r>
    </w:p>
    <w:p w14:paraId="11BE005F" w14:textId="0D8FBB92" w:rsidR="000C3A4F" w:rsidRDefault="000C3A4F">
      <w:pPr>
        <w:pStyle w:val="TableofFigures"/>
        <w:tabs>
          <w:tab w:val="right" w:leader="dot" w:pos="9016"/>
        </w:tabs>
        <w:rPr>
          <w:rFonts w:asciiTheme="minorHAnsi" w:hAnsiTheme="minorHAnsi"/>
          <w:noProof/>
          <w:kern w:val="2"/>
          <w:szCs w:val="30"/>
          <w:lang w:val="en-US" w:eastAsia="zh-CN" w:bidi="bn-IN"/>
          <w14:ligatures w14:val="standardContextual"/>
        </w:rPr>
      </w:pPr>
      <w:r>
        <w:fldChar w:fldCharType="begin"/>
      </w:r>
      <w:r>
        <w:instrText xml:space="preserve"> TOC \h \z \c "Figure" </w:instrText>
      </w:r>
      <w:r>
        <w:fldChar w:fldCharType="separate"/>
      </w:r>
      <w:hyperlink w:anchor="_Toc217953734" w:history="1">
        <w:r w:rsidRPr="00753008">
          <w:rPr>
            <w:rStyle w:val="Hyperlink"/>
            <w:noProof/>
          </w:rPr>
          <w:t>Figure 1 Global EGS Adoption Levels (Ground, 2022)</w:t>
        </w:r>
        <w:r>
          <w:rPr>
            <w:noProof/>
            <w:webHidden/>
          </w:rPr>
          <w:tab/>
        </w:r>
        <w:r>
          <w:rPr>
            <w:noProof/>
            <w:webHidden/>
          </w:rPr>
          <w:fldChar w:fldCharType="begin"/>
        </w:r>
        <w:r>
          <w:rPr>
            <w:noProof/>
            <w:webHidden/>
          </w:rPr>
          <w:instrText xml:space="preserve"> PAGEREF _Toc217953734 \h </w:instrText>
        </w:r>
        <w:r>
          <w:rPr>
            <w:noProof/>
            <w:webHidden/>
          </w:rPr>
        </w:r>
        <w:r>
          <w:rPr>
            <w:noProof/>
            <w:webHidden/>
          </w:rPr>
          <w:fldChar w:fldCharType="separate"/>
        </w:r>
        <w:r>
          <w:rPr>
            <w:noProof/>
            <w:webHidden/>
          </w:rPr>
          <w:t>7</w:t>
        </w:r>
        <w:r>
          <w:rPr>
            <w:noProof/>
            <w:webHidden/>
          </w:rPr>
          <w:fldChar w:fldCharType="end"/>
        </w:r>
      </w:hyperlink>
    </w:p>
    <w:p w14:paraId="41210125" w14:textId="3901DE4D" w:rsidR="000C3A4F" w:rsidRDefault="000C3A4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3735" w:history="1">
        <w:r w:rsidRPr="00753008">
          <w:rPr>
            <w:rStyle w:val="Hyperlink"/>
            <w:noProof/>
          </w:rPr>
          <w:t xml:space="preserve">Figure 2 </w:t>
        </w:r>
        <w:r w:rsidRPr="00753008">
          <w:rPr>
            <w:rStyle w:val="Hyperlink"/>
            <w:noProof/>
            <w:lang w:val="en-US" w:eastAsia="zh-CN"/>
          </w:rPr>
          <w:t>Three-pillar model of sustainability (Elkington, 1998)</w:t>
        </w:r>
        <w:r>
          <w:rPr>
            <w:noProof/>
            <w:webHidden/>
          </w:rPr>
          <w:tab/>
        </w:r>
        <w:r>
          <w:rPr>
            <w:noProof/>
            <w:webHidden/>
          </w:rPr>
          <w:fldChar w:fldCharType="begin"/>
        </w:r>
        <w:r>
          <w:rPr>
            <w:noProof/>
            <w:webHidden/>
          </w:rPr>
          <w:instrText xml:space="preserve"> PAGEREF _Toc217953735 \h </w:instrText>
        </w:r>
        <w:r>
          <w:rPr>
            <w:noProof/>
            <w:webHidden/>
          </w:rPr>
        </w:r>
        <w:r>
          <w:rPr>
            <w:noProof/>
            <w:webHidden/>
          </w:rPr>
          <w:fldChar w:fldCharType="separate"/>
        </w:r>
        <w:r>
          <w:rPr>
            <w:noProof/>
            <w:webHidden/>
          </w:rPr>
          <w:t>14</w:t>
        </w:r>
        <w:r>
          <w:rPr>
            <w:noProof/>
            <w:webHidden/>
          </w:rPr>
          <w:fldChar w:fldCharType="end"/>
        </w:r>
      </w:hyperlink>
    </w:p>
    <w:p w14:paraId="2A35D0F8" w14:textId="3D6BE737" w:rsidR="000C3A4F" w:rsidRDefault="000C3A4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3736" w:history="1">
        <w:r w:rsidRPr="00753008">
          <w:rPr>
            <w:rStyle w:val="Hyperlink"/>
            <w:noProof/>
          </w:rPr>
          <w:t xml:space="preserve">Figure 3 </w:t>
        </w:r>
        <w:r w:rsidRPr="00753008">
          <w:rPr>
            <w:rStyle w:val="Hyperlink"/>
            <w:noProof/>
            <w:lang w:val="en-US" w:eastAsia="zh-CN"/>
          </w:rPr>
          <w:t xml:space="preserve">Carroll’s four-step CSR pyramid (Dathe </w:t>
        </w:r>
        <w:r w:rsidR="00642FAE" w:rsidRPr="00642FAE">
          <w:rPr>
            <w:rStyle w:val="Hyperlink"/>
            <w:i/>
            <w:iCs/>
            <w:noProof/>
            <w:lang w:val="en-US" w:eastAsia="zh-CN"/>
          </w:rPr>
          <w:t>et al</w:t>
        </w:r>
        <w:r w:rsidRPr="00753008">
          <w:rPr>
            <w:rStyle w:val="Hyperlink"/>
            <w:iCs/>
            <w:noProof/>
            <w:lang w:val="en-US" w:eastAsia="zh-CN"/>
          </w:rPr>
          <w:t>.</w:t>
        </w:r>
        <w:r w:rsidRPr="00753008">
          <w:rPr>
            <w:rStyle w:val="Hyperlink"/>
            <w:noProof/>
            <w:lang w:val="en-US" w:eastAsia="zh-CN"/>
          </w:rPr>
          <w:t>, 2024)</w:t>
        </w:r>
        <w:r>
          <w:rPr>
            <w:noProof/>
            <w:webHidden/>
          </w:rPr>
          <w:tab/>
        </w:r>
        <w:r>
          <w:rPr>
            <w:noProof/>
            <w:webHidden/>
          </w:rPr>
          <w:fldChar w:fldCharType="begin"/>
        </w:r>
        <w:r>
          <w:rPr>
            <w:noProof/>
            <w:webHidden/>
          </w:rPr>
          <w:instrText xml:space="preserve"> PAGEREF _Toc217953736 \h </w:instrText>
        </w:r>
        <w:r>
          <w:rPr>
            <w:noProof/>
            <w:webHidden/>
          </w:rPr>
        </w:r>
        <w:r>
          <w:rPr>
            <w:noProof/>
            <w:webHidden/>
          </w:rPr>
          <w:fldChar w:fldCharType="separate"/>
        </w:r>
        <w:r>
          <w:rPr>
            <w:noProof/>
            <w:webHidden/>
          </w:rPr>
          <w:t>15</w:t>
        </w:r>
        <w:r>
          <w:rPr>
            <w:noProof/>
            <w:webHidden/>
          </w:rPr>
          <w:fldChar w:fldCharType="end"/>
        </w:r>
      </w:hyperlink>
    </w:p>
    <w:p w14:paraId="6D9E7C7A" w14:textId="2CC251FB" w:rsidR="000C3A4F" w:rsidRDefault="000C3A4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3737" w:history="1">
        <w:r w:rsidRPr="00753008">
          <w:rPr>
            <w:rStyle w:val="Hyperlink"/>
            <w:noProof/>
          </w:rPr>
          <w:t xml:space="preserve">Figure 4 </w:t>
        </w:r>
        <w:r w:rsidRPr="00753008">
          <w:rPr>
            <w:rStyle w:val="Hyperlink"/>
            <w:noProof/>
            <w:lang w:val="en-US" w:eastAsia="zh-CN"/>
          </w:rPr>
          <w:t>The Sustainable Development Goals (SDGs) (United Nations, 2015)</w:t>
        </w:r>
        <w:r>
          <w:rPr>
            <w:noProof/>
            <w:webHidden/>
          </w:rPr>
          <w:tab/>
        </w:r>
        <w:r>
          <w:rPr>
            <w:noProof/>
            <w:webHidden/>
          </w:rPr>
          <w:fldChar w:fldCharType="begin"/>
        </w:r>
        <w:r>
          <w:rPr>
            <w:noProof/>
            <w:webHidden/>
          </w:rPr>
          <w:instrText xml:space="preserve"> PAGEREF _Toc217953737 \h </w:instrText>
        </w:r>
        <w:r>
          <w:rPr>
            <w:noProof/>
            <w:webHidden/>
          </w:rPr>
        </w:r>
        <w:r>
          <w:rPr>
            <w:noProof/>
            <w:webHidden/>
          </w:rPr>
          <w:fldChar w:fldCharType="separate"/>
        </w:r>
        <w:r>
          <w:rPr>
            <w:noProof/>
            <w:webHidden/>
          </w:rPr>
          <w:t>16</w:t>
        </w:r>
        <w:r>
          <w:rPr>
            <w:noProof/>
            <w:webHidden/>
          </w:rPr>
          <w:fldChar w:fldCharType="end"/>
        </w:r>
      </w:hyperlink>
    </w:p>
    <w:p w14:paraId="741A51F9" w14:textId="01A84029" w:rsidR="000C3A4F" w:rsidRDefault="000C3A4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3738" w:history="1">
        <w:r w:rsidRPr="00753008">
          <w:rPr>
            <w:rStyle w:val="Hyperlink"/>
            <w:noProof/>
          </w:rPr>
          <w:t>Figure 5 Conceptual Framework of the Drivers, Barriers and Impact of ESG Adoption in the Automotive Industry (Adapted from the Literature Review)</w:t>
        </w:r>
        <w:r>
          <w:rPr>
            <w:noProof/>
            <w:webHidden/>
          </w:rPr>
          <w:tab/>
        </w:r>
        <w:r>
          <w:rPr>
            <w:noProof/>
            <w:webHidden/>
          </w:rPr>
          <w:fldChar w:fldCharType="begin"/>
        </w:r>
        <w:r>
          <w:rPr>
            <w:noProof/>
            <w:webHidden/>
          </w:rPr>
          <w:instrText xml:space="preserve"> PAGEREF _Toc217953738 \h </w:instrText>
        </w:r>
        <w:r>
          <w:rPr>
            <w:noProof/>
            <w:webHidden/>
          </w:rPr>
        </w:r>
        <w:r>
          <w:rPr>
            <w:noProof/>
            <w:webHidden/>
          </w:rPr>
          <w:fldChar w:fldCharType="separate"/>
        </w:r>
        <w:r>
          <w:rPr>
            <w:noProof/>
            <w:webHidden/>
          </w:rPr>
          <w:t>25</w:t>
        </w:r>
        <w:r>
          <w:rPr>
            <w:noProof/>
            <w:webHidden/>
          </w:rPr>
          <w:fldChar w:fldCharType="end"/>
        </w:r>
      </w:hyperlink>
    </w:p>
    <w:p w14:paraId="30C7AED3" w14:textId="00862FE3" w:rsidR="000C3A4F" w:rsidRDefault="000C3A4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3739" w:history="1">
        <w:r w:rsidRPr="00753008">
          <w:rPr>
            <w:rStyle w:val="Hyperlink"/>
            <w:noProof/>
          </w:rPr>
          <w:t>Figure 6 PRISMA Flow Diagram of the Article Selection (Author)</w:t>
        </w:r>
        <w:r>
          <w:rPr>
            <w:noProof/>
            <w:webHidden/>
          </w:rPr>
          <w:tab/>
        </w:r>
        <w:r>
          <w:rPr>
            <w:noProof/>
            <w:webHidden/>
          </w:rPr>
          <w:fldChar w:fldCharType="begin"/>
        </w:r>
        <w:r>
          <w:rPr>
            <w:noProof/>
            <w:webHidden/>
          </w:rPr>
          <w:instrText xml:space="preserve"> PAGEREF _Toc217953739 \h </w:instrText>
        </w:r>
        <w:r>
          <w:rPr>
            <w:noProof/>
            <w:webHidden/>
          </w:rPr>
        </w:r>
        <w:r>
          <w:rPr>
            <w:noProof/>
            <w:webHidden/>
          </w:rPr>
          <w:fldChar w:fldCharType="separate"/>
        </w:r>
        <w:r>
          <w:rPr>
            <w:noProof/>
            <w:webHidden/>
          </w:rPr>
          <w:t>33</w:t>
        </w:r>
        <w:r>
          <w:rPr>
            <w:noProof/>
            <w:webHidden/>
          </w:rPr>
          <w:fldChar w:fldCharType="end"/>
        </w:r>
      </w:hyperlink>
    </w:p>
    <w:p w14:paraId="0944B696" w14:textId="36E7D82B" w:rsidR="000C3A4F" w:rsidRPr="00F21071" w:rsidRDefault="000C3A4F" w:rsidP="00F21071">
      <w:r>
        <w:fldChar w:fldCharType="end"/>
      </w:r>
    </w:p>
    <w:p w14:paraId="048C1837" w14:textId="77777777" w:rsidR="00391EB6" w:rsidRDefault="00391EB6" w:rsidP="00F21071">
      <w:pPr>
        <w:pStyle w:val="Heading1"/>
        <w:numPr>
          <w:ilvl w:val="0"/>
          <w:numId w:val="0"/>
        </w:numPr>
        <w:ind w:left="432" w:hanging="432"/>
        <w:jc w:val="both"/>
      </w:pPr>
      <w:bookmarkStart w:id="3" w:name="_Toc217953832"/>
      <w:r w:rsidRPr="008C5097">
        <w:t>Contents of Tables</w:t>
      </w:r>
      <w:bookmarkEnd w:id="3"/>
    </w:p>
    <w:p w14:paraId="14E8111B" w14:textId="395B1AC7" w:rsidR="00F21071" w:rsidRDefault="00F21071">
      <w:pPr>
        <w:pStyle w:val="TableofFigures"/>
        <w:tabs>
          <w:tab w:val="right" w:leader="dot" w:pos="9016"/>
        </w:tabs>
        <w:rPr>
          <w:rFonts w:asciiTheme="minorHAnsi" w:hAnsiTheme="minorHAnsi"/>
          <w:noProof/>
          <w:kern w:val="2"/>
          <w:szCs w:val="30"/>
          <w:lang w:val="en-US" w:eastAsia="zh-CN" w:bidi="bn-IN"/>
          <w14:ligatures w14:val="standardContextual"/>
        </w:rPr>
      </w:pPr>
      <w:r>
        <w:fldChar w:fldCharType="begin"/>
      </w:r>
      <w:r>
        <w:instrText xml:space="preserve"> TOC \h \z \c "Table" </w:instrText>
      </w:r>
      <w:r>
        <w:fldChar w:fldCharType="separate"/>
      </w:r>
      <w:hyperlink w:anchor="_Toc217952155" w:history="1">
        <w:r w:rsidRPr="00400558">
          <w:rPr>
            <w:rStyle w:val="Hyperlink"/>
            <w:noProof/>
          </w:rPr>
          <w:t>Table 1: Summary of the Included Articles (N = 50)</w:t>
        </w:r>
        <w:r>
          <w:rPr>
            <w:noProof/>
            <w:webHidden/>
          </w:rPr>
          <w:tab/>
        </w:r>
        <w:r>
          <w:rPr>
            <w:noProof/>
            <w:webHidden/>
          </w:rPr>
          <w:fldChar w:fldCharType="begin"/>
        </w:r>
        <w:r>
          <w:rPr>
            <w:noProof/>
            <w:webHidden/>
          </w:rPr>
          <w:instrText xml:space="preserve"> PAGEREF _Toc217952155 \h </w:instrText>
        </w:r>
        <w:r>
          <w:rPr>
            <w:noProof/>
            <w:webHidden/>
          </w:rPr>
        </w:r>
        <w:r>
          <w:rPr>
            <w:noProof/>
            <w:webHidden/>
          </w:rPr>
          <w:fldChar w:fldCharType="separate"/>
        </w:r>
        <w:r>
          <w:rPr>
            <w:noProof/>
            <w:webHidden/>
          </w:rPr>
          <w:t>35</w:t>
        </w:r>
        <w:r>
          <w:rPr>
            <w:noProof/>
            <w:webHidden/>
          </w:rPr>
          <w:fldChar w:fldCharType="end"/>
        </w:r>
      </w:hyperlink>
    </w:p>
    <w:p w14:paraId="25E4FD72" w14:textId="7F46F65B" w:rsidR="00F21071" w:rsidRDefault="00F21071">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2156" w:history="1">
        <w:r w:rsidRPr="00400558">
          <w:rPr>
            <w:rStyle w:val="Hyperlink"/>
            <w:noProof/>
          </w:rPr>
          <w:t>Table 2 Thematic Analysis of the Differences in ESG Practices</w:t>
        </w:r>
        <w:r>
          <w:rPr>
            <w:noProof/>
            <w:webHidden/>
          </w:rPr>
          <w:tab/>
        </w:r>
        <w:r>
          <w:rPr>
            <w:noProof/>
            <w:webHidden/>
          </w:rPr>
          <w:fldChar w:fldCharType="begin"/>
        </w:r>
        <w:r>
          <w:rPr>
            <w:noProof/>
            <w:webHidden/>
          </w:rPr>
          <w:instrText xml:space="preserve"> PAGEREF _Toc217952156 \h </w:instrText>
        </w:r>
        <w:r>
          <w:rPr>
            <w:noProof/>
            <w:webHidden/>
          </w:rPr>
        </w:r>
        <w:r>
          <w:rPr>
            <w:noProof/>
            <w:webHidden/>
          </w:rPr>
          <w:fldChar w:fldCharType="separate"/>
        </w:r>
        <w:r>
          <w:rPr>
            <w:noProof/>
            <w:webHidden/>
          </w:rPr>
          <w:t>48</w:t>
        </w:r>
        <w:r>
          <w:rPr>
            <w:noProof/>
            <w:webHidden/>
          </w:rPr>
          <w:fldChar w:fldCharType="end"/>
        </w:r>
      </w:hyperlink>
    </w:p>
    <w:p w14:paraId="5CDBC093" w14:textId="45C0E846" w:rsidR="00F21071" w:rsidRDefault="00F21071">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2157" w:history="1">
        <w:r w:rsidRPr="00400558">
          <w:rPr>
            <w:rStyle w:val="Hyperlink"/>
            <w:noProof/>
          </w:rPr>
          <w:t>Table 3 Thematic Analysis of Key Drivers Influencing the Adoption and Effectiveness of ESG Practices</w:t>
        </w:r>
        <w:r>
          <w:rPr>
            <w:noProof/>
            <w:webHidden/>
          </w:rPr>
          <w:tab/>
        </w:r>
        <w:r>
          <w:rPr>
            <w:noProof/>
            <w:webHidden/>
          </w:rPr>
          <w:fldChar w:fldCharType="begin"/>
        </w:r>
        <w:r>
          <w:rPr>
            <w:noProof/>
            <w:webHidden/>
          </w:rPr>
          <w:instrText xml:space="preserve"> PAGEREF _Toc217952157 \h </w:instrText>
        </w:r>
        <w:r>
          <w:rPr>
            <w:noProof/>
            <w:webHidden/>
          </w:rPr>
        </w:r>
        <w:r>
          <w:rPr>
            <w:noProof/>
            <w:webHidden/>
          </w:rPr>
          <w:fldChar w:fldCharType="separate"/>
        </w:r>
        <w:r>
          <w:rPr>
            <w:noProof/>
            <w:webHidden/>
          </w:rPr>
          <w:t>52</w:t>
        </w:r>
        <w:r>
          <w:rPr>
            <w:noProof/>
            <w:webHidden/>
          </w:rPr>
          <w:fldChar w:fldCharType="end"/>
        </w:r>
      </w:hyperlink>
    </w:p>
    <w:p w14:paraId="7577B026" w14:textId="3267BE29" w:rsidR="00F21071" w:rsidRDefault="00F21071">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2158" w:history="1">
        <w:r w:rsidRPr="00400558">
          <w:rPr>
            <w:rStyle w:val="Hyperlink"/>
            <w:noProof/>
          </w:rPr>
          <w:t xml:space="preserve">Table 4 Thematic Analysis of the </w:t>
        </w:r>
        <w:r w:rsidRPr="00400558">
          <w:rPr>
            <w:rStyle w:val="Hyperlink"/>
            <w:noProof/>
            <w:lang w:eastAsia="zh-CN"/>
          </w:rPr>
          <w:t>Key Barriers Influencing the Adoption and Effectiveness of ESG Practices</w:t>
        </w:r>
        <w:r>
          <w:rPr>
            <w:noProof/>
            <w:webHidden/>
          </w:rPr>
          <w:tab/>
        </w:r>
        <w:r>
          <w:rPr>
            <w:noProof/>
            <w:webHidden/>
          </w:rPr>
          <w:fldChar w:fldCharType="begin"/>
        </w:r>
        <w:r>
          <w:rPr>
            <w:noProof/>
            <w:webHidden/>
          </w:rPr>
          <w:instrText xml:space="preserve"> PAGEREF _Toc217952158 \h </w:instrText>
        </w:r>
        <w:r>
          <w:rPr>
            <w:noProof/>
            <w:webHidden/>
          </w:rPr>
        </w:r>
        <w:r>
          <w:rPr>
            <w:noProof/>
            <w:webHidden/>
          </w:rPr>
          <w:fldChar w:fldCharType="separate"/>
        </w:r>
        <w:r>
          <w:rPr>
            <w:noProof/>
            <w:webHidden/>
          </w:rPr>
          <w:t>55</w:t>
        </w:r>
        <w:r>
          <w:rPr>
            <w:noProof/>
            <w:webHidden/>
          </w:rPr>
          <w:fldChar w:fldCharType="end"/>
        </w:r>
      </w:hyperlink>
    </w:p>
    <w:p w14:paraId="0BAD9F77" w14:textId="2DD1253D" w:rsidR="00F21071" w:rsidRDefault="00F21071">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7952159" w:history="1">
        <w:r w:rsidRPr="00400558">
          <w:rPr>
            <w:rStyle w:val="Hyperlink"/>
            <w:noProof/>
          </w:rPr>
          <w:t>Table 5 Thematic Analysis of the Impact of ESG Considerations on Financial Performance</w:t>
        </w:r>
        <w:r>
          <w:rPr>
            <w:noProof/>
            <w:webHidden/>
          </w:rPr>
          <w:tab/>
        </w:r>
        <w:r>
          <w:rPr>
            <w:noProof/>
            <w:webHidden/>
          </w:rPr>
          <w:fldChar w:fldCharType="begin"/>
        </w:r>
        <w:r>
          <w:rPr>
            <w:noProof/>
            <w:webHidden/>
          </w:rPr>
          <w:instrText xml:space="preserve"> PAGEREF _Toc217952159 \h </w:instrText>
        </w:r>
        <w:r>
          <w:rPr>
            <w:noProof/>
            <w:webHidden/>
          </w:rPr>
        </w:r>
        <w:r>
          <w:rPr>
            <w:noProof/>
            <w:webHidden/>
          </w:rPr>
          <w:fldChar w:fldCharType="separate"/>
        </w:r>
        <w:r>
          <w:rPr>
            <w:noProof/>
            <w:webHidden/>
          </w:rPr>
          <w:t>59</w:t>
        </w:r>
        <w:r>
          <w:rPr>
            <w:noProof/>
            <w:webHidden/>
          </w:rPr>
          <w:fldChar w:fldCharType="end"/>
        </w:r>
      </w:hyperlink>
    </w:p>
    <w:p w14:paraId="2310B039" w14:textId="1ECB3CDF" w:rsidR="00F21071" w:rsidRPr="00F21071" w:rsidRDefault="00F21071" w:rsidP="00F21071">
      <w:r>
        <w:fldChar w:fldCharType="end"/>
      </w:r>
    </w:p>
    <w:p w14:paraId="0D89A078" w14:textId="77777777" w:rsidR="00391EB6" w:rsidRPr="008C5097" w:rsidRDefault="00391EB6" w:rsidP="008C5097"/>
    <w:p w14:paraId="3301D386" w14:textId="77777777" w:rsidR="008C5097" w:rsidRPr="008C5097" w:rsidRDefault="008C5097" w:rsidP="008C5097">
      <w:r w:rsidRPr="008C5097">
        <w:br w:type="page"/>
      </w:r>
    </w:p>
    <w:p w14:paraId="73DDCEB1" w14:textId="524B6F83" w:rsidR="00391EB6" w:rsidRPr="008C5097" w:rsidRDefault="00786750" w:rsidP="008C5097">
      <w:pPr>
        <w:pStyle w:val="Heading1"/>
      </w:pPr>
      <w:bookmarkStart w:id="4" w:name="_Toc217953833"/>
      <w:r w:rsidRPr="008C5097">
        <w:lastRenderedPageBreak/>
        <w:t>CHAPTER 1: INTRODUCTION</w:t>
      </w:r>
      <w:bookmarkEnd w:id="4"/>
      <w:r w:rsidRPr="008C5097">
        <w:t xml:space="preserve"> </w:t>
      </w:r>
    </w:p>
    <w:p w14:paraId="1F4F57DC" w14:textId="77777777" w:rsidR="00391EB6" w:rsidRDefault="00391EB6" w:rsidP="008C5097">
      <w:pPr>
        <w:pStyle w:val="Heading2"/>
      </w:pPr>
      <w:bookmarkStart w:id="5" w:name="_Toc217953834"/>
      <w:r w:rsidRPr="008C5097">
        <w:t>Background &amp; Problem Statement</w:t>
      </w:r>
      <w:bookmarkEnd w:id="5"/>
    </w:p>
    <w:p w14:paraId="4B59CBF2" w14:textId="51630E5D" w:rsidR="00E578B4" w:rsidRDefault="00375400" w:rsidP="00E578B4">
      <w:r w:rsidRPr="00375400">
        <w:t xml:space="preserve">The world automotive market is in the process of undergoing a revolutionary change due to the electrification process, new market dynamics and stricter regulations. Such changes have made environmental, social and governance (ESG) performance a primary source of corporate legitimacy, accountability and long-term competitiveness (Veza </w:t>
      </w:r>
      <w:r w:rsidR="00642FAE" w:rsidRPr="00642FAE">
        <w:rPr>
          <w:i/>
          <w:iCs/>
        </w:rPr>
        <w:t>et al</w:t>
      </w:r>
      <w:r w:rsidRPr="00375400">
        <w:t xml:space="preserve">., 2023). </w:t>
      </w:r>
      <w:r w:rsidR="00642FAE">
        <w:t xml:space="preserve"> </w:t>
      </w:r>
    </w:p>
    <w:p w14:paraId="71A4EC25" w14:textId="776F6FDA" w:rsidR="001F7590" w:rsidRPr="001F7590" w:rsidRDefault="001F7590" w:rsidP="001F7590">
      <w:pPr>
        <w:rPr>
          <w:rFonts w:ascii="Times New Roman" w:hAnsi="Times New Roman"/>
          <w:lang w:val="en-US"/>
        </w:rPr>
      </w:pPr>
      <w:r w:rsidRPr="001F7590">
        <w:rPr>
          <w:rFonts w:ascii="Times New Roman" w:hAnsi="Times New Roman"/>
          <w:noProof/>
          <w:lang w:val="en-US"/>
        </w:rPr>
        <w:drawing>
          <wp:inline distT="0" distB="0" distL="0" distR="0" wp14:anchorId="16FC8C74" wp14:editId="164F334B">
            <wp:extent cx="5731510" cy="2527935"/>
            <wp:effectExtent l="0" t="0" r="2540" b="5715"/>
            <wp:docPr id="17953565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27935"/>
                    </a:xfrm>
                    <a:prstGeom prst="rect">
                      <a:avLst/>
                    </a:prstGeom>
                    <a:noFill/>
                    <a:ln>
                      <a:noFill/>
                    </a:ln>
                  </pic:spPr>
                </pic:pic>
              </a:graphicData>
            </a:graphic>
          </wp:inline>
        </w:drawing>
      </w:r>
    </w:p>
    <w:p w14:paraId="6E1B3821" w14:textId="2E3FFBE4" w:rsidR="001F7590" w:rsidRDefault="001F7590" w:rsidP="001F7590">
      <w:pPr>
        <w:pStyle w:val="NoSpacing"/>
      </w:pPr>
      <w:bookmarkStart w:id="6" w:name="_Toc217952150"/>
      <w:bookmarkStart w:id="7" w:name="_Toc217953734"/>
      <w:r>
        <w:t xml:space="preserve">Figure </w:t>
      </w:r>
      <w:fldSimple w:instr=" SEQ Figure \* ARABIC ">
        <w:r w:rsidR="00F51EF3">
          <w:rPr>
            <w:noProof/>
          </w:rPr>
          <w:t>1</w:t>
        </w:r>
      </w:fldSimple>
      <w:r>
        <w:t xml:space="preserve"> Global EGS Adoption Levels </w:t>
      </w:r>
      <w:r w:rsidRPr="001F7590">
        <w:t>(Ground, 2022)</w:t>
      </w:r>
      <w:bookmarkEnd w:id="6"/>
      <w:bookmarkEnd w:id="7"/>
    </w:p>
    <w:p w14:paraId="4B3E220B" w14:textId="0634A9EE" w:rsidR="00375400" w:rsidRDefault="00375400" w:rsidP="00375400">
      <w:r>
        <w:t xml:space="preserve">Much of the academic discussion surrounds the environmental aspect. As a constant reminder, Life Cycle Assessments (LCAs) have always shown that EVs tend to have a lower global warming potential than traditional combustion vehicles. Still, significant trade-offs, such as an increase in acidity, the development of PM and mineral depletion due to the resource-consuming nature of the battery production mechanisms, balance out these advantages (Pipitone, </w:t>
      </w:r>
      <w:proofErr w:type="spellStart"/>
      <w:r>
        <w:t>Caltabellotta</w:t>
      </w:r>
      <w:proofErr w:type="spellEnd"/>
      <w:r>
        <w:t xml:space="preserve"> &amp; Occhipinti, 2021; Zeng </w:t>
      </w:r>
      <w:r w:rsidR="00642FAE" w:rsidRPr="00642FAE">
        <w:rPr>
          <w:i/>
          <w:iCs/>
        </w:rPr>
        <w:t>et al</w:t>
      </w:r>
      <w:r>
        <w:t xml:space="preserve">., 2020). In addition, the environmental advantage of EVs is most strongly dependent on the profiles of energy in the region since the carbon content of electricity production significantly changes the net results. As a result, EVs cannot be considered universal zero-emission technologies (Guha </w:t>
      </w:r>
      <w:r w:rsidR="00642FAE" w:rsidRPr="00642FAE">
        <w:rPr>
          <w:i/>
          <w:iCs/>
        </w:rPr>
        <w:t>et al</w:t>
      </w:r>
      <w:r>
        <w:t>., 2018; Komiyama and Fujii, 2015). Contextual determinants like national energy mix, developments in battery chemistry, and effective end-of-life management systems thus should be subject to stringent comparative analysis and systematic synthesis in such a way that the real extent of environmental performance is captured.</w:t>
      </w:r>
    </w:p>
    <w:p w14:paraId="29ACE35A" w14:textId="0226D1EC" w:rsidR="00375400" w:rsidRDefault="00375400" w:rsidP="00375400">
      <w:r>
        <w:lastRenderedPageBreak/>
        <w:t xml:space="preserve">Social aspect, conversely, is inconsistently incorporated in corporate ESG models. Although responsible labour relations, welfare of employees and positive community relations have a potential of improving organisational image and stability in operation, they actually depend on the specific circumstances (Glova and Panko, 2025). In the EV sector, firms tend to focus on job creation, human resource development and re-skilling, as well as building technological competence. An example of such a competency model is the detailed model of competencies suggested by Yu </w:t>
      </w:r>
      <w:r w:rsidR="00642FAE" w:rsidRPr="00642FAE">
        <w:rPr>
          <w:i/>
          <w:iCs/>
        </w:rPr>
        <w:t>et al</w:t>
      </w:r>
      <w:r>
        <w:t>. (2025) and consistent with the structural changes of electrification. Nevertheless, the social impacts of upstream supply chains, especially the ethical and humanitarian effects of battery raw material mining, is under-researched, which indicates a gap of critical research in social sustainability measurement.</w:t>
      </w:r>
    </w:p>
    <w:p w14:paraId="689AC7FD" w14:textId="655C94DA" w:rsidR="00375400" w:rsidRDefault="00375400" w:rsidP="00375400">
      <w:r>
        <w:t xml:space="preserve">The basis of handing environmental and social objectives into performance outcomes is governance structures and corporate transparency. Tight and open governance has been proven to improve efficiency in operations, trust and general market activities within the EV ecosystem (Lu </w:t>
      </w:r>
      <w:r w:rsidR="00642FAE" w:rsidRPr="00642FAE">
        <w:rPr>
          <w:i/>
          <w:iCs/>
        </w:rPr>
        <w:t>et al</w:t>
      </w:r>
      <w:r>
        <w:t>., 2025). However, the changes in profitability remain insignificant, and they are mostly preconditioned by the distinctions in the composition of the board, corporate culture and quality of disclosure (Glova and Panko, 2025). In addition, financial incentives, subsidies and regulatory frameworks are the main conscious elements of corporate ESG performance through which a state policy mechanism influences this performance. The alignment of strategies can also support resilience and innovation especially in economies that have robust technological and institutional capabilities (Zhao, Zhang and Li, 2024). Therefore, the two-way interaction between the policy interventions and corporate governance should be systematically synthesized to obtain insights into its consequences on sustainable industrial transformation.</w:t>
      </w:r>
    </w:p>
    <w:p w14:paraId="14F71C04" w14:textId="187A623C" w:rsidR="00375400" w:rsidRDefault="00375400" w:rsidP="00375400">
      <w:r>
        <w:t xml:space="preserve">Studies that use scenarios and foresight processes also highlight the unpredictability of future ESG trajectories. Choi and Cho (2025) define increasing demands on the adaptive governance models that address economic volatility, transparency issues and the changing social expectations. Such uncertainties demand adaptive, prospective ESG policies that can adapt to technological and regulatory transformations. Other distinguishing variables between traditional and electric vehicle companies involve the role of market and policy incentives, including laying emphasis </w:t>
      </w:r>
      <w:r>
        <w:lastRenderedPageBreak/>
        <w:t>on the hybrid and electric models in sustainability plans (</w:t>
      </w:r>
      <w:proofErr w:type="spellStart"/>
      <w:r>
        <w:t>Nuryakin</w:t>
      </w:r>
      <w:proofErr w:type="spellEnd"/>
      <w:r>
        <w:t xml:space="preserve"> </w:t>
      </w:r>
      <w:r w:rsidR="00642FAE" w:rsidRPr="00642FAE">
        <w:rPr>
          <w:i/>
          <w:iCs/>
        </w:rPr>
        <w:t>et al</w:t>
      </w:r>
      <w:r>
        <w:t xml:space="preserve">., 2019; </w:t>
      </w:r>
      <w:proofErr w:type="spellStart"/>
      <w:r>
        <w:t>Helfaya</w:t>
      </w:r>
      <w:proofErr w:type="spellEnd"/>
      <w:r>
        <w:t xml:space="preserve"> and Bui, 2025).</w:t>
      </w:r>
    </w:p>
    <w:p w14:paraId="45190735" w14:textId="5E24E645" w:rsidR="00E578B4" w:rsidRPr="00E578B4" w:rsidRDefault="00375400" w:rsidP="00375400">
      <w:r>
        <w:t xml:space="preserve">Lastly, the existing literature is characterized by a significant level of heterogeneity in terms of how it is conducted, as different indicators, analytic models and assessments are used which provide incoherent conclusions (Zeng </w:t>
      </w:r>
      <w:r w:rsidR="00642FAE" w:rsidRPr="00642FAE">
        <w:rPr>
          <w:i/>
          <w:iCs/>
        </w:rPr>
        <w:t>et al</w:t>
      </w:r>
      <w:r>
        <w:t>., 2020). To reduce the current knowledge gap, the systematic review should be conducted with a strong inclusion and exclusion list, the strictness of contextual disaggregation and critical analysis of the most important indicators of ESG. This kind of strategy will assist in clarifying the points of divergence and convergence, discovering synergistic avenues and finding policy levers that can hasten the transformation of the global automotive industry towards sustainability.</w:t>
      </w:r>
    </w:p>
    <w:p w14:paraId="41EA5AA1" w14:textId="1D62E471" w:rsidR="00391EB6" w:rsidRDefault="00391EB6" w:rsidP="008C5097">
      <w:pPr>
        <w:pStyle w:val="Heading2"/>
      </w:pPr>
      <w:bookmarkStart w:id="8" w:name="_Toc217953835"/>
      <w:r w:rsidRPr="008C5097">
        <w:t>Research Aim</w:t>
      </w:r>
      <w:bookmarkEnd w:id="8"/>
    </w:p>
    <w:p w14:paraId="1CB799CD" w14:textId="40EAA429" w:rsidR="00E578B4" w:rsidRPr="00E578B4" w:rsidRDefault="00E578B4" w:rsidP="00E578B4">
      <w:pPr>
        <w:rPr>
          <w:lang w:val="en-US"/>
        </w:rPr>
      </w:pPr>
      <w:r w:rsidRPr="00E578B4">
        <w:rPr>
          <w:lang w:val="en-US"/>
        </w:rPr>
        <w:t>This study aims to systematically review and compare the environmental, social, and governance (ESG) practices of traditional automotive companies and electric vehicle manufacturers.</w:t>
      </w:r>
    </w:p>
    <w:p w14:paraId="56A3A5CF" w14:textId="77777777" w:rsidR="00391EB6" w:rsidRDefault="00391EB6" w:rsidP="008C5097">
      <w:pPr>
        <w:pStyle w:val="Heading2"/>
      </w:pPr>
      <w:bookmarkStart w:id="9" w:name="_Toc217953836"/>
      <w:r w:rsidRPr="008C5097">
        <w:t>Research Objectives</w:t>
      </w:r>
      <w:bookmarkEnd w:id="9"/>
    </w:p>
    <w:p w14:paraId="19C8004F" w14:textId="6E1D1C59" w:rsidR="00E578B4" w:rsidRPr="00E578B4" w:rsidRDefault="00E578B4" w:rsidP="00E578B4">
      <w:pPr>
        <w:numPr>
          <w:ilvl w:val="0"/>
          <w:numId w:val="19"/>
        </w:numPr>
        <w:ind w:left="1152"/>
        <w:rPr>
          <w:lang w:val="en-US"/>
        </w:rPr>
      </w:pPr>
      <w:r w:rsidRPr="00E578B4">
        <w:rPr>
          <w:lang w:val="en-US"/>
        </w:rPr>
        <w:t>To examine and compare the ESG practices of traditional automotive companies and electric vehicle (EV) companies</w:t>
      </w:r>
      <w:r w:rsidR="00642FAE">
        <w:rPr>
          <w:lang w:val="en-US"/>
        </w:rPr>
        <w:t>.</w:t>
      </w:r>
    </w:p>
    <w:p w14:paraId="28C09A10" w14:textId="77777777" w:rsidR="00E578B4" w:rsidRPr="00E578B4" w:rsidRDefault="00E578B4" w:rsidP="00E578B4">
      <w:pPr>
        <w:numPr>
          <w:ilvl w:val="0"/>
          <w:numId w:val="19"/>
        </w:numPr>
        <w:ind w:left="1152"/>
        <w:rPr>
          <w:lang w:val="en-US"/>
        </w:rPr>
      </w:pPr>
      <w:r w:rsidRPr="00E578B4">
        <w:rPr>
          <w:lang w:val="en-US"/>
        </w:rPr>
        <w:t>To identify the key drivers and barriers affecting the adoption and effectiveness of ESG practices in electric vehicle companies compared to traditional automotive firms.</w:t>
      </w:r>
    </w:p>
    <w:p w14:paraId="28836959" w14:textId="745706F5" w:rsidR="00E578B4" w:rsidRPr="00E578B4" w:rsidRDefault="00E578B4" w:rsidP="00E578B4">
      <w:pPr>
        <w:numPr>
          <w:ilvl w:val="0"/>
          <w:numId w:val="19"/>
        </w:numPr>
        <w:ind w:left="1152"/>
        <w:rPr>
          <w:lang w:val="en-US"/>
        </w:rPr>
      </w:pPr>
      <w:r w:rsidRPr="00E578B4">
        <w:rPr>
          <w:lang w:val="en-US"/>
        </w:rPr>
        <w:t>To investigate the impact of environmental, social, and governance (ESG) considerations on the financial performance of automotive companies</w:t>
      </w:r>
    </w:p>
    <w:p w14:paraId="5F1CCF70" w14:textId="77777777" w:rsidR="00391EB6" w:rsidRDefault="00391EB6" w:rsidP="008C5097">
      <w:pPr>
        <w:pStyle w:val="Heading2"/>
      </w:pPr>
      <w:bookmarkStart w:id="10" w:name="_Toc217953837"/>
      <w:r w:rsidRPr="008C5097">
        <w:t>Research Questions</w:t>
      </w:r>
      <w:bookmarkEnd w:id="10"/>
    </w:p>
    <w:p w14:paraId="32843C0D" w14:textId="77777777" w:rsidR="00E578B4" w:rsidRPr="00E578B4" w:rsidRDefault="00E578B4" w:rsidP="00E578B4">
      <w:pPr>
        <w:numPr>
          <w:ilvl w:val="0"/>
          <w:numId w:val="20"/>
        </w:numPr>
        <w:rPr>
          <w:lang w:val="en-US"/>
        </w:rPr>
      </w:pPr>
      <w:r w:rsidRPr="00E578B4">
        <w:rPr>
          <w:lang w:val="en-US"/>
        </w:rPr>
        <w:t>How do environmental, social, and governance (ESG) practices differ between traditional automotive companies and electric vehicle (EV) companies?</w:t>
      </w:r>
    </w:p>
    <w:p w14:paraId="160092CC" w14:textId="77777777" w:rsidR="00E578B4" w:rsidRPr="00E578B4" w:rsidRDefault="00E578B4" w:rsidP="00E578B4">
      <w:pPr>
        <w:numPr>
          <w:ilvl w:val="0"/>
          <w:numId w:val="20"/>
        </w:numPr>
        <w:rPr>
          <w:lang w:val="en-US"/>
        </w:rPr>
      </w:pPr>
      <w:r w:rsidRPr="00E578B4">
        <w:rPr>
          <w:lang w:val="en-US"/>
        </w:rPr>
        <w:t>What are the key drivers and barriers influencing the adoption and effectiveness of ESG practices in electric vehicle companies compared to traditional automotive firms?</w:t>
      </w:r>
    </w:p>
    <w:p w14:paraId="3DBDB98D" w14:textId="2A031B94" w:rsidR="00E578B4" w:rsidRPr="00E578B4" w:rsidRDefault="00E578B4" w:rsidP="00E578B4">
      <w:pPr>
        <w:numPr>
          <w:ilvl w:val="0"/>
          <w:numId w:val="20"/>
        </w:numPr>
        <w:rPr>
          <w:lang w:val="en-US"/>
        </w:rPr>
      </w:pPr>
      <w:r w:rsidRPr="00E578B4">
        <w:rPr>
          <w:lang w:val="en-US"/>
        </w:rPr>
        <w:lastRenderedPageBreak/>
        <w:t>What is the impact of environmental, social, and governance (ESG) considerations on the financial performance of automotive companies?</w:t>
      </w:r>
    </w:p>
    <w:p w14:paraId="43C00864" w14:textId="1B3F13BF" w:rsidR="00E578B4" w:rsidRDefault="00391EB6" w:rsidP="00E578B4">
      <w:pPr>
        <w:pStyle w:val="Heading2"/>
      </w:pPr>
      <w:bookmarkStart w:id="11" w:name="_Toc217953838"/>
      <w:r w:rsidRPr="008C5097">
        <w:t>Significance / Relevance of Study</w:t>
      </w:r>
      <w:bookmarkEnd w:id="11"/>
    </w:p>
    <w:p w14:paraId="416A7C9C" w14:textId="33CC21B4" w:rsidR="00E578B4" w:rsidRPr="001F7590" w:rsidRDefault="00375400" w:rsidP="001F7590">
      <w:pPr>
        <w:rPr>
          <w:lang w:val="en-US"/>
        </w:rPr>
      </w:pPr>
      <w:r w:rsidRPr="00375400">
        <w:rPr>
          <w:lang w:val="en-US"/>
        </w:rPr>
        <w:t xml:space="preserve">The relevance of this research is presented by its methodical assessment of the differences in environmental, social and governance (ESG) activities between conventional automotive manufacturers and electric vehicle (EV) industries and offers understanding of the changing sustainability situation of the worldwide automotive industry. With the industry rapidly becoming more electrified and more exposed to regulatory and market scrutiny, ESG performance now stands as a decisive factor of corporate legitimacy, competitiveness, and resiliency in the long term (Veza </w:t>
      </w:r>
      <w:r w:rsidR="00642FAE" w:rsidRPr="00642FAE">
        <w:rPr>
          <w:i/>
          <w:iCs/>
          <w:lang w:val="en-US"/>
        </w:rPr>
        <w:t>et al</w:t>
      </w:r>
      <w:r w:rsidRPr="00375400">
        <w:rPr>
          <w:lang w:val="en-US"/>
        </w:rPr>
        <w:t xml:space="preserve">., 2023). The systematic comparison of the strategies, drivers, and barriers affecting the adoption of ESG will help the study to understand the way in which firms can align their operations with the sustainability objectives and expectations of the global stakeholders. In the literature, the environmental performance is frequently studied separately, including the life cycle effects of EVs (Pipitone, </w:t>
      </w:r>
      <w:proofErr w:type="spellStart"/>
      <w:r w:rsidRPr="00375400">
        <w:rPr>
          <w:lang w:val="en-US"/>
        </w:rPr>
        <w:t>Caltabellotta</w:t>
      </w:r>
      <w:proofErr w:type="spellEnd"/>
      <w:r w:rsidRPr="00375400">
        <w:rPr>
          <w:lang w:val="en-US"/>
        </w:rPr>
        <w:t xml:space="preserve"> &amp; Occhipinti, 2021; Zeng </w:t>
      </w:r>
      <w:r w:rsidR="00642FAE" w:rsidRPr="00642FAE">
        <w:rPr>
          <w:i/>
          <w:iCs/>
          <w:lang w:val="en-US"/>
        </w:rPr>
        <w:t>et al</w:t>
      </w:r>
      <w:r w:rsidRPr="00375400">
        <w:rPr>
          <w:lang w:val="en-US"/>
        </w:rPr>
        <w:t xml:space="preserve">., 2020), but does not incorporate the social and governance aspects as much as needed. The gap in this review is bridged through the synthesis of evidence on workforce transformation, supply chain ethics, transparency of governance and influences of policies (Glova and Panko, 2025; Lu </w:t>
      </w:r>
      <w:r w:rsidR="00642FAE" w:rsidRPr="00642FAE">
        <w:rPr>
          <w:i/>
          <w:iCs/>
          <w:lang w:val="en-US"/>
        </w:rPr>
        <w:t>et al</w:t>
      </w:r>
      <w:r w:rsidRPr="00375400">
        <w:rPr>
          <w:lang w:val="en-US"/>
        </w:rPr>
        <w:t>., 2025). Finally, it contributes to the development of knowledge regarding the role of ESG practices in defining the course of industrial change and sustainability shifts in the automotive sector.</w:t>
      </w:r>
    </w:p>
    <w:p w14:paraId="0DFC433F" w14:textId="77777777" w:rsidR="00E578B4" w:rsidRDefault="00391EB6" w:rsidP="008C5097">
      <w:pPr>
        <w:pStyle w:val="Heading2"/>
      </w:pPr>
      <w:bookmarkStart w:id="12" w:name="_Toc217953839"/>
      <w:r w:rsidRPr="008C5097">
        <w:t>Brief Research Methodology</w:t>
      </w:r>
      <w:bookmarkEnd w:id="12"/>
    </w:p>
    <w:p w14:paraId="404DF79A" w14:textId="7002B293" w:rsidR="00391EB6" w:rsidRPr="00E578B4" w:rsidRDefault="00375400" w:rsidP="00E578B4">
      <w:pPr>
        <w:rPr>
          <w:lang w:val="en-US" w:eastAsia="zh-CN" w:bidi="bn-IN"/>
        </w:rPr>
      </w:pPr>
      <w:r>
        <w:rPr>
          <w:lang w:val="en-US" w:eastAsia="zh-CN" w:bidi="bn-IN"/>
        </w:rPr>
        <w:t xml:space="preserve"> </w:t>
      </w:r>
      <w:r w:rsidRPr="00375400">
        <w:rPr>
          <w:lang w:val="en-US" w:eastAsia="zh-CN" w:bidi="bn-IN"/>
        </w:rPr>
        <w:t xml:space="preserve">The research utilized a systematic review design to identify the similarities and differences in the environmental, social, and governance (ESG) activities of conventional car manufacturers and electric vehicle (EV) companies, giving a systematic analysis of sustainability patterns in the emerging automotive industry. The keywords in Scopus and Google Scholar that retrieved literature included, electric vehicles, traditional automotive, ESG practices, environmental sustainability, social responsibility, corporate governance, drivers, and barriers. Peer-reviewed journal articles, conference papers and viable reports published in English in the period 2015-2025 were used as inclusion criteria, excluding non-scholarly and irrelevant research. </w:t>
      </w:r>
      <w:r w:rsidRPr="00375400">
        <w:rPr>
          <w:lang w:val="en-US" w:eastAsia="zh-CN" w:bidi="bn-IN"/>
        </w:rPr>
        <w:lastRenderedPageBreak/>
        <w:t xml:space="preserve">Based on the PRISMA principles (Page </w:t>
      </w:r>
      <w:r w:rsidR="00642FAE" w:rsidRPr="00642FAE">
        <w:rPr>
          <w:i/>
          <w:iCs/>
          <w:lang w:val="en-US" w:eastAsia="zh-CN" w:bidi="bn-IN"/>
        </w:rPr>
        <w:t>et al</w:t>
      </w:r>
      <w:r w:rsidRPr="00375400">
        <w:rPr>
          <w:lang w:val="en-US" w:eastAsia="zh-CN" w:bidi="bn-IN"/>
        </w:rPr>
        <w:t xml:space="preserve">., 2021), duplicates were filtered, and the records were filtered by title, abstract, and full text to guarantee methodological </w:t>
      </w:r>
      <w:proofErr w:type="spellStart"/>
      <w:r w:rsidRPr="00375400">
        <w:rPr>
          <w:lang w:val="en-US" w:eastAsia="zh-CN" w:bidi="bn-IN"/>
        </w:rPr>
        <w:t>rigour</w:t>
      </w:r>
      <w:proofErr w:type="spellEnd"/>
      <w:r w:rsidRPr="00375400">
        <w:rPr>
          <w:lang w:val="en-US" w:eastAsia="zh-CN" w:bidi="bn-IN"/>
        </w:rPr>
        <w:t xml:space="preserve">. A data extraction table </w:t>
      </w:r>
      <w:proofErr w:type="spellStart"/>
      <w:r w:rsidRPr="00375400">
        <w:rPr>
          <w:lang w:val="en-US" w:eastAsia="zh-CN" w:bidi="bn-IN"/>
        </w:rPr>
        <w:t>summarised</w:t>
      </w:r>
      <w:proofErr w:type="spellEnd"/>
      <w:r w:rsidRPr="00375400">
        <w:rPr>
          <w:lang w:val="en-US" w:eastAsia="zh-CN" w:bidi="bn-IN"/>
        </w:rPr>
        <w:t xml:space="preserve"> author details, study design, findings, and limitations so that systematical comparison was possible. The research questions were answered by conducting thematic Analysis and Narrative synthesis. Ethical issues were minimal in this context because we were working with secondary data, and integrity was observed by providing good reporting and correct referencing.</w:t>
      </w:r>
    </w:p>
    <w:p w14:paraId="0A209A40" w14:textId="20A5CBF5" w:rsidR="00391EB6" w:rsidRDefault="00391EB6" w:rsidP="008C5097">
      <w:pPr>
        <w:pStyle w:val="Heading2"/>
      </w:pPr>
      <w:bookmarkStart w:id="13" w:name="_Toc217953840"/>
      <w:r w:rsidRPr="008C5097">
        <w:t xml:space="preserve">Structure of </w:t>
      </w:r>
      <w:r w:rsidR="001F7590">
        <w:t>R</w:t>
      </w:r>
      <w:r w:rsidRPr="008C5097">
        <w:t xml:space="preserve">est of </w:t>
      </w:r>
      <w:r w:rsidR="001F7590">
        <w:t>P</w:t>
      </w:r>
      <w:r w:rsidRPr="008C5097">
        <w:t>roject</w:t>
      </w:r>
      <w:bookmarkEnd w:id="13"/>
    </w:p>
    <w:p w14:paraId="3CB920E8" w14:textId="22B4EDA0" w:rsidR="001F7590" w:rsidRPr="001F7590" w:rsidRDefault="00375400" w:rsidP="00375400">
      <w:pPr>
        <w:rPr>
          <w:lang w:val="en-US" w:eastAsia="zh-CN" w:bidi="bn-IN"/>
        </w:rPr>
      </w:pPr>
      <w:r w:rsidRPr="00375400">
        <w:rPr>
          <w:lang w:val="en-US" w:eastAsia="zh-CN" w:bidi="bn-IN"/>
        </w:rPr>
        <w:t xml:space="preserve">The rest of this project is divided into </w:t>
      </w:r>
      <w:r>
        <w:rPr>
          <w:lang w:val="en-US" w:eastAsia="zh-CN" w:bidi="bn-IN"/>
        </w:rPr>
        <w:t>four</w:t>
      </w:r>
      <w:r w:rsidRPr="00375400">
        <w:rPr>
          <w:lang w:val="en-US" w:eastAsia="zh-CN" w:bidi="bn-IN"/>
        </w:rPr>
        <w:t xml:space="preserve"> major chapters that altogether provide a systematic and consistent interpretation of the study.</w:t>
      </w:r>
      <w:r>
        <w:rPr>
          <w:lang w:val="en-US" w:eastAsia="zh-CN" w:bidi="bn-IN"/>
        </w:rPr>
        <w:t xml:space="preserve"> </w:t>
      </w:r>
      <w:r w:rsidRPr="00375400">
        <w:rPr>
          <w:lang w:val="en-US" w:eastAsia="zh-CN" w:bidi="bn-IN"/>
        </w:rPr>
        <w:t xml:space="preserve">Chapter 2 contains a detailed literature review, </w:t>
      </w:r>
      <w:r w:rsidR="00642FAE">
        <w:rPr>
          <w:lang w:val="en-US" w:eastAsia="zh-CN" w:bidi="bn-IN"/>
        </w:rPr>
        <w:t xml:space="preserve">including </w:t>
      </w:r>
      <w:r w:rsidRPr="00375400">
        <w:rPr>
          <w:lang w:val="en-US" w:eastAsia="zh-CN" w:bidi="bn-IN"/>
        </w:rPr>
        <w:t>the critical analysis of major research areas and themes in the field</w:t>
      </w:r>
      <w:r>
        <w:rPr>
          <w:lang w:val="en-US" w:eastAsia="zh-CN" w:bidi="bn-IN"/>
        </w:rPr>
        <w:t xml:space="preserve">. </w:t>
      </w:r>
      <w:r w:rsidRPr="00375400">
        <w:rPr>
          <w:lang w:val="en-US" w:eastAsia="zh-CN" w:bidi="bn-IN"/>
        </w:rPr>
        <w:t>It also introduces the conceptual framework of the study and ends with a synthesis of reviewed literature.</w:t>
      </w:r>
      <w:r>
        <w:rPr>
          <w:lang w:val="en-US" w:eastAsia="zh-CN" w:bidi="bn-IN"/>
        </w:rPr>
        <w:t xml:space="preserve"> </w:t>
      </w:r>
      <w:r w:rsidRPr="00375400">
        <w:rPr>
          <w:lang w:val="en-US" w:eastAsia="zh-CN" w:bidi="bn-IN"/>
        </w:rPr>
        <w:t>The 3rd chapter explains the research methodology including the philosophical assumptions, research design, and methods used. It also offers a justification of the data collection methods, ethical considerations and ends with postulations on the methodological coherence.</w:t>
      </w:r>
      <w:r>
        <w:rPr>
          <w:lang w:val="en-US" w:eastAsia="zh-CN" w:bidi="bn-IN"/>
        </w:rPr>
        <w:t xml:space="preserve"> </w:t>
      </w:r>
      <w:r w:rsidRPr="00375400">
        <w:rPr>
          <w:lang w:val="en-US" w:eastAsia="zh-CN" w:bidi="bn-IN"/>
        </w:rPr>
        <w:t>The chapter 4 provides the findings, analysis and discussion presenting a summary of the reviewed evidence, a critical analysis of the results and discussion of the findings in connection with the existing literature.</w:t>
      </w:r>
      <w:r>
        <w:rPr>
          <w:lang w:val="en-US" w:eastAsia="zh-CN" w:bidi="bn-IN"/>
        </w:rPr>
        <w:t xml:space="preserve"> Finally, </w:t>
      </w:r>
      <w:r w:rsidRPr="00375400">
        <w:rPr>
          <w:lang w:val="en-US" w:eastAsia="zh-CN" w:bidi="bn-IN"/>
        </w:rPr>
        <w:t>Chapter 5 is a summary of the research study and the conclusion drawn by the researcher in answering the research questions. It also makes practical and theoretical recommendations, talks about the constraints of the study and provides recommendations on future studies.</w:t>
      </w:r>
    </w:p>
    <w:p w14:paraId="6C583AF1" w14:textId="77777777" w:rsidR="008C5097" w:rsidRPr="001F7590" w:rsidRDefault="008C5097" w:rsidP="008C5097">
      <w:pPr>
        <w:rPr>
          <w:lang w:val="en-US"/>
        </w:rPr>
      </w:pPr>
    </w:p>
    <w:p w14:paraId="3D13F724" w14:textId="77777777" w:rsidR="008C5097" w:rsidRDefault="008C5097">
      <w:r>
        <w:br w:type="page"/>
      </w:r>
    </w:p>
    <w:p w14:paraId="1FCA51C8" w14:textId="0FDA1994" w:rsidR="00391EB6" w:rsidRPr="008C5097" w:rsidRDefault="00786750" w:rsidP="008C5097">
      <w:pPr>
        <w:pStyle w:val="Heading1"/>
      </w:pPr>
      <w:bookmarkStart w:id="14" w:name="_Toc217953841"/>
      <w:r w:rsidRPr="008C5097">
        <w:lastRenderedPageBreak/>
        <w:t>CHAPTER 2: LITERATURE REVIEW</w:t>
      </w:r>
      <w:bookmarkEnd w:id="14"/>
      <w:r w:rsidRPr="008C5097">
        <w:t xml:space="preserve"> </w:t>
      </w:r>
    </w:p>
    <w:p w14:paraId="40ADE638" w14:textId="56AC050D" w:rsidR="00B267C5" w:rsidRDefault="00391EB6" w:rsidP="00B267C5">
      <w:pPr>
        <w:pStyle w:val="Heading2"/>
      </w:pPr>
      <w:bookmarkStart w:id="15" w:name="_Toc217953842"/>
      <w:r w:rsidRPr="008C5097">
        <w:t>Introduction</w:t>
      </w:r>
      <w:bookmarkEnd w:id="15"/>
    </w:p>
    <w:p w14:paraId="083422A6" w14:textId="4E65142F" w:rsidR="00B267C5" w:rsidRPr="00B267C5" w:rsidRDefault="00375400" w:rsidP="00375400">
      <w:pPr>
        <w:rPr>
          <w:lang w:val="en-US"/>
        </w:rPr>
      </w:pPr>
      <w:r w:rsidRPr="00375400">
        <w:rPr>
          <w:lang w:val="en-US"/>
        </w:rPr>
        <w:t xml:space="preserve">In this chapter, a review of the available literature concerning the environmental, social, and governance (ESG) </w:t>
      </w:r>
      <w:proofErr w:type="spellStart"/>
      <w:r w:rsidRPr="00375400">
        <w:rPr>
          <w:lang w:val="en-US"/>
        </w:rPr>
        <w:t>practises</w:t>
      </w:r>
      <w:proofErr w:type="spellEnd"/>
      <w:r w:rsidRPr="00375400">
        <w:rPr>
          <w:lang w:val="en-US"/>
        </w:rPr>
        <w:t xml:space="preserve"> in the automotive industry is provided with a special emphasis on comparing traditional internal combustion engine-focused manufacturers with electric vehicle (EV) ones. The rationale behind this review is to critically review important research areas, gaps and inconsistencies that can be identified and </w:t>
      </w:r>
      <w:proofErr w:type="spellStart"/>
      <w:r w:rsidRPr="00375400">
        <w:rPr>
          <w:lang w:val="en-US"/>
        </w:rPr>
        <w:t>synthesise</w:t>
      </w:r>
      <w:proofErr w:type="spellEnd"/>
      <w:r w:rsidRPr="00375400">
        <w:rPr>
          <w:lang w:val="en-US"/>
        </w:rPr>
        <w:t xml:space="preserve"> evidence to give a consistent picture of ESG adoption, drivers and barriers in the sector.</w:t>
      </w:r>
    </w:p>
    <w:p w14:paraId="1683C831" w14:textId="362C8CDD" w:rsidR="00391EB6" w:rsidRDefault="00391EB6" w:rsidP="008C5097">
      <w:pPr>
        <w:pStyle w:val="Heading2"/>
      </w:pPr>
      <w:bookmarkStart w:id="16" w:name="_Toc217953843"/>
      <w:r w:rsidRPr="008C5097">
        <w:t>Research Areas / Topics</w:t>
      </w:r>
      <w:bookmarkEnd w:id="16"/>
    </w:p>
    <w:p w14:paraId="1700E07D" w14:textId="2DCCB66E" w:rsidR="00B267C5" w:rsidRDefault="00B267C5" w:rsidP="00B267C5">
      <w:pPr>
        <w:pStyle w:val="Heading3"/>
      </w:pPr>
      <w:bookmarkStart w:id="17" w:name="_Toc217953844"/>
      <w:r>
        <w:t>Definition of the Key Concepts</w:t>
      </w:r>
      <w:bookmarkEnd w:id="17"/>
    </w:p>
    <w:p w14:paraId="1336D3A2" w14:textId="77777777" w:rsidR="00375400" w:rsidRDefault="00375400" w:rsidP="00375400">
      <w:pPr>
        <w:rPr>
          <w:lang w:eastAsia="zh-CN" w:bidi="bn-IN"/>
        </w:rPr>
      </w:pPr>
      <w:r w:rsidRPr="00375400">
        <w:rPr>
          <w:lang w:eastAsia="zh-CN" w:bidi="bn-IN"/>
        </w:rPr>
        <w:t>In order to be clear and create a consistency in this research, the following key concepts that are used in the research should be defined:</w:t>
      </w:r>
    </w:p>
    <w:p w14:paraId="723CDF71" w14:textId="6854AB27" w:rsidR="00375400" w:rsidRDefault="00375400" w:rsidP="00375400">
      <w:pPr>
        <w:rPr>
          <w:lang w:eastAsia="zh-CN" w:bidi="bn-IN"/>
        </w:rPr>
      </w:pPr>
      <w:r w:rsidRPr="00375400">
        <w:rPr>
          <w:b/>
          <w:bCs/>
          <w:lang w:eastAsia="zh-CN" w:bidi="bn-IN"/>
        </w:rPr>
        <w:t>Environmental Practises:</w:t>
      </w:r>
      <w:r w:rsidRPr="00375400">
        <w:rPr>
          <w:lang w:eastAsia="zh-CN" w:bidi="bn-IN"/>
        </w:rPr>
        <w:t xml:space="preserve"> Measures undertaken by companies to minimise environmental impact such as energy efficiency, emission reduction, waste management, resource conservation, and sustainable product design (Pipitone, </w:t>
      </w:r>
      <w:proofErr w:type="spellStart"/>
      <w:r w:rsidRPr="00375400">
        <w:rPr>
          <w:lang w:eastAsia="zh-CN" w:bidi="bn-IN"/>
        </w:rPr>
        <w:t>Caltabellotta</w:t>
      </w:r>
      <w:proofErr w:type="spellEnd"/>
      <w:r w:rsidRPr="00375400">
        <w:rPr>
          <w:lang w:eastAsia="zh-CN" w:bidi="bn-IN"/>
        </w:rPr>
        <w:t xml:space="preserve"> &amp; Occhipinti, 2021). </w:t>
      </w:r>
    </w:p>
    <w:p w14:paraId="6AEDAF73" w14:textId="3B70D234" w:rsidR="00375400" w:rsidRDefault="00375400" w:rsidP="00375400">
      <w:pPr>
        <w:rPr>
          <w:lang w:eastAsia="zh-CN" w:bidi="bn-IN"/>
        </w:rPr>
      </w:pPr>
      <w:r w:rsidRPr="00375400">
        <w:rPr>
          <w:b/>
          <w:bCs/>
          <w:lang w:eastAsia="zh-CN" w:bidi="bn-IN"/>
        </w:rPr>
        <w:t>Social Practises:</w:t>
      </w:r>
      <w:r w:rsidRPr="00375400">
        <w:rPr>
          <w:lang w:eastAsia="zh-CN" w:bidi="bn-IN"/>
        </w:rPr>
        <w:t xml:space="preserve"> Corporate practises that support the welfare of stakeholders, labour standards, community involvement, diversity and inclusion, employee growth, and human rights in the supply chains (Glova and Panko, 2025). </w:t>
      </w:r>
    </w:p>
    <w:p w14:paraId="6D9F4077" w14:textId="6766B95E" w:rsidR="00375400" w:rsidRDefault="00375400" w:rsidP="00375400">
      <w:pPr>
        <w:rPr>
          <w:lang w:eastAsia="zh-CN" w:bidi="bn-IN"/>
        </w:rPr>
      </w:pPr>
      <w:r w:rsidRPr="00375400">
        <w:rPr>
          <w:b/>
          <w:bCs/>
          <w:lang w:eastAsia="zh-CN" w:bidi="bn-IN"/>
        </w:rPr>
        <w:t>Governance Practises:</w:t>
      </w:r>
      <w:r w:rsidRPr="00375400">
        <w:rPr>
          <w:lang w:eastAsia="zh-CN" w:bidi="bn-IN"/>
        </w:rPr>
        <w:t xml:space="preserve"> Mechanisms, policies and structures that sustain accountability, transparency, ethical decision-making, board performance, compliance and risk management in organisational functions (Lu </w:t>
      </w:r>
      <w:r w:rsidR="00642FAE" w:rsidRPr="00642FAE">
        <w:rPr>
          <w:i/>
          <w:iCs/>
          <w:lang w:eastAsia="zh-CN" w:bidi="bn-IN"/>
        </w:rPr>
        <w:t>et al</w:t>
      </w:r>
      <w:r w:rsidRPr="00375400">
        <w:rPr>
          <w:lang w:eastAsia="zh-CN" w:bidi="bn-IN"/>
        </w:rPr>
        <w:t>., 2025).</w:t>
      </w:r>
    </w:p>
    <w:p w14:paraId="3BA78DDB" w14:textId="027ADB06" w:rsidR="00375400" w:rsidRDefault="00375400" w:rsidP="00375400">
      <w:pPr>
        <w:rPr>
          <w:lang w:eastAsia="zh-CN" w:bidi="bn-IN"/>
        </w:rPr>
      </w:pPr>
      <w:r w:rsidRPr="00375400">
        <w:rPr>
          <w:b/>
          <w:bCs/>
          <w:lang w:eastAsia="zh-CN" w:bidi="bn-IN"/>
        </w:rPr>
        <w:t>ESG (Environmental, Social, and Governance):</w:t>
      </w:r>
      <w:r w:rsidRPr="00375400">
        <w:rPr>
          <w:lang w:eastAsia="zh-CN" w:bidi="bn-IN"/>
        </w:rPr>
        <w:t xml:space="preserve"> A comprehensive concept that assesses corporate performance and sustainability with regard to environmental stewardship, social responsibility, and the quality of governance, which tends to affect the investing decisions and stakeholders (Veza </w:t>
      </w:r>
      <w:r w:rsidR="00642FAE" w:rsidRPr="00642FAE">
        <w:rPr>
          <w:i/>
          <w:iCs/>
          <w:lang w:eastAsia="zh-CN" w:bidi="bn-IN"/>
        </w:rPr>
        <w:t>et al</w:t>
      </w:r>
      <w:r w:rsidRPr="00375400">
        <w:rPr>
          <w:lang w:eastAsia="zh-CN" w:bidi="bn-IN"/>
        </w:rPr>
        <w:t>., 2023).</w:t>
      </w:r>
    </w:p>
    <w:p w14:paraId="60512A2C" w14:textId="359BF8E1" w:rsidR="00375400" w:rsidRDefault="00375400" w:rsidP="00375400">
      <w:pPr>
        <w:rPr>
          <w:lang w:eastAsia="zh-CN" w:bidi="bn-IN"/>
        </w:rPr>
      </w:pPr>
      <w:r w:rsidRPr="00375400">
        <w:rPr>
          <w:b/>
          <w:bCs/>
          <w:lang w:eastAsia="zh-CN" w:bidi="bn-IN"/>
        </w:rPr>
        <w:t>Conventional Automotive:</w:t>
      </w:r>
      <w:r w:rsidRPr="00375400">
        <w:rPr>
          <w:lang w:eastAsia="zh-CN" w:bidi="bn-IN"/>
        </w:rPr>
        <w:t xml:space="preserve"> The main products that the companies involved in this market do are design, production, and sale of vehicles that run on the internal combustion engine that use conventional fuel sources like petrol or diesel.</w:t>
      </w:r>
    </w:p>
    <w:p w14:paraId="445A2CCB" w14:textId="79FFAB07" w:rsidR="00375400" w:rsidRDefault="00375400" w:rsidP="00375400">
      <w:pPr>
        <w:rPr>
          <w:lang w:eastAsia="zh-CN" w:bidi="bn-IN"/>
        </w:rPr>
      </w:pPr>
      <w:r w:rsidRPr="00375400">
        <w:rPr>
          <w:b/>
          <w:bCs/>
          <w:lang w:eastAsia="zh-CN" w:bidi="bn-IN"/>
        </w:rPr>
        <w:lastRenderedPageBreak/>
        <w:t>Electric Vehicle (EV):</w:t>
      </w:r>
      <w:r w:rsidRPr="00375400">
        <w:rPr>
          <w:lang w:eastAsia="zh-CN" w:bidi="bn-IN"/>
        </w:rPr>
        <w:t xml:space="preserve"> Cars that combine electric motors that are powered by a rechargeable battery as the main method of propulsion and are commonly marketed as a more eco-friendly and cleaner option compared to traditional cars.</w:t>
      </w:r>
    </w:p>
    <w:p w14:paraId="50F14C0A" w14:textId="4618E6C7" w:rsidR="00B267C5" w:rsidRPr="00375400" w:rsidRDefault="00375400" w:rsidP="00375400">
      <w:pPr>
        <w:rPr>
          <w:lang w:val="en-US" w:eastAsia="zh-CN" w:bidi="bn-IN"/>
        </w:rPr>
      </w:pPr>
      <w:r w:rsidRPr="00375400">
        <w:rPr>
          <w:b/>
          <w:bCs/>
          <w:lang w:eastAsia="zh-CN" w:bidi="bn-IN"/>
        </w:rPr>
        <w:t>Financial Performance:</w:t>
      </w:r>
      <w:r w:rsidRPr="00375400">
        <w:rPr>
          <w:lang w:eastAsia="zh-CN" w:bidi="bn-IN"/>
        </w:rPr>
        <w:t xml:space="preserve"> An indicator of the financial results of a company, such as profitability, revenue increase, return on assets/equity, cost-effective, and value creation over the long term, which is frequently used to assess the effectiveness of ESG practises in business performance.</w:t>
      </w:r>
    </w:p>
    <w:p w14:paraId="4CD9FBDA" w14:textId="5444A52B" w:rsidR="00B267C5" w:rsidRDefault="00431C43" w:rsidP="00B267C5">
      <w:pPr>
        <w:pStyle w:val="Heading3"/>
        <w:rPr>
          <w:lang w:val="en-US" w:eastAsia="zh-CN" w:bidi="bn-IN"/>
        </w:rPr>
      </w:pPr>
      <w:bookmarkStart w:id="18" w:name="_Toc217953845"/>
      <w:r>
        <w:rPr>
          <w:lang w:val="en-US" w:eastAsia="zh-CN" w:bidi="bn-IN"/>
        </w:rPr>
        <w:t xml:space="preserve">Review of ESG-related </w:t>
      </w:r>
      <w:r w:rsidR="00B267C5">
        <w:rPr>
          <w:lang w:val="en-US" w:eastAsia="zh-CN" w:bidi="bn-IN"/>
        </w:rPr>
        <w:t>Theoretical Frameworks</w:t>
      </w:r>
      <w:bookmarkEnd w:id="18"/>
    </w:p>
    <w:p w14:paraId="48DA5188" w14:textId="32C181EC" w:rsidR="00431C43" w:rsidRDefault="00375400" w:rsidP="00A0131F">
      <w:pPr>
        <w:spacing w:after="0"/>
        <w:rPr>
          <w:lang w:val="en-US" w:eastAsia="zh-CN" w:bidi="bn-IN"/>
        </w:rPr>
      </w:pPr>
      <w:r w:rsidRPr="00375400">
        <w:rPr>
          <w:lang w:val="en-US" w:eastAsia="zh-CN" w:bidi="bn-IN"/>
        </w:rPr>
        <w:t>The modern state of the Environmental, Social, and Governance (ESG) models has emerged out of the existing sustainability and corporate social responsibility (CSR) theories, which are founded on the initial premise that the companies must engage in environmental stewardship, social wellbeing, and good governance in addition to profitability.</w:t>
      </w:r>
    </w:p>
    <w:p w14:paraId="3477B231" w14:textId="771CF61F" w:rsidR="00431C43" w:rsidRDefault="00431C43" w:rsidP="00A0131F">
      <w:pPr>
        <w:spacing w:before="0"/>
        <w:jc w:val="center"/>
        <w:rPr>
          <w:lang w:val="en-US" w:eastAsia="zh-CN" w:bidi="bn-IN"/>
        </w:rPr>
      </w:pPr>
      <w:r w:rsidRPr="00431C43">
        <w:rPr>
          <w:noProof/>
          <w:lang w:val="en-US" w:eastAsia="zh-CN" w:bidi="bn-IN"/>
        </w:rPr>
        <w:drawing>
          <wp:inline distT="0" distB="0" distL="0" distR="0" wp14:anchorId="2D1AFC6C" wp14:editId="3F5BEBC8">
            <wp:extent cx="3399204" cy="2330138"/>
            <wp:effectExtent l="0" t="0" r="0" b="0"/>
            <wp:docPr id="1744200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00692" name=""/>
                    <pic:cNvPicPr/>
                  </pic:nvPicPr>
                  <pic:blipFill rotWithShape="1">
                    <a:blip r:embed="rId10"/>
                    <a:srcRect l="6479" r="6149"/>
                    <a:stretch>
                      <a:fillRect/>
                    </a:stretch>
                  </pic:blipFill>
                  <pic:spPr bwMode="auto">
                    <a:xfrm>
                      <a:off x="0" y="0"/>
                      <a:ext cx="3403368" cy="2332993"/>
                    </a:xfrm>
                    <a:prstGeom prst="rect">
                      <a:avLst/>
                    </a:prstGeom>
                    <a:ln>
                      <a:noFill/>
                    </a:ln>
                    <a:extLst>
                      <a:ext uri="{53640926-AAD7-44D8-BBD7-CCE9431645EC}">
                        <a14:shadowObscured xmlns:a14="http://schemas.microsoft.com/office/drawing/2010/main"/>
                      </a:ext>
                    </a:extLst>
                  </pic:spPr>
                </pic:pic>
              </a:graphicData>
            </a:graphic>
          </wp:inline>
        </w:drawing>
      </w:r>
    </w:p>
    <w:p w14:paraId="471FB451" w14:textId="775CAA65" w:rsidR="00431C43" w:rsidRDefault="00A0131F" w:rsidP="00A0131F">
      <w:pPr>
        <w:pStyle w:val="NoSpacing"/>
        <w:rPr>
          <w:lang w:val="en-US" w:eastAsia="zh-CN" w:bidi="bn-IN"/>
        </w:rPr>
      </w:pPr>
      <w:bookmarkStart w:id="19" w:name="_Toc217952151"/>
      <w:bookmarkStart w:id="20" w:name="_Toc217953735"/>
      <w:r>
        <w:t xml:space="preserve">Figure </w:t>
      </w:r>
      <w:fldSimple w:instr=" SEQ Figure \* ARABIC ">
        <w:r w:rsidR="00F51EF3">
          <w:rPr>
            <w:noProof/>
          </w:rPr>
          <w:t>2</w:t>
        </w:r>
      </w:fldSimple>
      <w:r>
        <w:t xml:space="preserve"> </w:t>
      </w:r>
      <w:r w:rsidRPr="00A0131F">
        <w:rPr>
          <w:lang w:val="en-US" w:eastAsia="zh-CN" w:bidi="bn-IN"/>
        </w:rPr>
        <w:t>Three-pillar model of sustainability (Elkington</w:t>
      </w:r>
      <w:r>
        <w:rPr>
          <w:lang w:val="en-US" w:eastAsia="zh-CN" w:bidi="bn-IN"/>
        </w:rPr>
        <w:t xml:space="preserve">, </w:t>
      </w:r>
      <w:r w:rsidRPr="00A0131F">
        <w:rPr>
          <w:lang w:val="en-US" w:eastAsia="zh-CN" w:bidi="bn-IN"/>
        </w:rPr>
        <w:t>1998)</w:t>
      </w:r>
      <w:bookmarkEnd w:id="19"/>
      <w:bookmarkEnd w:id="20"/>
    </w:p>
    <w:p w14:paraId="060AE71C" w14:textId="7E6D4CA7" w:rsidR="00431C43" w:rsidRDefault="00375400" w:rsidP="00431C43">
      <w:pPr>
        <w:rPr>
          <w:lang w:val="en-US" w:eastAsia="zh-CN" w:bidi="bn-IN"/>
        </w:rPr>
      </w:pPr>
      <w:r w:rsidRPr="00375400">
        <w:rPr>
          <w:lang w:val="en-US" w:eastAsia="zh-CN" w:bidi="bn-IN"/>
        </w:rPr>
        <w:t xml:space="preserve">The theoretical foundation of ESG goes back to the triple bottom line model developed by Elkington (1998) that proposed the idea that companies ought to strike a balance between people, planet, and profit. Although qualitative and ethical responsibility was the focus of this model, ESG frameworks quantify these dimensions in form of measures that can be reviewed by investors, regulators, and stakeholders. In this way, ESG is no longer a voluntary but a data-driven accountability measure (Dathe </w:t>
      </w:r>
      <w:r w:rsidR="00642FAE" w:rsidRPr="00642FAE">
        <w:rPr>
          <w:i/>
          <w:iCs/>
          <w:lang w:val="en-US" w:eastAsia="zh-CN" w:bidi="bn-IN"/>
        </w:rPr>
        <w:t>et al</w:t>
      </w:r>
      <w:r w:rsidRPr="00375400">
        <w:rPr>
          <w:lang w:val="en-US" w:eastAsia="zh-CN" w:bidi="bn-IN"/>
        </w:rPr>
        <w:t>., 2022).</w:t>
      </w:r>
    </w:p>
    <w:p w14:paraId="6B3424FF" w14:textId="50F2C560" w:rsidR="00A0131F" w:rsidRDefault="00A0131F" w:rsidP="00A0131F">
      <w:pPr>
        <w:jc w:val="center"/>
        <w:rPr>
          <w:lang w:val="en-US" w:eastAsia="zh-CN" w:bidi="bn-IN"/>
        </w:rPr>
      </w:pPr>
      <w:r w:rsidRPr="00A0131F">
        <w:rPr>
          <w:noProof/>
          <w:lang w:val="en-US" w:eastAsia="zh-CN" w:bidi="bn-IN"/>
        </w:rPr>
        <w:lastRenderedPageBreak/>
        <w:drawing>
          <wp:inline distT="0" distB="0" distL="0" distR="0" wp14:anchorId="0C8AD835" wp14:editId="1B7BDD30">
            <wp:extent cx="4647125" cy="2858502"/>
            <wp:effectExtent l="0" t="0" r="1270" b="0"/>
            <wp:docPr id="1782858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58233" name=""/>
                    <pic:cNvPicPr/>
                  </pic:nvPicPr>
                  <pic:blipFill>
                    <a:blip r:embed="rId11"/>
                    <a:stretch>
                      <a:fillRect/>
                    </a:stretch>
                  </pic:blipFill>
                  <pic:spPr>
                    <a:xfrm>
                      <a:off x="0" y="0"/>
                      <a:ext cx="4654494" cy="2863035"/>
                    </a:xfrm>
                    <a:prstGeom prst="rect">
                      <a:avLst/>
                    </a:prstGeom>
                  </pic:spPr>
                </pic:pic>
              </a:graphicData>
            </a:graphic>
          </wp:inline>
        </w:drawing>
      </w:r>
    </w:p>
    <w:p w14:paraId="51FB3587" w14:textId="431A5600" w:rsidR="00A0131F" w:rsidRPr="00431C43" w:rsidRDefault="00A0131F" w:rsidP="00A0131F">
      <w:pPr>
        <w:pStyle w:val="NoSpacing"/>
        <w:rPr>
          <w:lang w:val="en-US" w:eastAsia="zh-CN" w:bidi="bn-IN"/>
        </w:rPr>
      </w:pPr>
      <w:bookmarkStart w:id="21" w:name="_Toc217952152"/>
      <w:bookmarkStart w:id="22" w:name="_Toc217953736"/>
      <w:r>
        <w:t xml:space="preserve">Figure </w:t>
      </w:r>
      <w:fldSimple w:instr=" SEQ Figure \* ARABIC ">
        <w:r w:rsidR="00F51EF3">
          <w:rPr>
            <w:noProof/>
          </w:rPr>
          <w:t>3</w:t>
        </w:r>
      </w:fldSimple>
      <w:r>
        <w:t xml:space="preserve"> </w:t>
      </w:r>
      <w:r w:rsidRPr="00A0131F">
        <w:rPr>
          <w:lang w:val="en-US" w:eastAsia="zh-CN" w:bidi="bn-IN"/>
        </w:rPr>
        <w:t>Carroll’s four-step CSR pyramid</w:t>
      </w:r>
      <w:r>
        <w:rPr>
          <w:lang w:val="en-US" w:eastAsia="zh-CN" w:bidi="bn-IN"/>
        </w:rPr>
        <w:t xml:space="preserve"> </w:t>
      </w:r>
      <w:r w:rsidRPr="00A0131F">
        <w:rPr>
          <w:lang w:val="en-US" w:eastAsia="zh-CN" w:bidi="bn-IN"/>
        </w:rPr>
        <w:t xml:space="preserve">(Dathe </w:t>
      </w:r>
      <w:r w:rsidR="00642FAE" w:rsidRPr="00642FAE">
        <w:rPr>
          <w:iCs/>
          <w:lang w:val="en-US" w:eastAsia="zh-CN" w:bidi="bn-IN"/>
        </w:rPr>
        <w:t>et al</w:t>
      </w:r>
      <w:r w:rsidRPr="00A0131F">
        <w:rPr>
          <w:iCs/>
          <w:lang w:val="en-US" w:eastAsia="zh-CN" w:bidi="bn-IN"/>
        </w:rPr>
        <w:t>.</w:t>
      </w:r>
      <w:r w:rsidRPr="00A0131F">
        <w:rPr>
          <w:lang w:val="en-US" w:eastAsia="zh-CN" w:bidi="bn-IN"/>
        </w:rPr>
        <w:t>, 2024)</w:t>
      </w:r>
      <w:bookmarkEnd w:id="21"/>
      <w:bookmarkEnd w:id="22"/>
    </w:p>
    <w:p w14:paraId="0504355D" w14:textId="77777777" w:rsidR="000F7960" w:rsidRPr="000F7960" w:rsidRDefault="000F7960" w:rsidP="000F7960">
      <w:pPr>
        <w:rPr>
          <w:lang w:val="en-US" w:eastAsia="zh-CN" w:bidi="bn-IN"/>
        </w:rPr>
      </w:pPr>
      <w:r>
        <w:rPr>
          <w:lang w:val="en-US" w:eastAsia="zh-CN" w:bidi="bn-IN"/>
        </w:rPr>
        <w:t xml:space="preserve"> </w:t>
      </w:r>
      <w:r w:rsidRPr="000F7960">
        <w:rPr>
          <w:lang w:val="en-US" w:eastAsia="zh-CN" w:bidi="bn-IN"/>
        </w:rPr>
        <w:t xml:space="preserve">CSR is one of the key factors in the conceptual foundations of ESG. The normative logic behind the adoption of sustainability and ethical </w:t>
      </w:r>
      <w:proofErr w:type="spellStart"/>
      <w:r w:rsidRPr="000F7960">
        <w:rPr>
          <w:lang w:val="en-US" w:eastAsia="zh-CN" w:bidi="bn-IN"/>
        </w:rPr>
        <w:t>practises</w:t>
      </w:r>
      <w:proofErr w:type="spellEnd"/>
      <w:r w:rsidRPr="000F7960">
        <w:rPr>
          <w:lang w:val="en-US" w:eastAsia="zh-CN" w:bidi="bn-IN"/>
        </w:rPr>
        <w:t xml:space="preserve"> by companies is presented by the pyramid of CSR created by Carroll (1979), where economic, legal, ethical, and philanthropic are distinguished. Subsequent developments, including the redefinition of the model by Carroll (2016) and a three-domain formulation by Schwartz and Carroll (2003), focused on overlapping domains and not hierarchical levels of responsibility. These frameworks are still applicable as they define how companies respond to the claims of stakeholders and bring a balance between the claims of compliance and voluntary ethical commitments. The model of strategic variation in the use of ESG initiatives among the different firms is further explained by Quazi and O’Brian (2000) two-dimensional model offering the dichotomy between broad and narrow CSR and a measure of perceived costs and perceived benefits.</w:t>
      </w:r>
    </w:p>
    <w:p w14:paraId="0D7FE46A" w14:textId="77777777" w:rsidR="000F7960" w:rsidRPr="000F7960" w:rsidRDefault="000F7960" w:rsidP="000F7960">
      <w:pPr>
        <w:rPr>
          <w:lang w:val="en-US" w:eastAsia="zh-CN" w:bidi="bn-IN"/>
        </w:rPr>
      </w:pPr>
      <w:r w:rsidRPr="000F7960">
        <w:rPr>
          <w:lang w:val="en-US" w:eastAsia="zh-CN" w:bidi="bn-IN"/>
        </w:rPr>
        <w:t xml:space="preserve">Although they are conceptually sound, CSR frameworks are relatively </w:t>
      </w:r>
      <w:proofErr w:type="spellStart"/>
      <w:r w:rsidRPr="000F7960">
        <w:rPr>
          <w:lang w:val="en-US" w:eastAsia="zh-CN" w:bidi="bn-IN"/>
        </w:rPr>
        <w:t>criticised</w:t>
      </w:r>
      <w:proofErr w:type="spellEnd"/>
      <w:r w:rsidRPr="000F7960">
        <w:rPr>
          <w:lang w:val="en-US" w:eastAsia="zh-CN" w:bidi="bn-IN"/>
        </w:rPr>
        <w:t xml:space="preserve"> as normative and qualitative in that they do not provide stockholders with the </w:t>
      </w:r>
      <w:proofErr w:type="spellStart"/>
      <w:r w:rsidRPr="000F7960">
        <w:rPr>
          <w:lang w:val="en-US" w:eastAsia="zh-CN" w:bidi="bn-IN"/>
        </w:rPr>
        <w:t>standardised</w:t>
      </w:r>
      <w:proofErr w:type="spellEnd"/>
      <w:r w:rsidRPr="000F7960">
        <w:rPr>
          <w:lang w:val="en-US" w:eastAsia="zh-CN" w:bidi="bn-IN"/>
        </w:rPr>
        <w:t xml:space="preserve"> metrics. In comparison, ESG frameworks pay more attention to quantitative measures, such as carbon intensity, gender diversity ratios and the governance independence score, so that they can be compared and reliable across firms (Gupta, 2021). Such shift indicates an increasing interest in quantifiable sustainability performance as was observed in the international systems of ESG reporting, including the Global Reporting Initiative (GRI), Sustainability Accounting Standards Board (SASB), and systems consistent with the Sustainable Development </w:t>
      </w:r>
      <w:r w:rsidRPr="000F7960">
        <w:rPr>
          <w:lang w:val="en-US" w:eastAsia="zh-CN" w:bidi="bn-IN"/>
        </w:rPr>
        <w:lastRenderedPageBreak/>
        <w:t>Goals (SDGs) (United Nations, 2015). These mechanisms turn sustainability performance into an auditable performance and include it in the processes of capital allocation and risk assessment.</w:t>
      </w:r>
    </w:p>
    <w:p w14:paraId="6F26607C" w14:textId="465F9096" w:rsidR="00431C43" w:rsidRDefault="000F7960" w:rsidP="000F7960">
      <w:pPr>
        <w:rPr>
          <w:lang w:val="en-US" w:eastAsia="zh-CN" w:bidi="bn-IN"/>
        </w:rPr>
      </w:pPr>
      <w:r w:rsidRPr="000F7960">
        <w:rPr>
          <w:lang w:val="en-US" w:eastAsia="zh-CN" w:bidi="bn-IN"/>
        </w:rPr>
        <w:t xml:space="preserve">But this quantification presents new problems. Theorists have pointed to the conflicts between conceptual richness and clarity of operations: CSR focuses on motives, ethics, and engagement with stakeholders, whereas ESG tends to streamline it into checklists and ratings (Crane and Matten, 2016). The differences in methodology used by ESG rating agencies and poor data quality also complicate comparisons, which leads to the issue of greenwashing and bias in metrics (Dathe </w:t>
      </w:r>
      <w:r w:rsidR="00642FAE" w:rsidRPr="00642FAE">
        <w:rPr>
          <w:i/>
          <w:iCs/>
          <w:lang w:val="en-US" w:eastAsia="zh-CN" w:bidi="bn-IN"/>
        </w:rPr>
        <w:t>et al</w:t>
      </w:r>
      <w:r w:rsidRPr="000F7960">
        <w:rPr>
          <w:lang w:val="en-US" w:eastAsia="zh-CN" w:bidi="bn-IN"/>
        </w:rPr>
        <w:t>., 2022). The argument against the hierarchical CSR pyramid by Carroll (2016) addresses ESG as well, where companies can consider compliance as an adequate measure of their ethical or social commitments. Therefore, although ESG has greater tools of governance and accountabilities, it is likely to focus more on what can be measured than on what is significant.</w:t>
      </w:r>
    </w:p>
    <w:p w14:paraId="12057483" w14:textId="5A8FCA88" w:rsidR="00A0131F" w:rsidRDefault="00A0131F" w:rsidP="00431C43">
      <w:pPr>
        <w:rPr>
          <w:lang w:val="en-US" w:eastAsia="zh-CN" w:bidi="bn-IN"/>
        </w:rPr>
      </w:pPr>
      <w:r>
        <w:rPr>
          <w:noProof/>
        </w:rPr>
        <w:drawing>
          <wp:inline distT="0" distB="0" distL="0" distR="0" wp14:anchorId="51E29029" wp14:editId="338E5551">
            <wp:extent cx="5731510" cy="2843530"/>
            <wp:effectExtent l="0" t="0" r="2540" b="0"/>
            <wp:docPr id="11128518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3530"/>
                    </a:xfrm>
                    <a:prstGeom prst="rect">
                      <a:avLst/>
                    </a:prstGeom>
                    <a:noFill/>
                    <a:ln>
                      <a:noFill/>
                    </a:ln>
                  </pic:spPr>
                </pic:pic>
              </a:graphicData>
            </a:graphic>
          </wp:inline>
        </w:drawing>
      </w:r>
    </w:p>
    <w:p w14:paraId="21353FA8" w14:textId="2AF73E37" w:rsidR="00A0131F" w:rsidRPr="00431C43" w:rsidRDefault="00A0131F" w:rsidP="00A0131F">
      <w:pPr>
        <w:pStyle w:val="NoSpacing"/>
        <w:rPr>
          <w:lang w:val="en-US" w:eastAsia="zh-CN" w:bidi="bn-IN"/>
        </w:rPr>
      </w:pPr>
      <w:bookmarkStart w:id="23" w:name="_Toc217952153"/>
      <w:bookmarkStart w:id="24" w:name="_Toc217953737"/>
      <w:r>
        <w:t xml:space="preserve">Figure </w:t>
      </w:r>
      <w:fldSimple w:instr=" SEQ Figure \* ARABIC ">
        <w:r w:rsidR="00F51EF3">
          <w:rPr>
            <w:noProof/>
          </w:rPr>
          <w:t>4</w:t>
        </w:r>
      </w:fldSimple>
      <w:r>
        <w:t xml:space="preserve"> </w:t>
      </w:r>
      <w:r w:rsidRPr="00431C43">
        <w:rPr>
          <w:lang w:val="en-US" w:eastAsia="zh-CN" w:bidi="bn-IN"/>
        </w:rPr>
        <w:t>The Sustainable Development Goals (SDGs)</w:t>
      </w:r>
      <w:r>
        <w:rPr>
          <w:lang w:val="en-US" w:eastAsia="zh-CN" w:bidi="bn-IN"/>
        </w:rPr>
        <w:t xml:space="preserve"> (</w:t>
      </w:r>
      <w:r w:rsidRPr="00431C43">
        <w:rPr>
          <w:lang w:val="en-US" w:eastAsia="zh-CN" w:bidi="bn-IN"/>
        </w:rPr>
        <w:t>United Nations</w:t>
      </w:r>
      <w:r>
        <w:rPr>
          <w:lang w:val="en-US" w:eastAsia="zh-CN" w:bidi="bn-IN"/>
        </w:rPr>
        <w:t xml:space="preserve">, </w:t>
      </w:r>
      <w:r w:rsidRPr="00431C43">
        <w:rPr>
          <w:lang w:val="en-US" w:eastAsia="zh-CN" w:bidi="bn-IN"/>
        </w:rPr>
        <w:t>2015)</w:t>
      </w:r>
      <w:bookmarkEnd w:id="23"/>
      <w:bookmarkEnd w:id="24"/>
    </w:p>
    <w:p w14:paraId="1E364BB6" w14:textId="77777777" w:rsidR="000F7960" w:rsidRPr="000F7960" w:rsidRDefault="000F7960" w:rsidP="000F7960">
      <w:pPr>
        <w:rPr>
          <w:lang w:val="en-US" w:eastAsia="zh-CN" w:bidi="bn-IN"/>
        </w:rPr>
      </w:pPr>
      <w:r w:rsidRPr="000F7960">
        <w:rPr>
          <w:lang w:val="en-US" w:eastAsia="zh-CN" w:bidi="bn-IN"/>
        </w:rPr>
        <w:t xml:space="preserve">The United Nations (2015) introduced the Sustainable Development Goals (SDGs) that have turned into an integrative approach that connects corporate ESG policies with the global sustainability goals. Most companies, including Siemens (2023) and Volkswagen (2023), currently position their ESG metrics as directly corresponding to the SDGs, thus showing their efforts in climate action, responsible consumption, and social equity. This </w:t>
      </w:r>
      <w:proofErr w:type="spellStart"/>
      <w:r w:rsidRPr="000F7960">
        <w:rPr>
          <w:lang w:val="en-US" w:eastAsia="zh-CN" w:bidi="bn-IN"/>
        </w:rPr>
        <w:t>connexion</w:t>
      </w:r>
      <w:proofErr w:type="spellEnd"/>
      <w:r w:rsidRPr="000F7960">
        <w:rPr>
          <w:lang w:val="en-US" w:eastAsia="zh-CN" w:bidi="bn-IN"/>
        </w:rPr>
        <w:t xml:space="preserve"> enhances the legitimacy of the ESG </w:t>
      </w:r>
      <w:proofErr w:type="spellStart"/>
      <w:r w:rsidRPr="000F7960">
        <w:rPr>
          <w:lang w:val="en-US" w:eastAsia="zh-CN" w:bidi="bn-IN"/>
        </w:rPr>
        <w:t>practises</w:t>
      </w:r>
      <w:proofErr w:type="spellEnd"/>
      <w:r w:rsidRPr="000F7960">
        <w:rPr>
          <w:lang w:val="en-US" w:eastAsia="zh-CN" w:bidi="bn-IN"/>
        </w:rPr>
        <w:t xml:space="preserve"> that </w:t>
      </w:r>
      <w:r w:rsidRPr="000F7960">
        <w:rPr>
          <w:lang w:val="en-US" w:eastAsia="zh-CN" w:bidi="bn-IN"/>
        </w:rPr>
        <w:lastRenderedPageBreak/>
        <w:t>integrate the reporting in the private sector with the goals of the policy in the public (UNDP, 2023).</w:t>
      </w:r>
    </w:p>
    <w:p w14:paraId="79D9133B" w14:textId="7143DF21" w:rsidR="00B267C5" w:rsidRDefault="000F7960" w:rsidP="000F7960">
      <w:pPr>
        <w:rPr>
          <w:lang w:val="en-US" w:eastAsia="zh-CN" w:bidi="bn-IN"/>
        </w:rPr>
      </w:pPr>
      <w:r w:rsidRPr="000F7960">
        <w:rPr>
          <w:lang w:val="en-US" w:eastAsia="zh-CN" w:bidi="bn-IN"/>
        </w:rPr>
        <w:t xml:space="preserve">Simply put, good ESR frameworks consist of a combination of normative advice of the CSR theory (what firms should do), integrative logic of the triple bottom line (how economic, environmental, and social objectives interact), and governance and reporting systems that turn sustainability performance into observable and investable. ESG is therefore not a substitute of CSR but an extension of the latter, a pragmatic implementation that turns the moral obligation into measurable effect and responsibility (Elkington, 1998; Carroll, 2016; Dathe </w:t>
      </w:r>
      <w:r w:rsidR="00642FAE" w:rsidRPr="00642FAE">
        <w:rPr>
          <w:i/>
          <w:iCs/>
          <w:lang w:val="en-US" w:eastAsia="zh-CN" w:bidi="bn-IN"/>
        </w:rPr>
        <w:t>et al</w:t>
      </w:r>
      <w:r w:rsidRPr="000F7960">
        <w:rPr>
          <w:lang w:val="en-US" w:eastAsia="zh-CN" w:bidi="bn-IN"/>
        </w:rPr>
        <w:t>., 2022).</w:t>
      </w:r>
    </w:p>
    <w:p w14:paraId="3BE971B6" w14:textId="7876A956" w:rsidR="00A0131F" w:rsidRDefault="001B056D" w:rsidP="001B056D">
      <w:pPr>
        <w:pStyle w:val="Heading3"/>
        <w:rPr>
          <w:lang w:eastAsia="zh-CN" w:bidi="bn-IN"/>
        </w:rPr>
      </w:pPr>
      <w:bookmarkStart w:id="25" w:name="_Toc217953846"/>
      <w:r w:rsidRPr="001B056D">
        <w:rPr>
          <w:lang w:eastAsia="zh-CN" w:bidi="bn-IN"/>
        </w:rPr>
        <w:t xml:space="preserve">ESG </w:t>
      </w:r>
      <w:r w:rsidR="00B15BE6">
        <w:rPr>
          <w:lang w:eastAsia="zh-CN" w:bidi="bn-IN"/>
        </w:rPr>
        <w:t>F</w:t>
      </w:r>
      <w:r w:rsidRPr="001B056D">
        <w:rPr>
          <w:lang w:eastAsia="zh-CN" w:bidi="bn-IN"/>
        </w:rPr>
        <w:t xml:space="preserve">rameworks and </w:t>
      </w:r>
      <w:r>
        <w:rPr>
          <w:lang w:eastAsia="zh-CN" w:bidi="bn-IN"/>
        </w:rPr>
        <w:t>R</w:t>
      </w:r>
      <w:r w:rsidRPr="001B056D">
        <w:rPr>
          <w:lang w:eastAsia="zh-CN" w:bidi="bn-IN"/>
        </w:rPr>
        <w:t xml:space="preserve">eporting </w:t>
      </w:r>
      <w:r>
        <w:rPr>
          <w:lang w:eastAsia="zh-CN" w:bidi="bn-IN"/>
        </w:rPr>
        <w:t>S</w:t>
      </w:r>
      <w:r w:rsidRPr="001B056D">
        <w:rPr>
          <w:lang w:eastAsia="zh-CN" w:bidi="bn-IN"/>
        </w:rPr>
        <w:t>tandards</w:t>
      </w:r>
      <w:bookmarkEnd w:id="25"/>
    </w:p>
    <w:p w14:paraId="16079151" w14:textId="4B020EC5" w:rsidR="000F7960" w:rsidRDefault="000F7960" w:rsidP="000F7960">
      <w:r>
        <w:t>In the automotive sector, the concept of Environmental, Social, and Governance (ESG) reporting is a prominent aspect of corporate transparency that is necessitated by regulatory and compliance provisions, investor demands, as well as rising consumer values of sustainability (</w:t>
      </w:r>
      <w:proofErr w:type="spellStart"/>
      <w:r>
        <w:t>Arhinful</w:t>
      </w:r>
      <w:proofErr w:type="spellEnd"/>
      <w:r>
        <w:t xml:space="preserve">, Mensah and Owusu-Sarfo, 2024; </w:t>
      </w:r>
      <w:proofErr w:type="spellStart"/>
      <w:r>
        <w:t>Chomachaei</w:t>
      </w:r>
      <w:proofErr w:type="spellEnd"/>
      <w:r>
        <w:t xml:space="preserve"> and </w:t>
      </w:r>
      <w:proofErr w:type="spellStart"/>
      <w:r>
        <w:t>Golmohammadi</w:t>
      </w:r>
      <w:proofErr w:type="spellEnd"/>
      <w:r>
        <w:t xml:space="preserve">, 2023). Traditional internal combustion engine (ICE) producers and electric vehicle (EV) firms are all under scrutiny on the environmental footprint, supply chain operations, and governance (Glova and Panko, 2025; Zhao </w:t>
      </w:r>
      <w:r w:rsidR="00642FAE" w:rsidRPr="00642FAE">
        <w:rPr>
          <w:i/>
          <w:iCs/>
        </w:rPr>
        <w:t>et al</w:t>
      </w:r>
      <w:r>
        <w:t xml:space="preserve">., 2025). ESG frameworks offer systematic methods through which businesses report performance, compare themselves with competitors in the industry, and commit themselves to sustainable and ethical business processes (Vijaya </w:t>
      </w:r>
      <w:r w:rsidR="00642FAE" w:rsidRPr="00642FAE">
        <w:rPr>
          <w:i/>
          <w:iCs/>
        </w:rPr>
        <w:t>et al</w:t>
      </w:r>
      <w:r>
        <w:t>., 2024; Chen, 2024).</w:t>
      </w:r>
    </w:p>
    <w:p w14:paraId="3B5E8939" w14:textId="7201D2D4" w:rsidR="000F7960" w:rsidRDefault="000F7960" w:rsidP="000F7960">
      <w:r>
        <w:t xml:space="preserve">One of the most popular frameworks is the Global Reporting Initiative (GRI), which offers full-scale information on how to report on economic, environmental, and social impacts (Vijaya </w:t>
      </w:r>
      <w:r w:rsidR="00642FAE" w:rsidRPr="00642FAE">
        <w:rPr>
          <w:i/>
          <w:iCs/>
        </w:rPr>
        <w:t>et al</w:t>
      </w:r>
      <w:r>
        <w:t xml:space="preserve">., 2024; Chandrasekaran, 2022). GRI standards are also commonly applied in the automotive industry to report the measurement of carbon emissions, energy use, waste management, labour practises, diversity, and community involvement (Guha </w:t>
      </w:r>
      <w:r w:rsidR="00642FAE" w:rsidRPr="00642FAE">
        <w:rPr>
          <w:i/>
          <w:iCs/>
        </w:rPr>
        <w:t>et al</w:t>
      </w:r>
      <w:r>
        <w:t xml:space="preserve">., 2018; Pipitone, </w:t>
      </w:r>
      <w:proofErr w:type="spellStart"/>
      <w:r>
        <w:t>Caltabellotta</w:t>
      </w:r>
      <w:proofErr w:type="spellEnd"/>
      <w:r>
        <w:t xml:space="preserve"> and Occhipinti, 2021). Although GRI is widely applicable and can help address stakeholders, its comprehensive reporting framework may encourage businesses to focus only on positive results and minimise the adverse effects (Chandrasekaran, 2022; </w:t>
      </w:r>
      <w:proofErr w:type="spellStart"/>
      <w:r>
        <w:t>Chomachaei</w:t>
      </w:r>
      <w:proofErr w:type="spellEnd"/>
      <w:r>
        <w:t xml:space="preserve"> and </w:t>
      </w:r>
      <w:proofErr w:type="spellStart"/>
      <w:r>
        <w:t>Golmohammadi</w:t>
      </w:r>
      <w:proofErr w:type="spellEnd"/>
      <w:r>
        <w:t>, 2023).</w:t>
      </w:r>
    </w:p>
    <w:p w14:paraId="34C31D69" w14:textId="54B51F85" w:rsidR="000F7960" w:rsidRDefault="000F7960" w:rsidP="000F7960">
      <w:r>
        <w:lastRenderedPageBreak/>
        <w:t xml:space="preserve">A complementary approach is offered by the Sustainability Accounting Standards Board (SASB), which believes in industry-specific metrics, based on financially material sustainability factors. In the case of automotive businesses, SASB standards focus on the efficiency of operations, fuel, battery safety, and regulatory, but especially in the case of EV manufacturers in relation to battery lifecycle management and sourcing of rare Earth materials (Choi and Cho, 2025; Yu </w:t>
      </w:r>
      <w:r w:rsidR="00642FAE" w:rsidRPr="00642FAE">
        <w:rPr>
          <w:i/>
          <w:iCs/>
        </w:rPr>
        <w:t>et al</w:t>
      </w:r>
      <w:r>
        <w:t>., 2025). Despite its relevance to investors, and the fact that SASB is more materiality-driven, the social and governance aspects are not represented as well as in GRI (Glova and Panko, 2025).</w:t>
      </w:r>
    </w:p>
    <w:p w14:paraId="3C4C067C" w14:textId="2EC3CF34" w:rsidR="000F7960" w:rsidRDefault="000F7960" w:rsidP="000F7960">
      <w:r>
        <w:t xml:space="preserve">Another valuable framework is the Task Force on Climate-related Financial Disclosures (TCFD), which is specifically devoted to the climate-related risks and opportunities. TCFD guidelines can be applied by auto companies when they report their governance models, their low-carbon transition strategies, a risk management process, and climate-related indicators (Alanazi, 2023; Komiyama and Fujii, 2015). EV manufacturers in this regard use the TCFD-aligned reporting to emphasize complying with the net-zero goals and the use of renewable energy (Veza </w:t>
      </w:r>
      <w:r w:rsidR="00642FAE" w:rsidRPr="00642FAE">
        <w:rPr>
          <w:i/>
          <w:iCs/>
        </w:rPr>
        <w:t>et al</w:t>
      </w:r>
      <w:r>
        <w:t>., 2023; Zhao, 2025). Nevertheless, the fact that TCFD focuses on climate concerns first of all implies that other ESG-related issues will be addressed to a lesser extent (Chandrasekaran, 2022).</w:t>
      </w:r>
    </w:p>
    <w:p w14:paraId="4BA18582" w14:textId="28FD69DE" w:rsidR="000F7960" w:rsidRDefault="000F7960" w:rsidP="000F7960">
      <w:r>
        <w:t>The UN Global Compact (UNGC) is a voluntary model that is based on human rights, labour standards, environmental stewardship, and anti-corruption principles. The major multinational automotive companies tend to use the UNGC principles to approach responsible supply chain management and ethical corporate behaviour (</w:t>
      </w:r>
      <w:proofErr w:type="spellStart"/>
      <w:r>
        <w:t>Helfaya</w:t>
      </w:r>
      <w:proofErr w:type="spellEnd"/>
      <w:r>
        <w:t xml:space="preserve"> and Bui, 2025; Thorat, Kumar and Sandhu, 2024). Although it is aspirational in nature, the UNGC is voluntary and narrative and has little to no mechanisms that could make it enforceable (Vijaya </w:t>
      </w:r>
      <w:r w:rsidR="00642FAE" w:rsidRPr="00642FAE">
        <w:rPr>
          <w:i/>
          <w:iCs/>
        </w:rPr>
        <w:t>et al</w:t>
      </w:r>
      <w:r>
        <w:t>., 2024).</w:t>
      </w:r>
    </w:p>
    <w:p w14:paraId="0E8BAA7D" w14:textId="08F0E823" w:rsidR="000F7960" w:rsidRDefault="000F7960" w:rsidP="000F7960">
      <w:r>
        <w:t xml:space="preserve">The implementation of ESG reporting varies among the traditional and electric vehicle manufacturers. Traditional car manufacturers have long been concerned with regulatory compliance, emission reporting, and energy efficiency, which is increasingly being supported with social and governance considerations, such as GRI and SASB (Kour </w:t>
      </w:r>
      <w:r w:rsidR="00642FAE" w:rsidRPr="00642FAE">
        <w:rPr>
          <w:i/>
          <w:iCs/>
        </w:rPr>
        <w:t>et al</w:t>
      </w:r>
      <w:r>
        <w:t xml:space="preserve">., 2020; Glova and Panko, 2025). EV companies, on the other hand, tend to focus on climate-related disclosures and in the development of battery production and energy efficiency, making ESG communication the core strategy of investors and </w:t>
      </w:r>
      <w:r>
        <w:lastRenderedPageBreak/>
        <w:t xml:space="preserve">consumers (Choi and Cho, 2025; Zhao </w:t>
      </w:r>
      <w:r w:rsidR="00642FAE" w:rsidRPr="00642FAE">
        <w:rPr>
          <w:i/>
          <w:iCs/>
        </w:rPr>
        <w:t>et al</w:t>
      </w:r>
      <w:r>
        <w:t xml:space="preserve">., 2024). However, smaller or newer EV companies might not have an extensive ESG reporting policy, which represents a promotion gap in the industry (Yu </w:t>
      </w:r>
      <w:r w:rsidR="00642FAE" w:rsidRPr="00642FAE">
        <w:rPr>
          <w:i/>
          <w:iCs/>
        </w:rPr>
        <w:t>et al</w:t>
      </w:r>
      <w:r>
        <w:t xml:space="preserve">., 2025; </w:t>
      </w:r>
      <w:proofErr w:type="spellStart"/>
      <w:r>
        <w:t>Nuryakin</w:t>
      </w:r>
      <w:proofErr w:type="spellEnd"/>
      <w:r>
        <w:t xml:space="preserve"> </w:t>
      </w:r>
      <w:r w:rsidR="00642FAE" w:rsidRPr="00642FAE">
        <w:rPr>
          <w:i/>
          <w:iCs/>
        </w:rPr>
        <w:t>et al</w:t>
      </w:r>
      <w:r>
        <w:t>., 2019).</w:t>
      </w:r>
    </w:p>
    <w:p w14:paraId="2CDDDD24" w14:textId="2D5A1361" w:rsidR="00375400" w:rsidRPr="000F7960" w:rsidRDefault="000F7960" w:rsidP="005124A1">
      <w:r>
        <w:t>A major challenge in ESG reporting in the automotive industry is the heterogeneity of reporting standards, data availability, and quality especially in long supply chains. The threat of greenwashing still also exists, and the companies might show the positive outcomes of sustainability and hide the negative ones. Moreover, the companies are being driven towards more standardisation and mandatory reporting by regulatory pressures, including the Corporate Sustainability Reporting Directive (CSRD) of the European Union. Comprehensively, although ESG frameworks offer systematic approaches to disclosure and stakeholder engagement, to achieve meaningful comparability and credibility, reporting standards should be harmonised, and an equal emphasis should be placed on the environmental, social, and governance performance.</w:t>
      </w:r>
    </w:p>
    <w:p w14:paraId="48C8491D" w14:textId="639E6975" w:rsidR="00B15BE6" w:rsidRDefault="00B15BE6" w:rsidP="004A2B2B">
      <w:pPr>
        <w:pStyle w:val="Heading3"/>
        <w:rPr>
          <w:lang w:eastAsia="zh-CN" w:bidi="bn-IN"/>
        </w:rPr>
      </w:pPr>
      <w:bookmarkStart w:id="26" w:name="_Hlk213691280"/>
      <w:bookmarkStart w:id="27" w:name="_Toc217953847"/>
      <w:r>
        <w:rPr>
          <w:lang w:eastAsia="zh-CN" w:bidi="bn-IN"/>
        </w:rPr>
        <w:t>Environmental Practices in the Automotive Industry</w:t>
      </w:r>
      <w:bookmarkEnd w:id="27"/>
    </w:p>
    <w:p w14:paraId="7F047150" w14:textId="11A5CA7A" w:rsidR="000F7960" w:rsidRDefault="000F7960" w:rsidP="000F7960">
      <w:r>
        <w:t xml:space="preserve">The automotive industry has been a key area of environmental practises to both regulators and corporate sustainability policies as societal and investor pressures increase on ensuring a reduction of climate change and environmental impact (Ha, 2019; Glova and Panko, 2025). Firms across the industry are implementing various programmes related to the minimization of greenhouse gas emissions, enhanced energy efficiency, better resource utilisation, and the incorporation of the principles of the circular economy into production and product life cycles (Guha </w:t>
      </w:r>
      <w:r w:rsidR="00642FAE" w:rsidRPr="00642FAE">
        <w:rPr>
          <w:i/>
          <w:iCs/>
        </w:rPr>
        <w:t>et al</w:t>
      </w:r>
      <w:r>
        <w:t xml:space="preserve">., 2018; Pipitone, </w:t>
      </w:r>
      <w:proofErr w:type="spellStart"/>
      <w:r>
        <w:t>Caltabellotta</w:t>
      </w:r>
      <w:proofErr w:type="spellEnd"/>
      <w:r>
        <w:t xml:space="preserve"> and Occhipinti, 2021). These practises do not only deal with environmental responsibility, but also more and more affect corporate reputation, stakeholder engagement, and long-term financial performance (Chandrasekaran, 2022; Alanazi, 2023).</w:t>
      </w:r>
    </w:p>
    <w:p w14:paraId="687C0BFC" w14:textId="7ED37F38" w:rsidR="000F7960" w:rsidRDefault="000F7960" w:rsidP="000F7960">
      <w:r>
        <w:t>The concept of environmental practises in traditional automotive companies has long focused on fuel efficiency, tailpipe emissions, and adherence to more stringent regional and international regulations (</w:t>
      </w:r>
      <w:proofErr w:type="spellStart"/>
      <w:r>
        <w:t>Chomachaei</w:t>
      </w:r>
      <w:proofErr w:type="spellEnd"/>
      <w:r>
        <w:t xml:space="preserve"> and </w:t>
      </w:r>
      <w:proofErr w:type="spellStart"/>
      <w:r>
        <w:t>Golmohammadi</w:t>
      </w:r>
      <w:proofErr w:type="spellEnd"/>
      <w:r>
        <w:t xml:space="preserve">, 2023; Kour </w:t>
      </w:r>
      <w:r w:rsidR="00642FAE" w:rsidRPr="00642FAE">
        <w:rPr>
          <w:i/>
          <w:iCs/>
        </w:rPr>
        <w:t>et al</w:t>
      </w:r>
      <w:r>
        <w:t xml:space="preserve">., 2020). To comply with emission regulations in the market, manufacturers are having to invest in cleaner engine technologies, alternative fuels and minor gains in vehicle efficiency (Veza </w:t>
      </w:r>
      <w:r w:rsidR="00642FAE" w:rsidRPr="00642FAE">
        <w:rPr>
          <w:i/>
          <w:iCs/>
        </w:rPr>
        <w:t>et al</w:t>
      </w:r>
      <w:r>
        <w:t xml:space="preserve">., 2023; Thorat, Kumar and Sandhu, 2024). The waste </w:t>
      </w:r>
      <w:r>
        <w:lastRenderedPageBreak/>
        <w:t>treatment and energy conservation within manufacturing facilities are also rather important, yet numerous conventional companies struggle to update the structure to comply with contemporary sustainability standards (Chandrasekaran, 2022; Glova and Panko, 2025). Resource management may also be broadened to supply chain management and especially in the sourcing of steel, aluminium, and other raw material although monitoring and reporting at Tier 2 and Tier 3 supplier levels may not be consistent (</w:t>
      </w:r>
      <w:proofErr w:type="spellStart"/>
      <w:r>
        <w:t>Arhinful</w:t>
      </w:r>
      <w:proofErr w:type="spellEnd"/>
      <w:r>
        <w:t>, Mensah and Owusu-Sarfo, 2024; Chen, 2024). Although these practices reflect a wish to be environmentally compliant, opponents claim that the traditional car firms have been less swift to embrace systemic changes to be net-zero (</w:t>
      </w:r>
      <w:proofErr w:type="spellStart"/>
      <w:r>
        <w:t>Chimachaei</w:t>
      </w:r>
      <w:proofErr w:type="spellEnd"/>
      <w:r>
        <w:t xml:space="preserve"> and </w:t>
      </w:r>
      <w:proofErr w:type="spellStart"/>
      <w:r>
        <w:t>Golmohammadi</w:t>
      </w:r>
      <w:proofErr w:type="spellEnd"/>
      <w:r>
        <w:t>, 2023; Glova and Panko, 2025).</w:t>
      </w:r>
    </w:p>
    <w:p w14:paraId="79E4C18C" w14:textId="6E8BE6B8" w:rsidR="000F7960" w:rsidRDefault="000F7960" w:rsidP="000F7960">
      <w:r>
        <w:t xml:space="preserve">In their turn, EV firms are naturally better poised to prioritise environmental sustainability, and zero tailpipe emissions are one of the cornerstones (Komiyama and Fujii, 2015; Zeng </w:t>
      </w:r>
      <w:r w:rsidR="00642FAE" w:rsidRPr="00642FAE">
        <w:rPr>
          <w:i/>
          <w:iCs/>
        </w:rPr>
        <w:t>et al</w:t>
      </w:r>
      <w:r>
        <w:t xml:space="preserve">., 2020). In addition to vehicle emissions, EV producers pay attention to the overall environmental footprint of manufacturing, especially battery manufacturing, to consume a lot of energy and use such precious materials as lithium, cobalt, and nickel (Choi and Cho, 2025; Yu </w:t>
      </w:r>
      <w:r w:rsidR="00642FAE" w:rsidRPr="00642FAE">
        <w:rPr>
          <w:i/>
          <w:iCs/>
        </w:rPr>
        <w:t>et al</w:t>
      </w:r>
      <w:r>
        <w:t xml:space="preserve">., 2025). The most popular EV companies use strategies to enhance the life cycle of the battery, increase recycling, and obtain materials in a responsible manner (Zhao </w:t>
      </w:r>
      <w:r w:rsidR="00642FAE" w:rsidRPr="00642FAE">
        <w:rPr>
          <w:i/>
          <w:iCs/>
        </w:rPr>
        <w:t>et al</w:t>
      </w:r>
      <w:r>
        <w:t xml:space="preserve">., 2025; Zhao </w:t>
      </w:r>
      <w:r w:rsidR="00642FAE" w:rsidRPr="00642FAE">
        <w:rPr>
          <w:i/>
          <w:iCs/>
        </w:rPr>
        <w:t>et al</w:t>
      </w:r>
      <w:r>
        <w:t xml:space="preserve">., 2024). The EV environmental strategies are becoming more and more integrated with renewable energy in the manufacturing plants, supply chain decarbonisation, and design to be circular (Alanazi, 2023; Lu </w:t>
      </w:r>
      <w:r w:rsidR="00642FAE" w:rsidRPr="00642FAE">
        <w:rPr>
          <w:i/>
          <w:iCs/>
        </w:rPr>
        <w:t>et al</w:t>
      </w:r>
      <w:r>
        <w:t xml:space="preserve">., 2025). Nevertheless, the sector is experiencing a growing level of scrutiny in terms of environmental footprint of extracting raw materials, battery disposal, and sourcing of conflict minerals, making it clear that EVs are not free of environmental issues (Veza </w:t>
      </w:r>
      <w:r w:rsidR="00642FAE" w:rsidRPr="00642FAE">
        <w:rPr>
          <w:i/>
          <w:iCs/>
        </w:rPr>
        <w:t>et al</w:t>
      </w:r>
      <w:r>
        <w:t>., 2023; Ha, 2019).</w:t>
      </w:r>
    </w:p>
    <w:p w14:paraId="7C675ABC" w14:textId="25B75F0F" w:rsidR="000F7960" w:rsidRPr="005124A1" w:rsidRDefault="000F7960" w:rsidP="000F7960">
      <w:r>
        <w:t xml:space="preserve">In comparison, the traditional automotive companies frequently show gradual shifts in environmental performance within the existing production paradigm, where EV companies tend to work in the direction of radical changes that would decarbonise the product and operations (Pipitone, </w:t>
      </w:r>
      <w:proofErr w:type="spellStart"/>
      <w:r>
        <w:t>Caltabellotta</w:t>
      </w:r>
      <w:proofErr w:type="spellEnd"/>
      <w:r>
        <w:t xml:space="preserve"> and Occhipinti, 2021; Choi and Cho, 2025). However, the regulatory pressure, investor requirements and the changed preferences of consumers are leading to the convergence of both segments in some areas that include energy-efficient manufacturing, emissions reporting and sustainable supply chain management (Glova and Panko, 2025; Thorat, Kumar and Sandhu, 2024). The establishment of cutting-edge technologies, including energy-efficient </w:t>
      </w:r>
      <w:r>
        <w:lastRenderedPageBreak/>
        <w:t xml:space="preserve">production, use of renewable energy, and lifecycle assessment tools, is already a visible attribute in the industry, but it is implemented in a significantly different manner, based on the size of a company, the place where it is, and strategic priorities (Guha </w:t>
      </w:r>
      <w:r w:rsidR="00642FAE" w:rsidRPr="00642FAE">
        <w:rPr>
          <w:i/>
          <w:iCs/>
        </w:rPr>
        <w:t>et al</w:t>
      </w:r>
      <w:r>
        <w:t xml:space="preserve">., 2018; Pipitone, </w:t>
      </w:r>
      <w:proofErr w:type="spellStart"/>
      <w:r>
        <w:t>Caltabellotta</w:t>
      </w:r>
      <w:proofErr w:type="spellEnd"/>
      <w:r>
        <w:t xml:space="preserve"> and Occhipinti, 2021).</w:t>
      </w:r>
    </w:p>
    <w:p w14:paraId="7D1E83E6" w14:textId="563CB1A1" w:rsidR="00B15BE6" w:rsidRDefault="004A2B2B" w:rsidP="004A2B2B">
      <w:pPr>
        <w:pStyle w:val="Heading3"/>
        <w:rPr>
          <w:lang w:eastAsia="zh-CN" w:bidi="bn-IN"/>
        </w:rPr>
      </w:pPr>
      <w:bookmarkStart w:id="28" w:name="_Toc217953848"/>
      <w:r>
        <w:rPr>
          <w:lang w:eastAsia="zh-CN" w:bidi="bn-IN"/>
        </w:rPr>
        <w:t>Social Practices in the Automotive Industry</w:t>
      </w:r>
      <w:bookmarkEnd w:id="28"/>
    </w:p>
    <w:p w14:paraId="5D90E89D" w14:textId="1CD33C5F" w:rsidR="000F7960" w:rsidRPr="000F7960" w:rsidRDefault="000F7960" w:rsidP="000F7960">
      <w:pPr>
        <w:rPr>
          <w:lang w:val="en-US" w:eastAsia="zh-CN" w:bidi="bn-IN"/>
        </w:rPr>
      </w:pPr>
      <w:r w:rsidRPr="000F7960">
        <w:rPr>
          <w:lang w:val="en-US" w:eastAsia="zh-CN" w:bidi="bn-IN"/>
        </w:rPr>
        <w:t xml:space="preserve">Social </w:t>
      </w:r>
      <w:proofErr w:type="spellStart"/>
      <w:r w:rsidRPr="000F7960">
        <w:rPr>
          <w:lang w:val="en-US" w:eastAsia="zh-CN" w:bidi="bn-IN"/>
        </w:rPr>
        <w:t>practises</w:t>
      </w:r>
      <w:proofErr w:type="spellEnd"/>
      <w:r w:rsidRPr="000F7960">
        <w:rPr>
          <w:lang w:val="en-US" w:eastAsia="zh-CN" w:bidi="bn-IN"/>
        </w:rPr>
        <w:t xml:space="preserve"> in the automotive business subject are a wide spectrum of initiatives that foster employee welfare, diversity and inclusion, community involvement, and ethical labour </w:t>
      </w:r>
      <w:proofErr w:type="spellStart"/>
      <w:r w:rsidRPr="000F7960">
        <w:rPr>
          <w:lang w:val="en-US" w:eastAsia="zh-CN" w:bidi="bn-IN"/>
        </w:rPr>
        <w:t>practises</w:t>
      </w:r>
      <w:proofErr w:type="spellEnd"/>
      <w:r w:rsidRPr="000F7960">
        <w:rPr>
          <w:lang w:val="en-US" w:eastAsia="zh-CN" w:bidi="bn-IN"/>
        </w:rPr>
        <w:t xml:space="preserve"> through the intricate international supply chains (Vijaya </w:t>
      </w:r>
      <w:r w:rsidR="00642FAE" w:rsidRPr="00642FAE">
        <w:rPr>
          <w:i/>
          <w:iCs/>
          <w:lang w:val="en-US" w:eastAsia="zh-CN" w:bidi="bn-IN"/>
        </w:rPr>
        <w:t>et al</w:t>
      </w:r>
      <w:r w:rsidRPr="000F7960">
        <w:rPr>
          <w:lang w:val="en-US" w:eastAsia="zh-CN" w:bidi="bn-IN"/>
        </w:rPr>
        <w:t xml:space="preserve">., 2024; Chandrasekaran, 2022). Since the sector is large and depends on both skilled and unskilled labour, social responsibility is currently a pivotal element of corporate ESG strategies, thereby affecting brand reputation, regulatory compliance, and stakeholder trust (Glova and Panko, 2025; </w:t>
      </w:r>
      <w:proofErr w:type="spellStart"/>
      <w:r w:rsidRPr="000F7960">
        <w:rPr>
          <w:lang w:val="en-US" w:eastAsia="zh-CN" w:bidi="bn-IN"/>
        </w:rPr>
        <w:t>Nuryakin</w:t>
      </w:r>
      <w:proofErr w:type="spellEnd"/>
      <w:r w:rsidRPr="000F7960">
        <w:rPr>
          <w:lang w:val="en-US" w:eastAsia="zh-CN" w:bidi="bn-IN"/>
        </w:rPr>
        <w:t xml:space="preserve"> </w:t>
      </w:r>
      <w:r w:rsidR="00642FAE" w:rsidRPr="00642FAE">
        <w:rPr>
          <w:i/>
          <w:iCs/>
          <w:lang w:val="en-US" w:eastAsia="zh-CN" w:bidi="bn-IN"/>
        </w:rPr>
        <w:t>et al</w:t>
      </w:r>
      <w:r w:rsidRPr="000F7960">
        <w:rPr>
          <w:lang w:val="en-US" w:eastAsia="zh-CN" w:bidi="bn-IN"/>
        </w:rPr>
        <w:t xml:space="preserve">., 2019). Better social </w:t>
      </w:r>
      <w:proofErr w:type="spellStart"/>
      <w:r w:rsidRPr="000F7960">
        <w:rPr>
          <w:lang w:val="en-US" w:eastAsia="zh-CN" w:bidi="bn-IN"/>
        </w:rPr>
        <w:t>practises</w:t>
      </w:r>
      <w:proofErr w:type="spellEnd"/>
      <w:r w:rsidRPr="000F7960">
        <w:rPr>
          <w:lang w:val="en-US" w:eastAsia="zh-CN" w:bidi="bn-IN"/>
        </w:rPr>
        <w:t xml:space="preserve"> are beneficial to not only meet ethical requirements but also lead to </w:t>
      </w:r>
      <w:proofErr w:type="spellStart"/>
      <w:r w:rsidRPr="000F7960">
        <w:rPr>
          <w:lang w:val="en-US" w:eastAsia="zh-CN" w:bidi="bn-IN"/>
        </w:rPr>
        <w:t>organisational</w:t>
      </w:r>
      <w:proofErr w:type="spellEnd"/>
      <w:r w:rsidRPr="000F7960">
        <w:rPr>
          <w:lang w:val="en-US" w:eastAsia="zh-CN" w:bidi="bn-IN"/>
        </w:rPr>
        <w:t xml:space="preserve"> resilience, innovation and sustainability (Yu </w:t>
      </w:r>
      <w:r w:rsidR="00642FAE" w:rsidRPr="00642FAE">
        <w:rPr>
          <w:i/>
          <w:iCs/>
          <w:lang w:val="en-US" w:eastAsia="zh-CN" w:bidi="bn-IN"/>
        </w:rPr>
        <w:t>et al</w:t>
      </w:r>
      <w:r w:rsidRPr="000F7960">
        <w:rPr>
          <w:lang w:val="en-US" w:eastAsia="zh-CN" w:bidi="bn-IN"/>
        </w:rPr>
        <w:t>., 2025; Thorat, Kumar and Sandhu, 2024).</w:t>
      </w:r>
    </w:p>
    <w:p w14:paraId="1B38A7AE" w14:textId="6EBFD05E" w:rsidR="000F7960" w:rsidRPr="000F7960" w:rsidRDefault="000F7960" w:rsidP="000F7960">
      <w:pPr>
        <w:rPr>
          <w:lang w:val="en-US" w:eastAsia="zh-CN" w:bidi="bn-IN"/>
        </w:rPr>
      </w:pPr>
      <w:r w:rsidRPr="000F7960">
        <w:rPr>
          <w:lang w:val="en-US" w:eastAsia="zh-CN" w:bidi="bn-IN"/>
        </w:rPr>
        <w:t xml:space="preserve">Traditional car manufacturers have traditionally paid attention to occupational health and safety, training of their workers, and employee involvement in social activities (Chandrasekaran, 2022; Kour </w:t>
      </w:r>
      <w:r w:rsidR="00642FAE" w:rsidRPr="00642FAE">
        <w:rPr>
          <w:i/>
          <w:iCs/>
          <w:lang w:val="en-US" w:eastAsia="zh-CN" w:bidi="bn-IN"/>
        </w:rPr>
        <w:t>et al</w:t>
      </w:r>
      <w:r w:rsidRPr="000F7960">
        <w:rPr>
          <w:lang w:val="en-US" w:eastAsia="zh-CN" w:bidi="bn-IN"/>
        </w:rPr>
        <w:t xml:space="preserve">., 2020). Formal health and safety measures are used in large manufacturers to reduce the risks faced in the workplace, especially in assembly plants and production facilities, and human resource </w:t>
      </w:r>
      <w:proofErr w:type="spellStart"/>
      <w:r w:rsidRPr="000F7960">
        <w:rPr>
          <w:lang w:val="en-US" w:eastAsia="zh-CN" w:bidi="bn-IN"/>
        </w:rPr>
        <w:t>programmes</w:t>
      </w:r>
      <w:proofErr w:type="spellEnd"/>
      <w:r w:rsidRPr="000F7960">
        <w:rPr>
          <w:lang w:val="en-US" w:eastAsia="zh-CN" w:bidi="bn-IN"/>
        </w:rPr>
        <w:t xml:space="preserve"> are focused on skills development, career advancement, and retention (Glova and Panko, 2025; Chen, 2024). The efforts of diversity and inclusion are slowly becoming more visible, especially under the pressure of mass-media attention and regulatory pressure; yet, traditionally, the industry has struggled to balance the representation of women and their representation in senior leadership positions (</w:t>
      </w:r>
      <w:proofErr w:type="spellStart"/>
      <w:r w:rsidRPr="000F7960">
        <w:rPr>
          <w:lang w:val="en-US" w:eastAsia="zh-CN" w:bidi="bn-IN"/>
        </w:rPr>
        <w:t>Arhinful</w:t>
      </w:r>
      <w:proofErr w:type="spellEnd"/>
      <w:r w:rsidRPr="000F7960">
        <w:rPr>
          <w:lang w:val="en-US" w:eastAsia="zh-CN" w:bidi="bn-IN"/>
        </w:rPr>
        <w:t xml:space="preserve">, Mensah and Owusu-Sarfo, 2024; </w:t>
      </w:r>
      <w:proofErr w:type="spellStart"/>
      <w:r w:rsidRPr="000F7960">
        <w:rPr>
          <w:lang w:val="en-US" w:eastAsia="zh-CN" w:bidi="bn-IN"/>
        </w:rPr>
        <w:t>Chomachaei</w:t>
      </w:r>
      <w:proofErr w:type="spellEnd"/>
      <w:r w:rsidRPr="000F7960">
        <w:rPr>
          <w:lang w:val="en-US" w:eastAsia="zh-CN" w:bidi="bn-IN"/>
        </w:rPr>
        <w:t xml:space="preserve"> and </w:t>
      </w:r>
      <w:proofErr w:type="spellStart"/>
      <w:r w:rsidRPr="000F7960">
        <w:rPr>
          <w:lang w:val="en-US" w:eastAsia="zh-CN" w:bidi="bn-IN"/>
        </w:rPr>
        <w:t>Golmohammadi</w:t>
      </w:r>
      <w:proofErr w:type="spellEnd"/>
      <w:r w:rsidRPr="000F7960">
        <w:rPr>
          <w:lang w:val="en-US" w:eastAsia="zh-CN" w:bidi="bn-IN"/>
        </w:rPr>
        <w:t xml:space="preserve">, 2023). In addition to the workforce, conventional automotive companies participate in community outreach </w:t>
      </w:r>
      <w:proofErr w:type="spellStart"/>
      <w:r w:rsidRPr="000F7960">
        <w:rPr>
          <w:lang w:val="en-US" w:eastAsia="zh-CN" w:bidi="bn-IN"/>
        </w:rPr>
        <w:t>programmes</w:t>
      </w:r>
      <w:proofErr w:type="spellEnd"/>
      <w:r w:rsidRPr="000F7960">
        <w:rPr>
          <w:lang w:val="en-US" w:eastAsia="zh-CN" w:bidi="bn-IN"/>
        </w:rPr>
        <w:t xml:space="preserve">, such as local hiring, charitable associations with partners and sponsorship of community education, which demonstrate social impact beyond the corporate boundary (Veza </w:t>
      </w:r>
      <w:r w:rsidR="00642FAE" w:rsidRPr="00642FAE">
        <w:rPr>
          <w:i/>
          <w:iCs/>
          <w:lang w:val="en-US" w:eastAsia="zh-CN" w:bidi="bn-IN"/>
        </w:rPr>
        <w:t>et al</w:t>
      </w:r>
      <w:r w:rsidRPr="000F7960">
        <w:rPr>
          <w:lang w:val="en-US" w:eastAsia="zh-CN" w:bidi="bn-IN"/>
        </w:rPr>
        <w:t xml:space="preserve">., 2023; Pipitone, </w:t>
      </w:r>
      <w:proofErr w:type="spellStart"/>
      <w:r w:rsidRPr="000F7960">
        <w:rPr>
          <w:lang w:val="en-US" w:eastAsia="zh-CN" w:bidi="bn-IN"/>
        </w:rPr>
        <w:t>Caltabellotto</w:t>
      </w:r>
      <w:proofErr w:type="spellEnd"/>
      <w:r w:rsidRPr="000F7960">
        <w:rPr>
          <w:lang w:val="en-US" w:eastAsia="zh-CN" w:bidi="bn-IN"/>
        </w:rPr>
        <w:t xml:space="preserve"> and Occhipinti, 2021). Another important social aspect that warrants attention is supply chain management: these companies should provide a guarantee of ethical labour behaviour of suppliers; </w:t>
      </w:r>
      <w:r w:rsidRPr="000F7960">
        <w:rPr>
          <w:lang w:val="en-US" w:eastAsia="zh-CN" w:bidi="bn-IN"/>
        </w:rPr>
        <w:lastRenderedPageBreak/>
        <w:t xml:space="preserve">moreover, they should make sure that the labour standards in the area are not lower than those in other regions (Vijaya </w:t>
      </w:r>
      <w:r w:rsidR="00642FAE" w:rsidRPr="00642FAE">
        <w:rPr>
          <w:i/>
          <w:iCs/>
          <w:lang w:val="en-US" w:eastAsia="zh-CN" w:bidi="bn-IN"/>
        </w:rPr>
        <w:t>et al</w:t>
      </w:r>
      <w:r w:rsidRPr="000F7960">
        <w:rPr>
          <w:lang w:val="en-US" w:eastAsia="zh-CN" w:bidi="bn-IN"/>
        </w:rPr>
        <w:t xml:space="preserve">., 2024; Zhao </w:t>
      </w:r>
      <w:r w:rsidR="00642FAE" w:rsidRPr="00642FAE">
        <w:rPr>
          <w:i/>
          <w:iCs/>
          <w:lang w:val="en-US" w:eastAsia="zh-CN" w:bidi="bn-IN"/>
        </w:rPr>
        <w:t>et al</w:t>
      </w:r>
      <w:r w:rsidRPr="000F7960">
        <w:rPr>
          <w:lang w:val="en-US" w:eastAsia="zh-CN" w:bidi="bn-IN"/>
        </w:rPr>
        <w:t>., 2025).</w:t>
      </w:r>
    </w:p>
    <w:p w14:paraId="67856D1D" w14:textId="788D4379" w:rsidR="000F7960" w:rsidRPr="000F7960" w:rsidRDefault="000F7960" w:rsidP="000F7960">
      <w:pPr>
        <w:rPr>
          <w:lang w:val="en-US" w:eastAsia="zh-CN" w:bidi="bn-IN"/>
        </w:rPr>
      </w:pPr>
      <w:r w:rsidRPr="000F7960">
        <w:rPr>
          <w:lang w:val="en-US" w:eastAsia="zh-CN" w:bidi="bn-IN"/>
        </w:rPr>
        <w:t xml:space="preserve">Although electric vehicle companies have similar social concerns, they tend to be more comprehensive in their approach to workforce and community engagement (Choi and Cho, 2025; Yu </w:t>
      </w:r>
      <w:r w:rsidR="00642FAE" w:rsidRPr="00642FAE">
        <w:rPr>
          <w:i/>
          <w:iCs/>
          <w:lang w:val="en-US" w:eastAsia="zh-CN" w:bidi="bn-IN"/>
        </w:rPr>
        <w:t>et al</w:t>
      </w:r>
      <w:r w:rsidRPr="000F7960">
        <w:rPr>
          <w:lang w:val="en-US" w:eastAsia="zh-CN" w:bidi="bn-IN"/>
        </w:rPr>
        <w:t xml:space="preserve">., 2025). Since they are a smaller company and have a younger corporate culture, a significant portion of EV manufacturers focus on innovation-driven talent management, inclusivity, and corporate culture as the key aspects of their social strategy (Thorat, Kumar and Sandhu, 2024; Zhao, 2025). The most popular include employee well-being </w:t>
      </w:r>
      <w:proofErr w:type="spellStart"/>
      <w:r w:rsidRPr="000F7960">
        <w:rPr>
          <w:lang w:val="en-US" w:eastAsia="zh-CN" w:bidi="bn-IN"/>
        </w:rPr>
        <w:t>programmes</w:t>
      </w:r>
      <w:proofErr w:type="spellEnd"/>
      <w:r w:rsidRPr="000F7960">
        <w:rPr>
          <w:lang w:val="en-US" w:eastAsia="zh-CN" w:bidi="bn-IN"/>
        </w:rPr>
        <w:t xml:space="preserve">, flexible working hours, and ongoing learning opportunities that are meant to attract and keep highly skilled personnel in an industry full of competition (Yu </w:t>
      </w:r>
      <w:r w:rsidR="00642FAE" w:rsidRPr="00642FAE">
        <w:rPr>
          <w:i/>
          <w:iCs/>
          <w:lang w:val="en-US" w:eastAsia="zh-CN" w:bidi="bn-IN"/>
        </w:rPr>
        <w:t>et al</w:t>
      </w:r>
      <w:r w:rsidRPr="000F7960">
        <w:rPr>
          <w:lang w:val="en-US" w:eastAsia="zh-CN" w:bidi="bn-IN"/>
        </w:rPr>
        <w:t xml:space="preserve">., 2025; </w:t>
      </w:r>
      <w:proofErr w:type="spellStart"/>
      <w:r w:rsidRPr="000F7960">
        <w:rPr>
          <w:lang w:val="en-US" w:eastAsia="zh-CN" w:bidi="bn-IN"/>
        </w:rPr>
        <w:t>Nuryakin</w:t>
      </w:r>
      <w:proofErr w:type="spellEnd"/>
      <w:r w:rsidRPr="000F7960">
        <w:rPr>
          <w:lang w:val="en-US" w:eastAsia="zh-CN" w:bidi="bn-IN"/>
        </w:rPr>
        <w:t xml:space="preserve"> </w:t>
      </w:r>
      <w:r w:rsidR="00642FAE" w:rsidRPr="00642FAE">
        <w:rPr>
          <w:i/>
          <w:iCs/>
          <w:lang w:val="en-US" w:eastAsia="zh-CN" w:bidi="bn-IN"/>
        </w:rPr>
        <w:t>et al</w:t>
      </w:r>
      <w:r w:rsidRPr="000F7960">
        <w:rPr>
          <w:lang w:val="en-US" w:eastAsia="zh-CN" w:bidi="bn-IN"/>
        </w:rPr>
        <w:t xml:space="preserve">., 2019). The suppliers of battery material to EV companies are another aspect that is gaining more interest among the companies to combat the possible human rights violations, child labour, and unsafe working conditions (Choi and Cho, 2025; Zhao </w:t>
      </w:r>
      <w:r w:rsidR="00642FAE" w:rsidRPr="00642FAE">
        <w:rPr>
          <w:i/>
          <w:iCs/>
          <w:lang w:val="en-US" w:eastAsia="zh-CN" w:bidi="bn-IN"/>
        </w:rPr>
        <w:t>et al</w:t>
      </w:r>
      <w:r w:rsidRPr="000F7960">
        <w:rPr>
          <w:lang w:val="en-US" w:eastAsia="zh-CN" w:bidi="bn-IN"/>
        </w:rPr>
        <w:t xml:space="preserve">., 2025). Community activities can also be consistent with more general environmental and sustainability goals, such as programs supporting STEM education, renewable energy education, and local economic growth (Lu </w:t>
      </w:r>
      <w:r w:rsidR="00642FAE" w:rsidRPr="00642FAE">
        <w:rPr>
          <w:i/>
          <w:iCs/>
          <w:lang w:val="en-US" w:eastAsia="zh-CN" w:bidi="bn-IN"/>
        </w:rPr>
        <w:t>et al</w:t>
      </w:r>
      <w:r w:rsidRPr="000F7960">
        <w:rPr>
          <w:lang w:val="en-US" w:eastAsia="zh-CN" w:bidi="bn-IN"/>
        </w:rPr>
        <w:t xml:space="preserve">., 2025; Veza </w:t>
      </w:r>
      <w:r w:rsidR="00642FAE" w:rsidRPr="00642FAE">
        <w:rPr>
          <w:i/>
          <w:iCs/>
          <w:lang w:val="en-US" w:eastAsia="zh-CN" w:bidi="bn-IN"/>
        </w:rPr>
        <w:t>et al</w:t>
      </w:r>
      <w:r w:rsidRPr="000F7960">
        <w:rPr>
          <w:lang w:val="en-US" w:eastAsia="zh-CN" w:bidi="bn-IN"/>
        </w:rPr>
        <w:t>., 2023).</w:t>
      </w:r>
    </w:p>
    <w:p w14:paraId="4EB09DE0" w14:textId="6FA1ED0E" w:rsidR="000F7960" w:rsidRPr="005124A1" w:rsidRDefault="000F7960" w:rsidP="000F7960">
      <w:pPr>
        <w:rPr>
          <w:lang w:val="en-US" w:eastAsia="zh-CN" w:bidi="bn-IN"/>
        </w:rPr>
      </w:pPr>
      <w:r w:rsidRPr="000F7960">
        <w:rPr>
          <w:lang w:val="en-US" w:eastAsia="zh-CN" w:bidi="bn-IN"/>
        </w:rPr>
        <w:t xml:space="preserve">In comparative terms, however, the traditional automotive firms tend to have more established yet compliance-driven social </w:t>
      </w:r>
      <w:proofErr w:type="spellStart"/>
      <w:r w:rsidRPr="000F7960">
        <w:rPr>
          <w:lang w:val="en-US" w:eastAsia="zh-CN" w:bidi="bn-IN"/>
        </w:rPr>
        <w:t>practises</w:t>
      </w:r>
      <w:proofErr w:type="spellEnd"/>
      <w:r w:rsidRPr="000F7960">
        <w:rPr>
          <w:lang w:val="en-US" w:eastAsia="zh-CN" w:bidi="bn-IN"/>
        </w:rPr>
        <w:t xml:space="preserve">, whereas the EV makers incorporate the social aspect into their core business strategy and culture (Chandrasekaran, 2022; Glova and Panko, 2025). Although the issues of labour </w:t>
      </w:r>
      <w:proofErr w:type="spellStart"/>
      <w:r w:rsidRPr="000F7960">
        <w:rPr>
          <w:lang w:val="en-US" w:eastAsia="zh-CN" w:bidi="bn-IN"/>
        </w:rPr>
        <w:t>practises</w:t>
      </w:r>
      <w:proofErr w:type="spellEnd"/>
      <w:r w:rsidRPr="000F7960">
        <w:rPr>
          <w:lang w:val="en-US" w:eastAsia="zh-CN" w:bidi="bn-IN"/>
        </w:rPr>
        <w:t xml:space="preserve"> of the supply chain are similar in both industries, EV companies are frequently </w:t>
      </w:r>
      <w:proofErr w:type="spellStart"/>
      <w:r w:rsidRPr="000F7960">
        <w:rPr>
          <w:lang w:val="en-US" w:eastAsia="zh-CN" w:bidi="bn-IN"/>
        </w:rPr>
        <w:t>scrutinised</w:t>
      </w:r>
      <w:proofErr w:type="spellEnd"/>
      <w:r w:rsidRPr="000F7960">
        <w:rPr>
          <w:lang w:val="en-US" w:eastAsia="zh-CN" w:bidi="bn-IN"/>
        </w:rPr>
        <w:t xml:space="preserve"> more because of the highly active extraction of minerals to create batteries (Komiyama and Fujii, 2015; Zeng </w:t>
      </w:r>
      <w:r w:rsidR="00642FAE" w:rsidRPr="00642FAE">
        <w:rPr>
          <w:i/>
          <w:iCs/>
          <w:lang w:val="en-US" w:eastAsia="zh-CN" w:bidi="bn-IN"/>
        </w:rPr>
        <w:t>et al</w:t>
      </w:r>
      <w:r w:rsidRPr="000F7960">
        <w:rPr>
          <w:lang w:val="en-US" w:eastAsia="zh-CN" w:bidi="bn-IN"/>
        </w:rPr>
        <w:t xml:space="preserve">., 2020). Formal reporting and monitoring are also increasingly used throughout the sector, which adapts frameworks like Global Reporting Initiative (GRI) and UN Global Compact principles to reveal social performance and communicate its intentions to stakeholders (Vijaya </w:t>
      </w:r>
      <w:r w:rsidR="00642FAE" w:rsidRPr="00642FAE">
        <w:rPr>
          <w:i/>
          <w:iCs/>
          <w:lang w:val="en-US" w:eastAsia="zh-CN" w:bidi="bn-IN"/>
        </w:rPr>
        <w:t>et al</w:t>
      </w:r>
      <w:r w:rsidRPr="000F7960">
        <w:rPr>
          <w:lang w:val="en-US" w:eastAsia="zh-CN" w:bidi="bn-IN"/>
        </w:rPr>
        <w:t xml:space="preserve">., 2024; </w:t>
      </w:r>
      <w:proofErr w:type="spellStart"/>
      <w:r w:rsidRPr="000F7960">
        <w:rPr>
          <w:lang w:val="en-US" w:eastAsia="zh-CN" w:bidi="bn-IN"/>
        </w:rPr>
        <w:t>Helfaya</w:t>
      </w:r>
      <w:proofErr w:type="spellEnd"/>
      <w:r w:rsidRPr="000F7960">
        <w:rPr>
          <w:lang w:val="en-US" w:eastAsia="zh-CN" w:bidi="bn-IN"/>
        </w:rPr>
        <w:t xml:space="preserve"> and Bui, 2025).</w:t>
      </w:r>
    </w:p>
    <w:p w14:paraId="4FA5DEB1" w14:textId="295D1F52" w:rsidR="004A2B2B" w:rsidRDefault="004A2B2B" w:rsidP="004A2B2B">
      <w:pPr>
        <w:pStyle w:val="Heading3"/>
        <w:rPr>
          <w:lang w:eastAsia="zh-CN" w:bidi="bn-IN"/>
        </w:rPr>
      </w:pPr>
      <w:bookmarkStart w:id="29" w:name="_Toc217953849"/>
      <w:r w:rsidRPr="004A2B2B">
        <w:rPr>
          <w:lang w:eastAsia="zh-CN" w:bidi="bn-IN"/>
        </w:rPr>
        <w:t>Governance</w:t>
      </w:r>
      <w:r>
        <w:rPr>
          <w:lang w:eastAsia="zh-CN" w:bidi="bn-IN"/>
        </w:rPr>
        <w:t xml:space="preserve"> </w:t>
      </w:r>
      <w:r w:rsidRPr="004A2B2B">
        <w:rPr>
          <w:lang w:eastAsia="zh-CN" w:bidi="bn-IN"/>
        </w:rPr>
        <w:t>Practices in the Automotive Industry</w:t>
      </w:r>
      <w:bookmarkEnd w:id="29"/>
    </w:p>
    <w:p w14:paraId="5489132E" w14:textId="35BC71EE" w:rsidR="000F7960" w:rsidRDefault="000F7960" w:rsidP="000F7960">
      <w:r>
        <w:t>The automotive industry is a primary source of corporate accountability, transparency, and ethical decision-making by the governance practises that directly affect investor confidence, regulatory compliance, and corporate reputation in general (</w:t>
      </w:r>
      <w:proofErr w:type="spellStart"/>
      <w:r>
        <w:t>Arhinful</w:t>
      </w:r>
      <w:proofErr w:type="spellEnd"/>
      <w:r>
        <w:t xml:space="preserve">, </w:t>
      </w:r>
      <w:r>
        <w:lastRenderedPageBreak/>
        <w:t xml:space="preserve">Mensah and Owusu-Sarfo, 2024; Glova and Panko, 2025). Effective governance frameworks allow firms to address risks (such as those related to environmental and social duty) and continue to be in line with the expectations of stakeholders in a highly globalised sector that is as capital-intensive as it is (Vijaya </w:t>
      </w:r>
      <w:r w:rsidR="00642FAE" w:rsidRPr="00642FAE">
        <w:rPr>
          <w:i/>
          <w:iCs/>
        </w:rPr>
        <w:t>et al</w:t>
      </w:r>
      <w:r>
        <w:t>., 2024; Chen, 2024). The governance practises include board composition, executive control, risk management, anti-corruption, and reporting transparency, which are becoming more considered as a part of ESG evaluations (</w:t>
      </w:r>
      <w:proofErr w:type="spellStart"/>
      <w:r>
        <w:t>Helfaya</w:t>
      </w:r>
      <w:proofErr w:type="spellEnd"/>
      <w:r>
        <w:t xml:space="preserve"> and Bui, 2025; Zhao </w:t>
      </w:r>
      <w:r w:rsidR="00642FAE" w:rsidRPr="00642FAE">
        <w:rPr>
          <w:i/>
          <w:iCs/>
        </w:rPr>
        <w:t>et al</w:t>
      </w:r>
      <w:r>
        <w:t>., 2025).</w:t>
      </w:r>
    </w:p>
    <w:p w14:paraId="29B1B968" w14:textId="0A83813E" w:rsidR="000F7960" w:rsidRDefault="000F7960" w:rsidP="000F7960">
      <w:r>
        <w:t>Within conventional automotive corporations such as Toyota, Ford, and Volkswagen, the practise of governance is usually well-established and formalised, as decades of operational maturity and regulatory oversight (</w:t>
      </w:r>
      <w:proofErr w:type="spellStart"/>
      <w:r>
        <w:t>Chomachaei</w:t>
      </w:r>
      <w:proofErr w:type="spellEnd"/>
      <w:r>
        <w:t xml:space="preserve"> and </w:t>
      </w:r>
      <w:proofErr w:type="spellStart"/>
      <w:r>
        <w:t>Golmohammadi</w:t>
      </w:r>
      <w:proofErr w:type="spellEnd"/>
      <w:r>
        <w:t xml:space="preserve">, 2023; Glova and Panko, 2025). An illustrative case of Toyota, the company has a distinct division between its supervisory and executive board, with a critical focus on risk management, adherence, and long-term strategic planning (Zhao, 2025; Chen, 2024). Ford has introduced elaborate governance procedures, such as sustainability-based executive compensation, audit committees, and risk control measures that mitigate environmental, operational, and financial risks (Glova and Panko, 2025; Kour </w:t>
      </w:r>
      <w:r w:rsidR="00642FAE" w:rsidRPr="00642FAE">
        <w:rPr>
          <w:i/>
          <w:iCs/>
        </w:rPr>
        <w:t>et al</w:t>
      </w:r>
      <w:r>
        <w:t>., 2020). Following the emissions scandals, Volkswagen has intensified its governance practises, establishing additional independent oversight of the board, increasing compliance schemes, and improving upon reporting transparency to revive trust among the stakeholders (</w:t>
      </w:r>
      <w:proofErr w:type="spellStart"/>
      <w:r>
        <w:t>Chomachaei</w:t>
      </w:r>
      <w:proofErr w:type="spellEnd"/>
      <w:r>
        <w:t xml:space="preserve"> and </w:t>
      </w:r>
      <w:proofErr w:type="spellStart"/>
      <w:r>
        <w:t>Golmohammadi</w:t>
      </w:r>
      <w:proofErr w:type="spellEnd"/>
      <w:r>
        <w:t xml:space="preserve">, 2023; Chandrasekaran, 2022). Within these businesses, the emerging practise of governance mechanisms is becoming more and more tightly coupled with ESG reporting as part of the understanding that ethical leadership and corporate responsibility are the key to long-term competitive advantage and reputational integrity (Vijaya </w:t>
      </w:r>
      <w:r w:rsidR="00642FAE" w:rsidRPr="00642FAE">
        <w:rPr>
          <w:i/>
          <w:iCs/>
        </w:rPr>
        <w:t>et al</w:t>
      </w:r>
      <w:r>
        <w:t xml:space="preserve">., 2024; </w:t>
      </w:r>
      <w:proofErr w:type="spellStart"/>
      <w:r>
        <w:t>Helfaya</w:t>
      </w:r>
      <w:proofErr w:type="spellEnd"/>
      <w:r>
        <w:t xml:space="preserve"> and Bui, 2025).</w:t>
      </w:r>
    </w:p>
    <w:p w14:paraId="2222A1A0" w14:textId="2603B4C6" w:rsidR="000F7960" w:rsidRDefault="000F7960" w:rsidP="000F7960">
      <w:r>
        <w:t xml:space="preserve">A somewhat different strategy of governance can be observed in the case of electric vehicle companies, such as Tesla, Rivian, and NIO, which are often influenced by the youthfulness of their organisational structures and high-growth trajectories (Choi and Cho, 2025; Yu </w:t>
      </w:r>
      <w:r w:rsidR="00642FAE" w:rsidRPr="00642FAE">
        <w:rPr>
          <w:i/>
          <w:iCs/>
        </w:rPr>
        <w:t>et al</w:t>
      </w:r>
      <w:r>
        <w:t xml:space="preserve">., 2025). Although a corporation that is innovative in its approach to corporate strategy, product development, Tesla has undergone criticism on matters of independence of the board and decision-making by the executive, pointing to the issues of balancing entrepreneurial agility and strong governance (Zhao, 2025; Thorat, Kumar and Sandhu, 2024). As it expands, Rivian has been investing in organised risk </w:t>
      </w:r>
      <w:r>
        <w:lastRenderedPageBreak/>
        <w:t xml:space="preserve">management systems, ESG management boards, and reporting frameworks that help to reassure investors and stakeholders (Yu </w:t>
      </w:r>
      <w:r w:rsidR="00642FAE" w:rsidRPr="00642FAE">
        <w:rPr>
          <w:i/>
          <w:iCs/>
        </w:rPr>
        <w:t>et al</w:t>
      </w:r>
      <w:r>
        <w:t xml:space="preserve">., 2025; Zhao </w:t>
      </w:r>
      <w:r w:rsidR="00642FAE" w:rsidRPr="00642FAE">
        <w:rPr>
          <w:i/>
          <w:iCs/>
        </w:rPr>
        <w:t>et al</w:t>
      </w:r>
      <w:r>
        <w:t xml:space="preserve">., 2024). NIO, one of the largest Chinese EV producers, balances the conventional approaches to governance with a novel sustainability management, incorporating ESG-related concerns into the decision-making and reporting procedures at the board level to meet the expectations of the global investors (Choi and Cho, 2025; Zhao </w:t>
      </w:r>
      <w:r w:rsidR="00642FAE" w:rsidRPr="00642FAE">
        <w:rPr>
          <w:i/>
          <w:iCs/>
        </w:rPr>
        <w:t>et al</w:t>
      </w:r>
      <w:r>
        <w:t>., 2024).</w:t>
      </w:r>
    </w:p>
    <w:p w14:paraId="52C24A1F" w14:textId="196B8670" w:rsidR="000F7960" w:rsidRPr="002A140E" w:rsidRDefault="000F7960" w:rsidP="002A140E">
      <w:pPr>
        <w:rPr>
          <w:lang w:val="en-US" w:eastAsia="zh-CN" w:bidi="bn-IN"/>
        </w:rPr>
      </w:pPr>
      <w:r>
        <w:t xml:space="preserve">The overall automotive sector is trending towards increased </w:t>
      </w:r>
      <w:proofErr w:type="spellStart"/>
      <w:r>
        <w:t>normatisation</w:t>
      </w:r>
      <w:proofErr w:type="spellEnd"/>
      <w:r>
        <w:t xml:space="preserve"> and reporting of governance activities, commonly informed by frameworks like the GRI, SASB and UN Global Compact, and focusing on board diversity, ethical control and risk management in line with the environmental and social goals.</w:t>
      </w:r>
    </w:p>
    <w:p w14:paraId="58A3C436" w14:textId="77777777" w:rsidR="00391EB6" w:rsidRDefault="00391EB6" w:rsidP="008C5097">
      <w:pPr>
        <w:pStyle w:val="Heading2"/>
      </w:pPr>
      <w:bookmarkStart w:id="30" w:name="_Toc217953850"/>
      <w:bookmarkEnd w:id="26"/>
      <w:r w:rsidRPr="008C5097">
        <w:t>Conceptual Framework</w:t>
      </w:r>
      <w:bookmarkEnd w:id="30"/>
      <w:r w:rsidRPr="008C5097">
        <w:t xml:space="preserve"> </w:t>
      </w:r>
    </w:p>
    <w:p w14:paraId="732C85F6" w14:textId="4CE57B68" w:rsidR="000336AF" w:rsidRDefault="008B7779" w:rsidP="004C4DB6">
      <w:pPr>
        <w:jc w:val="center"/>
      </w:pPr>
      <w:r w:rsidRPr="008B7779">
        <w:rPr>
          <w:noProof/>
        </w:rPr>
        <w:drawing>
          <wp:inline distT="0" distB="0" distL="0" distR="0" wp14:anchorId="1ABC2391" wp14:editId="4C795598">
            <wp:extent cx="5140960" cy="2032234"/>
            <wp:effectExtent l="0" t="0" r="2540" b="6350"/>
            <wp:docPr id="25" name="Picture 24">
              <a:extLst xmlns:a="http://schemas.openxmlformats.org/drawingml/2006/main">
                <a:ext uri="{FF2B5EF4-FFF2-40B4-BE49-F238E27FC236}">
                  <a16:creationId xmlns:a16="http://schemas.microsoft.com/office/drawing/2014/main" id="{D3A34266-3F96-C43C-5ABB-2610DCA2DD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a:extLst>
                        <a:ext uri="{FF2B5EF4-FFF2-40B4-BE49-F238E27FC236}">
                          <a16:creationId xmlns:a16="http://schemas.microsoft.com/office/drawing/2014/main" id="{D3A34266-3F96-C43C-5ABB-2610DCA2DD1C}"/>
                        </a:ext>
                      </a:extLst>
                    </pic:cNvPr>
                    <pic:cNvPicPr>
                      <a:picLocks noChangeAspect="1"/>
                    </pic:cNvPicPr>
                  </pic:nvPicPr>
                  <pic:blipFill>
                    <a:blip r:embed="rId13"/>
                    <a:stretch>
                      <a:fillRect/>
                    </a:stretch>
                  </pic:blipFill>
                  <pic:spPr>
                    <a:xfrm>
                      <a:off x="0" y="0"/>
                      <a:ext cx="5146632" cy="2034476"/>
                    </a:xfrm>
                    <a:prstGeom prst="rect">
                      <a:avLst/>
                    </a:prstGeom>
                  </pic:spPr>
                </pic:pic>
              </a:graphicData>
            </a:graphic>
          </wp:inline>
        </w:drawing>
      </w:r>
    </w:p>
    <w:p w14:paraId="1FBA108C" w14:textId="4EB386B0" w:rsidR="00F51EF3" w:rsidRPr="000336AF" w:rsidRDefault="00F51EF3" w:rsidP="000C3A4F">
      <w:pPr>
        <w:pStyle w:val="Caption"/>
        <w:spacing w:line="276" w:lineRule="auto"/>
        <w:jc w:val="center"/>
      </w:pPr>
      <w:bookmarkStart w:id="31" w:name="_Toc217953738"/>
      <w:r>
        <w:t xml:space="preserve">Figure </w:t>
      </w:r>
      <w:fldSimple w:instr=" SEQ Figure \* ARABIC ">
        <w:r>
          <w:rPr>
            <w:noProof/>
          </w:rPr>
          <w:t>5</w:t>
        </w:r>
      </w:fldSimple>
      <w:r>
        <w:t xml:space="preserve"> Conceptual Framework of the</w:t>
      </w:r>
      <w:r w:rsidR="000C3A4F">
        <w:t xml:space="preserve"> Drivers, Barriers and Impact of ESG Adoption in the Automotive Industry (Adapted from the Literature Review)</w:t>
      </w:r>
      <w:bookmarkEnd w:id="31"/>
    </w:p>
    <w:p w14:paraId="1DAB1F3D" w14:textId="77777777" w:rsidR="00391EB6" w:rsidRPr="008C5097" w:rsidRDefault="00391EB6" w:rsidP="008C5097">
      <w:pPr>
        <w:pStyle w:val="Heading2"/>
      </w:pPr>
      <w:bookmarkStart w:id="32" w:name="_Toc217953851"/>
      <w:r w:rsidRPr="008C5097">
        <w:t>Conclusion of Chapter</w:t>
      </w:r>
      <w:bookmarkEnd w:id="32"/>
    </w:p>
    <w:p w14:paraId="78881EEA" w14:textId="48FA0CF5" w:rsidR="008C5097" w:rsidRDefault="000F7960" w:rsidP="004C4DB6">
      <w:r w:rsidRPr="000F7960">
        <w:t xml:space="preserve">To conclude, the use of Environmental, Social and Governance practises (ESG) within the automotive industry is a product of increasing convergence of regulatory pressure, investor expectations and consumer demand and is the need to conduct business responsibly and in ways that are environmentally sustainable and ethical. The conventional automotive companies have mostly worked on incremental changes within the existing production and governance structures, emphasising environmental emissions, workforce safety and compliance-related social programmes. Manufacturers of electric vehicles, conversely, are using ESG as a competitive advantage by seeking radical solutions in decarbonisation, supply chain accountability, and workforce and governance practises that are driven by innovation. </w:t>
      </w:r>
    </w:p>
    <w:p w14:paraId="48DA35E9" w14:textId="6B0F5498" w:rsidR="00391EB6" w:rsidRPr="008C5097" w:rsidRDefault="00786750" w:rsidP="008C5097">
      <w:pPr>
        <w:pStyle w:val="Heading1"/>
      </w:pPr>
      <w:bookmarkStart w:id="33" w:name="_Toc217953852"/>
      <w:r w:rsidRPr="008C5097">
        <w:lastRenderedPageBreak/>
        <w:t>CHAPTER 3: RESEARCH METHODOLOGY</w:t>
      </w:r>
      <w:bookmarkEnd w:id="33"/>
      <w:r w:rsidRPr="008C5097">
        <w:t xml:space="preserve"> </w:t>
      </w:r>
    </w:p>
    <w:p w14:paraId="765301CF" w14:textId="18133E36" w:rsidR="00391EB6" w:rsidRDefault="00391EB6" w:rsidP="008C5097">
      <w:pPr>
        <w:pStyle w:val="Heading2"/>
      </w:pPr>
      <w:bookmarkStart w:id="34" w:name="_Toc217953853"/>
      <w:r w:rsidRPr="008C5097">
        <w:t>Introduction</w:t>
      </w:r>
      <w:bookmarkEnd w:id="34"/>
    </w:p>
    <w:p w14:paraId="67B59F77" w14:textId="054C7454" w:rsidR="00394687" w:rsidRPr="00394687" w:rsidRDefault="000F7960" w:rsidP="00394687">
      <w:pPr>
        <w:rPr>
          <w:lang w:val="en-US"/>
        </w:rPr>
      </w:pPr>
      <w:r w:rsidRPr="000F7960">
        <w:rPr>
          <w:lang w:val="en-US"/>
        </w:rPr>
        <w:t xml:space="preserve">This chapter describes the research design that was used to carry out a systematic review of environmental, social, and governance (ESG) </w:t>
      </w:r>
      <w:proofErr w:type="spellStart"/>
      <w:r w:rsidRPr="000F7960">
        <w:rPr>
          <w:lang w:val="en-US"/>
        </w:rPr>
        <w:t>practises</w:t>
      </w:r>
      <w:proofErr w:type="spellEnd"/>
      <w:r w:rsidRPr="000F7960">
        <w:rPr>
          <w:lang w:val="en-US"/>
        </w:rPr>
        <w:t xml:space="preserve"> among traditional automotive and electric vehicle (EV) companies. It gives the research philosophies and assumptions that inform the stud</w:t>
      </w:r>
      <w:r w:rsidR="004C4DB6">
        <w:rPr>
          <w:lang w:val="en-US"/>
        </w:rPr>
        <w:t>y</w:t>
      </w:r>
      <w:r w:rsidRPr="000F7960">
        <w:rPr>
          <w:lang w:val="en-US"/>
        </w:rPr>
        <w:t>. The chapter provides the information about the process of data collection</w:t>
      </w:r>
      <w:r w:rsidR="004C4DB6">
        <w:rPr>
          <w:lang w:val="en-US"/>
        </w:rPr>
        <w:t xml:space="preserve"> and synthesis. </w:t>
      </w:r>
      <w:r w:rsidRPr="000F7960">
        <w:rPr>
          <w:lang w:val="en-US"/>
        </w:rPr>
        <w:t>Lastly, ethical considerations applicable to the review are discussed and it offers a complete guideline when considering reliability and validity of the findings.</w:t>
      </w:r>
    </w:p>
    <w:p w14:paraId="69795E0E" w14:textId="15EE181B" w:rsidR="00391EB6" w:rsidRDefault="00391EB6" w:rsidP="008C5097">
      <w:pPr>
        <w:pStyle w:val="Heading2"/>
      </w:pPr>
      <w:bookmarkStart w:id="35" w:name="_Toc217953854"/>
      <w:r w:rsidRPr="008C5097">
        <w:t>Research Philosophies and Assumptions</w:t>
      </w:r>
      <w:bookmarkEnd w:id="35"/>
    </w:p>
    <w:p w14:paraId="276AA858" w14:textId="77777777" w:rsidR="000F7960" w:rsidRPr="000F7960" w:rsidRDefault="000F7960" w:rsidP="000F7960">
      <w:pPr>
        <w:rPr>
          <w:lang w:val="en-US" w:eastAsia="zh-CN" w:bidi="bn-IN"/>
        </w:rPr>
      </w:pPr>
      <w:r w:rsidRPr="000F7960">
        <w:rPr>
          <w:lang w:val="en-US" w:eastAsia="zh-CN" w:bidi="bn-IN"/>
        </w:rPr>
        <w:t xml:space="preserve">The philosophy of research gives the underlying assumptions regarding the nature of knowledge and how it may be obtained and makes methodological choices (Tsang, 2016). A number of philosophies are normally thought of and they are: positivism, interpretivism, pragmatism and critical realism. Positivism presupposes reality objectivity and measurement that can be commonly linked to hypothesis testing and quantitative analysis (Tsang, 2016). In comparison, interpretivism focuses on how participants perceive social phenomenon and </w:t>
      </w:r>
      <w:proofErr w:type="spellStart"/>
      <w:r w:rsidRPr="000F7960">
        <w:rPr>
          <w:lang w:val="en-US" w:eastAsia="zh-CN" w:bidi="bn-IN"/>
        </w:rPr>
        <w:t>recognises</w:t>
      </w:r>
      <w:proofErr w:type="spellEnd"/>
      <w:r w:rsidRPr="000F7960">
        <w:rPr>
          <w:lang w:val="en-US" w:eastAsia="zh-CN" w:bidi="bn-IN"/>
        </w:rPr>
        <w:t xml:space="preserve"> that reality is subjective, socially constructed (Cooper, 1984; Boland, Cherry and Dickson, 2017). Pragmatism is centred on practicality and applies the approaches that are most appropriate to respond to the research questions, and in many cases involves the combination of qualitative and quantitative methods (Gough, Oliver and Thomas, 2017). Critical realism acknowledges that there exists an external reality, but its knowledge is subject to the interpretation of social structures (Tsang, 2016).</w:t>
      </w:r>
    </w:p>
    <w:p w14:paraId="41C8F03D" w14:textId="6729758D" w:rsidR="000F7960" w:rsidRPr="000F7960" w:rsidRDefault="000F7960" w:rsidP="000F7960">
      <w:pPr>
        <w:rPr>
          <w:lang w:val="en-US" w:eastAsia="zh-CN" w:bidi="bn-IN"/>
        </w:rPr>
      </w:pPr>
      <w:r w:rsidRPr="000F7960">
        <w:rPr>
          <w:lang w:val="en-US" w:eastAsia="zh-CN" w:bidi="bn-IN"/>
        </w:rPr>
        <w:t xml:space="preserve">In this systematic review, interpretivism will be the most suitable philosophy. The reason is that the study aims at </w:t>
      </w:r>
      <w:proofErr w:type="spellStart"/>
      <w:r w:rsidRPr="000F7960">
        <w:rPr>
          <w:lang w:val="en-US" w:eastAsia="zh-CN" w:bidi="bn-IN"/>
        </w:rPr>
        <w:t>synthesising</w:t>
      </w:r>
      <w:proofErr w:type="spellEnd"/>
      <w:r w:rsidRPr="000F7960">
        <w:rPr>
          <w:lang w:val="en-US" w:eastAsia="zh-CN" w:bidi="bn-IN"/>
        </w:rPr>
        <w:t xml:space="preserve"> qualitative information within existing literature to examine traditional automotive and electric vehicle companies environmental, social, and governance </w:t>
      </w:r>
      <w:proofErr w:type="spellStart"/>
      <w:r w:rsidRPr="000F7960">
        <w:rPr>
          <w:lang w:val="en-US" w:eastAsia="zh-CN" w:bidi="bn-IN"/>
        </w:rPr>
        <w:t>practises</w:t>
      </w:r>
      <w:proofErr w:type="spellEnd"/>
      <w:r w:rsidRPr="000F7960">
        <w:rPr>
          <w:lang w:val="en-US" w:eastAsia="zh-CN" w:bidi="bn-IN"/>
        </w:rPr>
        <w:t xml:space="preserve">. Interpretivism is more permissive to understand </w:t>
      </w:r>
      <w:proofErr w:type="spellStart"/>
      <w:r w:rsidRPr="000F7960">
        <w:rPr>
          <w:lang w:val="en-US" w:eastAsia="zh-CN" w:bidi="bn-IN"/>
        </w:rPr>
        <w:t>practises</w:t>
      </w:r>
      <w:proofErr w:type="spellEnd"/>
      <w:r w:rsidRPr="000F7960">
        <w:rPr>
          <w:lang w:val="en-US" w:eastAsia="zh-CN" w:bidi="bn-IN"/>
        </w:rPr>
        <w:t xml:space="preserve">, context-specific </w:t>
      </w:r>
      <w:proofErr w:type="spellStart"/>
      <w:r w:rsidRPr="000F7960">
        <w:rPr>
          <w:lang w:val="en-US" w:eastAsia="zh-CN" w:bidi="bn-IN"/>
        </w:rPr>
        <w:t>practises</w:t>
      </w:r>
      <w:proofErr w:type="spellEnd"/>
      <w:r w:rsidRPr="000F7960">
        <w:rPr>
          <w:lang w:val="en-US" w:eastAsia="zh-CN" w:bidi="bn-IN"/>
        </w:rPr>
        <w:t xml:space="preserve">, and the position of stakeholders in detail without presupposing a one-dimensional reality (Foster and Jewell, 2017; Shaheen </w:t>
      </w:r>
      <w:r w:rsidR="00642FAE" w:rsidRPr="00642FAE">
        <w:rPr>
          <w:i/>
          <w:iCs/>
          <w:lang w:val="en-US" w:eastAsia="zh-CN" w:bidi="bn-IN"/>
        </w:rPr>
        <w:t>et al</w:t>
      </w:r>
      <w:r w:rsidRPr="000F7960">
        <w:rPr>
          <w:lang w:val="en-US" w:eastAsia="zh-CN" w:bidi="bn-IN"/>
        </w:rPr>
        <w:t xml:space="preserve">., 2023). This is consistent with the aim of the study critically to appraise </w:t>
      </w:r>
      <w:r w:rsidRPr="000F7960">
        <w:rPr>
          <w:lang w:val="en-US" w:eastAsia="zh-CN" w:bidi="bn-IN"/>
        </w:rPr>
        <w:lastRenderedPageBreak/>
        <w:t xml:space="preserve">and thematically </w:t>
      </w:r>
      <w:proofErr w:type="spellStart"/>
      <w:r w:rsidRPr="000F7960">
        <w:rPr>
          <w:lang w:val="en-US" w:eastAsia="zh-CN" w:bidi="bn-IN"/>
        </w:rPr>
        <w:t>synthesise</w:t>
      </w:r>
      <w:proofErr w:type="spellEnd"/>
      <w:r w:rsidRPr="000F7960">
        <w:rPr>
          <w:lang w:val="en-US" w:eastAsia="zh-CN" w:bidi="bn-IN"/>
        </w:rPr>
        <w:t xml:space="preserve"> the data in question instead of engaging in statistical </w:t>
      </w:r>
      <w:proofErr w:type="spellStart"/>
      <w:r w:rsidRPr="000F7960">
        <w:rPr>
          <w:lang w:val="en-US" w:eastAsia="zh-CN" w:bidi="bn-IN"/>
        </w:rPr>
        <w:t>generalisations</w:t>
      </w:r>
      <w:proofErr w:type="spellEnd"/>
      <w:r w:rsidRPr="000F7960">
        <w:rPr>
          <w:lang w:val="en-US" w:eastAsia="zh-CN" w:bidi="bn-IN"/>
        </w:rPr>
        <w:t xml:space="preserve"> (Afifi, Stryhn and Sánchez, 2023).</w:t>
      </w:r>
    </w:p>
    <w:p w14:paraId="53BFE23C" w14:textId="6AC1DF03" w:rsidR="00394687" w:rsidRPr="00394687" w:rsidRDefault="000F7960" w:rsidP="000F7960">
      <w:pPr>
        <w:rPr>
          <w:lang w:val="en-US" w:eastAsia="zh-CN" w:bidi="bn-IN"/>
        </w:rPr>
      </w:pPr>
      <w:r w:rsidRPr="000F7960">
        <w:rPr>
          <w:lang w:val="en-US" w:eastAsia="zh-CN" w:bidi="bn-IN"/>
        </w:rPr>
        <w:t xml:space="preserve">The research presupposes that ESG </w:t>
      </w:r>
      <w:proofErr w:type="spellStart"/>
      <w:r w:rsidRPr="000F7960">
        <w:rPr>
          <w:lang w:val="en-US" w:eastAsia="zh-CN" w:bidi="bn-IN"/>
        </w:rPr>
        <w:t>practises</w:t>
      </w:r>
      <w:proofErr w:type="spellEnd"/>
      <w:r w:rsidRPr="000F7960">
        <w:rPr>
          <w:lang w:val="en-US" w:eastAsia="zh-CN" w:bidi="bn-IN"/>
        </w:rPr>
        <w:t xml:space="preserve"> are not common to every </w:t>
      </w:r>
      <w:proofErr w:type="spellStart"/>
      <w:r w:rsidRPr="000F7960">
        <w:rPr>
          <w:lang w:val="en-US" w:eastAsia="zh-CN" w:bidi="bn-IN"/>
        </w:rPr>
        <w:t>organisational</w:t>
      </w:r>
      <w:proofErr w:type="spellEnd"/>
      <w:r w:rsidRPr="000F7960">
        <w:rPr>
          <w:lang w:val="en-US" w:eastAsia="zh-CN" w:bidi="bn-IN"/>
        </w:rPr>
        <w:t xml:space="preserve"> setting and that current literature forms useful information regarding the forces and obstacles that can affect ESG </w:t>
      </w:r>
      <w:proofErr w:type="spellStart"/>
      <w:r w:rsidRPr="000F7960">
        <w:rPr>
          <w:lang w:val="en-US" w:eastAsia="zh-CN" w:bidi="bn-IN"/>
        </w:rPr>
        <w:t>practises</w:t>
      </w:r>
      <w:proofErr w:type="spellEnd"/>
      <w:r w:rsidRPr="000F7960">
        <w:rPr>
          <w:lang w:val="en-US" w:eastAsia="zh-CN" w:bidi="bn-IN"/>
        </w:rPr>
        <w:t xml:space="preserve">. Knowledge is, consequently, built based on the cautious interpretation and synthesis of numerous qualitative sources, which allows developing a sophisticated view of ESG dynamics in the automotive industry (Page </w:t>
      </w:r>
      <w:r w:rsidR="00642FAE" w:rsidRPr="00642FAE">
        <w:rPr>
          <w:i/>
          <w:iCs/>
          <w:lang w:val="en-US" w:eastAsia="zh-CN" w:bidi="bn-IN"/>
        </w:rPr>
        <w:t>et al</w:t>
      </w:r>
      <w:r w:rsidRPr="000F7960">
        <w:rPr>
          <w:lang w:val="en-US" w:eastAsia="zh-CN" w:bidi="bn-IN"/>
        </w:rPr>
        <w:t xml:space="preserve">., 2021; </w:t>
      </w:r>
      <w:proofErr w:type="spellStart"/>
      <w:r w:rsidRPr="000F7960">
        <w:rPr>
          <w:lang w:val="en-US" w:eastAsia="zh-CN" w:bidi="bn-IN"/>
        </w:rPr>
        <w:t>Gusenbauer</w:t>
      </w:r>
      <w:proofErr w:type="spellEnd"/>
      <w:r w:rsidRPr="000F7960">
        <w:rPr>
          <w:lang w:val="en-US" w:eastAsia="zh-CN" w:bidi="bn-IN"/>
        </w:rPr>
        <w:t xml:space="preserve"> and </w:t>
      </w:r>
      <w:proofErr w:type="spellStart"/>
      <w:r w:rsidRPr="000F7960">
        <w:rPr>
          <w:lang w:val="en-US" w:eastAsia="zh-CN" w:bidi="bn-IN"/>
        </w:rPr>
        <w:t>Gauster</w:t>
      </w:r>
      <w:proofErr w:type="spellEnd"/>
      <w:r w:rsidRPr="000F7960">
        <w:rPr>
          <w:lang w:val="en-US" w:eastAsia="zh-CN" w:bidi="bn-IN"/>
        </w:rPr>
        <w:t>, 2024).</w:t>
      </w:r>
    </w:p>
    <w:p w14:paraId="701A22AA" w14:textId="350F0BD9" w:rsidR="00391EB6" w:rsidRDefault="00391EB6" w:rsidP="008C5097">
      <w:pPr>
        <w:pStyle w:val="Heading2"/>
      </w:pPr>
      <w:bookmarkStart w:id="36" w:name="_Toc217953855"/>
      <w:r w:rsidRPr="008C5097">
        <w:t>Research Design</w:t>
      </w:r>
      <w:bookmarkEnd w:id="36"/>
    </w:p>
    <w:p w14:paraId="3F2464C0" w14:textId="77777777" w:rsidR="000F7960" w:rsidRPr="000F7960" w:rsidRDefault="000F7960" w:rsidP="000F7960">
      <w:pPr>
        <w:rPr>
          <w:lang w:val="en-US"/>
        </w:rPr>
      </w:pPr>
      <w:r w:rsidRPr="000F7960">
        <w:rPr>
          <w:lang w:val="en-US"/>
        </w:rPr>
        <w:t>Research design is defined as the general plan and approach that will direct the collection, analysis, and interpretation of data in a study and provide the research questions are answered (Gough, Oliver and Thomas, 2017). A systematic review design has been implemented in the framework of this research, which explores environmental, social, and governance (ESG) activities conducted by the traditional automotive and electric vehicle corporations. Systematic reviews are a systematic and transparent method of finding, assessing, and integrating existing evidence, which enables the researcher to produce meaningful information without primary data collection (Boland, Cherry and Dickson, 2017; Higgins and Green, 2019).</w:t>
      </w:r>
    </w:p>
    <w:p w14:paraId="609F8894" w14:textId="70D3436E" w:rsidR="00394687" w:rsidRPr="00394687" w:rsidRDefault="000F7960" w:rsidP="000F7960">
      <w:pPr>
        <w:rPr>
          <w:lang w:val="en-US"/>
        </w:rPr>
      </w:pPr>
      <w:r w:rsidRPr="000F7960">
        <w:rPr>
          <w:lang w:val="en-US"/>
        </w:rPr>
        <w:t xml:space="preserve">A systematic review is a good decision to make due to various reasons. First, it allows combining results of various studies, demonstrating the patterns, trends, and gaps in the ESG </w:t>
      </w:r>
      <w:proofErr w:type="spellStart"/>
      <w:r w:rsidRPr="000F7960">
        <w:rPr>
          <w:lang w:val="en-US"/>
        </w:rPr>
        <w:t>practises</w:t>
      </w:r>
      <w:proofErr w:type="spellEnd"/>
      <w:r w:rsidRPr="000F7960">
        <w:rPr>
          <w:lang w:val="en-US"/>
        </w:rPr>
        <w:t xml:space="preserve"> in various </w:t>
      </w:r>
      <w:proofErr w:type="spellStart"/>
      <w:r w:rsidRPr="000F7960">
        <w:rPr>
          <w:lang w:val="en-US"/>
        </w:rPr>
        <w:t>organisational</w:t>
      </w:r>
      <w:proofErr w:type="spellEnd"/>
      <w:r w:rsidRPr="000F7960">
        <w:rPr>
          <w:lang w:val="en-US"/>
        </w:rPr>
        <w:t xml:space="preserve"> settings (Cooper, 1984; Afifi, Stryhn and Sánchez, 2023). Second, this design allows achieving methodological </w:t>
      </w:r>
      <w:proofErr w:type="spellStart"/>
      <w:r w:rsidRPr="000F7960">
        <w:rPr>
          <w:lang w:val="en-US"/>
        </w:rPr>
        <w:t>rigour</w:t>
      </w:r>
      <w:proofErr w:type="spellEnd"/>
      <w:r w:rsidRPr="000F7960">
        <w:rPr>
          <w:lang w:val="en-US"/>
        </w:rPr>
        <w:t xml:space="preserve"> and reproducibility by using well-indicated search strategies, inclusion criteria, and quality appraisal procedures (Page </w:t>
      </w:r>
      <w:r w:rsidR="00642FAE" w:rsidRPr="00642FAE">
        <w:rPr>
          <w:i/>
          <w:iCs/>
          <w:lang w:val="en-US"/>
        </w:rPr>
        <w:t>et al</w:t>
      </w:r>
      <w:r w:rsidRPr="000F7960">
        <w:rPr>
          <w:lang w:val="en-US"/>
        </w:rPr>
        <w:t xml:space="preserve">., 2021). Lastly, it can be used to qualitatively </w:t>
      </w:r>
      <w:proofErr w:type="spellStart"/>
      <w:r w:rsidRPr="000F7960">
        <w:rPr>
          <w:lang w:val="en-US"/>
        </w:rPr>
        <w:t>synthesise</w:t>
      </w:r>
      <w:proofErr w:type="spellEnd"/>
      <w:r w:rsidRPr="000F7960">
        <w:rPr>
          <w:lang w:val="en-US"/>
        </w:rPr>
        <w:t xml:space="preserve"> complex and heterogeneous data, which is especially appropriate when it comes to comprehending multidimensional aspects of ESG </w:t>
      </w:r>
      <w:proofErr w:type="spellStart"/>
      <w:r w:rsidRPr="000F7960">
        <w:rPr>
          <w:lang w:val="en-US"/>
        </w:rPr>
        <w:t>practises</w:t>
      </w:r>
      <w:proofErr w:type="spellEnd"/>
      <w:r w:rsidRPr="000F7960">
        <w:rPr>
          <w:lang w:val="en-US"/>
        </w:rPr>
        <w:t xml:space="preserve"> within both traditional automotive and electric vehicle industries (Shaheen </w:t>
      </w:r>
      <w:r w:rsidR="00642FAE" w:rsidRPr="00642FAE">
        <w:rPr>
          <w:i/>
          <w:iCs/>
          <w:lang w:val="en-US"/>
        </w:rPr>
        <w:t>et al</w:t>
      </w:r>
      <w:r w:rsidRPr="000F7960">
        <w:rPr>
          <w:lang w:val="en-US"/>
        </w:rPr>
        <w:t>., 2023; Foster and Jewell, 2017).</w:t>
      </w:r>
    </w:p>
    <w:p w14:paraId="35B0BCF5" w14:textId="51989126" w:rsidR="00391EB6" w:rsidRDefault="00391EB6" w:rsidP="008C5097">
      <w:pPr>
        <w:pStyle w:val="Heading2"/>
      </w:pPr>
      <w:bookmarkStart w:id="37" w:name="_Toc217953856"/>
      <w:r w:rsidRPr="008C5097">
        <w:t xml:space="preserve">Research Approaches </w:t>
      </w:r>
      <w:r w:rsidR="00394687">
        <w:t>&amp; Rationale</w:t>
      </w:r>
      <w:bookmarkEnd w:id="37"/>
    </w:p>
    <w:p w14:paraId="4EA807CC" w14:textId="77777777" w:rsidR="000F7960" w:rsidRPr="000F7960" w:rsidRDefault="000F7960" w:rsidP="000F7960">
      <w:pPr>
        <w:rPr>
          <w:lang w:val="en-US" w:eastAsia="zh-CN" w:bidi="bn-IN"/>
        </w:rPr>
      </w:pPr>
      <w:r w:rsidRPr="000F7960">
        <w:rPr>
          <w:lang w:val="en-US" w:eastAsia="zh-CN" w:bidi="bn-IN"/>
        </w:rPr>
        <w:t xml:space="preserve">Research methods dictate the interpretation and correspondence of data with theoretical concepts. Three approaches are generally debated: deductive, inductive </w:t>
      </w:r>
      <w:r w:rsidRPr="000F7960">
        <w:rPr>
          <w:lang w:val="en-US" w:eastAsia="zh-CN" w:bidi="bn-IN"/>
        </w:rPr>
        <w:lastRenderedPageBreak/>
        <w:t>and abductive reasoning. Deductive research is based on the theories or hypotheses that are already known and is used to test them with empirical data, trying to prove or reject the propositions of a theory (Tsang, 2016). Conversely, inductive research develops theory out of observed data, thus enabling patterns and other insights to emerge without preconceived notions (Cooper, 1984; Boland, Cherry and Dickson, 2017). Abductive reasoning is a blend of the two, reiterating between theory and evidence to form the most plausible explanations to observed phenomena (Gough, Oliver &amp; Thomas, 2017).</w:t>
      </w:r>
    </w:p>
    <w:p w14:paraId="436C8D38" w14:textId="6042C71B" w:rsidR="00394687" w:rsidRPr="00394687" w:rsidRDefault="000F7960" w:rsidP="000F7960">
      <w:pPr>
        <w:rPr>
          <w:lang w:val="en-US" w:eastAsia="zh-CN" w:bidi="bn-IN"/>
        </w:rPr>
      </w:pPr>
      <w:r w:rsidRPr="000F7960">
        <w:rPr>
          <w:lang w:val="en-US" w:eastAsia="zh-CN" w:bidi="bn-IN"/>
        </w:rPr>
        <w:t xml:space="preserve">An abductive approach has been used in this research. The study explores ESG initiatives in conventional automotive and electric vehicle firms and aims to evaluate how the results relate to the existing frameworks, including the Triple Bottom Line (Elkington, 1998), the Pyramid of CSR developed by Carroll (Carroll, 1979; Carroll, 2016), the Three-Domain CSR Approach by Schwartz and Carroll (Schwartz and Carroll, 2003), Two-Dimensional CSR Model by Quazi and O’Brien (Quazi and O’B The abductive approach will enable the research to decode the trends in the literature, and at the same time assess the validity of these theoretical approaches confirming, extending or refuting them. This method is especially suitable to </w:t>
      </w:r>
      <w:proofErr w:type="spellStart"/>
      <w:r w:rsidRPr="000F7960">
        <w:rPr>
          <w:lang w:val="en-US" w:eastAsia="zh-CN" w:bidi="bn-IN"/>
        </w:rPr>
        <w:t>synthesise</w:t>
      </w:r>
      <w:proofErr w:type="spellEnd"/>
      <w:r w:rsidRPr="000F7960">
        <w:rPr>
          <w:lang w:val="en-US" w:eastAsia="zh-CN" w:bidi="bn-IN"/>
        </w:rPr>
        <w:t xml:space="preserve"> qualitative evidence, allowing to gain a critical perception of ESG </w:t>
      </w:r>
      <w:proofErr w:type="spellStart"/>
      <w:r w:rsidRPr="000F7960">
        <w:rPr>
          <w:lang w:val="en-US" w:eastAsia="zh-CN" w:bidi="bn-IN"/>
        </w:rPr>
        <w:t>practises</w:t>
      </w:r>
      <w:proofErr w:type="spellEnd"/>
      <w:r w:rsidRPr="000F7960">
        <w:rPr>
          <w:lang w:val="en-US" w:eastAsia="zh-CN" w:bidi="bn-IN"/>
        </w:rPr>
        <w:t xml:space="preserve"> in a variety of </w:t>
      </w:r>
      <w:proofErr w:type="spellStart"/>
      <w:r w:rsidRPr="000F7960">
        <w:rPr>
          <w:lang w:val="en-US" w:eastAsia="zh-CN" w:bidi="bn-IN"/>
        </w:rPr>
        <w:t>organisational</w:t>
      </w:r>
      <w:proofErr w:type="spellEnd"/>
      <w:r w:rsidRPr="000F7960">
        <w:rPr>
          <w:lang w:val="en-US" w:eastAsia="zh-CN" w:bidi="bn-IN"/>
        </w:rPr>
        <w:t xml:space="preserve"> settings (Shaheen </w:t>
      </w:r>
      <w:r w:rsidR="00642FAE" w:rsidRPr="00642FAE">
        <w:rPr>
          <w:i/>
          <w:iCs/>
          <w:lang w:val="en-US" w:eastAsia="zh-CN" w:bidi="bn-IN"/>
        </w:rPr>
        <w:t>et al</w:t>
      </w:r>
      <w:r w:rsidRPr="000F7960">
        <w:rPr>
          <w:lang w:val="en-US" w:eastAsia="zh-CN" w:bidi="bn-IN"/>
        </w:rPr>
        <w:t>., 2023; Afifi, Stryhn and Sánchez, 2023).</w:t>
      </w:r>
    </w:p>
    <w:p w14:paraId="584DDDBE" w14:textId="4669D9B6" w:rsidR="00391EB6" w:rsidRDefault="00391EB6" w:rsidP="008C5097">
      <w:pPr>
        <w:pStyle w:val="Heading2"/>
      </w:pPr>
      <w:bookmarkStart w:id="38" w:name="_Toc217953857"/>
      <w:r w:rsidRPr="008C5097">
        <w:t>Data Collection Methods</w:t>
      </w:r>
      <w:bookmarkEnd w:id="38"/>
    </w:p>
    <w:p w14:paraId="7345F7E2" w14:textId="77777777" w:rsidR="000F7960" w:rsidRPr="000F7960" w:rsidRDefault="000F7960" w:rsidP="000F7960">
      <w:pPr>
        <w:rPr>
          <w:lang w:val="en-US" w:eastAsia="zh-CN" w:bidi="bn-IN"/>
        </w:rPr>
      </w:pPr>
      <w:r w:rsidRPr="000F7960">
        <w:rPr>
          <w:lang w:val="en-US" w:eastAsia="zh-CN" w:bidi="bn-IN"/>
        </w:rPr>
        <w:t xml:space="preserve">The broad classification of methods of data collection in research is primary, secondary and mixed methods. Primary data collection refers to the act of collecting primary data directly working with research participants by means of surveys, interviews, observations, or experiments to give </w:t>
      </w:r>
      <w:proofErr w:type="spellStart"/>
      <w:r w:rsidRPr="000F7960">
        <w:rPr>
          <w:lang w:val="en-US" w:eastAsia="zh-CN" w:bidi="bn-IN"/>
        </w:rPr>
        <w:t>first hand</w:t>
      </w:r>
      <w:proofErr w:type="spellEnd"/>
      <w:r w:rsidRPr="000F7960">
        <w:rPr>
          <w:lang w:val="en-US" w:eastAsia="zh-CN" w:bidi="bn-IN"/>
        </w:rPr>
        <w:t xml:space="preserve"> information about the subject of research (Boland, Cherry and Dickson, 2017). Secondary data collection, in turn, makes use of the data available, including academic journals, industry reports, company disclosures, and publicly available datasets in order to analyse the patterns, trends, and relationships without gathering the new data (</w:t>
      </w:r>
      <w:proofErr w:type="spellStart"/>
      <w:r w:rsidRPr="000F7960">
        <w:rPr>
          <w:lang w:val="en-US" w:eastAsia="zh-CN" w:bidi="bn-IN"/>
        </w:rPr>
        <w:t>Gusenbauer</w:t>
      </w:r>
      <w:proofErr w:type="spellEnd"/>
      <w:r w:rsidRPr="000F7960">
        <w:rPr>
          <w:lang w:val="en-US" w:eastAsia="zh-CN" w:bidi="bn-IN"/>
        </w:rPr>
        <w:t xml:space="preserve"> and </w:t>
      </w:r>
      <w:proofErr w:type="spellStart"/>
      <w:r w:rsidRPr="000F7960">
        <w:rPr>
          <w:lang w:val="en-US" w:eastAsia="zh-CN" w:bidi="bn-IN"/>
        </w:rPr>
        <w:t>Gauster</w:t>
      </w:r>
      <w:proofErr w:type="spellEnd"/>
      <w:r w:rsidRPr="000F7960">
        <w:rPr>
          <w:lang w:val="en-US" w:eastAsia="zh-CN" w:bidi="bn-IN"/>
        </w:rPr>
        <w:t>, 2024; Afifi, Stryhn and Sánchez, 2023). Mixed methods are a blend between primary and secondary data collection and entail a more detailed insight into a research issue, blending the qualitative and quantitative information (Gough, Oliver and Thomas, 2017).</w:t>
      </w:r>
    </w:p>
    <w:p w14:paraId="444A3A2F" w14:textId="67D0EC72" w:rsidR="00394687" w:rsidRDefault="000F7960" w:rsidP="000F7960">
      <w:pPr>
        <w:rPr>
          <w:lang w:val="en-US" w:eastAsia="zh-CN" w:bidi="bn-IN"/>
        </w:rPr>
      </w:pPr>
      <w:r w:rsidRPr="000F7960">
        <w:rPr>
          <w:lang w:val="en-US" w:eastAsia="zh-CN" w:bidi="bn-IN"/>
        </w:rPr>
        <w:lastRenderedPageBreak/>
        <w:t xml:space="preserve">This research will follow a secondary data collection strategy and a systematic review of evidence related to the previously published studies about environmental, social, and governance (ESG) </w:t>
      </w:r>
      <w:proofErr w:type="spellStart"/>
      <w:r w:rsidRPr="000F7960">
        <w:rPr>
          <w:lang w:val="en-US" w:eastAsia="zh-CN" w:bidi="bn-IN"/>
        </w:rPr>
        <w:t>practises</w:t>
      </w:r>
      <w:proofErr w:type="spellEnd"/>
      <w:r w:rsidRPr="000F7960">
        <w:rPr>
          <w:lang w:val="en-US" w:eastAsia="zh-CN" w:bidi="bn-IN"/>
        </w:rPr>
        <w:t xml:space="preserve"> in classic automotive and electric vehicle firms. The study also conducts a thorough and methodologically robust analysis of existing literature by relying on secondary sources to critically assess the ESG </w:t>
      </w:r>
      <w:proofErr w:type="spellStart"/>
      <w:r w:rsidRPr="000F7960">
        <w:rPr>
          <w:lang w:val="en-US" w:eastAsia="zh-CN" w:bidi="bn-IN"/>
        </w:rPr>
        <w:t>practises</w:t>
      </w:r>
      <w:proofErr w:type="spellEnd"/>
      <w:r w:rsidRPr="000F7960">
        <w:rPr>
          <w:lang w:val="en-US" w:eastAsia="zh-CN" w:bidi="bn-IN"/>
        </w:rPr>
        <w:t xml:space="preserve"> within the </w:t>
      </w:r>
      <w:proofErr w:type="spellStart"/>
      <w:r w:rsidRPr="000F7960">
        <w:rPr>
          <w:lang w:val="en-US" w:eastAsia="zh-CN" w:bidi="bn-IN"/>
        </w:rPr>
        <w:t>organisational</w:t>
      </w:r>
      <w:proofErr w:type="spellEnd"/>
      <w:r w:rsidRPr="000F7960">
        <w:rPr>
          <w:lang w:val="en-US" w:eastAsia="zh-CN" w:bidi="bn-IN"/>
        </w:rPr>
        <w:t xml:space="preserve"> contexts without necessarily requiring primary data collection. The qualitative synthesis of complex and heterogeneous data is supported by this approach, which correlates with the research objectives and interpretivist philosophy (Page </w:t>
      </w:r>
      <w:r w:rsidR="00642FAE" w:rsidRPr="00642FAE">
        <w:rPr>
          <w:i/>
          <w:iCs/>
          <w:lang w:val="en-US" w:eastAsia="zh-CN" w:bidi="bn-IN"/>
        </w:rPr>
        <w:t>et al</w:t>
      </w:r>
      <w:r w:rsidRPr="000F7960">
        <w:rPr>
          <w:lang w:val="en-US" w:eastAsia="zh-CN" w:bidi="bn-IN"/>
        </w:rPr>
        <w:t xml:space="preserve">., 2021; Shaheen </w:t>
      </w:r>
      <w:r w:rsidR="00642FAE" w:rsidRPr="00642FAE">
        <w:rPr>
          <w:i/>
          <w:iCs/>
          <w:lang w:val="en-US" w:eastAsia="zh-CN" w:bidi="bn-IN"/>
        </w:rPr>
        <w:t>et al</w:t>
      </w:r>
      <w:r w:rsidRPr="000F7960">
        <w:rPr>
          <w:lang w:val="en-US" w:eastAsia="zh-CN" w:bidi="bn-IN"/>
        </w:rPr>
        <w:t>., 2023).</w:t>
      </w:r>
    </w:p>
    <w:p w14:paraId="11E969C8" w14:textId="021677D4" w:rsidR="007954FE" w:rsidRDefault="007954FE" w:rsidP="009B28C1">
      <w:pPr>
        <w:pStyle w:val="Heading3"/>
        <w:rPr>
          <w:lang w:val="en-US" w:eastAsia="zh-CN" w:bidi="bn-IN"/>
        </w:rPr>
      </w:pPr>
      <w:bookmarkStart w:id="39" w:name="_Toc217953858"/>
      <w:r>
        <w:rPr>
          <w:lang w:val="en-US" w:eastAsia="zh-CN" w:bidi="bn-IN"/>
        </w:rPr>
        <w:t xml:space="preserve">Source of Data </w:t>
      </w:r>
      <w:r w:rsidR="009B28C1">
        <w:rPr>
          <w:lang w:val="en-US" w:eastAsia="zh-CN" w:bidi="bn-IN"/>
        </w:rPr>
        <w:t>a</w:t>
      </w:r>
      <w:r>
        <w:rPr>
          <w:lang w:val="en-US" w:eastAsia="zh-CN" w:bidi="bn-IN"/>
        </w:rPr>
        <w:t>nd Search Strategy</w:t>
      </w:r>
      <w:bookmarkEnd w:id="39"/>
    </w:p>
    <w:p w14:paraId="1702F589" w14:textId="4745D9D6" w:rsidR="009B28C1" w:rsidRPr="009B28C1" w:rsidRDefault="000F7960" w:rsidP="00864307">
      <w:pPr>
        <w:rPr>
          <w:lang w:val="en-US" w:eastAsia="zh-CN" w:bidi="bn-IN"/>
        </w:rPr>
      </w:pPr>
      <w:r w:rsidRPr="000F7960">
        <w:rPr>
          <w:lang w:val="en-US" w:eastAsia="zh-CN" w:bidi="bn-IN"/>
        </w:rPr>
        <w:t xml:space="preserve">In this research, Scopus, a highly regarded and multidisciplinary bibliographic database that is well known in its comprehensive coverage of peer-reviewed literature, quality indexing, and strong citation tracking features, was selected as a source of data in the study, especially regarding the subject of environmental, social, and governance (ESG) </w:t>
      </w:r>
      <w:proofErr w:type="spellStart"/>
      <w:r w:rsidRPr="000F7960">
        <w:rPr>
          <w:lang w:val="en-US" w:eastAsia="zh-CN" w:bidi="bn-IN"/>
        </w:rPr>
        <w:t>practises</w:t>
      </w:r>
      <w:proofErr w:type="spellEnd"/>
      <w:r w:rsidRPr="000F7960">
        <w:rPr>
          <w:lang w:val="en-US" w:eastAsia="zh-CN" w:bidi="bn-IN"/>
        </w:rPr>
        <w:t xml:space="preserve"> in the automotive industry. Scopus has been chosen because it offers recent scholarly articles, such as open-access studies, and has sophisticated search features, which enable one to use keywords, Boolean operators, and </w:t>
      </w:r>
      <w:proofErr w:type="spellStart"/>
      <w:r w:rsidRPr="000F7960">
        <w:rPr>
          <w:lang w:val="en-US" w:eastAsia="zh-CN" w:bidi="bn-IN"/>
        </w:rPr>
        <w:t>philtres</w:t>
      </w:r>
      <w:proofErr w:type="spellEnd"/>
      <w:r w:rsidRPr="000F7960">
        <w:rPr>
          <w:lang w:val="en-US" w:eastAsia="zh-CN" w:bidi="bn-IN"/>
        </w:rPr>
        <w:t xml:space="preserve"> to find the appropriate literature. The database was searched systematically with custom search strings that included a combination of terms associated with ESG, corporate social responsibility, traditional and electric vehicle companies, financial performance, and specific keywords that were drivers, barriers, and factors of adoption. Document type, language, year of publishing, and open-access status </w:t>
      </w:r>
      <w:proofErr w:type="spellStart"/>
      <w:r w:rsidRPr="000F7960">
        <w:rPr>
          <w:lang w:val="en-US" w:eastAsia="zh-CN" w:bidi="bn-IN"/>
        </w:rPr>
        <w:t>philtres</w:t>
      </w:r>
      <w:proofErr w:type="spellEnd"/>
      <w:r w:rsidRPr="000F7960">
        <w:rPr>
          <w:lang w:val="en-US" w:eastAsia="zh-CN" w:bidi="bn-IN"/>
        </w:rPr>
        <w:t xml:space="preserve"> were used to guarantee the relevance and quality of retrieved studies. The detailed search query, </w:t>
      </w:r>
      <w:proofErr w:type="spellStart"/>
      <w:r w:rsidRPr="000F7960">
        <w:rPr>
          <w:lang w:val="en-US" w:eastAsia="zh-CN" w:bidi="bn-IN"/>
        </w:rPr>
        <w:t>philtres</w:t>
      </w:r>
      <w:proofErr w:type="spellEnd"/>
      <w:r w:rsidRPr="000F7960">
        <w:rPr>
          <w:lang w:val="en-US" w:eastAsia="zh-CN" w:bidi="bn-IN"/>
        </w:rPr>
        <w:t xml:space="preserve"> used, and the result numbers are given in Appendix 1 which records the </w:t>
      </w:r>
      <w:proofErr w:type="gramStart"/>
      <w:r w:rsidRPr="000F7960">
        <w:rPr>
          <w:lang w:val="en-US" w:eastAsia="zh-CN" w:bidi="bn-IN"/>
        </w:rPr>
        <w:t>step by step</w:t>
      </w:r>
      <w:proofErr w:type="gramEnd"/>
      <w:r w:rsidRPr="000F7960">
        <w:rPr>
          <w:lang w:val="en-US" w:eastAsia="zh-CN" w:bidi="bn-IN"/>
        </w:rPr>
        <w:t xml:space="preserve"> procedure used in identifying the body of literature used in this study.</w:t>
      </w:r>
    </w:p>
    <w:p w14:paraId="53E66A3C" w14:textId="50E18255" w:rsidR="00394687" w:rsidRDefault="00F76F9B" w:rsidP="00F76F9B">
      <w:pPr>
        <w:pStyle w:val="Heading3"/>
        <w:rPr>
          <w:lang w:val="en-US" w:eastAsia="zh-CN" w:bidi="bn-IN"/>
        </w:rPr>
      </w:pPr>
      <w:bookmarkStart w:id="40" w:name="_Toc217953859"/>
      <w:r w:rsidRPr="00F76F9B">
        <w:rPr>
          <w:lang w:val="en-US" w:eastAsia="zh-CN" w:bidi="bn-IN"/>
        </w:rPr>
        <w:t>Study Selection, Screening, and Inclusion</w:t>
      </w:r>
      <w:bookmarkEnd w:id="40"/>
    </w:p>
    <w:p w14:paraId="0DD464CF" w14:textId="3CACE32A" w:rsidR="000F7960" w:rsidRPr="000F7960" w:rsidRDefault="000F7960" w:rsidP="000F7960">
      <w:pPr>
        <w:rPr>
          <w:lang w:val="en-US" w:eastAsia="zh-CN" w:bidi="bn-IN"/>
        </w:rPr>
      </w:pPr>
      <w:r w:rsidRPr="000F7960">
        <w:rPr>
          <w:lang w:val="en-US" w:eastAsia="zh-CN" w:bidi="bn-IN"/>
        </w:rPr>
        <w:t>Study selection and screening were carried out in a systematic manner to ensure that irrelevant and low</w:t>
      </w:r>
      <w:r>
        <w:rPr>
          <w:lang w:val="en-US" w:eastAsia="zh-CN" w:bidi="bn-IN"/>
        </w:rPr>
        <w:t>-</w:t>
      </w:r>
      <w:r w:rsidRPr="000F7960">
        <w:rPr>
          <w:lang w:val="en-US" w:eastAsia="zh-CN" w:bidi="bn-IN"/>
        </w:rPr>
        <w:t xml:space="preserve">quality studies could not be included in the review. This was performed using the PRISMA (Preferred Reporting Items to Systematic Reviews and Meta-Analyses) framework that involves transparency and reproducibility in the </w:t>
      </w:r>
      <w:r w:rsidRPr="000F7960">
        <w:rPr>
          <w:lang w:val="en-US" w:eastAsia="zh-CN" w:bidi="bn-IN"/>
        </w:rPr>
        <w:lastRenderedPageBreak/>
        <w:t xml:space="preserve">identification, screening, and inclusion of studies (Page </w:t>
      </w:r>
      <w:r w:rsidR="00642FAE" w:rsidRPr="00642FAE">
        <w:rPr>
          <w:i/>
          <w:iCs/>
          <w:lang w:val="en-US" w:eastAsia="zh-CN" w:bidi="bn-IN"/>
        </w:rPr>
        <w:t>et al</w:t>
      </w:r>
      <w:r w:rsidRPr="000F7960">
        <w:rPr>
          <w:lang w:val="en-US" w:eastAsia="zh-CN" w:bidi="bn-IN"/>
        </w:rPr>
        <w:t>., 2021). Chapter 4 provides the entire PRISMA flow diagram and table.</w:t>
      </w:r>
    </w:p>
    <w:p w14:paraId="282C1020" w14:textId="77777777" w:rsidR="000F7960" w:rsidRPr="000F7960" w:rsidRDefault="000F7960" w:rsidP="000F7960">
      <w:pPr>
        <w:rPr>
          <w:lang w:val="en-US" w:eastAsia="zh-CN" w:bidi="bn-IN"/>
        </w:rPr>
      </w:pPr>
      <w:r w:rsidRPr="000F7960">
        <w:rPr>
          <w:lang w:val="en-US" w:eastAsia="zh-CN" w:bidi="bn-IN"/>
        </w:rPr>
        <w:t xml:space="preserve">First, all the retrieved records were filtered on the title and abstract level to eliminate those studies that obviously did not fit the inclusion criteria, including studies that were not in the automotive industry, studies that were not ESG-related, or studies that did not have financial performance results. Those that survived this first screening were then subject to full-text examination, where an article by article was analyzed according to the inclusion/exclusion criteria. This step was necessary to guarantee that only articles that contained overall and useful information about ESG </w:t>
      </w:r>
      <w:proofErr w:type="spellStart"/>
      <w:r w:rsidRPr="000F7960">
        <w:rPr>
          <w:lang w:val="en-US" w:eastAsia="zh-CN" w:bidi="bn-IN"/>
        </w:rPr>
        <w:t>practises</w:t>
      </w:r>
      <w:proofErr w:type="spellEnd"/>
      <w:r w:rsidRPr="000F7960">
        <w:rPr>
          <w:lang w:val="en-US" w:eastAsia="zh-CN" w:bidi="bn-IN"/>
        </w:rPr>
        <w:t xml:space="preserve"> in both conventional and electric vehicles manufacturers were taken into consideration.</w:t>
      </w:r>
    </w:p>
    <w:p w14:paraId="52BE5DD1" w14:textId="6B684D4E" w:rsidR="00F76F9B" w:rsidRDefault="000F7960" w:rsidP="00F76F9B">
      <w:pPr>
        <w:rPr>
          <w:lang w:val="en-US" w:eastAsia="zh-CN" w:bidi="bn-IN"/>
        </w:rPr>
      </w:pPr>
      <w:r w:rsidRPr="000F7960">
        <w:rPr>
          <w:lang w:val="en-US" w:eastAsia="zh-CN" w:bidi="bn-IN"/>
        </w:rPr>
        <w:t xml:space="preserve">The PRISMA-facilitated structured approach increases the methodological </w:t>
      </w:r>
      <w:proofErr w:type="spellStart"/>
      <w:r w:rsidRPr="000F7960">
        <w:rPr>
          <w:lang w:val="en-US" w:eastAsia="zh-CN" w:bidi="bn-IN"/>
        </w:rPr>
        <w:t>rigour</w:t>
      </w:r>
      <w:proofErr w:type="spellEnd"/>
      <w:r w:rsidRPr="000F7960">
        <w:rPr>
          <w:lang w:val="en-US" w:eastAsia="zh-CN" w:bidi="bn-IN"/>
        </w:rPr>
        <w:t xml:space="preserve"> of the review and </w:t>
      </w:r>
      <w:proofErr w:type="spellStart"/>
      <w:r w:rsidRPr="000F7960">
        <w:rPr>
          <w:lang w:val="en-US" w:eastAsia="zh-CN" w:bidi="bn-IN"/>
        </w:rPr>
        <w:t>minimises</w:t>
      </w:r>
      <w:proofErr w:type="spellEnd"/>
      <w:r w:rsidRPr="000F7960">
        <w:rPr>
          <w:lang w:val="en-US" w:eastAsia="zh-CN" w:bidi="bn-IN"/>
        </w:rPr>
        <w:t xml:space="preserve"> selection bias and gives a clear explanation of why every study was included or excluded, helping to support a strong qualitative synthesis of the results (Afifi, Stryhn and Sánchez, 2023; Shaheen </w:t>
      </w:r>
      <w:r w:rsidR="00642FAE" w:rsidRPr="00642FAE">
        <w:rPr>
          <w:i/>
          <w:iCs/>
          <w:lang w:val="en-US" w:eastAsia="zh-CN" w:bidi="bn-IN"/>
        </w:rPr>
        <w:t>et al</w:t>
      </w:r>
      <w:r w:rsidRPr="000F7960">
        <w:rPr>
          <w:lang w:val="en-US" w:eastAsia="zh-CN" w:bidi="bn-IN"/>
        </w:rPr>
        <w:t>., 2023).</w:t>
      </w:r>
    </w:p>
    <w:p w14:paraId="267E1D4B" w14:textId="77777777" w:rsidR="00F76F9B" w:rsidRPr="00F76F9B" w:rsidRDefault="00F76F9B" w:rsidP="00F76F9B">
      <w:pPr>
        <w:pStyle w:val="Heading2"/>
        <w:rPr>
          <w:lang w:val="en-US" w:eastAsia="zh-CN" w:bidi="bn-IN"/>
        </w:rPr>
      </w:pPr>
      <w:bookmarkStart w:id="41" w:name="_Toc217953860"/>
      <w:r w:rsidRPr="00F76F9B">
        <w:rPr>
          <w:lang w:val="en-US" w:eastAsia="zh-CN" w:bidi="bn-IN"/>
        </w:rPr>
        <w:t>Quality Appraisal of the Included Articles</w:t>
      </w:r>
      <w:bookmarkEnd w:id="41"/>
    </w:p>
    <w:p w14:paraId="65A718FC" w14:textId="6475B635" w:rsidR="000F7960" w:rsidRPr="000F7960" w:rsidRDefault="000F7960" w:rsidP="000F7960">
      <w:pPr>
        <w:rPr>
          <w:lang w:val="en-US" w:eastAsia="zh-CN" w:bidi="bn-IN"/>
        </w:rPr>
      </w:pPr>
      <w:r w:rsidRPr="000F7960">
        <w:rPr>
          <w:lang w:val="en-US" w:eastAsia="zh-CN" w:bidi="bn-IN"/>
        </w:rPr>
        <w:t xml:space="preserve">A quality appraisal process was enforced to achieve the reliability, validity, and the quality of the studies to be used in the systematic review. This was done using the Critical Appraisal Skills </w:t>
      </w:r>
      <w:proofErr w:type="spellStart"/>
      <w:r w:rsidRPr="000F7960">
        <w:rPr>
          <w:lang w:val="en-US" w:eastAsia="zh-CN" w:bidi="bn-IN"/>
        </w:rPr>
        <w:t>Programme</w:t>
      </w:r>
      <w:proofErr w:type="spellEnd"/>
      <w:r w:rsidRPr="000F7960">
        <w:rPr>
          <w:lang w:val="en-US" w:eastAsia="zh-CN" w:bidi="bn-IN"/>
        </w:rPr>
        <w:t xml:space="preserve"> (CASP) tools, which involve the use of </w:t>
      </w:r>
      <w:proofErr w:type="spellStart"/>
      <w:r w:rsidRPr="000F7960">
        <w:rPr>
          <w:lang w:val="en-US" w:eastAsia="zh-CN" w:bidi="bn-IN"/>
        </w:rPr>
        <w:t>standardised</w:t>
      </w:r>
      <w:proofErr w:type="spellEnd"/>
      <w:r w:rsidRPr="000F7960">
        <w:rPr>
          <w:lang w:val="en-US" w:eastAsia="zh-CN" w:bidi="bn-IN"/>
        </w:rPr>
        <w:t xml:space="preserve"> checklists to critically assess the methodological </w:t>
      </w:r>
      <w:proofErr w:type="spellStart"/>
      <w:r w:rsidRPr="000F7960">
        <w:rPr>
          <w:lang w:val="en-US" w:eastAsia="zh-CN" w:bidi="bn-IN"/>
        </w:rPr>
        <w:t>rigour</w:t>
      </w:r>
      <w:proofErr w:type="spellEnd"/>
      <w:r w:rsidRPr="000F7960">
        <w:rPr>
          <w:lang w:val="en-US" w:eastAsia="zh-CN" w:bidi="bn-IN"/>
        </w:rPr>
        <w:t xml:space="preserve"> and trustworthiness of various types of research (Boland, Cherry and Dickson, 2017; Shaheen </w:t>
      </w:r>
      <w:r w:rsidR="00642FAE" w:rsidRPr="00642FAE">
        <w:rPr>
          <w:i/>
          <w:iCs/>
          <w:lang w:val="en-US" w:eastAsia="zh-CN" w:bidi="bn-IN"/>
        </w:rPr>
        <w:t>et al</w:t>
      </w:r>
      <w:r w:rsidRPr="000F7960">
        <w:rPr>
          <w:lang w:val="en-US" w:eastAsia="zh-CN" w:bidi="bn-IN"/>
        </w:rPr>
        <w:t>., 2023).</w:t>
      </w:r>
    </w:p>
    <w:p w14:paraId="56766292" w14:textId="77777777" w:rsidR="000F7960" w:rsidRPr="000F7960" w:rsidRDefault="000F7960" w:rsidP="000F7960">
      <w:pPr>
        <w:rPr>
          <w:lang w:val="en-US" w:eastAsia="zh-CN" w:bidi="bn-IN"/>
        </w:rPr>
      </w:pPr>
      <w:r w:rsidRPr="000F7960">
        <w:rPr>
          <w:lang w:val="en-US" w:eastAsia="zh-CN" w:bidi="bn-IN"/>
        </w:rPr>
        <w:t xml:space="preserve">The study design of each article applied different types of CASP checklists. To evaluate clarity of aims, suitability of methodology, research design, data collection methods, ethical issues taken into account and strength of findings, the CASP Qualitative Checklist was </w:t>
      </w:r>
      <w:proofErr w:type="spellStart"/>
      <w:r w:rsidRPr="000F7960">
        <w:rPr>
          <w:lang w:val="en-US" w:eastAsia="zh-CN" w:bidi="bn-IN"/>
        </w:rPr>
        <w:t>utilised</w:t>
      </w:r>
      <w:proofErr w:type="spellEnd"/>
      <w:r w:rsidRPr="000F7960">
        <w:rPr>
          <w:lang w:val="en-US" w:eastAsia="zh-CN" w:bidi="bn-IN"/>
        </w:rPr>
        <w:t xml:space="preserve"> in the case of qualitative studies. In the case of cohort or cross-sectional studies, the corresponding checklists of CASP considered the aspects of sampling, exposure and outcome measures, confounding variables and statistics. In the case of mixed-methods or review studies, the CASP Systematic Review Checklist was used to assess search strategy, inclusion criteria, data synthesis and transparency of reporting.</w:t>
      </w:r>
    </w:p>
    <w:p w14:paraId="2FFA1C29" w14:textId="42426239" w:rsidR="00F76F9B" w:rsidRPr="00F76F9B" w:rsidRDefault="000F7960" w:rsidP="000F7960">
      <w:pPr>
        <w:rPr>
          <w:lang w:val="en-US" w:eastAsia="zh-CN" w:bidi="bn-IN"/>
        </w:rPr>
      </w:pPr>
      <w:r w:rsidRPr="000F7960">
        <w:rPr>
          <w:lang w:val="en-US" w:eastAsia="zh-CN" w:bidi="bn-IN"/>
        </w:rPr>
        <w:t xml:space="preserve">The appraisal process included rating each of the criteria and a general evaluation of the study quality. Research that did not pass the minimum quality standards were </w:t>
      </w:r>
      <w:r w:rsidRPr="000F7960">
        <w:rPr>
          <w:lang w:val="en-US" w:eastAsia="zh-CN" w:bidi="bn-IN"/>
        </w:rPr>
        <w:lastRenderedPageBreak/>
        <w:t>dropped in order to preserve the integrity of the review. All the studies that are included in the study are displayed in a detailed table with the quality appraisal outcomes in the Appendix</w:t>
      </w:r>
      <w:r>
        <w:rPr>
          <w:lang w:val="en-US" w:eastAsia="zh-CN" w:bidi="bn-IN"/>
        </w:rPr>
        <w:t xml:space="preserve"> 2</w:t>
      </w:r>
      <w:r w:rsidRPr="000F7960">
        <w:rPr>
          <w:lang w:val="en-US" w:eastAsia="zh-CN" w:bidi="bn-IN"/>
        </w:rPr>
        <w:t>, which evidences transparency and qualitative synthesis credibility (Afifi, Stryhn and Sánchez, 2023; Foster and Jewell, 2017).</w:t>
      </w:r>
    </w:p>
    <w:p w14:paraId="411A3249" w14:textId="77777777" w:rsidR="00F76F9B" w:rsidRPr="00F76F9B" w:rsidRDefault="00F76F9B" w:rsidP="00F76F9B">
      <w:pPr>
        <w:pStyle w:val="Heading2"/>
        <w:rPr>
          <w:lang w:val="en-US" w:eastAsia="zh-CN" w:bidi="bn-IN"/>
        </w:rPr>
      </w:pPr>
      <w:bookmarkStart w:id="42" w:name="_Toc217953861"/>
      <w:r w:rsidRPr="00F76F9B">
        <w:rPr>
          <w:lang w:val="en-US" w:eastAsia="zh-CN" w:bidi="bn-IN"/>
        </w:rPr>
        <w:t>Data Extraction and Synthesis</w:t>
      </w:r>
      <w:bookmarkEnd w:id="42"/>
    </w:p>
    <w:p w14:paraId="0974E0CC" w14:textId="77777777" w:rsidR="00BA79C7" w:rsidRPr="00BA79C7" w:rsidRDefault="00BA79C7" w:rsidP="00BA79C7">
      <w:pPr>
        <w:rPr>
          <w:lang w:val="en-US" w:eastAsia="zh-CN" w:bidi="bn-IN"/>
        </w:rPr>
      </w:pPr>
      <w:r w:rsidRPr="00BA79C7">
        <w:rPr>
          <w:lang w:val="en-US" w:eastAsia="zh-CN" w:bidi="bn-IN"/>
        </w:rPr>
        <w:t>In this systematic review, data extraction was done through a well-structured table, which was created to serve as a way of capturing all the pertinent information in the studies included. Chapter 4, Table 1: Summary of the Included Articles (N = 50) is an extraction table that captures the major details including the author(s), the year of publication, the study title, the methodology (including study design, sample characteristics, and analysis methods), and the key themes with respect to the research questions. This method guarantees the similarity in the similar information in all studies and provides the possibility to compare results in a systematic way (Afifi, Stryhn and Sánchez, 2023; Boland, Cherry and Dickson, 2017).</w:t>
      </w:r>
    </w:p>
    <w:p w14:paraId="2B642550" w14:textId="7A8213AA" w:rsidR="00F76F9B" w:rsidRPr="00F76F9B" w:rsidRDefault="00BA79C7" w:rsidP="00BA79C7">
      <w:pPr>
        <w:rPr>
          <w:lang w:val="en-US" w:eastAsia="zh-CN" w:bidi="bn-IN"/>
        </w:rPr>
      </w:pPr>
      <w:r w:rsidRPr="00BA79C7">
        <w:rPr>
          <w:lang w:val="en-US" w:eastAsia="zh-CN" w:bidi="bn-IN"/>
        </w:rPr>
        <w:t xml:space="preserve">After extraction, a synthesis of data was done through a combination of thematic analysis and narrative synthesis. Thematic analysis made it possible to outline common patterns, trends, and themes associated with ESG </w:t>
      </w:r>
      <w:proofErr w:type="spellStart"/>
      <w:r w:rsidRPr="00BA79C7">
        <w:rPr>
          <w:lang w:val="en-US" w:eastAsia="zh-CN" w:bidi="bn-IN"/>
        </w:rPr>
        <w:t>practises</w:t>
      </w:r>
      <w:proofErr w:type="spellEnd"/>
      <w:r w:rsidRPr="00BA79C7">
        <w:rPr>
          <w:lang w:val="en-US" w:eastAsia="zh-CN" w:bidi="bn-IN"/>
        </w:rPr>
        <w:t xml:space="preserve">, drivers, barriers, and financial performance of conventional automotive companies and the electric vehicle companies. The themes were arranged in a table format to be clear and transparent. This was complemented by narrative synthesis, which offered a textual understanding of the results in detail, pointing to the relationships between studies, the conditions of contextual influence, and the applicability of results to the existing theoretical models, including the Triple Bottom Line and CSR models (Page </w:t>
      </w:r>
      <w:r w:rsidR="00642FAE" w:rsidRPr="00642FAE">
        <w:rPr>
          <w:i/>
          <w:iCs/>
          <w:lang w:val="en-US" w:eastAsia="zh-CN" w:bidi="bn-IN"/>
        </w:rPr>
        <w:t>et al</w:t>
      </w:r>
      <w:r w:rsidRPr="00BA79C7">
        <w:rPr>
          <w:lang w:val="en-US" w:eastAsia="zh-CN" w:bidi="bn-IN"/>
        </w:rPr>
        <w:t xml:space="preserve">., 2021; Shaheen </w:t>
      </w:r>
      <w:r w:rsidR="00642FAE" w:rsidRPr="00642FAE">
        <w:rPr>
          <w:i/>
          <w:iCs/>
          <w:lang w:val="en-US" w:eastAsia="zh-CN" w:bidi="bn-IN"/>
        </w:rPr>
        <w:t>et al</w:t>
      </w:r>
      <w:r w:rsidRPr="00BA79C7">
        <w:rPr>
          <w:lang w:val="en-US" w:eastAsia="zh-CN" w:bidi="bn-IN"/>
        </w:rPr>
        <w:t>., 2023). Such a two-pronged strategy guarantees the breadth and depth of the literature are both taken care of and this justifies a thorough and quality qualitative analysis.</w:t>
      </w:r>
    </w:p>
    <w:p w14:paraId="3E409A97" w14:textId="77777777" w:rsidR="00391EB6" w:rsidRDefault="00391EB6" w:rsidP="008C5097">
      <w:pPr>
        <w:pStyle w:val="Heading2"/>
      </w:pPr>
      <w:bookmarkStart w:id="43" w:name="_Toc217953862"/>
      <w:r w:rsidRPr="008C5097">
        <w:t>Ethical Considerations</w:t>
      </w:r>
      <w:bookmarkEnd w:id="43"/>
    </w:p>
    <w:p w14:paraId="00C399CE" w14:textId="77777777" w:rsidR="00BA79C7" w:rsidRPr="00BA79C7" w:rsidRDefault="00BA79C7" w:rsidP="00BA79C7">
      <w:pPr>
        <w:rPr>
          <w:lang w:val="en-US" w:eastAsia="zh-CN" w:bidi="bn-IN"/>
        </w:rPr>
      </w:pPr>
      <w:r w:rsidRPr="00BA79C7">
        <w:rPr>
          <w:lang w:val="en-US" w:eastAsia="zh-CN" w:bidi="bn-IN"/>
        </w:rPr>
        <w:t xml:space="preserve">The ethical considerations of the research usually entail the principles of protecting the subjects, maintaining integrity, and the transparency of data collection, analysis, and reporting. In primary research, it involves informed consent, protection of participant confidentiality, and </w:t>
      </w:r>
      <w:proofErr w:type="spellStart"/>
      <w:r w:rsidRPr="00BA79C7">
        <w:rPr>
          <w:lang w:val="en-US" w:eastAsia="zh-CN" w:bidi="bn-IN"/>
        </w:rPr>
        <w:t>minimisation</w:t>
      </w:r>
      <w:proofErr w:type="spellEnd"/>
      <w:r w:rsidRPr="00BA79C7">
        <w:rPr>
          <w:lang w:val="en-US" w:eastAsia="zh-CN" w:bidi="bn-IN"/>
        </w:rPr>
        <w:t xml:space="preserve"> of possible harm (UWTSD, 2022).</w:t>
      </w:r>
    </w:p>
    <w:p w14:paraId="6AF01BFF" w14:textId="77777777" w:rsidR="00BA79C7" w:rsidRPr="00BA79C7" w:rsidRDefault="00BA79C7" w:rsidP="00BA79C7">
      <w:pPr>
        <w:rPr>
          <w:lang w:val="en-US" w:eastAsia="zh-CN" w:bidi="bn-IN"/>
        </w:rPr>
      </w:pPr>
      <w:r w:rsidRPr="00BA79C7">
        <w:rPr>
          <w:lang w:val="en-US" w:eastAsia="zh-CN" w:bidi="bn-IN"/>
        </w:rPr>
        <w:lastRenderedPageBreak/>
        <w:t>These considerations are not directly applicable in this research study since it is a secondary research work based on entirely publicly available information in peer-reviewed journal articles. None of the primary data were collected with human participants and thus the concern of consent or confidentiality does not apply.</w:t>
      </w:r>
    </w:p>
    <w:p w14:paraId="3EA60F3A" w14:textId="13E1E830" w:rsidR="00F76F9B" w:rsidRPr="00F76F9B" w:rsidRDefault="00BA79C7" w:rsidP="00BA79C7">
      <w:pPr>
        <w:rPr>
          <w:lang w:val="en-US" w:eastAsia="zh-CN" w:bidi="bn-IN"/>
        </w:rPr>
      </w:pPr>
      <w:r w:rsidRPr="00BA79C7">
        <w:rPr>
          <w:lang w:val="en-US" w:eastAsia="zh-CN" w:bidi="bn-IN"/>
        </w:rPr>
        <w:t xml:space="preserve">Even though primary data is not used, systematic reviews still need ethical diligence as a way of guaranteeing integrity and reliability. It involves proper reporting of search methods, use of inclusion and exclusion criteria, making critical evaluations, </w:t>
      </w:r>
      <w:proofErr w:type="spellStart"/>
      <w:r w:rsidRPr="00BA79C7">
        <w:rPr>
          <w:lang w:val="en-US" w:eastAsia="zh-CN" w:bidi="bn-IN"/>
        </w:rPr>
        <w:t>plagiarising</w:t>
      </w:r>
      <w:proofErr w:type="spellEnd"/>
      <w:r w:rsidRPr="00BA79C7">
        <w:rPr>
          <w:lang w:val="en-US" w:eastAsia="zh-CN" w:bidi="bn-IN"/>
        </w:rPr>
        <w:t xml:space="preserve">, and clearly </w:t>
      </w:r>
      <w:proofErr w:type="spellStart"/>
      <w:r w:rsidRPr="00BA79C7">
        <w:rPr>
          <w:lang w:val="en-US" w:eastAsia="zh-CN" w:bidi="bn-IN"/>
        </w:rPr>
        <w:t>synthesising</w:t>
      </w:r>
      <w:proofErr w:type="spellEnd"/>
      <w:r w:rsidRPr="00BA79C7">
        <w:rPr>
          <w:lang w:val="en-US" w:eastAsia="zh-CN" w:bidi="bn-IN"/>
        </w:rPr>
        <w:t xml:space="preserve"> results (Suri, 2020; Wager and Wiffen, 2011). These </w:t>
      </w:r>
      <w:proofErr w:type="spellStart"/>
      <w:r w:rsidRPr="00BA79C7">
        <w:rPr>
          <w:lang w:val="en-US" w:eastAsia="zh-CN" w:bidi="bn-IN"/>
        </w:rPr>
        <w:t>practises</w:t>
      </w:r>
      <w:proofErr w:type="spellEnd"/>
      <w:r w:rsidRPr="00BA79C7">
        <w:rPr>
          <w:lang w:val="en-US" w:eastAsia="zh-CN" w:bidi="bn-IN"/>
        </w:rPr>
        <w:t xml:space="preserve"> were carried out in the course of reviewing the ethical </w:t>
      </w:r>
      <w:proofErr w:type="spellStart"/>
      <w:r w:rsidRPr="00BA79C7">
        <w:rPr>
          <w:lang w:val="en-US" w:eastAsia="zh-CN" w:bidi="bn-IN"/>
        </w:rPr>
        <w:t>practises</w:t>
      </w:r>
      <w:proofErr w:type="spellEnd"/>
      <w:r w:rsidRPr="00BA79C7">
        <w:rPr>
          <w:lang w:val="en-US" w:eastAsia="zh-CN" w:bidi="bn-IN"/>
        </w:rPr>
        <w:t xml:space="preserve">. By complying with such standards, the research will make the synthesis of ESG </w:t>
      </w:r>
      <w:proofErr w:type="spellStart"/>
      <w:r w:rsidRPr="00BA79C7">
        <w:rPr>
          <w:lang w:val="en-US" w:eastAsia="zh-CN" w:bidi="bn-IN"/>
        </w:rPr>
        <w:t>practises</w:t>
      </w:r>
      <w:proofErr w:type="spellEnd"/>
      <w:r w:rsidRPr="00BA79C7">
        <w:rPr>
          <w:lang w:val="en-US" w:eastAsia="zh-CN" w:bidi="bn-IN"/>
        </w:rPr>
        <w:t xml:space="preserve"> between traditional automotive and electric vehicle companies credible, reproducible, and ethical (Afifi, Stryhn and Sánchez, 2023; Shaheen </w:t>
      </w:r>
      <w:r w:rsidR="00642FAE" w:rsidRPr="00642FAE">
        <w:rPr>
          <w:i/>
          <w:iCs/>
          <w:lang w:val="en-US" w:eastAsia="zh-CN" w:bidi="bn-IN"/>
        </w:rPr>
        <w:t>et al</w:t>
      </w:r>
      <w:r w:rsidRPr="00BA79C7">
        <w:rPr>
          <w:lang w:val="en-US" w:eastAsia="zh-CN" w:bidi="bn-IN"/>
        </w:rPr>
        <w:t>., 2023).</w:t>
      </w:r>
    </w:p>
    <w:p w14:paraId="4F776128" w14:textId="05C8BC05" w:rsidR="00391EB6" w:rsidRDefault="00391EB6" w:rsidP="008C5097">
      <w:pPr>
        <w:pStyle w:val="Heading2"/>
      </w:pPr>
      <w:bookmarkStart w:id="44" w:name="_Toc217953863"/>
      <w:r w:rsidRPr="008C5097">
        <w:t>Conclusion</w:t>
      </w:r>
      <w:bookmarkEnd w:id="44"/>
    </w:p>
    <w:p w14:paraId="183C9965" w14:textId="7B8852D7" w:rsidR="008C5097" w:rsidRPr="00F76F9B" w:rsidRDefault="00BA79C7">
      <w:pPr>
        <w:rPr>
          <w:lang w:val="en-US" w:eastAsia="zh-CN" w:bidi="bn-IN"/>
        </w:rPr>
      </w:pPr>
      <w:r w:rsidRPr="00BA79C7">
        <w:t>The chapter has described the methodology followed in the systematic review, including research philosophy, design, approach, and data collection methods. It has described the systematic search strategy, inclusion criteria, exclusion criteria, selection and screening of studies, quality appraisal and extractions and synthesis of data. Specific ethical issues of systematic reviews were also considered. Together, these methodological processes offer a rigorous, transparent and replicable system, which ensures that the review is able to capture and synthesise evidence about ESG practises in conventional automotive and electric vehicle organisations, and therefore, support the objectives and analysis of this study.</w:t>
      </w:r>
      <w:r w:rsidR="008C5097">
        <w:br w:type="page"/>
      </w:r>
    </w:p>
    <w:p w14:paraId="31D70E41" w14:textId="6D41E2A5" w:rsidR="00391EB6" w:rsidRPr="008C5097" w:rsidRDefault="00786750" w:rsidP="008C5097">
      <w:pPr>
        <w:pStyle w:val="Heading1"/>
      </w:pPr>
      <w:bookmarkStart w:id="45" w:name="_Toc217953864"/>
      <w:r w:rsidRPr="008C5097">
        <w:lastRenderedPageBreak/>
        <w:t>CHAPTER 4: FINDINGS, ANALYSIS AND DISCUSSION</w:t>
      </w:r>
      <w:bookmarkEnd w:id="45"/>
    </w:p>
    <w:p w14:paraId="63B4CF38" w14:textId="4A1F8BE4" w:rsidR="00346D5C" w:rsidRDefault="00346D5C" w:rsidP="00346D5C">
      <w:pPr>
        <w:pStyle w:val="Heading2"/>
      </w:pPr>
      <w:bookmarkStart w:id="46" w:name="_Toc217953865"/>
      <w:r>
        <w:t>Introduction</w:t>
      </w:r>
      <w:bookmarkEnd w:id="46"/>
    </w:p>
    <w:p w14:paraId="6F178851" w14:textId="27FB88B3" w:rsidR="00346D5C" w:rsidRDefault="00BA79C7" w:rsidP="00346D5C">
      <w:r w:rsidRPr="00BA79C7">
        <w:t>Chapter 4 contains the findings, analysis and discussion of the reviewed literature. It starts with a PRISMA graph addressing the process of selecting the studies covered in the work, then a summary of the 50 articles that were included in the review. A thematic and narrative synthesis of the major findings is then presented in the chapter and finally a comprehensive discussion that interprets the findings against research questions is provided.</w:t>
      </w:r>
    </w:p>
    <w:p w14:paraId="0FC3B930" w14:textId="54C5A461" w:rsidR="00346D5C" w:rsidRPr="00346D5C" w:rsidRDefault="00D57F09" w:rsidP="00D57F09">
      <w:pPr>
        <w:pStyle w:val="Heading2"/>
        <w:rPr>
          <w:lang w:val="en-US"/>
        </w:rPr>
      </w:pPr>
      <w:bookmarkStart w:id="47" w:name="_Toc217953866"/>
      <w:r>
        <w:rPr>
          <w:lang w:val="en-US"/>
        </w:rPr>
        <w:t>Summary of the Search Results</w:t>
      </w:r>
      <w:r w:rsidR="00392399">
        <w:rPr>
          <w:lang w:val="en-US"/>
        </w:rPr>
        <w:t xml:space="preserve"> and Quality Assessment</w:t>
      </w:r>
      <w:bookmarkEnd w:id="47"/>
    </w:p>
    <w:p w14:paraId="326754A1" w14:textId="77777777" w:rsidR="00346D5C" w:rsidRDefault="00346D5C" w:rsidP="00D57F09">
      <w:pPr>
        <w:spacing w:before="0" w:after="160" w:line="259" w:lineRule="auto"/>
        <w:jc w:val="center"/>
      </w:pPr>
      <w:r w:rsidRPr="00346D5C">
        <w:rPr>
          <w:noProof/>
        </w:rPr>
        <w:drawing>
          <wp:inline distT="0" distB="0" distL="0" distR="0" wp14:anchorId="22EB91F8" wp14:editId="18074766">
            <wp:extent cx="5160063" cy="5043054"/>
            <wp:effectExtent l="0" t="0" r="2540" b="5715"/>
            <wp:docPr id="13" name="Picture 12">
              <a:extLst xmlns:a="http://schemas.openxmlformats.org/drawingml/2006/main">
                <a:ext uri="{FF2B5EF4-FFF2-40B4-BE49-F238E27FC236}">
                  <a16:creationId xmlns:a16="http://schemas.microsoft.com/office/drawing/2014/main" id="{DA850699-E318-C747-296F-DE15A890A7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DA850699-E318-C747-296F-DE15A890A7A9}"/>
                        </a:ext>
                      </a:extLst>
                    </pic:cNvPr>
                    <pic:cNvPicPr>
                      <a:picLocks noChangeAspect="1"/>
                    </pic:cNvPicPr>
                  </pic:nvPicPr>
                  <pic:blipFill>
                    <a:blip r:embed="rId14"/>
                    <a:stretch>
                      <a:fillRect/>
                    </a:stretch>
                  </pic:blipFill>
                  <pic:spPr>
                    <a:xfrm>
                      <a:off x="0" y="0"/>
                      <a:ext cx="5208749" cy="5090636"/>
                    </a:xfrm>
                    <a:prstGeom prst="rect">
                      <a:avLst/>
                    </a:prstGeom>
                  </pic:spPr>
                </pic:pic>
              </a:graphicData>
            </a:graphic>
          </wp:inline>
        </w:drawing>
      </w:r>
    </w:p>
    <w:p w14:paraId="43CBC123" w14:textId="5267492F" w:rsidR="00346D5C" w:rsidRDefault="00346D5C" w:rsidP="00346D5C">
      <w:pPr>
        <w:pStyle w:val="NoSpacing"/>
      </w:pPr>
      <w:bookmarkStart w:id="48" w:name="_Toc217952154"/>
      <w:bookmarkStart w:id="49" w:name="_Toc217953739"/>
      <w:r>
        <w:t xml:space="preserve">Figure </w:t>
      </w:r>
      <w:fldSimple w:instr=" SEQ Figure \* ARABIC ">
        <w:r w:rsidR="00F51EF3">
          <w:rPr>
            <w:noProof/>
          </w:rPr>
          <w:t>6</w:t>
        </w:r>
      </w:fldSimple>
      <w:r>
        <w:t xml:space="preserve"> PRISMA Flow Diagram of the Article Selection (Author)</w:t>
      </w:r>
      <w:bookmarkEnd w:id="48"/>
      <w:bookmarkEnd w:id="49"/>
    </w:p>
    <w:p w14:paraId="3DCDD613" w14:textId="69DBB21A" w:rsidR="00BA79C7" w:rsidRPr="00BA79C7" w:rsidRDefault="00BA79C7" w:rsidP="00BA79C7">
      <w:pPr>
        <w:rPr>
          <w:lang w:val="en-US"/>
        </w:rPr>
      </w:pPr>
      <w:r w:rsidRPr="00BA79C7">
        <w:rPr>
          <w:lang w:val="en-US"/>
        </w:rPr>
        <w:t xml:space="preserve">The PRISMA flow diagram is the summary of the selection of studies to be included in this review. In the first step, 674 articles were found in Scopus, and 241 of them were </w:t>
      </w:r>
      <w:r w:rsidRPr="00BA79C7">
        <w:rPr>
          <w:lang w:val="en-US"/>
        </w:rPr>
        <w:lastRenderedPageBreak/>
        <w:t>duplicates, which is why 433 articles remained on the title and abstract screening list. In this step, 332 records were eliminated because they did not fit the inclusion criteria, and 101 reports were requested to be retrieved. Only 88 full-text articles were accessed to determine their eligibility because 13 of them could not be located. Among them, 38 were excluded because they did not discuss ESG (n = 8), did not analyse ESG drivers or barriers (n = 6), did not examine ESG</w:t>
      </w:r>
      <w:r>
        <w:rPr>
          <w:lang w:val="en-US"/>
        </w:rPr>
        <w:t>-</w:t>
      </w:r>
      <w:r w:rsidRPr="00BA79C7">
        <w:rPr>
          <w:lang w:val="en-US"/>
        </w:rPr>
        <w:t>financial performance relationships (n = 7), had non-empirical methodologies (n = 11), or were a review or opinion article (n = 6). In the end, 50 studies were included in the review as they met the inclusion criteria.</w:t>
      </w:r>
    </w:p>
    <w:p w14:paraId="3E1ED9E4" w14:textId="1C9A632F" w:rsidR="00392399" w:rsidRDefault="00BA79C7" w:rsidP="00BA79C7">
      <w:pPr>
        <w:rPr>
          <w:lang w:val="en-US"/>
        </w:rPr>
      </w:pPr>
      <w:r w:rsidRPr="00BA79C7">
        <w:rPr>
          <w:lang w:val="en-US"/>
        </w:rPr>
        <w:t xml:space="preserve">The quality evaluation of the studies included as described in Appendix 2 shows that out of the 50 articles, 21 were high quality and 29 were medium quality and none were low quality. The evidence in this distribution implies that most of the evidence was credible and contributes to the strength of the review findings and areas to improve methodological </w:t>
      </w:r>
      <w:proofErr w:type="spellStart"/>
      <w:r w:rsidRPr="00BA79C7">
        <w:rPr>
          <w:lang w:val="en-US"/>
        </w:rPr>
        <w:t>rigour</w:t>
      </w:r>
      <w:proofErr w:type="spellEnd"/>
      <w:r w:rsidRPr="00BA79C7">
        <w:rPr>
          <w:lang w:val="en-US"/>
        </w:rPr>
        <w:t>.</w:t>
      </w:r>
    </w:p>
    <w:p w14:paraId="50EB214A" w14:textId="07186F42" w:rsidR="00B83B3F" w:rsidRDefault="00B83B3F" w:rsidP="00B83B3F">
      <w:pPr>
        <w:pStyle w:val="Heading2"/>
      </w:pPr>
      <w:bookmarkStart w:id="50" w:name="_Toc217953867"/>
      <w:r w:rsidRPr="008C5097">
        <w:t>Summary of Finding</w:t>
      </w:r>
      <w:r>
        <w:t>s from the Included Articles</w:t>
      </w:r>
      <w:bookmarkEnd w:id="50"/>
    </w:p>
    <w:p w14:paraId="38EAE0CE" w14:textId="12C31503" w:rsidR="00B83B3F" w:rsidRPr="00B83B3F" w:rsidRDefault="00BA79C7" w:rsidP="00B83B3F">
      <w:pPr>
        <w:rPr>
          <w:lang w:val="en-US"/>
        </w:rPr>
      </w:pPr>
      <w:r w:rsidRPr="00BA79C7">
        <w:t>The I</w:t>
      </w:r>
      <w:r>
        <w:t>ndex</w:t>
      </w:r>
      <w:r w:rsidRPr="00BA79C7">
        <w:t>, author(s), title, methodology and key findings of the 50 studies used in this review are shown in Table 1. This list is a summary of the research designs and key findings of both traditional and electric cars manufacturers, where the environmental, social, and governance (ESG) practises, drivers of adoption, its barriers, and financial performance differences are noted.</w:t>
      </w:r>
    </w:p>
    <w:p w14:paraId="0A754BD7" w14:textId="77777777" w:rsidR="00B83B3F" w:rsidRPr="00392399" w:rsidRDefault="00B83B3F" w:rsidP="00392399">
      <w:pPr>
        <w:rPr>
          <w:lang w:val="en-US"/>
        </w:rPr>
      </w:pPr>
    </w:p>
    <w:p w14:paraId="40AA9AD0" w14:textId="77777777" w:rsidR="00392399" w:rsidRPr="00D57F09" w:rsidRDefault="00392399" w:rsidP="00D57F09">
      <w:pPr>
        <w:rPr>
          <w:lang w:val="en-US"/>
        </w:rPr>
      </w:pPr>
    </w:p>
    <w:p w14:paraId="7800579B" w14:textId="3C467B1E" w:rsidR="00F76F9B" w:rsidRPr="00346D5C" w:rsidRDefault="00F76F9B" w:rsidP="00346D5C">
      <w:pPr>
        <w:rPr>
          <w:lang w:val="en-US"/>
        </w:rPr>
        <w:sectPr w:rsidR="00F76F9B" w:rsidRPr="00346D5C" w:rsidSect="001F7590">
          <w:footerReference w:type="default" r:id="rId15"/>
          <w:footerReference w:type="first" r:id="rId16"/>
          <w:pgSz w:w="11906" w:h="16838" w:code="9"/>
          <w:pgMar w:top="1440" w:right="1440" w:bottom="1440" w:left="1440" w:header="708" w:footer="708" w:gutter="0"/>
          <w:cols w:space="708"/>
          <w:titlePg/>
          <w:docGrid w:linePitch="360"/>
        </w:sectPr>
      </w:pPr>
      <w:r>
        <w:br w:type="page"/>
      </w:r>
    </w:p>
    <w:p w14:paraId="17A6C4A8" w14:textId="4EBABD25" w:rsidR="000A55E2" w:rsidRDefault="00B83B3F" w:rsidP="004434E6">
      <w:pPr>
        <w:pStyle w:val="NoSpacing"/>
        <w:jc w:val="left"/>
      </w:pPr>
      <w:bookmarkStart w:id="51" w:name="_Toc217952155"/>
      <w:r>
        <w:lastRenderedPageBreak/>
        <w:t xml:space="preserve">Table </w:t>
      </w:r>
      <w:fldSimple w:instr=" SEQ Table \* ARABIC ">
        <w:r w:rsidR="00F21071">
          <w:rPr>
            <w:noProof/>
          </w:rPr>
          <w:t>1</w:t>
        </w:r>
      </w:fldSimple>
      <w:r>
        <w:t xml:space="preserve">: </w:t>
      </w:r>
      <w:r w:rsidR="00FA47D4">
        <w:t>Summary of the Included Articles (N = 50)</w:t>
      </w:r>
      <w:bookmarkEnd w:id="51"/>
    </w:p>
    <w:tbl>
      <w:tblPr>
        <w:tblStyle w:val="PlainTable1"/>
        <w:tblW w:w="13948" w:type="dxa"/>
        <w:tblLook w:val="04A0" w:firstRow="1" w:lastRow="0" w:firstColumn="1" w:lastColumn="0" w:noHBand="0" w:noVBand="1"/>
      </w:tblPr>
      <w:tblGrid>
        <w:gridCol w:w="684"/>
        <w:gridCol w:w="1988"/>
        <w:gridCol w:w="4330"/>
        <w:gridCol w:w="2990"/>
        <w:gridCol w:w="3956"/>
      </w:tblGrid>
      <w:tr w:rsidR="004434E6" w:rsidRPr="004434E6" w14:paraId="668B8164" w14:textId="77777777" w:rsidTr="004434E6">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6C5F9B0F" w14:textId="77777777" w:rsidR="004434E6" w:rsidRPr="004434E6" w:rsidRDefault="004434E6" w:rsidP="004434E6">
            <w:pPr>
              <w:jc w:val="left"/>
              <w:rPr>
                <w:rFonts w:eastAsia="Times New Roman"/>
                <w:color w:val="000000"/>
                <w:szCs w:val="24"/>
                <w:lang w:val="en-US" w:eastAsia="zh-CN" w:bidi="bn-IN"/>
              </w:rPr>
            </w:pPr>
            <w:r w:rsidRPr="004434E6">
              <w:rPr>
                <w:rFonts w:eastAsia="Times New Roman"/>
                <w:color w:val="000000"/>
                <w:szCs w:val="24"/>
                <w:lang w:val="en-US" w:eastAsia="zh-CN" w:bidi="bn-IN"/>
              </w:rPr>
              <w:t>ID</w:t>
            </w:r>
          </w:p>
        </w:tc>
        <w:tc>
          <w:tcPr>
            <w:tcW w:w="1968" w:type="dxa"/>
            <w:noWrap/>
            <w:vAlign w:val="center"/>
            <w:hideMark/>
          </w:tcPr>
          <w:p w14:paraId="2ACC8690" w14:textId="77777777" w:rsidR="004434E6" w:rsidRPr="004434E6" w:rsidRDefault="004434E6" w:rsidP="004434E6">
            <w:pPr>
              <w:jc w:val="left"/>
              <w:cnfStyle w:val="100000000000" w:firstRow="1"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Author(s)</w:t>
            </w:r>
          </w:p>
        </w:tc>
        <w:tc>
          <w:tcPr>
            <w:tcW w:w="4337" w:type="dxa"/>
            <w:noWrap/>
            <w:vAlign w:val="center"/>
            <w:hideMark/>
          </w:tcPr>
          <w:p w14:paraId="0352FC63" w14:textId="77777777" w:rsidR="004434E6" w:rsidRPr="004434E6" w:rsidRDefault="004434E6" w:rsidP="004434E6">
            <w:pPr>
              <w:jc w:val="left"/>
              <w:cnfStyle w:val="100000000000" w:firstRow="1"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Title</w:t>
            </w:r>
          </w:p>
        </w:tc>
        <w:tc>
          <w:tcPr>
            <w:tcW w:w="2995" w:type="dxa"/>
            <w:noWrap/>
            <w:vAlign w:val="center"/>
            <w:hideMark/>
          </w:tcPr>
          <w:p w14:paraId="21A90CAD" w14:textId="77777777" w:rsidR="004434E6" w:rsidRPr="004434E6" w:rsidRDefault="004434E6" w:rsidP="004434E6">
            <w:pPr>
              <w:jc w:val="left"/>
              <w:cnfStyle w:val="100000000000" w:firstRow="1"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Methodology</w:t>
            </w:r>
          </w:p>
        </w:tc>
        <w:tc>
          <w:tcPr>
            <w:tcW w:w="3963" w:type="dxa"/>
            <w:noWrap/>
            <w:vAlign w:val="center"/>
            <w:hideMark/>
          </w:tcPr>
          <w:p w14:paraId="6D5810DB" w14:textId="77777777" w:rsidR="004434E6" w:rsidRPr="004434E6" w:rsidRDefault="004434E6" w:rsidP="004434E6">
            <w:pPr>
              <w:jc w:val="left"/>
              <w:cnfStyle w:val="100000000000" w:firstRow="1"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Findings</w:t>
            </w:r>
          </w:p>
        </w:tc>
      </w:tr>
      <w:tr w:rsidR="004434E6" w:rsidRPr="004434E6" w14:paraId="26954479"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10EFBF75"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w:t>
            </w:r>
          </w:p>
        </w:tc>
        <w:tc>
          <w:tcPr>
            <w:tcW w:w="1968" w:type="dxa"/>
            <w:noWrap/>
            <w:vAlign w:val="center"/>
            <w:hideMark/>
          </w:tcPr>
          <w:p w14:paraId="5890B515"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Aaldering</w:t>
            </w:r>
            <w:proofErr w:type="spellEnd"/>
            <w:r w:rsidRPr="004434E6">
              <w:rPr>
                <w:rFonts w:eastAsia="Times New Roman"/>
                <w:color w:val="000000"/>
                <w:szCs w:val="24"/>
                <w:lang w:val="en-US" w:eastAsia="zh-CN" w:bidi="bn-IN"/>
              </w:rPr>
              <w:t>, Leker and Song (2019)</w:t>
            </w:r>
          </w:p>
        </w:tc>
        <w:tc>
          <w:tcPr>
            <w:tcW w:w="4337" w:type="dxa"/>
            <w:noWrap/>
            <w:vAlign w:val="center"/>
            <w:hideMark/>
          </w:tcPr>
          <w:p w14:paraId="427FCEB4"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Competition or collaboration? – Analysis of technological knowledge ecosystem within the field of alternative powertrain systems: A patent-based approach</w:t>
            </w:r>
          </w:p>
        </w:tc>
        <w:tc>
          <w:tcPr>
            <w:tcW w:w="2995" w:type="dxa"/>
            <w:noWrap/>
            <w:vAlign w:val="center"/>
            <w:hideMark/>
          </w:tcPr>
          <w:p w14:paraId="3C29B4B2"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Patent-based social network analysis &amp; link prediction</w:t>
            </w:r>
          </w:p>
        </w:tc>
        <w:tc>
          <w:tcPr>
            <w:tcW w:w="3963" w:type="dxa"/>
            <w:noWrap/>
            <w:vAlign w:val="center"/>
            <w:hideMark/>
          </w:tcPr>
          <w:p w14:paraId="2705DA52"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 HEVs, FCEVs form cooperative tech ecosystem; R&amp;D drives cleaner mobility; innovation/tech drivers vs ICE highlighted</w:t>
            </w:r>
          </w:p>
        </w:tc>
      </w:tr>
      <w:tr w:rsidR="004434E6" w:rsidRPr="004434E6" w14:paraId="75161156"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477090C7"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w:t>
            </w:r>
          </w:p>
        </w:tc>
        <w:tc>
          <w:tcPr>
            <w:tcW w:w="1968" w:type="dxa"/>
            <w:noWrap/>
            <w:vAlign w:val="center"/>
            <w:hideMark/>
          </w:tcPr>
          <w:p w14:paraId="446EEC52"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Ahmad, Khalil and Rehman (2023)</w:t>
            </w:r>
          </w:p>
        </w:tc>
        <w:tc>
          <w:tcPr>
            <w:tcW w:w="4337" w:type="dxa"/>
            <w:noWrap/>
            <w:vAlign w:val="center"/>
            <w:hideMark/>
          </w:tcPr>
          <w:p w14:paraId="6E6CF14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Impact of environmental performance of automobile companies on their sustainable financial performance</w:t>
            </w:r>
          </w:p>
        </w:tc>
        <w:tc>
          <w:tcPr>
            <w:tcW w:w="2995" w:type="dxa"/>
            <w:noWrap/>
            <w:vAlign w:val="center"/>
            <w:hideMark/>
          </w:tcPr>
          <w:p w14:paraId="647256A3"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Regression on 11 auto firms’ annual reports (2013–2022)</w:t>
            </w:r>
          </w:p>
        </w:tc>
        <w:tc>
          <w:tcPr>
            <w:tcW w:w="3963" w:type="dxa"/>
            <w:noWrap/>
            <w:vAlign w:val="center"/>
            <w:hideMark/>
          </w:tcPr>
          <w:p w14:paraId="11729DA2"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Environmental performance positively affects sustainable financial performance</w:t>
            </w:r>
          </w:p>
        </w:tc>
      </w:tr>
      <w:tr w:rsidR="004434E6" w:rsidRPr="004434E6" w14:paraId="171ACFB4"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6AA40700"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w:t>
            </w:r>
          </w:p>
        </w:tc>
        <w:tc>
          <w:tcPr>
            <w:tcW w:w="1968" w:type="dxa"/>
            <w:noWrap/>
            <w:vAlign w:val="center"/>
            <w:hideMark/>
          </w:tcPr>
          <w:p w14:paraId="31AD8775"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Arhinful</w:t>
            </w:r>
            <w:proofErr w:type="spellEnd"/>
            <w:r w:rsidRPr="004434E6">
              <w:rPr>
                <w:rFonts w:eastAsia="Times New Roman"/>
                <w:color w:val="000000"/>
                <w:szCs w:val="24"/>
                <w:lang w:val="en-US" w:eastAsia="zh-CN" w:bidi="bn-IN"/>
              </w:rPr>
              <w:t>, Mensah &amp; Owusu-Sarfo (2024)</w:t>
            </w:r>
          </w:p>
        </w:tc>
        <w:tc>
          <w:tcPr>
            <w:tcW w:w="4337" w:type="dxa"/>
            <w:noWrap/>
            <w:vAlign w:val="center"/>
            <w:hideMark/>
          </w:tcPr>
          <w:p w14:paraId="69326207"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Board governance and ESG performance in Tokyo stock exchange-listed automobile companies: An empirical analysis</w:t>
            </w:r>
          </w:p>
        </w:tc>
        <w:tc>
          <w:tcPr>
            <w:tcW w:w="2995" w:type="dxa"/>
            <w:noWrap/>
            <w:vAlign w:val="center"/>
            <w:hideMark/>
          </w:tcPr>
          <w:p w14:paraId="4CE78E2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Random/fixed effects &amp; two-step GMM on 32 firms (2005–2021)</w:t>
            </w:r>
          </w:p>
        </w:tc>
        <w:tc>
          <w:tcPr>
            <w:tcW w:w="3963" w:type="dxa"/>
            <w:noWrap/>
            <w:vAlign w:val="center"/>
            <w:hideMark/>
          </w:tcPr>
          <w:p w14:paraId="6A45E97A"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Board characteristics impact ESG: gender/meetings negative/insignificant; size, education, independence positive</w:t>
            </w:r>
          </w:p>
        </w:tc>
      </w:tr>
      <w:tr w:rsidR="004434E6" w:rsidRPr="004434E6" w14:paraId="2618AD10"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7A9EF2D2"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w:t>
            </w:r>
          </w:p>
        </w:tc>
        <w:tc>
          <w:tcPr>
            <w:tcW w:w="1968" w:type="dxa"/>
            <w:noWrap/>
            <w:vAlign w:val="center"/>
            <w:hideMark/>
          </w:tcPr>
          <w:p w14:paraId="3ED6589A"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Asghar, Patni and Menon (2025)</w:t>
            </w:r>
          </w:p>
        </w:tc>
        <w:tc>
          <w:tcPr>
            <w:tcW w:w="4337" w:type="dxa"/>
            <w:noWrap/>
            <w:vAlign w:val="center"/>
            <w:hideMark/>
          </w:tcPr>
          <w:p w14:paraId="4011DE97"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Beyond adoption: examining zero-emission vehicle usage with an MDCEV model approach</w:t>
            </w:r>
          </w:p>
        </w:tc>
        <w:tc>
          <w:tcPr>
            <w:tcW w:w="2995" w:type="dxa"/>
            <w:noWrap/>
            <w:vAlign w:val="center"/>
            <w:hideMark/>
          </w:tcPr>
          <w:p w14:paraId="08952E1C"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MDCEV modelling using 2019 California Vehicle Survey</w:t>
            </w:r>
          </w:p>
        </w:tc>
        <w:tc>
          <w:tcPr>
            <w:tcW w:w="3963" w:type="dxa"/>
            <w:noWrap/>
            <w:vAlign w:val="center"/>
            <w:hideMark/>
          </w:tcPr>
          <w:p w14:paraId="5E16A72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EV adoption influenced by income, education, pro-tech attitude, household, spatial factors; social/</w:t>
            </w:r>
            <w:proofErr w:type="spellStart"/>
            <w:r w:rsidRPr="004434E6">
              <w:rPr>
                <w:rFonts w:eastAsia="Times New Roman"/>
                <w:color w:val="000000"/>
                <w:szCs w:val="24"/>
                <w:lang w:val="en-US" w:eastAsia="zh-CN" w:bidi="bn-IN"/>
              </w:rPr>
              <w:t>behavioural</w:t>
            </w:r>
            <w:proofErr w:type="spellEnd"/>
            <w:r w:rsidRPr="004434E6">
              <w:rPr>
                <w:rFonts w:eastAsia="Times New Roman"/>
                <w:color w:val="000000"/>
                <w:szCs w:val="24"/>
                <w:lang w:val="en-US" w:eastAsia="zh-CN" w:bidi="bn-IN"/>
              </w:rPr>
              <w:t xml:space="preserve"> drivers identified</w:t>
            </w:r>
          </w:p>
        </w:tc>
      </w:tr>
      <w:tr w:rsidR="004434E6" w:rsidRPr="004434E6" w14:paraId="1C41322F"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1BB40360"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5</w:t>
            </w:r>
          </w:p>
        </w:tc>
        <w:tc>
          <w:tcPr>
            <w:tcW w:w="1968" w:type="dxa"/>
            <w:noWrap/>
            <w:vAlign w:val="center"/>
            <w:hideMark/>
          </w:tcPr>
          <w:p w14:paraId="63F23511"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Boretti (2019)</w:t>
            </w:r>
          </w:p>
        </w:tc>
        <w:tc>
          <w:tcPr>
            <w:tcW w:w="4337" w:type="dxa"/>
            <w:noWrap/>
            <w:vAlign w:val="center"/>
            <w:hideMark/>
          </w:tcPr>
          <w:p w14:paraId="5DEABA0C"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Electric vehicles with small batteries and high-efficiency on-board electricity production</w:t>
            </w:r>
          </w:p>
        </w:tc>
        <w:tc>
          <w:tcPr>
            <w:tcW w:w="2995" w:type="dxa"/>
            <w:noWrap/>
            <w:vAlign w:val="center"/>
            <w:hideMark/>
          </w:tcPr>
          <w:p w14:paraId="10F03548"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Technical assessment of PHEVs &amp; BEVs with small batteries</w:t>
            </w:r>
          </w:p>
        </w:tc>
        <w:tc>
          <w:tcPr>
            <w:tcW w:w="3963" w:type="dxa"/>
            <w:noWrap/>
            <w:vAlign w:val="center"/>
            <w:hideMark/>
          </w:tcPr>
          <w:p w14:paraId="6A38B33E"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Small-battery BEVs economically/environmentally superior until renewables/infrastructure improve; tech &amp; infrastructure drivers noted</w:t>
            </w:r>
          </w:p>
        </w:tc>
      </w:tr>
      <w:tr w:rsidR="004434E6" w:rsidRPr="004434E6" w14:paraId="46D65E88"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C2EF4B1"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6</w:t>
            </w:r>
          </w:p>
        </w:tc>
        <w:tc>
          <w:tcPr>
            <w:tcW w:w="1968" w:type="dxa"/>
            <w:noWrap/>
            <w:vAlign w:val="center"/>
            <w:hideMark/>
          </w:tcPr>
          <w:p w14:paraId="006DE5F3" w14:textId="121261F0"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Boroujerdi</w:t>
            </w:r>
            <w:proofErr w:type="spellEnd"/>
            <w:r w:rsidRPr="004434E6">
              <w:rPr>
                <w:rFonts w:eastAsia="Times New Roman"/>
                <w:color w:val="000000"/>
                <w:szCs w:val="24"/>
                <w:lang w:val="en-US" w:eastAsia="zh-CN" w:bidi="bn-IN"/>
              </w:rPr>
              <w:t xml:space="preserve">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(2025)</w:t>
            </w:r>
          </w:p>
        </w:tc>
        <w:tc>
          <w:tcPr>
            <w:tcW w:w="4337" w:type="dxa"/>
            <w:noWrap/>
            <w:vAlign w:val="center"/>
            <w:hideMark/>
          </w:tcPr>
          <w:p w14:paraId="131B3ED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Transitioning Australia's land freight transport: Competition of fuel cell electric, battery electric, and internal combustion engine vehicles</w:t>
            </w:r>
          </w:p>
        </w:tc>
        <w:tc>
          <w:tcPr>
            <w:tcW w:w="2995" w:type="dxa"/>
            <w:noWrap/>
            <w:vAlign w:val="center"/>
            <w:hideMark/>
          </w:tcPr>
          <w:p w14:paraId="1747AF35"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Freight transport model with time, </w:t>
            </w:r>
            <w:proofErr w:type="spellStart"/>
            <w:r w:rsidRPr="004434E6">
              <w:rPr>
                <w:rFonts w:eastAsia="Times New Roman"/>
                <w:color w:val="000000"/>
                <w:szCs w:val="24"/>
                <w:lang w:val="en-US" w:eastAsia="zh-CN" w:bidi="bn-IN"/>
              </w:rPr>
              <w:t>refuelling</w:t>
            </w:r>
            <w:proofErr w:type="spellEnd"/>
            <w:r w:rsidRPr="004434E6">
              <w:rPr>
                <w:rFonts w:eastAsia="Times New Roman"/>
                <w:color w:val="000000"/>
                <w:szCs w:val="24"/>
                <w:lang w:val="en-US" w:eastAsia="zh-CN" w:bidi="bn-IN"/>
              </w:rPr>
              <w:t>, energy, scenarios (Australia)</w:t>
            </w:r>
          </w:p>
        </w:tc>
        <w:tc>
          <w:tcPr>
            <w:tcW w:w="3963" w:type="dxa"/>
            <w:noWrap/>
            <w:vAlign w:val="center"/>
            <w:hideMark/>
          </w:tcPr>
          <w:p w14:paraId="34193A17"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 dominate light commercial vehicles; FCEVs dominate trucks; policy/technology affect emissions; infrastructure needs differ</w:t>
            </w:r>
          </w:p>
        </w:tc>
      </w:tr>
      <w:tr w:rsidR="004434E6" w:rsidRPr="004434E6" w14:paraId="3872A782"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8F56541"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7</w:t>
            </w:r>
          </w:p>
        </w:tc>
        <w:tc>
          <w:tcPr>
            <w:tcW w:w="1968" w:type="dxa"/>
            <w:noWrap/>
            <w:vAlign w:val="center"/>
            <w:hideMark/>
          </w:tcPr>
          <w:p w14:paraId="693A48AD" w14:textId="575A4813"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Catacutan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(2024)</w:t>
            </w:r>
          </w:p>
        </w:tc>
        <w:tc>
          <w:tcPr>
            <w:tcW w:w="4337" w:type="dxa"/>
            <w:noWrap/>
            <w:vAlign w:val="center"/>
            <w:hideMark/>
          </w:tcPr>
          <w:p w14:paraId="7C02FB6C"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Corporate Social Responsibility and Financial Performance of Automotive Companies: A Basis for Corporate Social Responsibility Framework</w:t>
            </w:r>
          </w:p>
        </w:tc>
        <w:tc>
          <w:tcPr>
            <w:tcW w:w="2995" w:type="dxa"/>
            <w:noWrap/>
            <w:vAlign w:val="center"/>
            <w:hideMark/>
          </w:tcPr>
          <w:p w14:paraId="197451A0"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Survey of managers; descriptive stats &amp; correlations for CSR &amp; financials</w:t>
            </w:r>
          </w:p>
        </w:tc>
        <w:tc>
          <w:tcPr>
            <w:tcW w:w="3963" w:type="dxa"/>
            <w:noWrap/>
            <w:vAlign w:val="center"/>
            <w:hideMark/>
          </w:tcPr>
          <w:p w14:paraId="1E6C367A"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High CSR engagement in environment/ethics/philanthropy; weak correlation with financial performance</w:t>
            </w:r>
          </w:p>
        </w:tc>
      </w:tr>
      <w:tr w:rsidR="004434E6" w:rsidRPr="004434E6" w14:paraId="3ECB296F"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191011E"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8</w:t>
            </w:r>
          </w:p>
        </w:tc>
        <w:tc>
          <w:tcPr>
            <w:tcW w:w="1968" w:type="dxa"/>
            <w:noWrap/>
            <w:vAlign w:val="center"/>
            <w:hideMark/>
          </w:tcPr>
          <w:p w14:paraId="52E49C0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Chandrasekaran (2022)</w:t>
            </w:r>
          </w:p>
        </w:tc>
        <w:tc>
          <w:tcPr>
            <w:tcW w:w="4337" w:type="dxa"/>
            <w:noWrap/>
            <w:vAlign w:val="center"/>
            <w:hideMark/>
          </w:tcPr>
          <w:p w14:paraId="2742F1B1"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Does Corporate Social Responsibility Fuel Firm Performance? Evidence from the Asian Automotive Sector</w:t>
            </w:r>
          </w:p>
        </w:tc>
        <w:tc>
          <w:tcPr>
            <w:tcW w:w="2995" w:type="dxa"/>
            <w:noWrap/>
            <w:vAlign w:val="center"/>
            <w:hideMark/>
          </w:tcPr>
          <w:p w14:paraId="4E3EE6C5"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Panel regression (fixed/random effects) on Thomson Reuters sample</w:t>
            </w:r>
          </w:p>
        </w:tc>
        <w:tc>
          <w:tcPr>
            <w:tcW w:w="3963" w:type="dxa"/>
            <w:noWrap/>
            <w:vAlign w:val="center"/>
            <w:hideMark/>
          </w:tcPr>
          <w:p w14:paraId="5E27FABE"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CSR improves firm performance; E, S, G components all positive</w:t>
            </w:r>
          </w:p>
        </w:tc>
      </w:tr>
      <w:tr w:rsidR="004434E6" w:rsidRPr="004434E6" w14:paraId="725FFB52"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13015C12"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9</w:t>
            </w:r>
          </w:p>
        </w:tc>
        <w:tc>
          <w:tcPr>
            <w:tcW w:w="1968" w:type="dxa"/>
            <w:noWrap/>
            <w:vAlign w:val="center"/>
            <w:hideMark/>
          </w:tcPr>
          <w:p w14:paraId="3635E2BA"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Chen (2024)</w:t>
            </w:r>
          </w:p>
        </w:tc>
        <w:tc>
          <w:tcPr>
            <w:tcW w:w="4337" w:type="dxa"/>
            <w:noWrap/>
            <w:vAlign w:val="center"/>
            <w:hideMark/>
          </w:tcPr>
          <w:p w14:paraId="4C47B849"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The Impact of ESG Performance on Corporate’s Financial Performance: </w:t>
            </w:r>
            <w:r w:rsidRPr="004434E6">
              <w:rPr>
                <w:rFonts w:eastAsia="Times New Roman"/>
                <w:color w:val="000000"/>
                <w:szCs w:val="24"/>
                <w:lang w:val="en-US" w:eastAsia="zh-CN" w:bidi="bn-IN"/>
              </w:rPr>
              <w:lastRenderedPageBreak/>
              <w:t>Evidence from China’s Automobile Manufacturing Industry</w:t>
            </w:r>
          </w:p>
        </w:tc>
        <w:tc>
          <w:tcPr>
            <w:tcW w:w="2995" w:type="dxa"/>
            <w:noWrap/>
            <w:vAlign w:val="center"/>
            <w:hideMark/>
          </w:tcPr>
          <w:p w14:paraId="7675A3A1"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lastRenderedPageBreak/>
              <w:t xml:space="preserve">ESG ratings (2017–2024) vs financial performance </w:t>
            </w:r>
            <w:r w:rsidRPr="004434E6">
              <w:rPr>
                <w:rFonts w:eastAsia="Times New Roman"/>
                <w:color w:val="000000"/>
                <w:szCs w:val="24"/>
                <w:lang w:val="en-US" w:eastAsia="zh-CN" w:bidi="bn-IN"/>
              </w:rPr>
              <w:lastRenderedPageBreak/>
              <w:t>(profitability, solvency, etc.)</w:t>
            </w:r>
          </w:p>
        </w:tc>
        <w:tc>
          <w:tcPr>
            <w:tcW w:w="3963" w:type="dxa"/>
            <w:noWrap/>
            <w:vAlign w:val="center"/>
            <w:hideMark/>
          </w:tcPr>
          <w:p w14:paraId="1A1352E6"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lastRenderedPageBreak/>
              <w:t xml:space="preserve">ESG investment may lower short-term performance; long-term </w:t>
            </w:r>
            <w:r w:rsidRPr="004434E6">
              <w:rPr>
                <w:rFonts w:eastAsia="Times New Roman"/>
                <w:color w:val="000000"/>
                <w:szCs w:val="24"/>
                <w:lang w:val="en-US" w:eastAsia="zh-CN" w:bidi="bn-IN"/>
              </w:rPr>
              <w:lastRenderedPageBreak/>
              <w:t>benefits evident; social &amp; governance positive; environmental mixed</w:t>
            </w:r>
          </w:p>
        </w:tc>
      </w:tr>
      <w:tr w:rsidR="004434E6" w:rsidRPr="004434E6" w14:paraId="6B84119C"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67397AB6"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10</w:t>
            </w:r>
          </w:p>
        </w:tc>
        <w:tc>
          <w:tcPr>
            <w:tcW w:w="1968" w:type="dxa"/>
            <w:noWrap/>
            <w:vAlign w:val="center"/>
            <w:hideMark/>
          </w:tcPr>
          <w:p w14:paraId="2325971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Choi &amp; Cho (2025)</w:t>
            </w:r>
          </w:p>
        </w:tc>
        <w:tc>
          <w:tcPr>
            <w:tcW w:w="4337" w:type="dxa"/>
            <w:noWrap/>
            <w:vAlign w:val="center"/>
            <w:hideMark/>
          </w:tcPr>
          <w:p w14:paraId="74235587"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 scenario-based approach to using electric vehicle batteries in virtual power plants: Insights from environmental, social, and governance and Monte Carlo simulations</w:t>
            </w:r>
          </w:p>
        </w:tc>
        <w:tc>
          <w:tcPr>
            <w:tcW w:w="2995" w:type="dxa"/>
            <w:noWrap/>
            <w:vAlign w:val="center"/>
            <w:hideMark/>
          </w:tcPr>
          <w:p w14:paraId="0A951102"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Mixed-method: scenario planning &amp; Monte Carlo integrating ESG</w:t>
            </w:r>
          </w:p>
        </w:tc>
        <w:tc>
          <w:tcPr>
            <w:tcW w:w="3963" w:type="dxa"/>
            <w:noWrap/>
            <w:vAlign w:val="center"/>
            <w:hideMark/>
          </w:tcPr>
          <w:p w14:paraId="13BA420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Key uncertainties: E value volatility, S employment, G transparency; scenario-based ESG strategies proposed</w:t>
            </w:r>
          </w:p>
        </w:tc>
      </w:tr>
      <w:tr w:rsidR="004434E6" w:rsidRPr="004434E6" w14:paraId="405F4251"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44A46C4E"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11</w:t>
            </w:r>
          </w:p>
        </w:tc>
        <w:tc>
          <w:tcPr>
            <w:tcW w:w="1968" w:type="dxa"/>
            <w:noWrap/>
            <w:vAlign w:val="center"/>
            <w:hideMark/>
          </w:tcPr>
          <w:p w14:paraId="72DBD60F"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Chomachaei</w:t>
            </w:r>
            <w:proofErr w:type="spellEnd"/>
            <w:r w:rsidRPr="004434E6">
              <w:rPr>
                <w:rFonts w:eastAsia="Times New Roman"/>
                <w:color w:val="000000"/>
                <w:szCs w:val="24"/>
                <w:lang w:val="en-US" w:eastAsia="zh-CN" w:bidi="bn-IN"/>
              </w:rPr>
              <w:t xml:space="preserve"> &amp; </w:t>
            </w:r>
            <w:proofErr w:type="spellStart"/>
            <w:r w:rsidRPr="004434E6">
              <w:rPr>
                <w:rFonts w:eastAsia="Times New Roman"/>
                <w:color w:val="000000"/>
                <w:szCs w:val="24"/>
                <w:lang w:val="en-US" w:eastAsia="zh-CN" w:bidi="bn-IN"/>
              </w:rPr>
              <w:t>Golmohammadi</w:t>
            </w:r>
            <w:proofErr w:type="spellEnd"/>
            <w:r w:rsidRPr="004434E6">
              <w:rPr>
                <w:rFonts w:eastAsia="Times New Roman"/>
                <w:color w:val="000000"/>
                <w:szCs w:val="24"/>
                <w:lang w:val="en-US" w:eastAsia="zh-CN" w:bidi="bn-IN"/>
              </w:rPr>
              <w:t xml:space="preserve"> (2023)</w:t>
            </w:r>
          </w:p>
        </w:tc>
        <w:tc>
          <w:tcPr>
            <w:tcW w:w="4337" w:type="dxa"/>
            <w:noWrap/>
            <w:vAlign w:val="center"/>
            <w:hideMark/>
          </w:tcPr>
          <w:p w14:paraId="76AFE299"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The impact of the stringency of environmental policy on a firm’s financial performance: an empirical study of European automobile manufacturers</w:t>
            </w:r>
          </w:p>
        </w:tc>
        <w:tc>
          <w:tcPr>
            <w:tcW w:w="2995" w:type="dxa"/>
            <w:noWrap/>
            <w:vAlign w:val="center"/>
            <w:hideMark/>
          </w:tcPr>
          <w:p w14:paraId="5495102D"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Cross-country panel (71 firms, 2010–2019); fixed effects &amp; GMM</w:t>
            </w:r>
          </w:p>
        </w:tc>
        <w:tc>
          <w:tcPr>
            <w:tcW w:w="3963" w:type="dxa"/>
            <w:noWrap/>
            <w:vAlign w:val="center"/>
            <w:hideMark/>
          </w:tcPr>
          <w:p w14:paraId="759A6D47"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Strict environmental policy: short-term negative, long-term positive effect on finances</w:t>
            </w:r>
          </w:p>
        </w:tc>
      </w:tr>
      <w:tr w:rsidR="004434E6" w:rsidRPr="004434E6" w14:paraId="6EB80964"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17FEB47"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12</w:t>
            </w:r>
          </w:p>
        </w:tc>
        <w:tc>
          <w:tcPr>
            <w:tcW w:w="1968" w:type="dxa"/>
            <w:noWrap/>
            <w:vAlign w:val="center"/>
            <w:hideMark/>
          </w:tcPr>
          <w:p w14:paraId="4371D211"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Dincă, </w:t>
            </w:r>
            <w:proofErr w:type="spellStart"/>
            <w:r w:rsidRPr="004434E6">
              <w:rPr>
                <w:rFonts w:eastAsia="Times New Roman"/>
                <w:color w:val="000000"/>
                <w:szCs w:val="24"/>
                <w:lang w:val="en-US" w:eastAsia="zh-CN" w:bidi="bn-IN"/>
              </w:rPr>
              <w:t>Vezeteu</w:t>
            </w:r>
            <w:proofErr w:type="spellEnd"/>
            <w:r w:rsidRPr="004434E6">
              <w:rPr>
                <w:rFonts w:eastAsia="Times New Roman"/>
                <w:color w:val="000000"/>
                <w:szCs w:val="24"/>
                <w:lang w:val="en-US" w:eastAsia="zh-CN" w:bidi="bn-IN"/>
              </w:rPr>
              <w:t xml:space="preserve"> and Dincă (2022)</w:t>
            </w:r>
          </w:p>
        </w:tc>
        <w:tc>
          <w:tcPr>
            <w:tcW w:w="4337" w:type="dxa"/>
            <w:noWrap/>
            <w:vAlign w:val="center"/>
            <w:hideMark/>
          </w:tcPr>
          <w:p w14:paraId="0094B6C3"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The relationship between ESG and firm value: Case study of the automotive industry</w:t>
            </w:r>
          </w:p>
        </w:tc>
        <w:tc>
          <w:tcPr>
            <w:tcW w:w="2995" w:type="dxa"/>
            <w:noWrap/>
            <w:vAlign w:val="center"/>
            <w:hideMark/>
          </w:tcPr>
          <w:p w14:paraId="64340F7C"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SEM with CLPM on ESG &amp; financial data of 131 firms (2015–2020)</w:t>
            </w:r>
          </w:p>
        </w:tc>
        <w:tc>
          <w:tcPr>
            <w:tcW w:w="3963" w:type="dxa"/>
            <w:noWrap/>
            <w:vAlign w:val="center"/>
            <w:hideMark/>
          </w:tcPr>
          <w:p w14:paraId="3C42EE2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ESG impact on firm value mixed and time-variant; environmental, social, governance effects inconsistent</w:t>
            </w:r>
          </w:p>
        </w:tc>
      </w:tr>
      <w:tr w:rsidR="004434E6" w:rsidRPr="004434E6" w14:paraId="6E550FC9"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54D2163"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13</w:t>
            </w:r>
          </w:p>
        </w:tc>
        <w:tc>
          <w:tcPr>
            <w:tcW w:w="1968" w:type="dxa"/>
            <w:noWrap/>
            <w:vAlign w:val="center"/>
            <w:hideMark/>
          </w:tcPr>
          <w:p w14:paraId="1B06A7B6"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Dolan, Wallington and Anderson (2024)</w:t>
            </w:r>
          </w:p>
        </w:tc>
        <w:tc>
          <w:tcPr>
            <w:tcW w:w="4337" w:type="dxa"/>
            <w:noWrap/>
            <w:vAlign w:val="center"/>
            <w:hideMark/>
          </w:tcPr>
          <w:p w14:paraId="695CB54D"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Large Decreases in Tailpipe Criteria Pollutant Emissions from the U.S. Light-Duty Vehicle Fleet Expected in 2020–2040</w:t>
            </w:r>
          </w:p>
        </w:tc>
        <w:tc>
          <w:tcPr>
            <w:tcW w:w="2995" w:type="dxa"/>
            <w:noWrap/>
            <w:vAlign w:val="center"/>
            <w:hideMark/>
          </w:tcPr>
          <w:p w14:paraId="24A4300E"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U.S. EPA MOVES3 emissions modelling for ICEVs &amp; BEVs</w:t>
            </w:r>
          </w:p>
        </w:tc>
        <w:tc>
          <w:tcPr>
            <w:tcW w:w="3963" w:type="dxa"/>
            <w:noWrap/>
            <w:vAlign w:val="center"/>
            <w:hideMark/>
          </w:tcPr>
          <w:p w14:paraId="49D43DD6"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 introduction reduces CO, NOx, HC, PM2.5, CO2; environmental ESG benefits demonstrated</w:t>
            </w:r>
          </w:p>
        </w:tc>
      </w:tr>
      <w:tr w:rsidR="004434E6" w:rsidRPr="004434E6" w14:paraId="24E29395"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504B7214"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14</w:t>
            </w:r>
          </w:p>
        </w:tc>
        <w:tc>
          <w:tcPr>
            <w:tcW w:w="1968" w:type="dxa"/>
            <w:noWrap/>
            <w:vAlign w:val="center"/>
            <w:hideMark/>
          </w:tcPr>
          <w:p w14:paraId="79643E02" w14:textId="39B2586E"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Fu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(2023)</w:t>
            </w:r>
          </w:p>
        </w:tc>
        <w:tc>
          <w:tcPr>
            <w:tcW w:w="4337" w:type="dxa"/>
            <w:noWrap/>
            <w:vAlign w:val="center"/>
            <w:hideMark/>
          </w:tcPr>
          <w:p w14:paraId="15ABBD47"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The influence of the attributes of electric vehicles on brand image, consumer attitude, and purchase intention: Focusing on the moderating effects of ESG management</w:t>
            </w:r>
          </w:p>
        </w:tc>
        <w:tc>
          <w:tcPr>
            <w:tcW w:w="2995" w:type="dxa"/>
            <w:noWrap/>
            <w:vAlign w:val="center"/>
            <w:hideMark/>
          </w:tcPr>
          <w:p w14:paraId="78890BA8"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Chinese consumer survey; multiple regression with mediation/moderation</w:t>
            </w:r>
          </w:p>
        </w:tc>
        <w:tc>
          <w:tcPr>
            <w:tcW w:w="3963" w:type="dxa"/>
            <w:noWrap/>
            <w:vAlign w:val="center"/>
            <w:hideMark/>
          </w:tcPr>
          <w:p w14:paraId="3C911515"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Functionality, economy, design, safety affect purchase via brand image; ESG </w:t>
            </w:r>
            <w:proofErr w:type="gramStart"/>
            <w:r w:rsidRPr="004434E6">
              <w:rPr>
                <w:rFonts w:eastAsia="Times New Roman"/>
                <w:color w:val="000000"/>
                <w:szCs w:val="24"/>
                <w:lang w:val="en-US" w:eastAsia="zh-CN" w:bidi="bn-IN"/>
              </w:rPr>
              <w:t>moderates</w:t>
            </w:r>
            <w:proofErr w:type="gramEnd"/>
            <w:r w:rsidRPr="004434E6">
              <w:rPr>
                <w:rFonts w:eastAsia="Times New Roman"/>
                <w:color w:val="000000"/>
                <w:szCs w:val="24"/>
                <w:lang w:val="en-US" w:eastAsia="zh-CN" w:bidi="bn-IN"/>
              </w:rPr>
              <w:t xml:space="preserve"> functionality–brand link</w:t>
            </w:r>
          </w:p>
        </w:tc>
      </w:tr>
      <w:tr w:rsidR="004434E6" w:rsidRPr="004434E6" w14:paraId="34BD1967"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3448383"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15</w:t>
            </w:r>
          </w:p>
        </w:tc>
        <w:tc>
          <w:tcPr>
            <w:tcW w:w="1968" w:type="dxa"/>
            <w:noWrap/>
            <w:vAlign w:val="center"/>
            <w:hideMark/>
          </w:tcPr>
          <w:p w14:paraId="1675FDE7"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Fulton (2020)</w:t>
            </w:r>
          </w:p>
        </w:tc>
        <w:tc>
          <w:tcPr>
            <w:tcW w:w="4337" w:type="dxa"/>
            <w:noWrap/>
            <w:vAlign w:val="center"/>
            <w:hideMark/>
          </w:tcPr>
          <w:p w14:paraId="479A3B11"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 publicly available simulation of battery electric, hybrid electric, and gas-powered vehicles</w:t>
            </w:r>
          </w:p>
        </w:tc>
        <w:tc>
          <w:tcPr>
            <w:tcW w:w="2995" w:type="dxa"/>
            <w:noWrap/>
            <w:vAlign w:val="center"/>
            <w:hideMark/>
          </w:tcPr>
          <w:p w14:paraId="02D8E534"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User-driven simulation comparing BEVs, HEVs, ICEVs costs</w:t>
            </w:r>
          </w:p>
        </w:tc>
        <w:tc>
          <w:tcPr>
            <w:tcW w:w="3963" w:type="dxa"/>
            <w:noWrap/>
            <w:vAlign w:val="center"/>
            <w:hideMark/>
          </w:tcPr>
          <w:p w14:paraId="55DDB031"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Solar charging reduces CO2; BEVs/PHEVs break-even early vs ICEVs; environmental &amp; financial drivers noted</w:t>
            </w:r>
          </w:p>
        </w:tc>
      </w:tr>
      <w:tr w:rsidR="004434E6" w:rsidRPr="004434E6" w14:paraId="178C3C8D"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5584477A"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16</w:t>
            </w:r>
          </w:p>
        </w:tc>
        <w:tc>
          <w:tcPr>
            <w:tcW w:w="1968" w:type="dxa"/>
            <w:noWrap/>
            <w:vAlign w:val="center"/>
            <w:hideMark/>
          </w:tcPr>
          <w:p w14:paraId="4EB702F7" w14:textId="6C3D4800"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Gan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(2021)</w:t>
            </w:r>
          </w:p>
        </w:tc>
        <w:tc>
          <w:tcPr>
            <w:tcW w:w="4337" w:type="dxa"/>
            <w:noWrap/>
            <w:vAlign w:val="center"/>
            <w:hideMark/>
          </w:tcPr>
          <w:p w14:paraId="5DF989EE"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Provincial greenhouse gas emissions of gasoline and plug-in electric vehicles in China: Comparison from the consumption-based electricity perspective</w:t>
            </w:r>
          </w:p>
        </w:tc>
        <w:tc>
          <w:tcPr>
            <w:tcW w:w="2995" w:type="dxa"/>
            <w:noWrap/>
            <w:vAlign w:val="center"/>
            <w:hideMark/>
          </w:tcPr>
          <w:p w14:paraId="492D653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Well-to-wheel GHG analysis for PEVs &amp; ICEVs in China</w:t>
            </w:r>
          </w:p>
        </w:tc>
        <w:tc>
          <w:tcPr>
            <w:tcW w:w="3963" w:type="dxa"/>
            <w:noWrap/>
            <w:vAlign w:val="center"/>
            <w:hideMark/>
          </w:tcPr>
          <w:p w14:paraId="6D921067"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GHG emissions vary regionally with electricity mix; policy/grid development crucial for EV adoption</w:t>
            </w:r>
          </w:p>
        </w:tc>
      </w:tr>
      <w:tr w:rsidR="004434E6" w:rsidRPr="004434E6" w14:paraId="0EE3CEA9"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79FBADE2"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17</w:t>
            </w:r>
          </w:p>
        </w:tc>
        <w:tc>
          <w:tcPr>
            <w:tcW w:w="1968" w:type="dxa"/>
            <w:noWrap/>
            <w:vAlign w:val="center"/>
            <w:hideMark/>
          </w:tcPr>
          <w:p w14:paraId="474AADF0" w14:textId="4CCB9ED1"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Gao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(2025)</w:t>
            </w:r>
          </w:p>
        </w:tc>
        <w:tc>
          <w:tcPr>
            <w:tcW w:w="4337" w:type="dxa"/>
            <w:noWrap/>
            <w:vAlign w:val="center"/>
            <w:hideMark/>
          </w:tcPr>
          <w:p w14:paraId="16FFAD54"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ESG greenwashing behaviour in the electric vehicle supply chain: Insights from evolutionary game theory</w:t>
            </w:r>
          </w:p>
        </w:tc>
        <w:tc>
          <w:tcPr>
            <w:tcW w:w="2995" w:type="dxa"/>
            <w:noWrap/>
            <w:vAlign w:val="center"/>
            <w:hideMark/>
          </w:tcPr>
          <w:p w14:paraId="69A91A86"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Evolutionary game theory for NEV suppliers, manufacturers &amp; regulators</w:t>
            </w:r>
          </w:p>
        </w:tc>
        <w:tc>
          <w:tcPr>
            <w:tcW w:w="3963" w:type="dxa"/>
            <w:noWrap/>
            <w:vAlign w:val="center"/>
            <w:hideMark/>
          </w:tcPr>
          <w:p w14:paraId="176B6A90"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NEV supply chain ESG evolves: early greenwashing → mature proactive ESG; regulation/incentives key</w:t>
            </w:r>
          </w:p>
        </w:tc>
      </w:tr>
      <w:tr w:rsidR="004434E6" w:rsidRPr="004434E6" w14:paraId="423CA703"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547BF3A6"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18</w:t>
            </w:r>
          </w:p>
        </w:tc>
        <w:tc>
          <w:tcPr>
            <w:tcW w:w="1968" w:type="dxa"/>
            <w:noWrap/>
            <w:vAlign w:val="center"/>
            <w:hideMark/>
          </w:tcPr>
          <w:p w14:paraId="323F015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Glova &amp; Panko (2025)</w:t>
            </w:r>
          </w:p>
        </w:tc>
        <w:tc>
          <w:tcPr>
            <w:tcW w:w="4337" w:type="dxa"/>
            <w:noWrap/>
            <w:vAlign w:val="center"/>
            <w:hideMark/>
          </w:tcPr>
          <w:p w14:paraId="362459BA"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The effects of environmental, social, and governance factors on financial performance and market valuation in the European automotive industry</w:t>
            </w:r>
          </w:p>
        </w:tc>
        <w:tc>
          <w:tcPr>
            <w:tcW w:w="2995" w:type="dxa"/>
            <w:noWrap/>
            <w:vAlign w:val="center"/>
            <w:hideMark/>
          </w:tcPr>
          <w:p w14:paraId="2B93019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Panel regression (GMM) on 60 automotive firms (2011–2022)</w:t>
            </w:r>
          </w:p>
        </w:tc>
        <w:tc>
          <w:tcPr>
            <w:tcW w:w="3963" w:type="dxa"/>
            <w:noWrap/>
            <w:vAlign w:val="center"/>
            <w:hideMark/>
          </w:tcPr>
          <w:p w14:paraId="41B119EE"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Social factors improve ROA; environmental weakly negative; governance insignificant; Tobin’s Q mixed</w:t>
            </w:r>
          </w:p>
        </w:tc>
      </w:tr>
      <w:tr w:rsidR="004434E6" w:rsidRPr="004434E6" w14:paraId="5D22ED07"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BDFF8FB"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19</w:t>
            </w:r>
          </w:p>
        </w:tc>
        <w:tc>
          <w:tcPr>
            <w:tcW w:w="1968" w:type="dxa"/>
            <w:noWrap/>
            <w:vAlign w:val="center"/>
            <w:hideMark/>
          </w:tcPr>
          <w:p w14:paraId="4A5F7552" w14:textId="08EF0B75"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Golebiewski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(2025)</w:t>
            </w:r>
          </w:p>
        </w:tc>
        <w:tc>
          <w:tcPr>
            <w:tcW w:w="4337" w:type="dxa"/>
            <w:noWrap/>
            <w:vAlign w:val="center"/>
            <w:hideMark/>
          </w:tcPr>
          <w:p w14:paraId="4B24B736"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Comparative assessment of carbon dioxide emissions from ICEVs, PHEVs, BEVs, and FCEVs in Poland 2025–2040</w:t>
            </w:r>
          </w:p>
        </w:tc>
        <w:tc>
          <w:tcPr>
            <w:tcW w:w="2995" w:type="dxa"/>
            <w:noWrap/>
            <w:vAlign w:val="center"/>
            <w:hideMark/>
          </w:tcPr>
          <w:p w14:paraId="5A956616"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Life cycle assessment of CO2 emissions across vehicle types</w:t>
            </w:r>
          </w:p>
        </w:tc>
        <w:tc>
          <w:tcPr>
            <w:tcW w:w="3963" w:type="dxa"/>
            <w:noWrap/>
            <w:vAlign w:val="center"/>
            <w:hideMark/>
          </w:tcPr>
          <w:p w14:paraId="307A412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FCEVs most environmentally friendly; PHEVs least; environmental impact differences support ESG considerations</w:t>
            </w:r>
          </w:p>
        </w:tc>
      </w:tr>
      <w:tr w:rsidR="004434E6" w:rsidRPr="004434E6" w14:paraId="425B6531"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1FEC20A7"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20</w:t>
            </w:r>
          </w:p>
        </w:tc>
        <w:tc>
          <w:tcPr>
            <w:tcW w:w="1968" w:type="dxa"/>
            <w:noWrap/>
            <w:vAlign w:val="center"/>
            <w:hideMark/>
          </w:tcPr>
          <w:p w14:paraId="40AD6ADA" w14:textId="27484F24"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Guha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(2018)</w:t>
            </w:r>
          </w:p>
        </w:tc>
        <w:tc>
          <w:tcPr>
            <w:tcW w:w="4337" w:type="dxa"/>
            <w:noWrap/>
            <w:vAlign w:val="center"/>
            <w:hideMark/>
          </w:tcPr>
          <w:p w14:paraId="57E91246"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Indices to determine the environmental and economic impact of using an electric vehicle over gasoline or hybrid vehicles on a regional basis</w:t>
            </w:r>
          </w:p>
        </w:tc>
        <w:tc>
          <w:tcPr>
            <w:tcW w:w="2995" w:type="dxa"/>
            <w:noWrap/>
            <w:vAlign w:val="center"/>
            <w:hideMark/>
          </w:tcPr>
          <w:p w14:paraId="236EE28B"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Environmental &amp; economic impact indices based on emissions &amp; efficiency</w:t>
            </w:r>
          </w:p>
        </w:tc>
        <w:tc>
          <w:tcPr>
            <w:tcW w:w="3963" w:type="dxa"/>
            <w:noWrap/>
            <w:vAlign w:val="center"/>
            <w:hideMark/>
          </w:tcPr>
          <w:p w14:paraId="6FF5C38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EV benefits vary by region; not universally zero-emission</w:t>
            </w:r>
          </w:p>
        </w:tc>
      </w:tr>
      <w:tr w:rsidR="004434E6" w:rsidRPr="004434E6" w14:paraId="1FCD7146"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4745DD8B"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21</w:t>
            </w:r>
          </w:p>
        </w:tc>
        <w:tc>
          <w:tcPr>
            <w:tcW w:w="1968" w:type="dxa"/>
            <w:noWrap/>
            <w:vAlign w:val="center"/>
            <w:hideMark/>
          </w:tcPr>
          <w:p w14:paraId="5E51080B" w14:textId="4CED6648"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Guzmán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(2022)</w:t>
            </w:r>
          </w:p>
        </w:tc>
        <w:tc>
          <w:tcPr>
            <w:tcW w:w="4337" w:type="dxa"/>
            <w:noWrap/>
            <w:vAlign w:val="center"/>
            <w:hideMark/>
          </w:tcPr>
          <w:p w14:paraId="65AE7313"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On the source of metals and the environmental sustainability of BEVs versus ICEVs: The lithium production case study</w:t>
            </w:r>
          </w:p>
        </w:tc>
        <w:tc>
          <w:tcPr>
            <w:tcW w:w="2995" w:type="dxa"/>
            <w:noWrap/>
            <w:vAlign w:val="center"/>
            <w:hideMark/>
          </w:tcPr>
          <w:p w14:paraId="70817B03"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Environmental footprint analysis: metals, manufacturing, use</w:t>
            </w:r>
          </w:p>
        </w:tc>
        <w:tc>
          <w:tcPr>
            <w:tcW w:w="3963" w:type="dxa"/>
            <w:noWrap/>
            <w:vAlign w:val="center"/>
            <w:hideMark/>
          </w:tcPr>
          <w:p w14:paraId="32591D7F"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 environmental footprint varies with metal sourcing; ICEVs may outperform in manufacturing, but BEVs emit less CO</w:t>
            </w:r>
            <w:r w:rsidRPr="004434E6">
              <w:rPr>
                <w:rFonts w:ascii="Cambria Math" w:eastAsia="Times New Roman" w:hAnsi="Cambria Math" w:cs="Cambria Math"/>
                <w:color w:val="000000"/>
                <w:szCs w:val="24"/>
                <w:lang w:val="en-US" w:eastAsia="zh-CN" w:bidi="bn-IN"/>
              </w:rPr>
              <w:t>₂</w:t>
            </w:r>
            <w:r w:rsidRPr="004434E6">
              <w:rPr>
                <w:rFonts w:eastAsia="Times New Roman"/>
                <w:color w:val="000000"/>
                <w:szCs w:val="24"/>
                <w:lang w:val="en-US" w:eastAsia="zh-CN" w:bidi="bn-IN"/>
              </w:rPr>
              <w:t xml:space="preserve"> over life; ESG implications highlighted</w:t>
            </w:r>
          </w:p>
        </w:tc>
      </w:tr>
      <w:tr w:rsidR="004434E6" w:rsidRPr="004434E6" w14:paraId="5C7EA7A2"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77F3FA1"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22</w:t>
            </w:r>
          </w:p>
        </w:tc>
        <w:tc>
          <w:tcPr>
            <w:tcW w:w="1968" w:type="dxa"/>
            <w:noWrap/>
            <w:vAlign w:val="center"/>
            <w:hideMark/>
          </w:tcPr>
          <w:p w14:paraId="57B8DBFA"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Ha (2019)</w:t>
            </w:r>
          </w:p>
        </w:tc>
        <w:tc>
          <w:tcPr>
            <w:tcW w:w="4337" w:type="dxa"/>
            <w:noWrap/>
            <w:vAlign w:val="center"/>
            <w:hideMark/>
          </w:tcPr>
          <w:p w14:paraId="69DBF383"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Comparative environmental impacts of Internal Combustion Engine Vehicles with Hybrid Vehicles and Electric Vehicles in China—Based on Life Cycle Assessment</w:t>
            </w:r>
          </w:p>
        </w:tc>
        <w:tc>
          <w:tcPr>
            <w:tcW w:w="2995" w:type="dxa"/>
            <w:noWrap/>
            <w:vAlign w:val="center"/>
            <w:hideMark/>
          </w:tcPr>
          <w:p w14:paraId="3619E5CC"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LCA using GaBi6 &amp; CML2001; BYD vehicle comparison</w:t>
            </w:r>
          </w:p>
        </w:tc>
        <w:tc>
          <w:tcPr>
            <w:tcW w:w="3963" w:type="dxa"/>
            <w:noWrap/>
            <w:vAlign w:val="center"/>
            <w:hideMark/>
          </w:tcPr>
          <w:p w14:paraId="1A918A98"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EVs have lower ADP, GWP, ODP than ICEVs/hybrids; higher impacts in AP, EP, FAETP, MAETP, POCP</w:t>
            </w:r>
          </w:p>
        </w:tc>
      </w:tr>
      <w:tr w:rsidR="004434E6" w:rsidRPr="004434E6" w14:paraId="444188B0"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1F1D775"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23</w:t>
            </w:r>
          </w:p>
        </w:tc>
        <w:tc>
          <w:tcPr>
            <w:tcW w:w="1968" w:type="dxa"/>
            <w:noWrap/>
            <w:vAlign w:val="center"/>
            <w:hideMark/>
          </w:tcPr>
          <w:p w14:paraId="35E362A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Helfaya</w:t>
            </w:r>
            <w:proofErr w:type="spellEnd"/>
            <w:r w:rsidRPr="004434E6">
              <w:rPr>
                <w:rFonts w:eastAsia="Times New Roman"/>
                <w:color w:val="000000"/>
                <w:szCs w:val="24"/>
                <w:lang w:val="en-US" w:eastAsia="zh-CN" w:bidi="bn-IN"/>
              </w:rPr>
              <w:t xml:space="preserve"> &amp; Bui (2025)</w:t>
            </w:r>
          </w:p>
        </w:tc>
        <w:tc>
          <w:tcPr>
            <w:tcW w:w="4337" w:type="dxa"/>
            <w:noWrap/>
            <w:vAlign w:val="center"/>
            <w:hideMark/>
          </w:tcPr>
          <w:p w14:paraId="6F4D18AE"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Pursuing a corporate sustainable identity: </w:t>
            </w:r>
            <w:proofErr w:type="gramStart"/>
            <w:r w:rsidRPr="004434E6">
              <w:rPr>
                <w:rFonts w:eastAsia="Times New Roman"/>
                <w:color w:val="000000"/>
                <w:szCs w:val="24"/>
                <w:lang w:val="en-US" w:eastAsia="zh-CN" w:bidi="bn-IN"/>
              </w:rPr>
              <w:t>Green</w:t>
            </w:r>
            <w:proofErr w:type="gramEnd"/>
            <w:r w:rsidRPr="004434E6">
              <w:rPr>
                <w:rFonts w:eastAsia="Times New Roman"/>
                <w:color w:val="000000"/>
                <w:szCs w:val="24"/>
                <w:lang w:val="en-US" w:eastAsia="zh-CN" w:bidi="bn-IN"/>
              </w:rPr>
              <w:t xml:space="preserve"> governance strategy, hybrid vehicle development, knowledge and sustainability performance</w:t>
            </w:r>
          </w:p>
        </w:tc>
        <w:tc>
          <w:tcPr>
            <w:tcW w:w="2995" w:type="dxa"/>
            <w:noWrap/>
            <w:vAlign w:val="center"/>
            <w:hideMark/>
          </w:tcPr>
          <w:p w14:paraId="7BB8C4E4"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Survey on automotive governance using social identity theory &amp; SDGs</w:t>
            </w:r>
          </w:p>
        </w:tc>
        <w:tc>
          <w:tcPr>
            <w:tcW w:w="3963" w:type="dxa"/>
            <w:noWrap/>
            <w:vAlign w:val="center"/>
            <w:hideMark/>
          </w:tcPr>
          <w:p w14:paraId="7A665E6E"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Strong GGS </w:t>
            </w:r>
            <w:proofErr w:type="spellStart"/>
            <w:r w:rsidRPr="004434E6">
              <w:rPr>
                <w:rFonts w:eastAsia="Times New Roman"/>
                <w:color w:val="000000"/>
                <w:szCs w:val="24"/>
                <w:lang w:val="en-US" w:eastAsia="zh-CN" w:bidi="bn-IN"/>
              </w:rPr>
              <w:t>prioritises</w:t>
            </w:r>
            <w:proofErr w:type="spellEnd"/>
            <w:r w:rsidRPr="004434E6">
              <w:rPr>
                <w:rFonts w:eastAsia="Times New Roman"/>
                <w:color w:val="000000"/>
                <w:szCs w:val="24"/>
                <w:lang w:val="en-US" w:eastAsia="zh-CN" w:bidi="bn-IN"/>
              </w:rPr>
              <w:t xml:space="preserve"> hybrid production; SDG 11 &amp; 13 often neglected</w:t>
            </w:r>
          </w:p>
        </w:tc>
      </w:tr>
      <w:tr w:rsidR="004434E6" w:rsidRPr="004434E6" w14:paraId="32A70CBD"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125A2FA"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24</w:t>
            </w:r>
          </w:p>
        </w:tc>
        <w:tc>
          <w:tcPr>
            <w:tcW w:w="1968" w:type="dxa"/>
            <w:noWrap/>
            <w:vAlign w:val="center"/>
            <w:hideMark/>
          </w:tcPr>
          <w:p w14:paraId="3BEA1EE5"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Joshi, Sharma and Baral (2022)</w:t>
            </w:r>
          </w:p>
        </w:tc>
        <w:tc>
          <w:tcPr>
            <w:tcW w:w="4337" w:type="dxa"/>
            <w:noWrap/>
            <w:vAlign w:val="center"/>
            <w:hideMark/>
          </w:tcPr>
          <w:p w14:paraId="1FB01B5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Comparative life cycle assessment of conventional combustion engine vehicle, battery electric vehicle and fuel cell electric vehicle in Nepal</w:t>
            </w:r>
          </w:p>
        </w:tc>
        <w:tc>
          <w:tcPr>
            <w:tcW w:w="2995" w:type="dxa"/>
            <w:noWrap/>
            <w:vAlign w:val="center"/>
            <w:hideMark/>
          </w:tcPr>
          <w:p w14:paraId="4216DFBB"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Cradle-to-grave LCA of ICEV, BEV, FCEV with electricity scenarios</w:t>
            </w:r>
          </w:p>
        </w:tc>
        <w:tc>
          <w:tcPr>
            <w:tcW w:w="3963" w:type="dxa"/>
            <w:noWrap/>
            <w:vAlign w:val="center"/>
            <w:hideMark/>
          </w:tcPr>
          <w:p w14:paraId="0291E912"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 &amp; FCEVs emit less GHG than ICEVs; renewable electricity reduces upstream emissions; environmental ESG driver noted</w:t>
            </w:r>
          </w:p>
        </w:tc>
      </w:tr>
      <w:tr w:rsidR="004434E6" w:rsidRPr="004434E6" w14:paraId="41E9E578"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4DA08727"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25</w:t>
            </w:r>
          </w:p>
        </w:tc>
        <w:tc>
          <w:tcPr>
            <w:tcW w:w="1968" w:type="dxa"/>
            <w:noWrap/>
            <w:vAlign w:val="center"/>
            <w:hideMark/>
          </w:tcPr>
          <w:p w14:paraId="226DC181"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Keegan, </w:t>
            </w:r>
            <w:proofErr w:type="spellStart"/>
            <w:r w:rsidRPr="004434E6">
              <w:rPr>
                <w:rFonts w:eastAsia="Times New Roman"/>
                <w:color w:val="000000"/>
                <w:szCs w:val="24"/>
                <w:lang w:val="en-US" w:eastAsia="zh-CN" w:bidi="bn-IN"/>
              </w:rPr>
              <w:t>Nelendran</w:t>
            </w:r>
            <w:proofErr w:type="spellEnd"/>
            <w:r w:rsidRPr="004434E6">
              <w:rPr>
                <w:rFonts w:eastAsia="Times New Roman"/>
                <w:color w:val="000000"/>
                <w:szCs w:val="24"/>
                <w:lang w:val="en-US" w:eastAsia="zh-CN" w:bidi="bn-IN"/>
              </w:rPr>
              <w:t xml:space="preserve"> and Oluwafemi (2024)</w:t>
            </w:r>
          </w:p>
        </w:tc>
        <w:tc>
          <w:tcPr>
            <w:tcW w:w="4337" w:type="dxa"/>
            <w:noWrap/>
            <w:vAlign w:val="center"/>
            <w:hideMark/>
          </w:tcPr>
          <w:p w14:paraId="67A53FA3"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Modeling and Simulation of Hybrid Electric Vehicles for Sustainable Transportation: Insights into Fuel Savings and Emissions Reduction</w:t>
            </w:r>
          </w:p>
        </w:tc>
        <w:tc>
          <w:tcPr>
            <w:tcW w:w="2995" w:type="dxa"/>
            <w:noWrap/>
            <w:vAlign w:val="center"/>
            <w:hideMark/>
          </w:tcPr>
          <w:p w14:paraId="49873EE2"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MATLAB/Simulink &amp; ADVISOR simulations of HEV configurations</w:t>
            </w:r>
          </w:p>
        </w:tc>
        <w:tc>
          <w:tcPr>
            <w:tcW w:w="3963" w:type="dxa"/>
            <w:noWrap/>
            <w:vAlign w:val="center"/>
            <w:hideMark/>
          </w:tcPr>
          <w:p w14:paraId="648448CE"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HEVs reduce fuel use &amp; emissions; Parallel HEVs efficient with fewer batteries, Series HEVs perform better but need more modules; environmental driver of adoption</w:t>
            </w:r>
          </w:p>
        </w:tc>
      </w:tr>
      <w:tr w:rsidR="004434E6" w:rsidRPr="004434E6" w14:paraId="7D4A72E5"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4515163E"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26</w:t>
            </w:r>
          </w:p>
        </w:tc>
        <w:tc>
          <w:tcPr>
            <w:tcW w:w="1968" w:type="dxa"/>
            <w:noWrap/>
            <w:vAlign w:val="center"/>
            <w:hideMark/>
          </w:tcPr>
          <w:p w14:paraId="550326B5" w14:textId="3A01B18F"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Khan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(2024)</w:t>
            </w:r>
          </w:p>
        </w:tc>
        <w:tc>
          <w:tcPr>
            <w:tcW w:w="4337" w:type="dxa"/>
            <w:noWrap/>
            <w:vAlign w:val="center"/>
            <w:hideMark/>
          </w:tcPr>
          <w:p w14:paraId="74F0D3F4"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Driving change: the influence of female directors on ESG performance in the automotive industry</w:t>
            </w:r>
          </w:p>
        </w:tc>
        <w:tc>
          <w:tcPr>
            <w:tcW w:w="2995" w:type="dxa"/>
            <w:noWrap/>
            <w:vAlign w:val="center"/>
            <w:hideMark/>
          </w:tcPr>
          <w:p w14:paraId="56002E8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Panel analysis of 50 firms (2002–2022) on female directors &amp; ESG</w:t>
            </w:r>
          </w:p>
        </w:tc>
        <w:tc>
          <w:tcPr>
            <w:tcW w:w="3963" w:type="dxa"/>
            <w:noWrap/>
            <w:vAlign w:val="center"/>
            <w:hideMark/>
          </w:tcPr>
          <w:p w14:paraId="6006BB40"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Female board proportion positively relates to ESG; no lag effect observed</w:t>
            </w:r>
          </w:p>
        </w:tc>
      </w:tr>
      <w:tr w:rsidR="004434E6" w:rsidRPr="004434E6" w14:paraId="4A1558C7"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C26A391"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27</w:t>
            </w:r>
          </w:p>
        </w:tc>
        <w:tc>
          <w:tcPr>
            <w:tcW w:w="1968" w:type="dxa"/>
            <w:noWrap/>
            <w:vAlign w:val="center"/>
            <w:hideMark/>
          </w:tcPr>
          <w:p w14:paraId="615DCC90" w14:textId="666F0375"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Kim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(2016)</w:t>
            </w:r>
          </w:p>
        </w:tc>
        <w:tc>
          <w:tcPr>
            <w:tcW w:w="4337" w:type="dxa"/>
            <w:noWrap/>
            <w:vAlign w:val="center"/>
            <w:hideMark/>
          </w:tcPr>
          <w:p w14:paraId="667D96D0"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Life Cycle Water Use of Ford Focus Gasoline and Ford Focus Electric Vehicles</w:t>
            </w:r>
          </w:p>
        </w:tc>
        <w:tc>
          <w:tcPr>
            <w:tcW w:w="2995" w:type="dxa"/>
            <w:noWrap/>
            <w:vAlign w:val="center"/>
            <w:hideMark/>
          </w:tcPr>
          <w:p w14:paraId="7B0F95F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Cradle-to-grave LCA of water use for ICEV &amp; BEV</w:t>
            </w:r>
          </w:p>
        </w:tc>
        <w:tc>
          <w:tcPr>
            <w:tcW w:w="3963" w:type="dxa"/>
            <w:noWrap/>
            <w:vAlign w:val="center"/>
            <w:hideMark/>
          </w:tcPr>
          <w:p w14:paraId="1FF9B805"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 have higher water withdrawal; fuel/electricity dominate water use; highlights ESG trade-offs vs ICEVs</w:t>
            </w:r>
          </w:p>
        </w:tc>
      </w:tr>
      <w:tr w:rsidR="004434E6" w:rsidRPr="004434E6" w14:paraId="21A26E86"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FFBB6A4"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28</w:t>
            </w:r>
          </w:p>
        </w:tc>
        <w:tc>
          <w:tcPr>
            <w:tcW w:w="1968" w:type="dxa"/>
            <w:noWrap/>
            <w:vAlign w:val="center"/>
            <w:hideMark/>
          </w:tcPr>
          <w:p w14:paraId="669A7E14"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Kim, </w:t>
            </w:r>
            <w:proofErr w:type="spellStart"/>
            <w:r w:rsidRPr="004434E6">
              <w:rPr>
                <w:rFonts w:eastAsia="Times New Roman"/>
                <w:color w:val="000000"/>
                <w:szCs w:val="24"/>
                <w:lang w:val="en-US" w:eastAsia="zh-CN" w:bidi="bn-IN"/>
              </w:rPr>
              <w:t>Im</w:t>
            </w:r>
            <w:proofErr w:type="spellEnd"/>
            <w:r w:rsidRPr="004434E6">
              <w:rPr>
                <w:rFonts w:eastAsia="Times New Roman"/>
                <w:color w:val="000000"/>
                <w:szCs w:val="24"/>
                <w:lang w:val="en-US" w:eastAsia="zh-CN" w:bidi="bn-IN"/>
              </w:rPr>
              <w:t xml:space="preserve"> and Gim (2025)</w:t>
            </w:r>
          </w:p>
        </w:tc>
        <w:tc>
          <w:tcPr>
            <w:tcW w:w="4337" w:type="dxa"/>
            <w:noWrap/>
            <w:vAlign w:val="center"/>
            <w:hideMark/>
          </w:tcPr>
          <w:p w14:paraId="4FE3B090"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The Impact of ESG Management by Automobile Companies on Consumer Purchase Intention</w:t>
            </w:r>
          </w:p>
        </w:tc>
        <w:tc>
          <w:tcPr>
            <w:tcW w:w="2995" w:type="dxa"/>
            <w:noWrap/>
            <w:vAlign w:val="center"/>
            <w:hideMark/>
          </w:tcPr>
          <w:p w14:paraId="6CF96258"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Korean consumer survey; PLS-SEM on brand, quality, trust mediation</w:t>
            </w:r>
          </w:p>
        </w:tc>
        <w:tc>
          <w:tcPr>
            <w:tcW w:w="3963" w:type="dxa"/>
            <w:noWrap/>
            <w:vAlign w:val="center"/>
            <w:hideMark/>
          </w:tcPr>
          <w:p w14:paraId="363EC89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Governance &amp; social responsibility enhance trust/brand value → purchase intention; environmental initiatives less direct; governance/social outweigh functional quality</w:t>
            </w:r>
          </w:p>
        </w:tc>
      </w:tr>
      <w:tr w:rsidR="004434E6" w:rsidRPr="004434E6" w14:paraId="20A6F825"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6F76D575"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29</w:t>
            </w:r>
          </w:p>
        </w:tc>
        <w:tc>
          <w:tcPr>
            <w:tcW w:w="1968" w:type="dxa"/>
            <w:noWrap/>
            <w:vAlign w:val="center"/>
            <w:hideMark/>
          </w:tcPr>
          <w:p w14:paraId="3CE7CDFC"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Komiyama &amp; Fujii (2015)</w:t>
            </w:r>
          </w:p>
        </w:tc>
        <w:tc>
          <w:tcPr>
            <w:tcW w:w="4337" w:type="dxa"/>
            <w:noWrap/>
            <w:vAlign w:val="center"/>
            <w:hideMark/>
          </w:tcPr>
          <w:p w14:paraId="23D6065A"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Assessment of energy saving and CO</w:t>
            </w:r>
            <w:r w:rsidRPr="004434E6">
              <w:rPr>
                <w:rFonts w:ascii="Cambria Math" w:eastAsia="Times New Roman" w:hAnsi="Cambria Math" w:cs="Cambria Math"/>
                <w:color w:val="000000"/>
                <w:szCs w:val="24"/>
                <w:lang w:val="en-US" w:eastAsia="zh-CN" w:bidi="bn-IN"/>
              </w:rPr>
              <w:t>₂</w:t>
            </w:r>
            <w:r w:rsidRPr="004434E6">
              <w:rPr>
                <w:rFonts w:eastAsia="Times New Roman"/>
                <w:color w:val="000000"/>
                <w:szCs w:val="24"/>
                <w:lang w:val="en-US" w:eastAsia="zh-CN" w:bidi="bn-IN"/>
              </w:rPr>
              <w:t xml:space="preserve"> mitigation potential of electric vehicles and plug</w:t>
            </w:r>
            <w:r w:rsidRPr="004434E6">
              <w:rPr>
                <w:rFonts w:ascii="Cambria Math" w:eastAsia="Times New Roman" w:hAnsi="Cambria Math" w:cs="Cambria Math"/>
                <w:color w:val="000000"/>
                <w:szCs w:val="24"/>
                <w:lang w:val="en-US" w:eastAsia="zh-CN" w:bidi="bn-IN"/>
              </w:rPr>
              <w:t>‐</w:t>
            </w:r>
            <w:r w:rsidRPr="004434E6">
              <w:rPr>
                <w:rFonts w:eastAsia="Times New Roman"/>
                <w:color w:val="000000"/>
                <w:szCs w:val="24"/>
                <w:lang w:val="en-US" w:eastAsia="zh-CN" w:bidi="bn-IN"/>
              </w:rPr>
              <w:t>in hybrid vehicles under Japan</w:t>
            </w:r>
            <w:r w:rsidRPr="004434E6">
              <w:rPr>
                <w:rFonts w:ascii="Arial" w:eastAsia="Times New Roman" w:hAnsi="Arial" w:cs="Arial"/>
                <w:color w:val="000000"/>
                <w:szCs w:val="24"/>
                <w:lang w:val="en-US" w:eastAsia="zh-CN" w:bidi="bn-IN"/>
              </w:rPr>
              <w:t>’</w:t>
            </w:r>
            <w:r w:rsidRPr="004434E6">
              <w:rPr>
                <w:rFonts w:eastAsia="Times New Roman"/>
                <w:color w:val="000000"/>
                <w:szCs w:val="24"/>
                <w:lang w:val="en-US" w:eastAsia="zh-CN" w:bidi="bn-IN"/>
              </w:rPr>
              <w:t>s power generation mix</w:t>
            </w:r>
          </w:p>
        </w:tc>
        <w:tc>
          <w:tcPr>
            <w:tcW w:w="2995" w:type="dxa"/>
            <w:noWrap/>
            <w:vAlign w:val="center"/>
            <w:hideMark/>
          </w:tcPr>
          <w:p w14:paraId="64BE814F"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Energy system model: generation mix, vehicle penetration, EV/PHEV charging</w:t>
            </w:r>
          </w:p>
        </w:tc>
        <w:tc>
          <w:tcPr>
            <w:tcW w:w="3963" w:type="dxa"/>
            <w:noWrap/>
            <w:vAlign w:val="center"/>
            <w:hideMark/>
          </w:tcPr>
          <w:p w14:paraId="7B73B300"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Large EV penetration reduces petroleum use &amp; CO</w:t>
            </w:r>
            <w:r w:rsidRPr="004434E6">
              <w:rPr>
                <w:rFonts w:ascii="Cambria Math" w:eastAsia="Times New Roman" w:hAnsi="Cambria Math" w:cs="Cambria Math"/>
                <w:color w:val="000000"/>
                <w:szCs w:val="24"/>
                <w:lang w:val="en-US" w:eastAsia="zh-CN" w:bidi="bn-IN"/>
              </w:rPr>
              <w:t>₂</w:t>
            </w:r>
            <w:r w:rsidRPr="004434E6">
              <w:rPr>
                <w:rFonts w:eastAsia="Times New Roman"/>
                <w:color w:val="000000"/>
                <w:szCs w:val="24"/>
                <w:lang w:val="en-US" w:eastAsia="zh-CN" w:bidi="bn-IN"/>
              </w:rPr>
              <w:t>; reductions depend on nuclear power share</w:t>
            </w:r>
          </w:p>
        </w:tc>
      </w:tr>
      <w:tr w:rsidR="004434E6" w:rsidRPr="004434E6" w14:paraId="2D82A318"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408A61B5"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30</w:t>
            </w:r>
          </w:p>
        </w:tc>
        <w:tc>
          <w:tcPr>
            <w:tcW w:w="1968" w:type="dxa"/>
            <w:noWrap/>
            <w:vAlign w:val="center"/>
            <w:hideMark/>
          </w:tcPr>
          <w:p w14:paraId="17D3346C" w14:textId="1CA7763D"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Kour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(2020)</w:t>
            </w:r>
          </w:p>
        </w:tc>
        <w:tc>
          <w:tcPr>
            <w:tcW w:w="4337" w:type="dxa"/>
            <w:noWrap/>
            <w:vAlign w:val="center"/>
            <w:hideMark/>
          </w:tcPr>
          <w:p w14:paraId="1C8EDAA5"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Impact of Green Practices on the Financial Performance: A Study of Indian Automobile Companies</w:t>
            </w:r>
          </w:p>
        </w:tc>
        <w:tc>
          <w:tcPr>
            <w:tcW w:w="2995" w:type="dxa"/>
            <w:noWrap/>
            <w:vAlign w:val="center"/>
            <w:hideMark/>
          </w:tcPr>
          <w:p w14:paraId="2F66A364"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SEM analysis of 285 supply managers’ survey data</w:t>
            </w:r>
          </w:p>
        </w:tc>
        <w:tc>
          <w:tcPr>
            <w:tcW w:w="3963" w:type="dxa"/>
            <w:noWrap/>
            <w:vAlign w:val="center"/>
            <w:hideMark/>
          </w:tcPr>
          <w:p w14:paraId="0F96F6B1"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Integrated management, eco-design, technology, green marketing boost financial performance; pollution prevention &amp; customer-focused practices less effective</w:t>
            </w:r>
          </w:p>
        </w:tc>
      </w:tr>
      <w:tr w:rsidR="004434E6" w:rsidRPr="004434E6" w14:paraId="4085E201"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7B78B71"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31</w:t>
            </w:r>
          </w:p>
        </w:tc>
        <w:tc>
          <w:tcPr>
            <w:tcW w:w="1968" w:type="dxa"/>
            <w:noWrap/>
            <w:vAlign w:val="center"/>
            <w:hideMark/>
          </w:tcPr>
          <w:p w14:paraId="276D189D" w14:textId="5E6C5F4C"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Liu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(2018)</w:t>
            </w:r>
          </w:p>
        </w:tc>
        <w:tc>
          <w:tcPr>
            <w:tcW w:w="4337" w:type="dxa"/>
            <w:noWrap/>
            <w:vAlign w:val="center"/>
            <w:hideMark/>
          </w:tcPr>
          <w:p w14:paraId="1F55F91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Critical issues of energy efficient and new energy vehicles development in China</w:t>
            </w:r>
          </w:p>
        </w:tc>
        <w:tc>
          <w:tcPr>
            <w:tcW w:w="2995" w:type="dxa"/>
            <w:noWrap/>
            <w:vAlign w:val="center"/>
            <w:hideMark/>
          </w:tcPr>
          <w:p w14:paraId="404251E2"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Literature &amp; technology review of vehicle types in China</w:t>
            </w:r>
          </w:p>
        </w:tc>
        <w:tc>
          <w:tcPr>
            <w:tcW w:w="3963" w:type="dxa"/>
            <w:noWrap/>
            <w:vAlign w:val="center"/>
            <w:hideMark/>
          </w:tcPr>
          <w:p w14:paraId="4B4C131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ICE simplification via electric integration; BEVs face scaling challenges; hybrids are transitional; FCEVs expected post-2025; tech adoption paths differ between ICE &amp; NEVs</w:t>
            </w:r>
          </w:p>
        </w:tc>
      </w:tr>
      <w:tr w:rsidR="004434E6" w:rsidRPr="004434E6" w14:paraId="4461DAEC"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6B3C091E"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32</w:t>
            </w:r>
          </w:p>
        </w:tc>
        <w:tc>
          <w:tcPr>
            <w:tcW w:w="1968" w:type="dxa"/>
            <w:noWrap/>
            <w:vAlign w:val="center"/>
            <w:hideMark/>
          </w:tcPr>
          <w:p w14:paraId="7936AC0C" w14:textId="11BB12E2"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Lu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(2025)</w:t>
            </w:r>
          </w:p>
        </w:tc>
        <w:tc>
          <w:tcPr>
            <w:tcW w:w="4337" w:type="dxa"/>
            <w:noWrap/>
            <w:vAlign w:val="center"/>
            <w:hideMark/>
          </w:tcPr>
          <w:p w14:paraId="417334C8"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 new integrated approach for evaluating sustainable development in the electric vehicle sector</w:t>
            </w:r>
          </w:p>
        </w:tc>
        <w:tc>
          <w:tcPr>
            <w:tcW w:w="2995" w:type="dxa"/>
            <w:noWrap/>
            <w:vAlign w:val="center"/>
            <w:hideMark/>
          </w:tcPr>
          <w:p w14:paraId="7BBCB033"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Data envelopment analysis, bootstrapped </w:t>
            </w:r>
            <w:r w:rsidRPr="004434E6">
              <w:rPr>
                <w:rFonts w:eastAsia="Times New Roman"/>
                <w:color w:val="000000"/>
                <w:szCs w:val="24"/>
                <w:lang w:val="en-US" w:eastAsia="zh-CN" w:bidi="bn-IN"/>
              </w:rPr>
              <w:lastRenderedPageBreak/>
              <w:t xml:space="preserve">regression &amp; ML (CART, RF, </w:t>
            </w:r>
            <w:proofErr w:type="spellStart"/>
            <w:r w:rsidRPr="004434E6">
              <w:rPr>
                <w:rFonts w:eastAsia="Times New Roman"/>
                <w:color w:val="000000"/>
                <w:szCs w:val="24"/>
                <w:lang w:val="en-US" w:eastAsia="zh-CN" w:bidi="bn-IN"/>
              </w:rPr>
              <w:t>XGBoost</w:t>
            </w:r>
            <w:proofErr w:type="spellEnd"/>
            <w:r w:rsidRPr="004434E6">
              <w:rPr>
                <w:rFonts w:eastAsia="Times New Roman"/>
                <w:color w:val="000000"/>
                <w:szCs w:val="24"/>
                <w:lang w:val="en-US" w:eastAsia="zh-CN" w:bidi="bn-IN"/>
              </w:rPr>
              <w:t>)</w:t>
            </w:r>
          </w:p>
        </w:tc>
        <w:tc>
          <w:tcPr>
            <w:tcW w:w="3963" w:type="dxa"/>
            <w:noWrap/>
            <w:vAlign w:val="center"/>
            <w:hideMark/>
          </w:tcPr>
          <w:p w14:paraId="10C082A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lastRenderedPageBreak/>
              <w:t xml:space="preserve">Charging sector most efficient; battery least; governance &amp; environmental management </w:t>
            </w:r>
            <w:r w:rsidRPr="004434E6">
              <w:rPr>
                <w:rFonts w:eastAsia="Times New Roman"/>
                <w:color w:val="000000"/>
                <w:szCs w:val="24"/>
                <w:lang w:val="en-US" w:eastAsia="zh-CN" w:bidi="bn-IN"/>
              </w:rPr>
              <w:lastRenderedPageBreak/>
              <w:t>improve operations &amp; market outcomes</w:t>
            </w:r>
          </w:p>
        </w:tc>
      </w:tr>
      <w:tr w:rsidR="004434E6" w:rsidRPr="004434E6" w14:paraId="47D61BCA"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791872C9"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33</w:t>
            </w:r>
          </w:p>
        </w:tc>
        <w:tc>
          <w:tcPr>
            <w:tcW w:w="1968" w:type="dxa"/>
            <w:noWrap/>
            <w:vAlign w:val="center"/>
            <w:hideMark/>
          </w:tcPr>
          <w:p w14:paraId="39F88E2B" w14:textId="5D9EAD54"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Nuryakin</w:t>
            </w:r>
            <w:proofErr w:type="spellEnd"/>
            <w:r w:rsidRPr="004434E6">
              <w:rPr>
                <w:rFonts w:eastAsia="Times New Roman"/>
                <w:color w:val="000000"/>
                <w:szCs w:val="24"/>
                <w:lang w:val="en-US" w:eastAsia="zh-CN" w:bidi="bn-IN"/>
              </w:rPr>
              <w:t xml:space="preserve">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(2019)</w:t>
            </w:r>
          </w:p>
        </w:tc>
        <w:tc>
          <w:tcPr>
            <w:tcW w:w="4337" w:type="dxa"/>
            <w:noWrap/>
            <w:vAlign w:val="center"/>
            <w:hideMark/>
          </w:tcPr>
          <w:p w14:paraId="0F72D8EC"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Socioeconomic impacts and consumer preferences analysis of electrified vehicle in Indonesia</w:t>
            </w:r>
          </w:p>
        </w:tc>
        <w:tc>
          <w:tcPr>
            <w:tcW w:w="2995" w:type="dxa"/>
            <w:noWrap/>
            <w:vAlign w:val="center"/>
            <w:hideMark/>
          </w:tcPr>
          <w:p w14:paraId="43F88C48"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User survey &amp; simulation of policy scenarios</w:t>
            </w:r>
          </w:p>
        </w:tc>
        <w:tc>
          <w:tcPr>
            <w:tcW w:w="3963" w:type="dxa"/>
            <w:noWrap/>
            <w:vAlign w:val="center"/>
            <w:hideMark/>
          </w:tcPr>
          <w:p w14:paraId="312A88FD"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Strong incentives needed; PHEVs viable entry; balanced EV mix effective; policy shifts crucial</w:t>
            </w:r>
          </w:p>
        </w:tc>
      </w:tr>
      <w:tr w:rsidR="004434E6" w:rsidRPr="004434E6" w14:paraId="740BD6FC"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7BF4F1F7"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34</w:t>
            </w:r>
          </w:p>
        </w:tc>
        <w:tc>
          <w:tcPr>
            <w:tcW w:w="1968" w:type="dxa"/>
            <w:noWrap/>
            <w:vAlign w:val="center"/>
            <w:hideMark/>
          </w:tcPr>
          <w:p w14:paraId="7EF38BE9" w14:textId="77159965"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Olabi</w:t>
            </w:r>
            <w:proofErr w:type="spellEnd"/>
            <w:r w:rsidRPr="004434E6">
              <w:rPr>
                <w:rFonts w:eastAsia="Times New Roman"/>
                <w:color w:val="000000"/>
                <w:szCs w:val="24"/>
                <w:lang w:val="en-US" w:eastAsia="zh-CN" w:bidi="bn-IN"/>
              </w:rPr>
              <w:t xml:space="preserve">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(2022)</w:t>
            </w:r>
          </w:p>
        </w:tc>
        <w:tc>
          <w:tcPr>
            <w:tcW w:w="4337" w:type="dxa"/>
            <w:noWrap/>
            <w:vAlign w:val="center"/>
            <w:hideMark/>
          </w:tcPr>
          <w:p w14:paraId="604B5B2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Battery electric vehicles: Progress, power electronic converters, strengths, weaknesses, opportunities, and threats</w:t>
            </w:r>
          </w:p>
        </w:tc>
        <w:tc>
          <w:tcPr>
            <w:tcW w:w="2995" w:type="dxa"/>
            <w:noWrap/>
            <w:vAlign w:val="center"/>
            <w:hideMark/>
          </w:tcPr>
          <w:p w14:paraId="45F514E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SWOT &amp; technical review of BEV tech &amp; power electronics</w:t>
            </w:r>
          </w:p>
        </w:tc>
        <w:tc>
          <w:tcPr>
            <w:tcW w:w="3963" w:type="dxa"/>
            <w:noWrap/>
            <w:vAlign w:val="center"/>
            <w:hideMark/>
          </w:tcPr>
          <w:p w14:paraId="6630AA8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 tech strengths/weaknesses highlighted; ESG improvement opportunities &amp; adoption barriers identified</w:t>
            </w:r>
          </w:p>
        </w:tc>
      </w:tr>
      <w:tr w:rsidR="004434E6" w:rsidRPr="004434E6" w14:paraId="5DF13440"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54373BE"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35</w:t>
            </w:r>
          </w:p>
        </w:tc>
        <w:tc>
          <w:tcPr>
            <w:tcW w:w="1968" w:type="dxa"/>
            <w:noWrap/>
            <w:vAlign w:val="center"/>
            <w:hideMark/>
          </w:tcPr>
          <w:p w14:paraId="07BBEC9C"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Pillay, Brent and </w:t>
            </w:r>
            <w:proofErr w:type="spellStart"/>
            <w:r w:rsidRPr="004434E6">
              <w:rPr>
                <w:rFonts w:eastAsia="Times New Roman"/>
                <w:color w:val="000000"/>
                <w:szCs w:val="24"/>
                <w:lang w:val="en-US" w:eastAsia="zh-CN" w:bidi="bn-IN"/>
              </w:rPr>
              <w:t>Musango</w:t>
            </w:r>
            <w:proofErr w:type="spellEnd"/>
            <w:r w:rsidRPr="004434E6">
              <w:rPr>
                <w:rFonts w:eastAsia="Times New Roman"/>
                <w:color w:val="000000"/>
                <w:szCs w:val="24"/>
                <w:lang w:val="en-US" w:eastAsia="zh-CN" w:bidi="bn-IN"/>
              </w:rPr>
              <w:t xml:space="preserve"> (2019)</w:t>
            </w:r>
          </w:p>
        </w:tc>
        <w:tc>
          <w:tcPr>
            <w:tcW w:w="4337" w:type="dxa"/>
            <w:noWrap/>
            <w:vAlign w:val="center"/>
            <w:hideMark/>
          </w:tcPr>
          <w:p w14:paraId="4F70D312"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Affordability of battery electric vehicles based on disposable income and the impact on provincial residential electricity requirements in South Africa</w:t>
            </w:r>
          </w:p>
        </w:tc>
        <w:tc>
          <w:tcPr>
            <w:tcW w:w="2995" w:type="dxa"/>
            <w:noWrap/>
            <w:vAlign w:val="center"/>
            <w:hideMark/>
          </w:tcPr>
          <w:p w14:paraId="365E2E6F"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de-DE" w:eastAsia="zh-CN" w:bidi="bn-IN"/>
              </w:rPr>
            </w:pPr>
            <w:r w:rsidRPr="004434E6">
              <w:rPr>
                <w:rFonts w:eastAsia="Times New Roman"/>
                <w:color w:val="000000"/>
                <w:szCs w:val="24"/>
                <w:lang w:val="de-DE" w:eastAsia="zh-CN" w:bidi="bn-IN"/>
              </w:rPr>
              <w:t>System dynamics modelling (E-StratBEV)</w:t>
            </w:r>
          </w:p>
        </w:tc>
        <w:tc>
          <w:tcPr>
            <w:tcW w:w="3963" w:type="dxa"/>
            <w:noWrap/>
            <w:vAlign w:val="center"/>
            <w:hideMark/>
          </w:tcPr>
          <w:p w14:paraId="56282A72"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 adoption limited by price/income; coal-heavy grids reduce environmental benefit; economic &amp; infrastructure barriers noted</w:t>
            </w:r>
          </w:p>
        </w:tc>
      </w:tr>
      <w:tr w:rsidR="004434E6" w:rsidRPr="004434E6" w14:paraId="6E68ADC5"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96E571E"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36</w:t>
            </w:r>
          </w:p>
        </w:tc>
        <w:tc>
          <w:tcPr>
            <w:tcW w:w="1968" w:type="dxa"/>
            <w:noWrap/>
            <w:vAlign w:val="center"/>
            <w:hideMark/>
          </w:tcPr>
          <w:p w14:paraId="6910C18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Pipitone, </w:t>
            </w:r>
            <w:proofErr w:type="spellStart"/>
            <w:r w:rsidRPr="004434E6">
              <w:rPr>
                <w:rFonts w:eastAsia="Times New Roman"/>
                <w:color w:val="000000"/>
                <w:szCs w:val="24"/>
                <w:lang w:val="en-US" w:eastAsia="zh-CN" w:bidi="bn-IN"/>
              </w:rPr>
              <w:t>Caltabellotta</w:t>
            </w:r>
            <w:proofErr w:type="spellEnd"/>
            <w:r w:rsidRPr="004434E6">
              <w:rPr>
                <w:rFonts w:eastAsia="Times New Roman"/>
                <w:color w:val="000000"/>
                <w:szCs w:val="24"/>
                <w:lang w:val="en-US" w:eastAsia="zh-CN" w:bidi="bn-IN"/>
              </w:rPr>
              <w:t xml:space="preserve"> &amp; Occhipinti (2021)</w:t>
            </w:r>
          </w:p>
        </w:tc>
        <w:tc>
          <w:tcPr>
            <w:tcW w:w="4337" w:type="dxa"/>
            <w:noWrap/>
            <w:vAlign w:val="center"/>
            <w:hideMark/>
          </w:tcPr>
          <w:p w14:paraId="42DD81FB"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 life cycle environmental impact comparison between traditional, hybrid, and electric vehicles in the European context</w:t>
            </w:r>
          </w:p>
        </w:tc>
        <w:tc>
          <w:tcPr>
            <w:tcW w:w="2995" w:type="dxa"/>
            <w:noWrap/>
            <w:vAlign w:val="center"/>
            <w:hideMark/>
          </w:tcPr>
          <w:p w14:paraId="46D05286"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LCA across impact categories, electricity mixes, mileage scenarios</w:t>
            </w:r>
          </w:p>
        </w:tc>
        <w:tc>
          <w:tcPr>
            <w:tcW w:w="3963" w:type="dxa"/>
            <w:noWrap/>
            <w:vAlign w:val="center"/>
            <w:hideMark/>
          </w:tcPr>
          <w:p w14:paraId="40FABE70"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BEVs ~60% lower global warming than ICEVs; double acidification/particulates; HEVs </w:t>
            </w:r>
            <w:r w:rsidRPr="004434E6">
              <w:rPr>
                <w:rFonts w:eastAsia="Times New Roman"/>
                <w:color w:val="000000"/>
                <w:szCs w:val="24"/>
                <w:lang w:val="en-US" w:eastAsia="zh-CN" w:bidi="bn-IN"/>
              </w:rPr>
              <w:lastRenderedPageBreak/>
              <w:t>balanced; battery raises resource concerns</w:t>
            </w:r>
          </w:p>
        </w:tc>
      </w:tr>
      <w:tr w:rsidR="004434E6" w:rsidRPr="004434E6" w14:paraId="46C8B83E"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40DF4BAA"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37</w:t>
            </w:r>
          </w:p>
        </w:tc>
        <w:tc>
          <w:tcPr>
            <w:tcW w:w="1968" w:type="dxa"/>
            <w:noWrap/>
            <w:vAlign w:val="center"/>
            <w:hideMark/>
          </w:tcPr>
          <w:p w14:paraId="51667E37"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Raugei</w:t>
            </w:r>
            <w:proofErr w:type="spellEnd"/>
            <w:r w:rsidRPr="004434E6">
              <w:rPr>
                <w:rFonts w:eastAsia="Times New Roman"/>
                <w:color w:val="000000"/>
                <w:szCs w:val="24"/>
                <w:lang w:val="en-US" w:eastAsia="zh-CN" w:bidi="bn-IN"/>
              </w:rPr>
              <w:t>, Hutchinson and Morrey (2018)</w:t>
            </w:r>
          </w:p>
        </w:tc>
        <w:tc>
          <w:tcPr>
            <w:tcW w:w="4337" w:type="dxa"/>
            <w:noWrap/>
            <w:vAlign w:val="center"/>
            <w:hideMark/>
          </w:tcPr>
          <w:p w14:paraId="6404EC6E"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Can electric vehicles significantly reduce our dependence on non-renewable energy? Scenarios of compact vehicles in the UK</w:t>
            </w:r>
          </w:p>
        </w:tc>
        <w:tc>
          <w:tcPr>
            <w:tcW w:w="2995" w:type="dxa"/>
            <w:noWrap/>
            <w:vAlign w:val="center"/>
            <w:hideMark/>
          </w:tcPr>
          <w:p w14:paraId="2BEF19BE"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Life-cycle assessment &amp; prospective energy analysis</w:t>
            </w:r>
          </w:p>
        </w:tc>
        <w:tc>
          <w:tcPr>
            <w:tcW w:w="3963" w:type="dxa"/>
            <w:noWrap/>
            <w:vAlign w:val="center"/>
            <w:hideMark/>
          </w:tcPr>
          <w:p w14:paraId="0EBB6970"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Compact BEVs reduce non-renewable energy demand 34% vs ICEVs; future scenarios show further reductions; ESG advantage noted</w:t>
            </w:r>
          </w:p>
        </w:tc>
      </w:tr>
      <w:tr w:rsidR="004434E6" w:rsidRPr="004434E6" w14:paraId="602614EB"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1D50F21A"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38</w:t>
            </w:r>
          </w:p>
        </w:tc>
        <w:tc>
          <w:tcPr>
            <w:tcW w:w="1968" w:type="dxa"/>
            <w:noWrap/>
            <w:vAlign w:val="center"/>
            <w:hideMark/>
          </w:tcPr>
          <w:p w14:paraId="45647F2D" w14:textId="3B211525"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Schlürscheid</w:t>
            </w:r>
            <w:proofErr w:type="spellEnd"/>
            <w:r w:rsidRPr="004434E6">
              <w:rPr>
                <w:rFonts w:eastAsia="Times New Roman"/>
                <w:color w:val="000000"/>
                <w:szCs w:val="24"/>
                <w:lang w:val="en-US" w:eastAsia="zh-CN" w:bidi="bn-IN"/>
              </w:rPr>
              <w:t xml:space="preserve">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(2024)</w:t>
            </w:r>
          </w:p>
        </w:tc>
        <w:tc>
          <w:tcPr>
            <w:tcW w:w="4337" w:type="dxa"/>
            <w:noWrap/>
            <w:vAlign w:val="center"/>
            <w:hideMark/>
          </w:tcPr>
          <w:p w14:paraId="3B6FAFE0"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Temperature Behavior in Headlights: A Comparative Analysis between Battery Electric Vehicles and Internal Combustion Engine Vehicles</w:t>
            </w:r>
          </w:p>
        </w:tc>
        <w:tc>
          <w:tcPr>
            <w:tcW w:w="2995" w:type="dxa"/>
            <w:noWrap/>
            <w:vAlign w:val="center"/>
            <w:hideMark/>
          </w:tcPr>
          <w:p w14:paraId="46BAE5A3"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Thermal analysis of headlight units (30,000 vehicles)</w:t>
            </w:r>
          </w:p>
        </w:tc>
        <w:tc>
          <w:tcPr>
            <w:tcW w:w="3963" w:type="dxa"/>
            <w:noWrap/>
            <w:vAlign w:val="center"/>
            <w:hideMark/>
          </w:tcPr>
          <w:p w14:paraId="0B088013"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 headlights generate less heat; redesign improves durability &amp; sustainability; minor ESG tech consideration</w:t>
            </w:r>
          </w:p>
        </w:tc>
      </w:tr>
      <w:tr w:rsidR="004434E6" w:rsidRPr="004434E6" w14:paraId="033B9F55"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FFD682B"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39</w:t>
            </w:r>
          </w:p>
        </w:tc>
        <w:tc>
          <w:tcPr>
            <w:tcW w:w="1968" w:type="dxa"/>
            <w:noWrap/>
            <w:vAlign w:val="center"/>
            <w:hideMark/>
          </w:tcPr>
          <w:p w14:paraId="27920992" w14:textId="2F7872C1"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Seixas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(2015)</w:t>
            </w:r>
          </w:p>
        </w:tc>
        <w:tc>
          <w:tcPr>
            <w:tcW w:w="4337" w:type="dxa"/>
            <w:noWrap/>
            <w:vAlign w:val="center"/>
            <w:hideMark/>
          </w:tcPr>
          <w:p w14:paraId="2885F89D"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Assessing the cost-effectiveness of electric vehicles in European countries using integrated modeling</w:t>
            </w:r>
          </w:p>
        </w:tc>
        <w:tc>
          <w:tcPr>
            <w:tcW w:w="2995" w:type="dxa"/>
            <w:noWrap/>
            <w:vAlign w:val="center"/>
            <w:hideMark/>
          </w:tcPr>
          <w:p w14:paraId="369F58F5"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Partial equilibrium modelling for energy costs &amp; EV cost-effectiveness</w:t>
            </w:r>
          </w:p>
        </w:tc>
        <w:tc>
          <w:tcPr>
            <w:tcW w:w="3963" w:type="dxa"/>
            <w:noWrap/>
            <w:vAlign w:val="center"/>
            <w:hideMark/>
          </w:tcPr>
          <w:p w14:paraId="1A247224"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 cost-effective if prices drop ~30%; adoption influenced by cost, mobility patterns, CO</w:t>
            </w:r>
            <w:r w:rsidRPr="004434E6">
              <w:rPr>
                <w:rFonts w:ascii="Cambria Math" w:eastAsia="Times New Roman" w:hAnsi="Cambria Math" w:cs="Cambria Math"/>
                <w:color w:val="000000"/>
                <w:szCs w:val="24"/>
                <w:lang w:val="en-US" w:eastAsia="zh-CN" w:bidi="bn-IN"/>
              </w:rPr>
              <w:t>₂</w:t>
            </w:r>
            <w:r w:rsidRPr="004434E6">
              <w:rPr>
                <w:rFonts w:eastAsia="Times New Roman"/>
                <w:color w:val="000000"/>
                <w:szCs w:val="24"/>
                <w:lang w:val="en-US" w:eastAsia="zh-CN" w:bidi="bn-IN"/>
              </w:rPr>
              <w:t xml:space="preserve"> targets; financial drivers/barriers highlighted</w:t>
            </w:r>
          </w:p>
        </w:tc>
      </w:tr>
      <w:tr w:rsidR="004434E6" w:rsidRPr="004434E6" w14:paraId="662091AC"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215C2199"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40</w:t>
            </w:r>
          </w:p>
        </w:tc>
        <w:tc>
          <w:tcPr>
            <w:tcW w:w="1968" w:type="dxa"/>
            <w:noWrap/>
            <w:vAlign w:val="center"/>
            <w:hideMark/>
          </w:tcPr>
          <w:p w14:paraId="6681BA62"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Sisani</w:t>
            </w:r>
            <w:proofErr w:type="spellEnd"/>
            <w:r w:rsidRPr="004434E6">
              <w:rPr>
                <w:rFonts w:eastAsia="Times New Roman"/>
                <w:color w:val="000000"/>
                <w:szCs w:val="24"/>
                <w:lang w:val="en-US" w:eastAsia="zh-CN" w:bidi="bn-IN"/>
              </w:rPr>
              <w:t>, Di Maria and Cesari (2022)</w:t>
            </w:r>
          </w:p>
        </w:tc>
        <w:tc>
          <w:tcPr>
            <w:tcW w:w="4337" w:type="dxa"/>
            <w:noWrap/>
            <w:vAlign w:val="center"/>
            <w:hideMark/>
          </w:tcPr>
          <w:p w14:paraId="19D81D3E"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Environmental and human health impact of different powertrain passenger cars in a life cycle perspective</w:t>
            </w:r>
          </w:p>
        </w:tc>
        <w:tc>
          <w:tcPr>
            <w:tcW w:w="2995" w:type="dxa"/>
            <w:noWrap/>
            <w:vAlign w:val="center"/>
            <w:hideMark/>
          </w:tcPr>
          <w:p w14:paraId="12E68C9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Life-cycle assessment of BEVs, HEVs, ICEVs (GHG, PM, health)</w:t>
            </w:r>
          </w:p>
        </w:tc>
        <w:tc>
          <w:tcPr>
            <w:tcW w:w="3963" w:type="dxa"/>
            <w:noWrap/>
            <w:vAlign w:val="center"/>
            <w:hideMark/>
          </w:tcPr>
          <w:p w14:paraId="31AD72F9"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 lower GHG but higher freshwater eutrophication &amp; human toxicity; HEVs lower PM; ESG trade-offs highlighted</w:t>
            </w:r>
          </w:p>
        </w:tc>
      </w:tr>
      <w:tr w:rsidR="004434E6" w:rsidRPr="004434E6" w14:paraId="6524FE42"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A815DD0"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41</w:t>
            </w:r>
          </w:p>
        </w:tc>
        <w:tc>
          <w:tcPr>
            <w:tcW w:w="1968" w:type="dxa"/>
            <w:noWrap/>
            <w:vAlign w:val="center"/>
            <w:hideMark/>
          </w:tcPr>
          <w:p w14:paraId="1FF89E60"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Sun and Ju (2023)</w:t>
            </w:r>
          </w:p>
        </w:tc>
        <w:tc>
          <w:tcPr>
            <w:tcW w:w="4337" w:type="dxa"/>
            <w:noWrap/>
            <w:vAlign w:val="center"/>
            <w:hideMark/>
          </w:tcPr>
          <w:p w14:paraId="1FE089FD"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Research on the promotion of new energy vehicles based on multi-source heterogeneous data: consumer and manufacturer perspectives</w:t>
            </w:r>
          </w:p>
        </w:tc>
        <w:tc>
          <w:tcPr>
            <w:tcW w:w="2995" w:type="dxa"/>
            <w:noWrap/>
            <w:vAlign w:val="center"/>
            <w:hideMark/>
          </w:tcPr>
          <w:p w14:paraId="041A82D5"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Multi-source analysis: LDA, social networks, econometrics</w:t>
            </w:r>
          </w:p>
        </w:tc>
        <w:tc>
          <w:tcPr>
            <w:tcW w:w="3963" w:type="dxa"/>
            <w:noWrap/>
            <w:vAlign w:val="center"/>
            <w:hideMark/>
          </w:tcPr>
          <w:p w14:paraId="0819E9A4"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Consumer preference: space, power, design; patent networks show NEV cooperation accelerates adoption; short-term BEV/HEV R&amp;D key</w:t>
            </w:r>
          </w:p>
        </w:tc>
      </w:tr>
      <w:tr w:rsidR="004434E6" w:rsidRPr="004434E6" w14:paraId="2C31E6A6"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573B2755"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42</w:t>
            </w:r>
          </w:p>
        </w:tc>
        <w:tc>
          <w:tcPr>
            <w:tcW w:w="1968" w:type="dxa"/>
            <w:noWrap/>
            <w:vAlign w:val="center"/>
            <w:hideMark/>
          </w:tcPr>
          <w:p w14:paraId="1360BD4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Thorat, Kumar &amp; Sandhu (2024)</w:t>
            </w:r>
          </w:p>
        </w:tc>
        <w:tc>
          <w:tcPr>
            <w:tcW w:w="4337" w:type="dxa"/>
            <w:noWrap/>
            <w:vAlign w:val="center"/>
            <w:hideMark/>
          </w:tcPr>
          <w:p w14:paraId="014AE926"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Powering sustainable mobility: Electric and hybrid vehicles leading the way</w:t>
            </w:r>
          </w:p>
        </w:tc>
        <w:tc>
          <w:tcPr>
            <w:tcW w:w="2995" w:type="dxa"/>
            <w:noWrap/>
            <w:vAlign w:val="center"/>
            <w:hideMark/>
          </w:tcPr>
          <w:p w14:paraId="31DF16CB"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Case study: IEA projections, policies, strategies, market data</w:t>
            </w:r>
          </w:p>
        </w:tc>
        <w:tc>
          <w:tcPr>
            <w:tcW w:w="3963" w:type="dxa"/>
            <w:noWrap/>
            <w:vAlign w:val="center"/>
            <w:hideMark/>
          </w:tcPr>
          <w:p w14:paraId="567A483B"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EV adoption projected 50% by 2035; growth driven by policy, battery costs, charging &amp; renewable innovations</w:t>
            </w:r>
          </w:p>
        </w:tc>
      </w:tr>
      <w:tr w:rsidR="004434E6" w:rsidRPr="004434E6" w14:paraId="545CFA59"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116A3CFC"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43</w:t>
            </w:r>
          </w:p>
        </w:tc>
        <w:tc>
          <w:tcPr>
            <w:tcW w:w="1968" w:type="dxa"/>
            <w:noWrap/>
            <w:vAlign w:val="center"/>
            <w:hideMark/>
          </w:tcPr>
          <w:p w14:paraId="33B23862" w14:textId="68E7DCE2"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proofErr w:type="spellStart"/>
            <w:r w:rsidRPr="004434E6">
              <w:rPr>
                <w:rFonts w:eastAsia="Times New Roman"/>
                <w:color w:val="000000"/>
                <w:szCs w:val="24"/>
                <w:lang w:val="en-US" w:eastAsia="zh-CN" w:bidi="bn-IN"/>
              </w:rPr>
              <w:t>Tillu</w:t>
            </w:r>
            <w:proofErr w:type="spellEnd"/>
            <w:r w:rsidRPr="004434E6">
              <w:rPr>
                <w:rFonts w:eastAsia="Times New Roman"/>
                <w:color w:val="000000"/>
                <w:szCs w:val="24"/>
                <w:lang w:val="en-US" w:eastAsia="zh-CN" w:bidi="bn-IN"/>
              </w:rPr>
              <w:t xml:space="preserve">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(2024)</w:t>
            </w:r>
          </w:p>
        </w:tc>
        <w:tc>
          <w:tcPr>
            <w:tcW w:w="4337" w:type="dxa"/>
            <w:noWrap/>
            <w:vAlign w:val="center"/>
            <w:hideMark/>
          </w:tcPr>
          <w:p w14:paraId="5729E137"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Towards sustainable automobile ecosystem in India: Integrated analysis of technical, economic, and ESG dimensions</w:t>
            </w:r>
          </w:p>
        </w:tc>
        <w:tc>
          <w:tcPr>
            <w:tcW w:w="2995" w:type="dxa"/>
            <w:noWrap/>
            <w:vAlign w:val="center"/>
            <w:hideMark/>
          </w:tcPr>
          <w:p w14:paraId="7CB1DE1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Multi-criteria decision-making using ISM &amp; FAHP</w:t>
            </w:r>
          </w:p>
        </w:tc>
        <w:tc>
          <w:tcPr>
            <w:tcW w:w="3963" w:type="dxa"/>
            <w:noWrap/>
            <w:vAlign w:val="center"/>
            <w:hideMark/>
          </w:tcPr>
          <w:p w14:paraId="4EA2BDED"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EVs &amp; hydrogen vehicles ranked highest; hybrids/alternate fuels are transitional options</w:t>
            </w:r>
          </w:p>
        </w:tc>
      </w:tr>
      <w:tr w:rsidR="004434E6" w:rsidRPr="004434E6" w14:paraId="13A07B9C"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DFD0C97"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lastRenderedPageBreak/>
              <w:t>44</w:t>
            </w:r>
          </w:p>
        </w:tc>
        <w:tc>
          <w:tcPr>
            <w:tcW w:w="1968" w:type="dxa"/>
            <w:noWrap/>
            <w:vAlign w:val="center"/>
            <w:hideMark/>
          </w:tcPr>
          <w:p w14:paraId="3FD8B1AE" w14:textId="1EBBED52"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Veza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(2023)</w:t>
            </w:r>
          </w:p>
        </w:tc>
        <w:tc>
          <w:tcPr>
            <w:tcW w:w="4337" w:type="dxa"/>
            <w:noWrap/>
            <w:vAlign w:val="center"/>
            <w:hideMark/>
          </w:tcPr>
          <w:p w14:paraId="77253C38"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Electric vehicle (EV) and driving towards sustainability: Comparison between EV, HEV, PHEV, and ICE vehicles to achieve net zero emissions by 2050 from EV</w:t>
            </w:r>
          </w:p>
        </w:tc>
        <w:tc>
          <w:tcPr>
            <w:tcW w:w="2995" w:type="dxa"/>
            <w:noWrap/>
            <w:vAlign w:val="center"/>
            <w:hideMark/>
          </w:tcPr>
          <w:p w14:paraId="6A8432A4"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Case study: emissions, fueling, maintenance across vehicles</w:t>
            </w:r>
          </w:p>
        </w:tc>
        <w:tc>
          <w:tcPr>
            <w:tcW w:w="3963" w:type="dxa"/>
            <w:noWrap/>
            <w:vAlign w:val="center"/>
            <w:hideMark/>
          </w:tcPr>
          <w:p w14:paraId="6C97B8FC"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EVs lowest CO/CO</w:t>
            </w:r>
            <w:r w:rsidRPr="004434E6">
              <w:rPr>
                <w:rFonts w:ascii="Cambria Math" w:eastAsia="Times New Roman" w:hAnsi="Cambria Math" w:cs="Cambria Math"/>
                <w:color w:val="000000"/>
                <w:szCs w:val="24"/>
                <w:lang w:val="en-US" w:eastAsia="zh-CN" w:bidi="bn-IN"/>
              </w:rPr>
              <w:t>₂</w:t>
            </w:r>
            <w:r w:rsidRPr="004434E6">
              <w:rPr>
                <w:rFonts w:eastAsia="Times New Roman"/>
                <w:color w:val="000000"/>
                <w:szCs w:val="24"/>
                <w:lang w:val="en-US" w:eastAsia="zh-CN" w:bidi="bn-IN"/>
              </w:rPr>
              <w:t xml:space="preserve"> (~20%), higher NOx/N</w:t>
            </w:r>
            <w:r w:rsidRPr="004434E6">
              <w:rPr>
                <w:rFonts w:ascii="Cambria Math" w:eastAsia="Times New Roman" w:hAnsi="Cambria Math" w:cs="Cambria Math"/>
                <w:color w:val="000000"/>
                <w:szCs w:val="24"/>
                <w:lang w:val="en-US" w:eastAsia="zh-CN" w:bidi="bn-IN"/>
              </w:rPr>
              <w:t>₂</w:t>
            </w:r>
            <w:r w:rsidRPr="004434E6">
              <w:rPr>
                <w:rFonts w:eastAsia="Times New Roman"/>
                <w:color w:val="000000"/>
                <w:szCs w:val="24"/>
                <w:lang w:val="en-US" w:eastAsia="zh-CN" w:bidi="bn-IN"/>
              </w:rPr>
              <w:t xml:space="preserve">O (&gt;70%) &amp; </w:t>
            </w:r>
            <w:proofErr w:type="spellStart"/>
            <w:r w:rsidRPr="004434E6">
              <w:rPr>
                <w:rFonts w:eastAsia="Times New Roman"/>
                <w:color w:val="000000"/>
                <w:szCs w:val="24"/>
                <w:lang w:val="en-US" w:eastAsia="zh-CN" w:bidi="bn-IN"/>
              </w:rPr>
              <w:t>SOx</w:t>
            </w:r>
            <w:proofErr w:type="spellEnd"/>
            <w:r w:rsidRPr="004434E6">
              <w:rPr>
                <w:rFonts w:eastAsia="Times New Roman"/>
                <w:color w:val="000000"/>
                <w:szCs w:val="24"/>
                <w:lang w:val="en-US" w:eastAsia="zh-CN" w:bidi="bn-IN"/>
              </w:rPr>
              <w:t>/PM10 (&gt;85%); HEVs balance cost/emissions; EVs lowest maintenance</w:t>
            </w:r>
          </w:p>
        </w:tc>
      </w:tr>
      <w:tr w:rsidR="004434E6" w:rsidRPr="004434E6" w14:paraId="3D1B2B70"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EB2BE0E"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45</w:t>
            </w:r>
          </w:p>
        </w:tc>
        <w:tc>
          <w:tcPr>
            <w:tcW w:w="1968" w:type="dxa"/>
            <w:noWrap/>
            <w:vAlign w:val="center"/>
            <w:hideMark/>
          </w:tcPr>
          <w:p w14:paraId="7A31E344" w14:textId="5F669086"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Vijaya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(2024)</w:t>
            </w:r>
          </w:p>
        </w:tc>
        <w:tc>
          <w:tcPr>
            <w:tcW w:w="4337" w:type="dxa"/>
            <w:noWrap/>
            <w:vAlign w:val="center"/>
            <w:hideMark/>
          </w:tcPr>
          <w:p w14:paraId="66E8B325"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Advancing sustainability in the automotive sector: A critical analysis of environmental, social, and governance (ESG) performance indicators</w:t>
            </w:r>
          </w:p>
        </w:tc>
        <w:tc>
          <w:tcPr>
            <w:tcW w:w="2995" w:type="dxa"/>
            <w:noWrap/>
            <w:vAlign w:val="center"/>
            <w:hideMark/>
          </w:tcPr>
          <w:p w14:paraId="082D6DA2"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Fuzzy DEMATEL &amp; TOPSIS to rank 17 ESG KPIs</w:t>
            </w:r>
          </w:p>
        </w:tc>
        <w:tc>
          <w:tcPr>
            <w:tcW w:w="3963" w:type="dxa"/>
            <w:noWrap/>
            <w:vAlign w:val="center"/>
            <w:hideMark/>
          </w:tcPr>
          <w:p w14:paraId="51D39580"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Top ESG drivers: corporate governance, air emissions, sustainable product development; social issues also important</w:t>
            </w:r>
          </w:p>
        </w:tc>
      </w:tr>
      <w:tr w:rsidR="004434E6" w:rsidRPr="004434E6" w14:paraId="7988C610" w14:textId="77777777" w:rsidTr="004434E6">
        <w:trPr>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565E3CA8"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46</w:t>
            </w:r>
          </w:p>
        </w:tc>
        <w:tc>
          <w:tcPr>
            <w:tcW w:w="1968" w:type="dxa"/>
            <w:noWrap/>
            <w:vAlign w:val="center"/>
            <w:hideMark/>
          </w:tcPr>
          <w:p w14:paraId="7849D21E" w14:textId="6AA6B5F3"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Yu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(2025)</w:t>
            </w:r>
          </w:p>
        </w:tc>
        <w:tc>
          <w:tcPr>
            <w:tcW w:w="4337" w:type="dxa"/>
            <w:noWrap/>
            <w:vAlign w:val="center"/>
            <w:hideMark/>
          </w:tcPr>
          <w:p w14:paraId="430EC7FA"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A competency framework for electric vehicle maintenance technicians: Addressing the environmental, social, and governance (ESG) imperatives of the BEV industry</w:t>
            </w:r>
          </w:p>
        </w:tc>
        <w:tc>
          <w:tcPr>
            <w:tcW w:w="2995" w:type="dxa"/>
            <w:noWrap/>
            <w:vAlign w:val="center"/>
            <w:hideMark/>
          </w:tcPr>
          <w:p w14:paraId="291A9E0F"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Delphi study with 15 experts for competency consensus</w:t>
            </w:r>
          </w:p>
        </w:tc>
        <w:tc>
          <w:tcPr>
            <w:tcW w:w="3963" w:type="dxa"/>
            <w:noWrap/>
            <w:vAlign w:val="center"/>
            <w:hideMark/>
          </w:tcPr>
          <w:p w14:paraId="7D2E6FE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Developed 4 categories, 24 subcategories, 106 indicators; supports workforce readiness &amp; ESG-aligned training</w:t>
            </w:r>
          </w:p>
        </w:tc>
      </w:tr>
      <w:tr w:rsidR="004434E6" w:rsidRPr="004434E6" w14:paraId="2A821584" w14:textId="77777777" w:rsidTr="004434E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F235478"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47</w:t>
            </w:r>
          </w:p>
        </w:tc>
        <w:tc>
          <w:tcPr>
            <w:tcW w:w="1968" w:type="dxa"/>
            <w:noWrap/>
            <w:vAlign w:val="center"/>
            <w:hideMark/>
          </w:tcPr>
          <w:p w14:paraId="596C2E6C" w14:textId="2B70F515"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Zeng </w:t>
            </w:r>
            <w:r w:rsidR="00642FAE" w:rsidRPr="00642FAE">
              <w:rPr>
                <w:rFonts w:eastAsia="Times New Roman"/>
                <w:i/>
                <w:iCs/>
                <w:color w:val="000000"/>
                <w:szCs w:val="24"/>
                <w:lang w:val="en-US" w:eastAsia="zh-CN" w:bidi="bn-IN"/>
              </w:rPr>
              <w:t>et al</w:t>
            </w:r>
            <w:r w:rsidRPr="004434E6">
              <w:rPr>
                <w:rFonts w:eastAsia="Times New Roman"/>
                <w:color w:val="000000"/>
                <w:szCs w:val="24"/>
                <w:lang w:val="en-US" w:eastAsia="zh-CN" w:bidi="bn-IN"/>
              </w:rPr>
              <w:t>. (2020)</w:t>
            </w:r>
          </w:p>
        </w:tc>
        <w:tc>
          <w:tcPr>
            <w:tcW w:w="4337" w:type="dxa"/>
            <w:noWrap/>
            <w:vAlign w:val="center"/>
            <w:hideMark/>
          </w:tcPr>
          <w:p w14:paraId="263DD33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 xml:space="preserve">Are the electric vehicles more sustainable than the conventional ones? Influences of the assumptions </w:t>
            </w:r>
            <w:r w:rsidRPr="004434E6">
              <w:rPr>
                <w:rFonts w:eastAsia="Times New Roman"/>
                <w:color w:val="000000"/>
                <w:szCs w:val="24"/>
                <w:lang w:val="en-US" w:eastAsia="zh-CN" w:bidi="bn-IN"/>
              </w:rPr>
              <w:lastRenderedPageBreak/>
              <w:t>and modeling approaches in the case of typical cars in China</w:t>
            </w:r>
          </w:p>
        </w:tc>
        <w:tc>
          <w:tcPr>
            <w:tcW w:w="2995" w:type="dxa"/>
            <w:noWrap/>
            <w:vAlign w:val="center"/>
            <w:hideMark/>
          </w:tcPr>
          <w:p w14:paraId="2CDD4AC9"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lastRenderedPageBreak/>
              <w:t>LCA of BYD Qin Pro; regional heterogeneity, tech improvements</w:t>
            </w:r>
          </w:p>
        </w:tc>
        <w:tc>
          <w:tcPr>
            <w:tcW w:w="3963" w:type="dxa"/>
            <w:noWrap/>
            <w:vAlign w:val="center"/>
            <w:hideMark/>
          </w:tcPr>
          <w:p w14:paraId="408ADE61"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BEVs/PHEVs cut GWP 23%/17% vs ICEVs; mineral resource trade-offs; assumptions can shift results by 51%</w:t>
            </w:r>
          </w:p>
        </w:tc>
      </w:tr>
      <w:tr w:rsidR="004434E6" w:rsidRPr="004434E6" w14:paraId="70BEC4D6"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5B804078"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48</w:t>
            </w:r>
          </w:p>
        </w:tc>
        <w:tc>
          <w:tcPr>
            <w:tcW w:w="1968" w:type="dxa"/>
            <w:noWrap/>
            <w:vAlign w:val="center"/>
            <w:hideMark/>
          </w:tcPr>
          <w:p w14:paraId="62361B6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Zhao (2025)</w:t>
            </w:r>
          </w:p>
        </w:tc>
        <w:tc>
          <w:tcPr>
            <w:tcW w:w="4337" w:type="dxa"/>
            <w:noWrap/>
            <w:vAlign w:val="center"/>
            <w:hideMark/>
          </w:tcPr>
          <w:p w14:paraId="50C70AA6"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Performance Analysis of Japanese Electric Vehicle Manufacturers in Environmental, Social, and Governance Using Text Mining and Predictive Methods</w:t>
            </w:r>
          </w:p>
        </w:tc>
        <w:tc>
          <w:tcPr>
            <w:tcW w:w="2995" w:type="dxa"/>
            <w:noWrap/>
            <w:vAlign w:val="center"/>
            <w:hideMark/>
          </w:tcPr>
          <w:p w14:paraId="7EF06B47"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Text mining of CSR reports; keyword extraction &amp; predictive analysis</w:t>
            </w:r>
          </w:p>
        </w:tc>
        <w:tc>
          <w:tcPr>
            <w:tcW w:w="3963" w:type="dxa"/>
            <w:noWrap/>
            <w:vAlign w:val="center"/>
            <w:hideMark/>
          </w:tcPr>
          <w:p w14:paraId="68506EFD"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Environmental initiative trends; correlation between discourse &amp; CO</w:t>
            </w:r>
            <w:r w:rsidRPr="004434E6">
              <w:rPr>
                <w:rFonts w:ascii="Cambria Math" w:eastAsia="Times New Roman" w:hAnsi="Cambria Math" w:cs="Cambria Math"/>
                <w:color w:val="000000"/>
                <w:szCs w:val="24"/>
                <w:lang w:val="en-US" w:eastAsia="zh-CN" w:bidi="bn-IN"/>
              </w:rPr>
              <w:t>₂</w:t>
            </w:r>
            <w:r w:rsidRPr="004434E6">
              <w:rPr>
                <w:rFonts w:eastAsia="Times New Roman"/>
                <w:color w:val="000000"/>
                <w:szCs w:val="24"/>
                <w:lang w:val="en-US" w:eastAsia="zh-CN" w:bidi="bn-IN"/>
              </w:rPr>
              <w:t xml:space="preserve"> reduction; predicts future ESG strategy directions</w:t>
            </w:r>
          </w:p>
        </w:tc>
      </w:tr>
      <w:tr w:rsidR="004434E6" w:rsidRPr="004434E6" w14:paraId="5B5FF198" w14:textId="77777777" w:rsidTr="004434E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61923948"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49</w:t>
            </w:r>
          </w:p>
        </w:tc>
        <w:tc>
          <w:tcPr>
            <w:tcW w:w="1968" w:type="dxa"/>
            <w:noWrap/>
            <w:vAlign w:val="center"/>
            <w:hideMark/>
          </w:tcPr>
          <w:p w14:paraId="41AC5C98"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Zhao, Han, Zhou &amp; Xia (2025)</w:t>
            </w:r>
          </w:p>
        </w:tc>
        <w:tc>
          <w:tcPr>
            <w:tcW w:w="4337" w:type="dxa"/>
            <w:noWrap/>
            <w:vAlign w:val="center"/>
            <w:hideMark/>
          </w:tcPr>
          <w:p w14:paraId="0C68FA1B"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Collaborative management of battery manufacturer responsibility in electric vehicle production with ESG due diligence</w:t>
            </w:r>
          </w:p>
        </w:tc>
        <w:tc>
          <w:tcPr>
            <w:tcW w:w="2995" w:type="dxa"/>
            <w:noWrap/>
            <w:vAlign w:val="center"/>
            <w:hideMark/>
          </w:tcPr>
          <w:p w14:paraId="324F8AD7"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Stackelberg game for ESG cost-sharing &amp; consumer recycling sensitivity</w:t>
            </w:r>
          </w:p>
        </w:tc>
        <w:tc>
          <w:tcPr>
            <w:tcW w:w="3963" w:type="dxa"/>
            <w:noWrap/>
            <w:vAlign w:val="center"/>
            <w:hideMark/>
          </w:tcPr>
          <w:p w14:paraId="308E3A51" w14:textId="77777777" w:rsidR="004434E6" w:rsidRPr="004434E6" w:rsidRDefault="004434E6" w:rsidP="004434E6">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ESG prioritization improves mutual benefits; centralized systems outperform decentralized; balanced cost-sharing aligns EV supply chain</w:t>
            </w:r>
          </w:p>
        </w:tc>
      </w:tr>
      <w:tr w:rsidR="004434E6" w:rsidRPr="004434E6" w14:paraId="5ED688B8" w14:textId="77777777" w:rsidTr="004434E6">
        <w:trPr>
          <w:trHeight w:val="276"/>
        </w:trPr>
        <w:tc>
          <w:tcPr>
            <w:cnfStyle w:val="001000000000" w:firstRow="0" w:lastRow="0" w:firstColumn="1" w:lastColumn="0" w:oddVBand="0" w:evenVBand="0" w:oddHBand="0" w:evenHBand="0" w:firstRowFirstColumn="0" w:firstRowLastColumn="0" w:lastRowFirstColumn="0" w:lastRowLastColumn="0"/>
            <w:tcW w:w="685" w:type="dxa"/>
            <w:noWrap/>
            <w:vAlign w:val="center"/>
            <w:hideMark/>
          </w:tcPr>
          <w:p w14:paraId="0AC42897" w14:textId="77777777" w:rsidR="004434E6" w:rsidRPr="004434E6" w:rsidRDefault="004434E6" w:rsidP="004434E6">
            <w:pPr>
              <w:jc w:val="center"/>
              <w:rPr>
                <w:rFonts w:eastAsia="Times New Roman"/>
                <w:color w:val="000000"/>
                <w:szCs w:val="24"/>
                <w:lang w:val="en-US" w:eastAsia="zh-CN" w:bidi="bn-IN"/>
              </w:rPr>
            </w:pPr>
            <w:r w:rsidRPr="004434E6">
              <w:rPr>
                <w:rFonts w:eastAsia="Times New Roman"/>
                <w:color w:val="000000"/>
                <w:szCs w:val="24"/>
                <w:lang w:val="en-US" w:eastAsia="zh-CN" w:bidi="bn-IN"/>
              </w:rPr>
              <w:t>50</w:t>
            </w:r>
          </w:p>
        </w:tc>
        <w:tc>
          <w:tcPr>
            <w:tcW w:w="1968" w:type="dxa"/>
            <w:noWrap/>
            <w:vAlign w:val="center"/>
            <w:hideMark/>
          </w:tcPr>
          <w:p w14:paraId="2255F090"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Zhao, Zhang &amp; Li (2024)</w:t>
            </w:r>
          </w:p>
        </w:tc>
        <w:tc>
          <w:tcPr>
            <w:tcW w:w="4337" w:type="dxa"/>
            <w:noWrap/>
            <w:vAlign w:val="center"/>
            <w:hideMark/>
          </w:tcPr>
          <w:p w14:paraId="55FA97A2"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Government subsidies and business resilience of Chinese electric vehicle enterprises: The roles of ESG and technological capability</w:t>
            </w:r>
          </w:p>
        </w:tc>
        <w:tc>
          <w:tcPr>
            <w:tcW w:w="2995" w:type="dxa"/>
            <w:noWrap/>
            <w:vAlign w:val="center"/>
            <w:hideMark/>
          </w:tcPr>
          <w:p w14:paraId="0997FB18"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Panel analysis of Chinese EV firms (2013–2022); subsidy &amp; ESG moderation</w:t>
            </w:r>
          </w:p>
        </w:tc>
        <w:tc>
          <w:tcPr>
            <w:tcW w:w="3963" w:type="dxa"/>
            <w:noWrap/>
            <w:vAlign w:val="center"/>
            <w:hideMark/>
          </w:tcPr>
          <w:p w14:paraId="26888802" w14:textId="77777777" w:rsidR="004434E6" w:rsidRPr="004434E6" w:rsidRDefault="004434E6" w:rsidP="004434E6">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Cs w:val="24"/>
                <w:lang w:val="en-US" w:eastAsia="zh-CN" w:bidi="bn-IN"/>
              </w:rPr>
            </w:pPr>
            <w:r w:rsidRPr="004434E6">
              <w:rPr>
                <w:rFonts w:eastAsia="Times New Roman"/>
                <w:color w:val="000000"/>
                <w:szCs w:val="24"/>
                <w:lang w:val="en-US" w:eastAsia="zh-CN" w:bidi="bn-IN"/>
              </w:rPr>
              <w:t>Subsidies enhance resilience, especially for firms with strong ESG/technology; complements internal sustainability factors</w:t>
            </w:r>
          </w:p>
        </w:tc>
      </w:tr>
    </w:tbl>
    <w:p w14:paraId="7A81DCF8" w14:textId="77777777" w:rsidR="009D347F" w:rsidRPr="004434E6" w:rsidRDefault="009D347F" w:rsidP="009D347F">
      <w:pPr>
        <w:rPr>
          <w:lang w:val="en-US"/>
        </w:rPr>
      </w:pPr>
    </w:p>
    <w:p w14:paraId="402DC4A7" w14:textId="359166A2" w:rsidR="000A55E2" w:rsidRPr="000A55E2" w:rsidRDefault="000A55E2" w:rsidP="000A55E2">
      <w:pPr>
        <w:sectPr w:rsidR="000A55E2" w:rsidRPr="000A55E2" w:rsidSect="00F76F9B">
          <w:pgSz w:w="16838" w:h="11906" w:orient="landscape" w:code="9"/>
          <w:pgMar w:top="1440" w:right="1440" w:bottom="1440" w:left="1440" w:header="708" w:footer="708" w:gutter="0"/>
          <w:cols w:space="708"/>
          <w:titlePg/>
          <w:docGrid w:linePitch="360"/>
        </w:sectPr>
      </w:pPr>
    </w:p>
    <w:p w14:paraId="233B2BDA" w14:textId="3639EA2B" w:rsidR="00391EB6" w:rsidRDefault="00D57F09" w:rsidP="000A55E2">
      <w:pPr>
        <w:pStyle w:val="Heading2"/>
      </w:pPr>
      <w:bookmarkStart w:id="52" w:name="_Hlk217951016"/>
      <w:bookmarkStart w:id="53" w:name="_Toc217953868"/>
      <w:r>
        <w:lastRenderedPageBreak/>
        <w:t xml:space="preserve">Thematic </w:t>
      </w:r>
      <w:r w:rsidR="00391EB6" w:rsidRPr="008C5097">
        <w:t xml:space="preserve">Analysis </w:t>
      </w:r>
      <w:r>
        <w:t xml:space="preserve">and Narrative Synthesis </w:t>
      </w:r>
      <w:r w:rsidR="00391EB6" w:rsidRPr="008C5097">
        <w:t>of Results</w:t>
      </w:r>
      <w:bookmarkEnd w:id="53"/>
    </w:p>
    <w:p w14:paraId="6CF623F2" w14:textId="4E980431" w:rsidR="00D57F09" w:rsidRDefault="00D57F09" w:rsidP="00D57F09">
      <w:pPr>
        <w:pStyle w:val="Heading3"/>
        <w:rPr>
          <w:lang w:val="en-US" w:eastAsia="zh-CN" w:bidi="bn-IN"/>
        </w:rPr>
      </w:pPr>
      <w:bookmarkStart w:id="54" w:name="_Hlk217951882"/>
      <w:bookmarkStart w:id="55" w:name="_Toc217953869"/>
      <w:r w:rsidRPr="00D57F09">
        <w:rPr>
          <w:lang w:val="en-US" w:eastAsia="zh-CN" w:bidi="bn-IN"/>
        </w:rPr>
        <w:t xml:space="preserve">Differences in ESG Practices </w:t>
      </w:r>
      <w:bookmarkEnd w:id="54"/>
      <w:r w:rsidRPr="00D57F09">
        <w:rPr>
          <w:lang w:val="en-US" w:eastAsia="zh-CN" w:bidi="bn-IN"/>
        </w:rPr>
        <w:t>Between Traditional Automotive and Electric Vehicle Companies</w:t>
      </w:r>
      <w:r>
        <w:rPr>
          <w:lang w:val="en-US" w:eastAsia="zh-CN" w:bidi="bn-IN"/>
        </w:rPr>
        <w:t xml:space="preserve"> (RQ1)</w:t>
      </w:r>
      <w:bookmarkEnd w:id="55"/>
    </w:p>
    <w:p w14:paraId="39E30CC0" w14:textId="5ADE66A8" w:rsidR="00F21071" w:rsidRPr="00F21071" w:rsidRDefault="00F21071" w:rsidP="00F21071">
      <w:pPr>
        <w:pStyle w:val="NoSpacing"/>
        <w:jc w:val="left"/>
        <w:rPr>
          <w:lang w:val="en-US" w:eastAsia="zh-CN" w:bidi="bn-IN"/>
        </w:rPr>
      </w:pPr>
      <w:bookmarkStart w:id="56" w:name="_Toc217952156"/>
      <w:r>
        <w:t xml:space="preserve">Table </w:t>
      </w:r>
      <w:fldSimple w:instr=" SEQ Table \* ARABIC ">
        <w:r>
          <w:rPr>
            <w:noProof/>
          </w:rPr>
          <w:t>2</w:t>
        </w:r>
      </w:fldSimple>
      <w:r>
        <w:t xml:space="preserve"> Thematic Analysis of the </w:t>
      </w:r>
      <w:r w:rsidRPr="00F21071">
        <w:t>Differences in ESG Practices</w:t>
      </w:r>
      <w:bookmarkEnd w:id="56"/>
    </w:p>
    <w:tbl>
      <w:tblPr>
        <w:tblStyle w:val="TableGridLight"/>
        <w:tblW w:w="0" w:type="auto"/>
        <w:tblLook w:val="04A0" w:firstRow="1" w:lastRow="0" w:firstColumn="1" w:lastColumn="0" w:noHBand="0" w:noVBand="1"/>
      </w:tblPr>
      <w:tblGrid>
        <w:gridCol w:w="2055"/>
        <w:gridCol w:w="2469"/>
        <w:gridCol w:w="4492"/>
      </w:tblGrid>
      <w:tr w:rsidR="00FA47D4" w:rsidRPr="00FA47D4" w14:paraId="7A14C0B3" w14:textId="77777777" w:rsidTr="003C60D3">
        <w:tc>
          <w:tcPr>
            <w:tcW w:w="0" w:type="auto"/>
            <w:vAlign w:val="center"/>
            <w:hideMark/>
          </w:tcPr>
          <w:p w14:paraId="2B5EBD2D" w14:textId="77777777" w:rsidR="00FA47D4" w:rsidRPr="00DA3799" w:rsidRDefault="00FA47D4" w:rsidP="00FA47D4">
            <w:pPr>
              <w:jc w:val="left"/>
              <w:rPr>
                <w:b/>
                <w:bCs/>
                <w:sz w:val="22"/>
                <w:lang w:val="en-US" w:eastAsia="zh-CN" w:bidi="bn-IN"/>
              </w:rPr>
            </w:pPr>
            <w:r w:rsidRPr="00DA3799">
              <w:rPr>
                <w:b/>
                <w:bCs/>
                <w:sz w:val="22"/>
                <w:lang w:val="en-US" w:eastAsia="zh-CN" w:bidi="bn-IN"/>
              </w:rPr>
              <w:t>Theme</w:t>
            </w:r>
          </w:p>
        </w:tc>
        <w:tc>
          <w:tcPr>
            <w:tcW w:w="0" w:type="auto"/>
            <w:vAlign w:val="center"/>
            <w:hideMark/>
          </w:tcPr>
          <w:p w14:paraId="6C8C32CC" w14:textId="77777777" w:rsidR="00FA47D4" w:rsidRPr="00DA3799" w:rsidRDefault="00FA47D4" w:rsidP="00FA47D4">
            <w:pPr>
              <w:jc w:val="left"/>
              <w:rPr>
                <w:b/>
                <w:bCs/>
                <w:sz w:val="22"/>
                <w:lang w:val="en-US" w:eastAsia="zh-CN" w:bidi="bn-IN"/>
              </w:rPr>
            </w:pPr>
            <w:r w:rsidRPr="00DA3799">
              <w:rPr>
                <w:b/>
                <w:bCs/>
                <w:sz w:val="22"/>
                <w:lang w:val="en-US" w:eastAsia="zh-CN" w:bidi="bn-IN"/>
              </w:rPr>
              <w:t>Sub-theme</w:t>
            </w:r>
          </w:p>
        </w:tc>
        <w:tc>
          <w:tcPr>
            <w:tcW w:w="0" w:type="auto"/>
            <w:vAlign w:val="center"/>
            <w:hideMark/>
          </w:tcPr>
          <w:p w14:paraId="5985B8F0" w14:textId="3EA19863" w:rsidR="00FA47D4" w:rsidRPr="00DA3799" w:rsidRDefault="00FA47D4" w:rsidP="00FA47D4">
            <w:pPr>
              <w:jc w:val="left"/>
              <w:rPr>
                <w:b/>
                <w:bCs/>
                <w:sz w:val="22"/>
                <w:lang w:val="en-US" w:eastAsia="zh-CN" w:bidi="bn-IN"/>
              </w:rPr>
            </w:pPr>
            <w:r>
              <w:rPr>
                <w:b/>
                <w:bCs/>
                <w:sz w:val="22"/>
              </w:rPr>
              <w:t>Code</w:t>
            </w:r>
          </w:p>
        </w:tc>
      </w:tr>
      <w:tr w:rsidR="00FA47D4" w:rsidRPr="00FA47D4" w14:paraId="72AACACB" w14:textId="77777777" w:rsidTr="003C60D3">
        <w:tc>
          <w:tcPr>
            <w:tcW w:w="0" w:type="auto"/>
            <w:vMerge w:val="restart"/>
            <w:vAlign w:val="center"/>
            <w:hideMark/>
          </w:tcPr>
          <w:p w14:paraId="09319A5A" w14:textId="77777777" w:rsidR="00FA47D4" w:rsidRPr="00DA3799" w:rsidRDefault="00FA47D4" w:rsidP="00FA47D4">
            <w:pPr>
              <w:jc w:val="left"/>
              <w:rPr>
                <w:sz w:val="22"/>
                <w:lang w:val="en-US" w:eastAsia="zh-CN" w:bidi="bn-IN"/>
              </w:rPr>
            </w:pPr>
            <w:r w:rsidRPr="00DA3799">
              <w:rPr>
                <w:b/>
                <w:bCs/>
                <w:sz w:val="22"/>
                <w:lang w:val="en-US" w:eastAsia="zh-CN" w:bidi="bn-IN"/>
              </w:rPr>
              <w:t>Environmental (E) Practices</w:t>
            </w:r>
          </w:p>
        </w:tc>
        <w:tc>
          <w:tcPr>
            <w:tcW w:w="0" w:type="auto"/>
            <w:vAlign w:val="center"/>
            <w:hideMark/>
          </w:tcPr>
          <w:p w14:paraId="4EFB23F8" w14:textId="77777777" w:rsidR="00FA47D4" w:rsidRPr="00DA3799" w:rsidRDefault="00FA47D4" w:rsidP="00FA47D4">
            <w:pPr>
              <w:jc w:val="left"/>
              <w:rPr>
                <w:sz w:val="22"/>
                <w:lang w:val="en-US" w:eastAsia="zh-CN" w:bidi="bn-IN"/>
              </w:rPr>
            </w:pPr>
            <w:r w:rsidRPr="00DA3799">
              <w:rPr>
                <w:sz w:val="22"/>
                <w:lang w:val="en-US" w:eastAsia="zh-CN" w:bidi="bn-IN"/>
              </w:rPr>
              <w:t>Product–environment alignment</w:t>
            </w:r>
          </w:p>
        </w:tc>
        <w:tc>
          <w:tcPr>
            <w:tcW w:w="0" w:type="auto"/>
            <w:vAlign w:val="center"/>
            <w:hideMark/>
          </w:tcPr>
          <w:p w14:paraId="139FC08E" w14:textId="00C740D5" w:rsidR="00FA47D4" w:rsidRPr="00DA3799" w:rsidRDefault="00FA47D4" w:rsidP="00FA47D4">
            <w:pPr>
              <w:jc w:val="left"/>
              <w:rPr>
                <w:sz w:val="22"/>
                <w:lang w:val="en-US" w:eastAsia="zh-CN" w:bidi="bn-IN"/>
              </w:rPr>
            </w:pPr>
            <w:r w:rsidRPr="00FA47D4">
              <w:rPr>
                <w:sz w:val="22"/>
              </w:rPr>
              <w:t>EV business models align with decarbonisation; ICE firms focus on incremental efficiency.</w:t>
            </w:r>
          </w:p>
        </w:tc>
      </w:tr>
      <w:tr w:rsidR="00FA47D4" w:rsidRPr="00FA47D4" w14:paraId="48EB2240" w14:textId="77777777" w:rsidTr="003C60D3">
        <w:tc>
          <w:tcPr>
            <w:tcW w:w="0" w:type="auto"/>
            <w:vMerge/>
            <w:vAlign w:val="center"/>
            <w:hideMark/>
          </w:tcPr>
          <w:p w14:paraId="1D32CB54" w14:textId="77777777" w:rsidR="00FA47D4" w:rsidRPr="00DA3799" w:rsidRDefault="00FA47D4" w:rsidP="00FA47D4">
            <w:pPr>
              <w:jc w:val="left"/>
              <w:rPr>
                <w:sz w:val="22"/>
                <w:lang w:val="en-US" w:eastAsia="zh-CN" w:bidi="bn-IN"/>
              </w:rPr>
            </w:pPr>
          </w:p>
        </w:tc>
        <w:tc>
          <w:tcPr>
            <w:tcW w:w="0" w:type="auto"/>
            <w:vAlign w:val="center"/>
            <w:hideMark/>
          </w:tcPr>
          <w:p w14:paraId="40AF197A" w14:textId="77777777" w:rsidR="00FA47D4" w:rsidRPr="00DA3799" w:rsidRDefault="00FA47D4" w:rsidP="00FA47D4">
            <w:pPr>
              <w:jc w:val="left"/>
              <w:rPr>
                <w:sz w:val="22"/>
                <w:lang w:val="en-US" w:eastAsia="zh-CN" w:bidi="bn-IN"/>
              </w:rPr>
            </w:pPr>
            <w:r w:rsidRPr="00DA3799">
              <w:rPr>
                <w:sz w:val="22"/>
                <w:lang w:val="en-US" w:eastAsia="zh-CN" w:bidi="bn-IN"/>
              </w:rPr>
              <w:t>Lifecycle emissions performance</w:t>
            </w:r>
          </w:p>
        </w:tc>
        <w:tc>
          <w:tcPr>
            <w:tcW w:w="0" w:type="auto"/>
            <w:vAlign w:val="center"/>
            <w:hideMark/>
          </w:tcPr>
          <w:p w14:paraId="18712D7F" w14:textId="6C8081DE" w:rsidR="00FA47D4" w:rsidRPr="00DA3799" w:rsidRDefault="00FA47D4" w:rsidP="00FA47D4">
            <w:pPr>
              <w:jc w:val="left"/>
              <w:rPr>
                <w:sz w:val="22"/>
                <w:lang w:val="en-US" w:eastAsia="zh-CN" w:bidi="bn-IN"/>
              </w:rPr>
            </w:pPr>
            <w:r w:rsidRPr="00FA47D4">
              <w:rPr>
                <w:sz w:val="22"/>
              </w:rPr>
              <w:t>BEVs, HEVs, FCEVs have lower lifetime GHG emissions than ICEVs, depending on energy mix.</w:t>
            </w:r>
          </w:p>
        </w:tc>
      </w:tr>
      <w:tr w:rsidR="00FA47D4" w:rsidRPr="00FA47D4" w14:paraId="0E074AFB" w14:textId="77777777" w:rsidTr="003C60D3">
        <w:tc>
          <w:tcPr>
            <w:tcW w:w="0" w:type="auto"/>
            <w:vMerge/>
            <w:vAlign w:val="center"/>
            <w:hideMark/>
          </w:tcPr>
          <w:p w14:paraId="7F8DC52B" w14:textId="77777777" w:rsidR="00FA47D4" w:rsidRPr="00DA3799" w:rsidRDefault="00FA47D4" w:rsidP="00FA47D4">
            <w:pPr>
              <w:jc w:val="left"/>
              <w:rPr>
                <w:sz w:val="22"/>
                <w:lang w:val="en-US" w:eastAsia="zh-CN" w:bidi="bn-IN"/>
              </w:rPr>
            </w:pPr>
          </w:p>
        </w:tc>
        <w:tc>
          <w:tcPr>
            <w:tcW w:w="0" w:type="auto"/>
            <w:vAlign w:val="center"/>
            <w:hideMark/>
          </w:tcPr>
          <w:p w14:paraId="7CD1ED3E" w14:textId="77777777" w:rsidR="00FA47D4" w:rsidRPr="00DA3799" w:rsidRDefault="00FA47D4" w:rsidP="00FA47D4">
            <w:pPr>
              <w:jc w:val="left"/>
              <w:rPr>
                <w:sz w:val="22"/>
                <w:lang w:val="en-US" w:eastAsia="zh-CN" w:bidi="bn-IN"/>
              </w:rPr>
            </w:pPr>
            <w:r w:rsidRPr="00DA3799">
              <w:rPr>
                <w:sz w:val="22"/>
                <w:lang w:val="en-US" w:eastAsia="zh-CN" w:bidi="bn-IN"/>
              </w:rPr>
              <w:t>Environmental trade-offs and rebound effects</w:t>
            </w:r>
          </w:p>
        </w:tc>
        <w:tc>
          <w:tcPr>
            <w:tcW w:w="0" w:type="auto"/>
            <w:vAlign w:val="center"/>
            <w:hideMark/>
          </w:tcPr>
          <w:p w14:paraId="1C874FA6" w14:textId="29FAA52A" w:rsidR="00FA47D4" w:rsidRPr="00DA3799" w:rsidRDefault="00FA47D4" w:rsidP="00FA47D4">
            <w:pPr>
              <w:jc w:val="left"/>
              <w:rPr>
                <w:sz w:val="22"/>
                <w:lang w:val="en-US" w:eastAsia="zh-CN" w:bidi="bn-IN"/>
              </w:rPr>
            </w:pPr>
            <w:r w:rsidRPr="00FA47D4">
              <w:rPr>
                <w:sz w:val="22"/>
              </w:rPr>
              <w:t>EVs have higher water use, mineral depletion, and toxicity; ICEVs have lower upstream resource intensity but higher operational emissions.</w:t>
            </w:r>
          </w:p>
        </w:tc>
      </w:tr>
      <w:tr w:rsidR="00FA47D4" w:rsidRPr="00FA47D4" w14:paraId="71EEACA4" w14:textId="77777777" w:rsidTr="003C60D3">
        <w:tc>
          <w:tcPr>
            <w:tcW w:w="0" w:type="auto"/>
            <w:vMerge/>
            <w:vAlign w:val="center"/>
            <w:hideMark/>
          </w:tcPr>
          <w:p w14:paraId="48D43116" w14:textId="77777777" w:rsidR="00FA47D4" w:rsidRPr="00DA3799" w:rsidRDefault="00FA47D4" w:rsidP="00FA47D4">
            <w:pPr>
              <w:jc w:val="left"/>
              <w:rPr>
                <w:sz w:val="22"/>
                <w:lang w:val="en-US" w:eastAsia="zh-CN" w:bidi="bn-IN"/>
              </w:rPr>
            </w:pPr>
          </w:p>
        </w:tc>
        <w:tc>
          <w:tcPr>
            <w:tcW w:w="0" w:type="auto"/>
            <w:vAlign w:val="center"/>
            <w:hideMark/>
          </w:tcPr>
          <w:p w14:paraId="0F6BF1C9" w14:textId="77777777" w:rsidR="00FA47D4" w:rsidRPr="00DA3799" w:rsidRDefault="00FA47D4" w:rsidP="00FA47D4">
            <w:pPr>
              <w:jc w:val="left"/>
              <w:rPr>
                <w:sz w:val="22"/>
                <w:lang w:val="en-US" w:eastAsia="zh-CN" w:bidi="bn-IN"/>
              </w:rPr>
            </w:pPr>
            <w:r w:rsidRPr="00DA3799">
              <w:rPr>
                <w:sz w:val="22"/>
                <w:lang w:val="en-US" w:eastAsia="zh-CN" w:bidi="bn-IN"/>
              </w:rPr>
              <w:t>Infrastructure and system dependence</w:t>
            </w:r>
          </w:p>
        </w:tc>
        <w:tc>
          <w:tcPr>
            <w:tcW w:w="0" w:type="auto"/>
            <w:vAlign w:val="center"/>
            <w:hideMark/>
          </w:tcPr>
          <w:p w14:paraId="3B2768DD" w14:textId="6EA1747B" w:rsidR="00FA47D4" w:rsidRPr="00DA3799" w:rsidRDefault="00FA47D4" w:rsidP="00FA47D4">
            <w:pPr>
              <w:jc w:val="left"/>
              <w:rPr>
                <w:sz w:val="22"/>
                <w:lang w:val="en-US" w:eastAsia="zh-CN" w:bidi="bn-IN"/>
              </w:rPr>
            </w:pPr>
            <w:r w:rsidRPr="00FA47D4">
              <w:rPr>
                <w:sz w:val="22"/>
              </w:rPr>
              <w:t>EV environmental performance depends on renewable electricity and charging infrastructure.</w:t>
            </w:r>
          </w:p>
        </w:tc>
      </w:tr>
      <w:tr w:rsidR="00FA47D4" w:rsidRPr="00FA47D4" w14:paraId="68C10089" w14:textId="77777777" w:rsidTr="003C60D3">
        <w:tc>
          <w:tcPr>
            <w:tcW w:w="0" w:type="auto"/>
            <w:vMerge w:val="restart"/>
            <w:vAlign w:val="center"/>
            <w:hideMark/>
          </w:tcPr>
          <w:p w14:paraId="6C61FEEB" w14:textId="77777777" w:rsidR="00FA47D4" w:rsidRPr="00DA3799" w:rsidRDefault="00FA47D4" w:rsidP="00FA47D4">
            <w:pPr>
              <w:jc w:val="left"/>
              <w:rPr>
                <w:sz w:val="22"/>
                <w:lang w:val="en-US" w:eastAsia="zh-CN" w:bidi="bn-IN"/>
              </w:rPr>
            </w:pPr>
            <w:r w:rsidRPr="00DA3799">
              <w:rPr>
                <w:b/>
                <w:bCs/>
                <w:sz w:val="22"/>
                <w:lang w:val="en-US" w:eastAsia="zh-CN" w:bidi="bn-IN"/>
              </w:rPr>
              <w:t>Social (S) Practices</w:t>
            </w:r>
          </w:p>
        </w:tc>
        <w:tc>
          <w:tcPr>
            <w:tcW w:w="0" w:type="auto"/>
            <w:vAlign w:val="center"/>
            <w:hideMark/>
          </w:tcPr>
          <w:p w14:paraId="067D7A95" w14:textId="77777777" w:rsidR="00FA47D4" w:rsidRPr="00DA3799" w:rsidRDefault="00FA47D4" w:rsidP="00FA47D4">
            <w:pPr>
              <w:jc w:val="left"/>
              <w:rPr>
                <w:sz w:val="22"/>
                <w:lang w:val="en-US" w:eastAsia="zh-CN" w:bidi="bn-IN"/>
              </w:rPr>
            </w:pPr>
            <w:r w:rsidRPr="00DA3799">
              <w:rPr>
                <w:sz w:val="22"/>
                <w:lang w:val="en-US" w:eastAsia="zh-CN" w:bidi="bn-IN"/>
              </w:rPr>
              <w:t>Workforce transformation and skills</w:t>
            </w:r>
          </w:p>
        </w:tc>
        <w:tc>
          <w:tcPr>
            <w:tcW w:w="0" w:type="auto"/>
            <w:vAlign w:val="center"/>
            <w:hideMark/>
          </w:tcPr>
          <w:p w14:paraId="16D44753" w14:textId="66A47F92" w:rsidR="00FA47D4" w:rsidRPr="00DA3799" w:rsidRDefault="00FA47D4" w:rsidP="00FA47D4">
            <w:pPr>
              <w:jc w:val="left"/>
              <w:rPr>
                <w:sz w:val="22"/>
                <w:lang w:val="en-US" w:eastAsia="zh-CN" w:bidi="bn-IN"/>
              </w:rPr>
            </w:pPr>
            <w:r w:rsidRPr="00FA47D4">
              <w:rPr>
                <w:sz w:val="22"/>
              </w:rPr>
              <w:t>EV transition requires reskilling and new competencies; ICE firms emphasise employment stability.</w:t>
            </w:r>
          </w:p>
        </w:tc>
      </w:tr>
      <w:tr w:rsidR="00FA47D4" w:rsidRPr="00FA47D4" w14:paraId="32A2F855" w14:textId="77777777" w:rsidTr="003C60D3">
        <w:tc>
          <w:tcPr>
            <w:tcW w:w="0" w:type="auto"/>
            <w:vMerge/>
            <w:vAlign w:val="center"/>
            <w:hideMark/>
          </w:tcPr>
          <w:p w14:paraId="4F3E6940" w14:textId="77777777" w:rsidR="00FA47D4" w:rsidRPr="00DA3799" w:rsidRDefault="00FA47D4" w:rsidP="00FA47D4">
            <w:pPr>
              <w:jc w:val="left"/>
              <w:rPr>
                <w:sz w:val="22"/>
                <w:lang w:val="en-US" w:eastAsia="zh-CN" w:bidi="bn-IN"/>
              </w:rPr>
            </w:pPr>
          </w:p>
        </w:tc>
        <w:tc>
          <w:tcPr>
            <w:tcW w:w="0" w:type="auto"/>
            <w:vAlign w:val="center"/>
            <w:hideMark/>
          </w:tcPr>
          <w:p w14:paraId="2858A227" w14:textId="77777777" w:rsidR="00FA47D4" w:rsidRPr="00DA3799" w:rsidRDefault="00FA47D4" w:rsidP="00FA47D4">
            <w:pPr>
              <w:jc w:val="left"/>
              <w:rPr>
                <w:sz w:val="22"/>
                <w:lang w:val="en-US" w:eastAsia="zh-CN" w:bidi="bn-IN"/>
              </w:rPr>
            </w:pPr>
            <w:r w:rsidRPr="00DA3799">
              <w:rPr>
                <w:sz w:val="22"/>
                <w:lang w:val="en-US" w:eastAsia="zh-CN" w:bidi="bn-IN"/>
              </w:rPr>
              <w:t>Consumer trust and acceptance</w:t>
            </w:r>
          </w:p>
        </w:tc>
        <w:tc>
          <w:tcPr>
            <w:tcW w:w="0" w:type="auto"/>
            <w:vAlign w:val="center"/>
            <w:hideMark/>
          </w:tcPr>
          <w:p w14:paraId="6B518D34" w14:textId="76D52FCB" w:rsidR="00FA47D4" w:rsidRPr="00DA3799" w:rsidRDefault="00FA47D4" w:rsidP="00FA47D4">
            <w:pPr>
              <w:jc w:val="left"/>
              <w:rPr>
                <w:sz w:val="22"/>
                <w:lang w:val="en-US" w:eastAsia="zh-CN" w:bidi="bn-IN"/>
              </w:rPr>
            </w:pPr>
            <w:r w:rsidRPr="00FA47D4">
              <w:rPr>
                <w:sz w:val="22"/>
              </w:rPr>
              <w:t>Social responsibility and transparency increase trust and purchase intention in EV markets; ICE firms rely on brand legacy.</w:t>
            </w:r>
          </w:p>
        </w:tc>
      </w:tr>
      <w:tr w:rsidR="00FA47D4" w:rsidRPr="00FA47D4" w14:paraId="5304D9C4" w14:textId="77777777" w:rsidTr="003C60D3">
        <w:tc>
          <w:tcPr>
            <w:tcW w:w="0" w:type="auto"/>
            <w:vMerge/>
            <w:vAlign w:val="center"/>
            <w:hideMark/>
          </w:tcPr>
          <w:p w14:paraId="311D92D9" w14:textId="77777777" w:rsidR="00FA47D4" w:rsidRPr="00DA3799" w:rsidRDefault="00FA47D4" w:rsidP="00FA47D4">
            <w:pPr>
              <w:jc w:val="left"/>
              <w:rPr>
                <w:sz w:val="22"/>
                <w:lang w:val="en-US" w:eastAsia="zh-CN" w:bidi="bn-IN"/>
              </w:rPr>
            </w:pPr>
          </w:p>
        </w:tc>
        <w:tc>
          <w:tcPr>
            <w:tcW w:w="0" w:type="auto"/>
            <w:vAlign w:val="center"/>
            <w:hideMark/>
          </w:tcPr>
          <w:p w14:paraId="56974AA0" w14:textId="77777777" w:rsidR="00FA47D4" w:rsidRPr="00DA3799" w:rsidRDefault="00FA47D4" w:rsidP="00FA47D4">
            <w:pPr>
              <w:jc w:val="left"/>
              <w:rPr>
                <w:sz w:val="22"/>
                <w:lang w:val="en-US" w:eastAsia="zh-CN" w:bidi="bn-IN"/>
              </w:rPr>
            </w:pPr>
            <w:r w:rsidRPr="00DA3799">
              <w:rPr>
                <w:sz w:val="22"/>
                <w:lang w:val="en-US" w:eastAsia="zh-CN" w:bidi="bn-IN"/>
              </w:rPr>
              <w:t>Social innovation orientation</w:t>
            </w:r>
          </w:p>
        </w:tc>
        <w:tc>
          <w:tcPr>
            <w:tcW w:w="0" w:type="auto"/>
            <w:vAlign w:val="center"/>
            <w:hideMark/>
          </w:tcPr>
          <w:p w14:paraId="0516B405" w14:textId="492BFB87" w:rsidR="00FA47D4" w:rsidRPr="00DA3799" w:rsidRDefault="00FA47D4" w:rsidP="00FA47D4">
            <w:pPr>
              <w:jc w:val="left"/>
              <w:rPr>
                <w:sz w:val="22"/>
                <w:lang w:val="en-US" w:eastAsia="zh-CN" w:bidi="bn-IN"/>
              </w:rPr>
            </w:pPr>
            <w:r w:rsidRPr="00FA47D4">
              <w:rPr>
                <w:sz w:val="22"/>
              </w:rPr>
              <w:t>EV firms focus on innovation-driven employment and future mobility solutions; traditional firms less engaged in alternative fuel education.</w:t>
            </w:r>
          </w:p>
        </w:tc>
      </w:tr>
      <w:tr w:rsidR="00FA47D4" w:rsidRPr="00FA47D4" w14:paraId="4B88C2D9" w14:textId="77777777" w:rsidTr="003C60D3">
        <w:tc>
          <w:tcPr>
            <w:tcW w:w="0" w:type="auto"/>
            <w:vMerge/>
            <w:vAlign w:val="center"/>
            <w:hideMark/>
          </w:tcPr>
          <w:p w14:paraId="7C2305A6" w14:textId="77777777" w:rsidR="00FA47D4" w:rsidRPr="00DA3799" w:rsidRDefault="00FA47D4" w:rsidP="00FA47D4">
            <w:pPr>
              <w:jc w:val="left"/>
              <w:rPr>
                <w:sz w:val="22"/>
                <w:lang w:val="en-US" w:eastAsia="zh-CN" w:bidi="bn-IN"/>
              </w:rPr>
            </w:pPr>
          </w:p>
        </w:tc>
        <w:tc>
          <w:tcPr>
            <w:tcW w:w="0" w:type="auto"/>
            <w:vAlign w:val="center"/>
            <w:hideMark/>
          </w:tcPr>
          <w:p w14:paraId="669C9C27" w14:textId="77777777" w:rsidR="00FA47D4" w:rsidRPr="00DA3799" w:rsidRDefault="00FA47D4" w:rsidP="00FA47D4">
            <w:pPr>
              <w:jc w:val="left"/>
              <w:rPr>
                <w:sz w:val="22"/>
                <w:lang w:val="en-US" w:eastAsia="zh-CN" w:bidi="bn-IN"/>
              </w:rPr>
            </w:pPr>
            <w:r w:rsidRPr="00DA3799">
              <w:rPr>
                <w:sz w:val="22"/>
                <w:lang w:val="en-US" w:eastAsia="zh-CN" w:bidi="bn-IN"/>
              </w:rPr>
              <w:t>Equity and accessibility concerns</w:t>
            </w:r>
          </w:p>
        </w:tc>
        <w:tc>
          <w:tcPr>
            <w:tcW w:w="0" w:type="auto"/>
            <w:vAlign w:val="center"/>
            <w:hideMark/>
          </w:tcPr>
          <w:p w14:paraId="211F5EE9" w14:textId="587B16F1" w:rsidR="00FA47D4" w:rsidRPr="00DA3799" w:rsidRDefault="00FA47D4" w:rsidP="00FA47D4">
            <w:pPr>
              <w:jc w:val="left"/>
              <w:rPr>
                <w:sz w:val="22"/>
                <w:lang w:val="en-US" w:eastAsia="zh-CN" w:bidi="bn-IN"/>
              </w:rPr>
            </w:pPr>
            <w:r w:rsidRPr="00FA47D4">
              <w:rPr>
                <w:sz w:val="22"/>
              </w:rPr>
              <w:t>High EV prices and income constraints limit adoption and raise social equity concerns.</w:t>
            </w:r>
          </w:p>
        </w:tc>
      </w:tr>
      <w:tr w:rsidR="00FA47D4" w:rsidRPr="00FA47D4" w14:paraId="5C9697BB" w14:textId="77777777" w:rsidTr="003C60D3">
        <w:tc>
          <w:tcPr>
            <w:tcW w:w="0" w:type="auto"/>
            <w:vMerge w:val="restart"/>
            <w:vAlign w:val="center"/>
            <w:hideMark/>
          </w:tcPr>
          <w:p w14:paraId="58A7CD22" w14:textId="77777777" w:rsidR="00FA47D4" w:rsidRPr="00DA3799" w:rsidRDefault="00FA47D4" w:rsidP="00FA47D4">
            <w:pPr>
              <w:jc w:val="left"/>
              <w:rPr>
                <w:sz w:val="22"/>
                <w:lang w:val="en-US" w:eastAsia="zh-CN" w:bidi="bn-IN"/>
              </w:rPr>
            </w:pPr>
            <w:r w:rsidRPr="00DA3799">
              <w:rPr>
                <w:b/>
                <w:bCs/>
                <w:sz w:val="22"/>
                <w:lang w:val="en-US" w:eastAsia="zh-CN" w:bidi="bn-IN"/>
              </w:rPr>
              <w:t>Governance (G) Practices</w:t>
            </w:r>
          </w:p>
        </w:tc>
        <w:tc>
          <w:tcPr>
            <w:tcW w:w="0" w:type="auto"/>
            <w:vAlign w:val="center"/>
            <w:hideMark/>
          </w:tcPr>
          <w:p w14:paraId="38756413" w14:textId="77777777" w:rsidR="00FA47D4" w:rsidRPr="00DA3799" w:rsidRDefault="00FA47D4" w:rsidP="00FA47D4">
            <w:pPr>
              <w:jc w:val="left"/>
              <w:rPr>
                <w:sz w:val="22"/>
                <w:lang w:val="en-US" w:eastAsia="zh-CN" w:bidi="bn-IN"/>
              </w:rPr>
            </w:pPr>
            <w:r w:rsidRPr="00DA3799">
              <w:rPr>
                <w:sz w:val="22"/>
                <w:lang w:val="en-US" w:eastAsia="zh-CN" w:bidi="bn-IN"/>
              </w:rPr>
              <w:t>Board structure and diversity</w:t>
            </w:r>
          </w:p>
        </w:tc>
        <w:tc>
          <w:tcPr>
            <w:tcW w:w="0" w:type="auto"/>
            <w:vAlign w:val="center"/>
            <w:hideMark/>
          </w:tcPr>
          <w:p w14:paraId="0A8CF4C3" w14:textId="68C331DF" w:rsidR="00FA47D4" w:rsidRPr="00DA3799" w:rsidRDefault="00FA47D4" w:rsidP="00FA47D4">
            <w:pPr>
              <w:jc w:val="left"/>
              <w:rPr>
                <w:sz w:val="22"/>
                <w:lang w:val="en-US" w:eastAsia="zh-CN" w:bidi="bn-IN"/>
              </w:rPr>
            </w:pPr>
            <w:r w:rsidRPr="00FA47D4">
              <w:rPr>
                <w:sz w:val="22"/>
              </w:rPr>
              <w:t>Board independence, education, and gender diversity enhance ESG outcomes, context-dependent.</w:t>
            </w:r>
          </w:p>
        </w:tc>
      </w:tr>
      <w:tr w:rsidR="00FA47D4" w:rsidRPr="00FA47D4" w14:paraId="2624015C" w14:textId="77777777" w:rsidTr="003C60D3">
        <w:tc>
          <w:tcPr>
            <w:tcW w:w="0" w:type="auto"/>
            <w:vMerge/>
            <w:vAlign w:val="center"/>
            <w:hideMark/>
          </w:tcPr>
          <w:p w14:paraId="1847D84C" w14:textId="77777777" w:rsidR="00FA47D4" w:rsidRPr="00DA3799" w:rsidRDefault="00FA47D4" w:rsidP="00FA47D4">
            <w:pPr>
              <w:jc w:val="left"/>
              <w:rPr>
                <w:sz w:val="22"/>
                <w:lang w:val="en-US" w:eastAsia="zh-CN" w:bidi="bn-IN"/>
              </w:rPr>
            </w:pPr>
          </w:p>
        </w:tc>
        <w:tc>
          <w:tcPr>
            <w:tcW w:w="0" w:type="auto"/>
            <w:vAlign w:val="center"/>
            <w:hideMark/>
          </w:tcPr>
          <w:p w14:paraId="17419CA6" w14:textId="77777777" w:rsidR="00FA47D4" w:rsidRPr="00DA3799" w:rsidRDefault="00FA47D4" w:rsidP="00FA47D4">
            <w:pPr>
              <w:jc w:val="left"/>
              <w:rPr>
                <w:sz w:val="22"/>
                <w:lang w:val="en-US" w:eastAsia="zh-CN" w:bidi="bn-IN"/>
              </w:rPr>
            </w:pPr>
            <w:r w:rsidRPr="00DA3799">
              <w:rPr>
                <w:sz w:val="22"/>
                <w:lang w:val="en-US" w:eastAsia="zh-CN" w:bidi="bn-IN"/>
              </w:rPr>
              <w:t>Governance transparency and disclosure</w:t>
            </w:r>
          </w:p>
        </w:tc>
        <w:tc>
          <w:tcPr>
            <w:tcW w:w="0" w:type="auto"/>
            <w:vAlign w:val="center"/>
            <w:hideMark/>
          </w:tcPr>
          <w:p w14:paraId="4B235941" w14:textId="20EE83AE" w:rsidR="00FA47D4" w:rsidRPr="00DA3799" w:rsidRDefault="00FA47D4" w:rsidP="00FA47D4">
            <w:pPr>
              <w:jc w:val="left"/>
              <w:rPr>
                <w:sz w:val="22"/>
                <w:lang w:val="en-US" w:eastAsia="zh-CN" w:bidi="bn-IN"/>
              </w:rPr>
            </w:pPr>
            <w:r w:rsidRPr="00FA47D4">
              <w:rPr>
                <w:sz w:val="22"/>
              </w:rPr>
              <w:t>Governance transparency strengthens ESG and operational performance, especially for EV firms.</w:t>
            </w:r>
          </w:p>
        </w:tc>
      </w:tr>
      <w:tr w:rsidR="00FA47D4" w:rsidRPr="00FA47D4" w14:paraId="1995BD5A" w14:textId="77777777" w:rsidTr="003C60D3">
        <w:tc>
          <w:tcPr>
            <w:tcW w:w="0" w:type="auto"/>
            <w:vMerge/>
            <w:vAlign w:val="center"/>
            <w:hideMark/>
          </w:tcPr>
          <w:p w14:paraId="4E54EBBB" w14:textId="77777777" w:rsidR="00FA47D4" w:rsidRPr="00DA3799" w:rsidRDefault="00FA47D4" w:rsidP="00FA47D4">
            <w:pPr>
              <w:jc w:val="left"/>
              <w:rPr>
                <w:sz w:val="22"/>
                <w:lang w:val="en-US" w:eastAsia="zh-CN" w:bidi="bn-IN"/>
              </w:rPr>
            </w:pPr>
          </w:p>
        </w:tc>
        <w:tc>
          <w:tcPr>
            <w:tcW w:w="0" w:type="auto"/>
            <w:vAlign w:val="center"/>
            <w:hideMark/>
          </w:tcPr>
          <w:p w14:paraId="2AE43F73" w14:textId="77777777" w:rsidR="00FA47D4" w:rsidRPr="00DA3799" w:rsidRDefault="00FA47D4" w:rsidP="00FA47D4">
            <w:pPr>
              <w:jc w:val="left"/>
              <w:rPr>
                <w:sz w:val="22"/>
                <w:lang w:val="en-US" w:eastAsia="zh-CN" w:bidi="bn-IN"/>
              </w:rPr>
            </w:pPr>
            <w:r w:rsidRPr="00DA3799">
              <w:rPr>
                <w:sz w:val="22"/>
                <w:lang w:val="en-US" w:eastAsia="zh-CN" w:bidi="bn-IN"/>
              </w:rPr>
              <w:t>Supply-chain governance and accountability</w:t>
            </w:r>
          </w:p>
        </w:tc>
        <w:tc>
          <w:tcPr>
            <w:tcW w:w="0" w:type="auto"/>
            <w:vAlign w:val="center"/>
            <w:hideMark/>
          </w:tcPr>
          <w:p w14:paraId="1162E271" w14:textId="6169566A" w:rsidR="00FA47D4" w:rsidRPr="00DA3799" w:rsidRDefault="00FA47D4" w:rsidP="00FA47D4">
            <w:pPr>
              <w:jc w:val="left"/>
              <w:rPr>
                <w:sz w:val="22"/>
                <w:lang w:val="en-US" w:eastAsia="zh-CN" w:bidi="bn-IN"/>
              </w:rPr>
            </w:pPr>
            <w:r w:rsidRPr="00FA47D4">
              <w:rPr>
                <w:sz w:val="22"/>
              </w:rPr>
              <w:t>EV supply chains face greenwashing risks; centralised governance and ESG due diligence help mitigate.</w:t>
            </w:r>
          </w:p>
        </w:tc>
      </w:tr>
      <w:tr w:rsidR="00FA47D4" w:rsidRPr="00FA47D4" w14:paraId="07B6CAFA" w14:textId="77777777" w:rsidTr="003C60D3">
        <w:tc>
          <w:tcPr>
            <w:tcW w:w="0" w:type="auto"/>
            <w:vMerge/>
            <w:vAlign w:val="center"/>
            <w:hideMark/>
          </w:tcPr>
          <w:p w14:paraId="208DF74B" w14:textId="77777777" w:rsidR="00FA47D4" w:rsidRPr="00DA3799" w:rsidRDefault="00FA47D4" w:rsidP="00FA47D4">
            <w:pPr>
              <w:jc w:val="left"/>
              <w:rPr>
                <w:sz w:val="22"/>
                <w:lang w:val="en-US" w:eastAsia="zh-CN" w:bidi="bn-IN"/>
              </w:rPr>
            </w:pPr>
          </w:p>
        </w:tc>
        <w:tc>
          <w:tcPr>
            <w:tcW w:w="0" w:type="auto"/>
            <w:vAlign w:val="center"/>
            <w:hideMark/>
          </w:tcPr>
          <w:p w14:paraId="0154CAAC" w14:textId="77777777" w:rsidR="00FA47D4" w:rsidRPr="00DA3799" w:rsidRDefault="00FA47D4" w:rsidP="00FA47D4">
            <w:pPr>
              <w:jc w:val="left"/>
              <w:rPr>
                <w:sz w:val="22"/>
                <w:lang w:val="en-US" w:eastAsia="zh-CN" w:bidi="bn-IN"/>
              </w:rPr>
            </w:pPr>
            <w:r w:rsidRPr="00DA3799">
              <w:rPr>
                <w:sz w:val="22"/>
                <w:lang w:val="en-US" w:eastAsia="zh-CN" w:bidi="bn-IN"/>
              </w:rPr>
              <w:t>Regulatory alignment and strategic governance</w:t>
            </w:r>
          </w:p>
        </w:tc>
        <w:tc>
          <w:tcPr>
            <w:tcW w:w="0" w:type="auto"/>
            <w:vAlign w:val="center"/>
            <w:hideMark/>
          </w:tcPr>
          <w:p w14:paraId="2CEFD478" w14:textId="33B39B44" w:rsidR="00FA47D4" w:rsidRPr="00DA3799" w:rsidRDefault="00FA47D4" w:rsidP="00FA47D4">
            <w:pPr>
              <w:jc w:val="left"/>
              <w:rPr>
                <w:sz w:val="22"/>
                <w:lang w:val="en-US" w:eastAsia="zh-CN" w:bidi="bn-IN"/>
              </w:rPr>
            </w:pPr>
            <w:r w:rsidRPr="00FA47D4">
              <w:rPr>
                <w:sz w:val="22"/>
              </w:rPr>
              <w:t>EV firms respond faster to environmental regulations and subsidies; ICE firms adapt more slowly.</w:t>
            </w:r>
          </w:p>
        </w:tc>
      </w:tr>
      <w:tr w:rsidR="00FA47D4" w:rsidRPr="00FA47D4" w14:paraId="0677343B" w14:textId="77777777" w:rsidTr="003C60D3">
        <w:tc>
          <w:tcPr>
            <w:tcW w:w="0" w:type="auto"/>
            <w:vMerge w:val="restart"/>
            <w:vAlign w:val="center"/>
            <w:hideMark/>
          </w:tcPr>
          <w:p w14:paraId="0A958D76" w14:textId="77777777" w:rsidR="00FA47D4" w:rsidRPr="00DA3799" w:rsidRDefault="00FA47D4" w:rsidP="00FA47D4">
            <w:pPr>
              <w:jc w:val="left"/>
              <w:rPr>
                <w:sz w:val="22"/>
                <w:lang w:val="en-US" w:eastAsia="zh-CN" w:bidi="bn-IN"/>
              </w:rPr>
            </w:pPr>
            <w:r w:rsidRPr="00DA3799">
              <w:rPr>
                <w:b/>
                <w:bCs/>
                <w:sz w:val="22"/>
                <w:lang w:val="en-US" w:eastAsia="zh-CN" w:bidi="bn-IN"/>
              </w:rPr>
              <w:t>Strategic ESG Orientation</w:t>
            </w:r>
          </w:p>
        </w:tc>
        <w:tc>
          <w:tcPr>
            <w:tcW w:w="0" w:type="auto"/>
            <w:vAlign w:val="center"/>
            <w:hideMark/>
          </w:tcPr>
          <w:p w14:paraId="26609F47" w14:textId="77777777" w:rsidR="00FA47D4" w:rsidRPr="00DA3799" w:rsidRDefault="00FA47D4" w:rsidP="00FA47D4">
            <w:pPr>
              <w:jc w:val="left"/>
              <w:rPr>
                <w:sz w:val="22"/>
                <w:lang w:val="en-US" w:eastAsia="zh-CN" w:bidi="bn-IN"/>
              </w:rPr>
            </w:pPr>
            <w:r w:rsidRPr="00DA3799">
              <w:rPr>
                <w:sz w:val="22"/>
                <w:lang w:val="en-US" w:eastAsia="zh-CN" w:bidi="bn-IN"/>
              </w:rPr>
              <w:t>Incremental vs transformational ESG</w:t>
            </w:r>
          </w:p>
        </w:tc>
        <w:tc>
          <w:tcPr>
            <w:tcW w:w="0" w:type="auto"/>
            <w:vAlign w:val="center"/>
            <w:hideMark/>
          </w:tcPr>
          <w:p w14:paraId="63CB39D9" w14:textId="2589C727" w:rsidR="00FA47D4" w:rsidRPr="00DA3799" w:rsidRDefault="00FA47D4" w:rsidP="00FA47D4">
            <w:pPr>
              <w:jc w:val="left"/>
              <w:rPr>
                <w:sz w:val="22"/>
                <w:lang w:val="en-US" w:eastAsia="zh-CN" w:bidi="bn-IN"/>
              </w:rPr>
            </w:pPr>
            <w:r w:rsidRPr="00FA47D4">
              <w:rPr>
                <w:sz w:val="22"/>
              </w:rPr>
              <w:t>ICE firms adopt incremental ESG practices; EV firms pursue transformative sustainability strategies.</w:t>
            </w:r>
          </w:p>
        </w:tc>
      </w:tr>
      <w:tr w:rsidR="00FA47D4" w:rsidRPr="00FA47D4" w14:paraId="3A4CF3D9" w14:textId="77777777" w:rsidTr="003C60D3">
        <w:tc>
          <w:tcPr>
            <w:tcW w:w="0" w:type="auto"/>
            <w:vMerge/>
            <w:vAlign w:val="center"/>
            <w:hideMark/>
          </w:tcPr>
          <w:p w14:paraId="261B76EE" w14:textId="77777777" w:rsidR="00FA47D4" w:rsidRPr="00DA3799" w:rsidRDefault="00FA47D4" w:rsidP="00FA47D4">
            <w:pPr>
              <w:jc w:val="left"/>
              <w:rPr>
                <w:sz w:val="22"/>
                <w:lang w:val="en-US" w:eastAsia="zh-CN" w:bidi="bn-IN"/>
              </w:rPr>
            </w:pPr>
          </w:p>
        </w:tc>
        <w:tc>
          <w:tcPr>
            <w:tcW w:w="0" w:type="auto"/>
            <w:vAlign w:val="center"/>
            <w:hideMark/>
          </w:tcPr>
          <w:p w14:paraId="06AE447B" w14:textId="77777777" w:rsidR="00FA47D4" w:rsidRPr="00DA3799" w:rsidRDefault="00FA47D4" w:rsidP="00FA47D4">
            <w:pPr>
              <w:jc w:val="left"/>
              <w:rPr>
                <w:sz w:val="22"/>
                <w:lang w:val="en-US" w:eastAsia="zh-CN" w:bidi="bn-IN"/>
              </w:rPr>
            </w:pPr>
            <w:r w:rsidRPr="00DA3799">
              <w:rPr>
                <w:sz w:val="22"/>
                <w:lang w:val="en-US" w:eastAsia="zh-CN" w:bidi="bn-IN"/>
              </w:rPr>
              <w:t>ESG–financial performance linkage</w:t>
            </w:r>
          </w:p>
        </w:tc>
        <w:tc>
          <w:tcPr>
            <w:tcW w:w="0" w:type="auto"/>
            <w:vAlign w:val="center"/>
            <w:hideMark/>
          </w:tcPr>
          <w:p w14:paraId="6685E91D" w14:textId="11A4E36D" w:rsidR="00FA47D4" w:rsidRPr="00DA3799" w:rsidRDefault="00FA47D4" w:rsidP="00FA47D4">
            <w:pPr>
              <w:jc w:val="left"/>
              <w:rPr>
                <w:sz w:val="22"/>
                <w:lang w:val="en-US" w:eastAsia="zh-CN" w:bidi="bn-IN"/>
              </w:rPr>
            </w:pPr>
            <w:r w:rsidRPr="00FA47D4">
              <w:rPr>
                <w:sz w:val="22"/>
              </w:rPr>
              <w:t>ESG improves long-term performance but may reduce short-term profits, especially in EV firms.</w:t>
            </w:r>
          </w:p>
        </w:tc>
      </w:tr>
      <w:tr w:rsidR="00FA47D4" w:rsidRPr="00FA47D4" w14:paraId="1677744B" w14:textId="77777777" w:rsidTr="003C60D3">
        <w:tc>
          <w:tcPr>
            <w:tcW w:w="0" w:type="auto"/>
            <w:vMerge/>
            <w:vAlign w:val="center"/>
            <w:hideMark/>
          </w:tcPr>
          <w:p w14:paraId="35339E67" w14:textId="77777777" w:rsidR="00FA47D4" w:rsidRPr="00DA3799" w:rsidRDefault="00FA47D4" w:rsidP="00FA47D4">
            <w:pPr>
              <w:jc w:val="left"/>
              <w:rPr>
                <w:sz w:val="22"/>
                <w:lang w:val="en-US" w:eastAsia="zh-CN" w:bidi="bn-IN"/>
              </w:rPr>
            </w:pPr>
          </w:p>
        </w:tc>
        <w:tc>
          <w:tcPr>
            <w:tcW w:w="0" w:type="auto"/>
            <w:vAlign w:val="center"/>
            <w:hideMark/>
          </w:tcPr>
          <w:p w14:paraId="1850B5B4" w14:textId="77777777" w:rsidR="00FA47D4" w:rsidRPr="00DA3799" w:rsidRDefault="00FA47D4" w:rsidP="00FA47D4">
            <w:pPr>
              <w:jc w:val="left"/>
              <w:rPr>
                <w:sz w:val="22"/>
                <w:lang w:val="en-US" w:eastAsia="zh-CN" w:bidi="bn-IN"/>
              </w:rPr>
            </w:pPr>
            <w:r w:rsidRPr="00DA3799">
              <w:rPr>
                <w:sz w:val="22"/>
                <w:lang w:val="en-US" w:eastAsia="zh-CN" w:bidi="bn-IN"/>
              </w:rPr>
              <w:t>Innovation and collaboration ecosystems</w:t>
            </w:r>
          </w:p>
        </w:tc>
        <w:tc>
          <w:tcPr>
            <w:tcW w:w="0" w:type="auto"/>
            <w:vAlign w:val="center"/>
            <w:hideMark/>
          </w:tcPr>
          <w:p w14:paraId="6B577D86" w14:textId="320A1626" w:rsidR="00FA47D4" w:rsidRPr="00DA3799" w:rsidRDefault="00FA47D4" w:rsidP="00FA47D4">
            <w:pPr>
              <w:jc w:val="left"/>
              <w:rPr>
                <w:sz w:val="22"/>
                <w:lang w:val="en-US" w:eastAsia="zh-CN" w:bidi="bn-IN"/>
              </w:rPr>
            </w:pPr>
            <w:r w:rsidRPr="00FA47D4">
              <w:rPr>
                <w:sz w:val="22"/>
              </w:rPr>
              <w:t>EV firms benefit from cooperative R&amp;D and knowledge-sharing ecosystems.</w:t>
            </w:r>
          </w:p>
        </w:tc>
      </w:tr>
    </w:tbl>
    <w:p w14:paraId="17C78EB2" w14:textId="1177CD0D" w:rsidR="00800F72" w:rsidRPr="00800F72" w:rsidRDefault="00C91D10" w:rsidP="00C91D10">
      <w:pPr>
        <w:spacing w:before="240"/>
        <w:rPr>
          <w:lang w:val="en-US" w:eastAsia="zh-CN" w:bidi="bn-IN"/>
        </w:rPr>
      </w:pPr>
      <w:r w:rsidRPr="00C91D10">
        <w:rPr>
          <w:lang w:eastAsia="zh-CN" w:bidi="bn-IN"/>
        </w:rPr>
        <w:t>Literature sources show that ESG practises vary significantly between traditional internal combustion engine vehicle (ICEV) manufacturers and electric vehicle (EV) oriented companies as this is due to the difference in technologies, regulatory exposure, value chains, and strategic priorities.</w:t>
      </w:r>
    </w:p>
    <w:p w14:paraId="5DB9FE3B" w14:textId="77777777" w:rsidR="00800F72" w:rsidRDefault="00800F72" w:rsidP="00800F72">
      <w:pPr>
        <w:pStyle w:val="Heading4"/>
        <w:rPr>
          <w:lang w:val="en-US" w:eastAsia="zh-CN" w:bidi="bn-IN"/>
        </w:rPr>
      </w:pPr>
      <w:r w:rsidRPr="00800F72">
        <w:rPr>
          <w:lang w:val="en-US" w:eastAsia="zh-CN" w:bidi="bn-IN"/>
        </w:rPr>
        <w:lastRenderedPageBreak/>
        <w:t>Environmental (E) Dimension</w:t>
      </w:r>
    </w:p>
    <w:p w14:paraId="159D5ED8" w14:textId="381D2FD4" w:rsidR="00C91D10" w:rsidRPr="00C91D10" w:rsidRDefault="00C91D10" w:rsidP="00C91D10">
      <w:pPr>
        <w:rPr>
          <w:lang w:val="en-US" w:eastAsia="zh-CN" w:bidi="bn-IN"/>
        </w:rPr>
      </w:pPr>
      <w:r w:rsidRPr="00C91D10">
        <w:rPr>
          <w:lang w:val="en-US" w:eastAsia="zh-CN" w:bidi="bn-IN"/>
        </w:rPr>
        <w:t xml:space="preserve">EV firms are more environmentally oriented than traditional automotive firms, mainly because their core product orientations are in line with </w:t>
      </w:r>
      <w:proofErr w:type="spellStart"/>
      <w:r w:rsidRPr="00C91D10">
        <w:rPr>
          <w:lang w:val="en-US" w:eastAsia="zh-CN" w:bidi="bn-IN"/>
        </w:rPr>
        <w:t>decarbonisation</w:t>
      </w:r>
      <w:proofErr w:type="spellEnd"/>
      <w:r w:rsidRPr="00C91D10">
        <w:rPr>
          <w:lang w:val="en-US" w:eastAsia="zh-CN" w:bidi="bn-IN"/>
        </w:rPr>
        <w:t xml:space="preserve"> aims. Various LCA analyses indicate that BEVs, HEVs, and FCEVs all perform better than ICEVs regarding greenhouse gas (GHG) emissions and reliance on fossil fuels throughout their lifecycle of operation (Ha, 2019; Pipitone </w:t>
      </w:r>
      <w:r w:rsidR="00642FAE" w:rsidRPr="00642FAE">
        <w:rPr>
          <w:i/>
          <w:iCs/>
          <w:lang w:val="en-US" w:eastAsia="zh-CN" w:bidi="bn-IN"/>
        </w:rPr>
        <w:t>et al</w:t>
      </w:r>
      <w:r w:rsidRPr="00C91D10">
        <w:rPr>
          <w:lang w:val="en-US" w:eastAsia="zh-CN" w:bidi="bn-IN"/>
        </w:rPr>
        <w:t xml:space="preserve">., 2021; Joshi </w:t>
      </w:r>
      <w:r w:rsidR="00642FAE" w:rsidRPr="00642FAE">
        <w:rPr>
          <w:i/>
          <w:iCs/>
          <w:lang w:val="en-US" w:eastAsia="zh-CN" w:bidi="bn-IN"/>
        </w:rPr>
        <w:t>et al</w:t>
      </w:r>
      <w:r w:rsidRPr="00C91D10">
        <w:rPr>
          <w:lang w:val="en-US" w:eastAsia="zh-CN" w:bidi="bn-IN"/>
        </w:rPr>
        <w:t xml:space="preserve">., 2022; </w:t>
      </w:r>
      <w:proofErr w:type="spellStart"/>
      <w:r w:rsidRPr="00C91D10">
        <w:rPr>
          <w:lang w:val="en-US" w:eastAsia="zh-CN" w:bidi="bn-IN"/>
        </w:rPr>
        <w:t>Raugei</w:t>
      </w:r>
      <w:proofErr w:type="spellEnd"/>
      <w:r w:rsidRPr="00C91D10">
        <w:rPr>
          <w:lang w:val="en-US" w:eastAsia="zh-CN" w:bidi="bn-IN"/>
        </w:rPr>
        <w:t xml:space="preserve"> </w:t>
      </w:r>
      <w:r w:rsidR="00642FAE" w:rsidRPr="00642FAE">
        <w:rPr>
          <w:i/>
          <w:iCs/>
          <w:lang w:val="en-US" w:eastAsia="zh-CN" w:bidi="bn-IN"/>
        </w:rPr>
        <w:t>et al</w:t>
      </w:r>
      <w:r w:rsidRPr="00C91D10">
        <w:rPr>
          <w:lang w:val="en-US" w:eastAsia="zh-CN" w:bidi="bn-IN"/>
        </w:rPr>
        <w:t xml:space="preserve">., 2018). EV-oriented companies hence incorporate the environmental performance principles directly into product strategy, making reduction of emissions, energy efficiency, and compliance with climate targets the core ESG promises (Dolan </w:t>
      </w:r>
      <w:r w:rsidR="00642FAE" w:rsidRPr="00642FAE">
        <w:rPr>
          <w:i/>
          <w:iCs/>
          <w:lang w:val="en-US" w:eastAsia="zh-CN" w:bidi="bn-IN"/>
        </w:rPr>
        <w:t>et al</w:t>
      </w:r>
      <w:r w:rsidRPr="00C91D10">
        <w:rPr>
          <w:lang w:val="en-US" w:eastAsia="zh-CN" w:bidi="bn-IN"/>
        </w:rPr>
        <w:t xml:space="preserve">., 2024; Veza </w:t>
      </w:r>
      <w:r w:rsidR="00642FAE" w:rsidRPr="00642FAE">
        <w:rPr>
          <w:i/>
          <w:iCs/>
          <w:lang w:val="en-US" w:eastAsia="zh-CN" w:bidi="bn-IN"/>
        </w:rPr>
        <w:t>et al</w:t>
      </w:r>
      <w:r w:rsidRPr="00C91D10">
        <w:rPr>
          <w:lang w:val="en-US" w:eastAsia="zh-CN" w:bidi="bn-IN"/>
        </w:rPr>
        <w:t>., 2023).</w:t>
      </w:r>
    </w:p>
    <w:p w14:paraId="31B3C520" w14:textId="0CAB8B96" w:rsidR="00C91D10" w:rsidRPr="00C91D10" w:rsidRDefault="00C91D10" w:rsidP="00C91D10">
      <w:pPr>
        <w:rPr>
          <w:lang w:val="en-US" w:eastAsia="zh-CN" w:bidi="bn-IN"/>
        </w:rPr>
      </w:pPr>
      <w:r w:rsidRPr="00C91D10">
        <w:rPr>
          <w:lang w:val="en-US" w:eastAsia="zh-CN" w:bidi="bn-IN"/>
        </w:rPr>
        <w:t xml:space="preserve">Contrary to that, conventional automotive players are more likely to implement incremental environmental approaches, including pollution prevention, eco-design, and efficiency enhancement within the current ICE offerings (Kour </w:t>
      </w:r>
      <w:r w:rsidR="00642FAE" w:rsidRPr="00642FAE">
        <w:rPr>
          <w:i/>
          <w:iCs/>
          <w:lang w:val="en-US" w:eastAsia="zh-CN" w:bidi="bn-IN"/>
        </w:rPr>
        <w:t>et al</w:t>
      </w:r>
      <w:r w:rsidRPr="00C91D10">
        <w:rPr>
          <w:lang w:val="en-US" w:eastAsia="zh-CN" w:bidi="bn-IN"/>
        </w:rPr>
        <w:t xml:space="preserve">., 2020). Even though the practices enhance environmental performance, they have a structurally limited impact than full electrification pathways. Furthermore, the research points out that the environmental benefits of EVs are not unanimous and rely on the electricity mix, battery fabrication, and mineral extraction, which creates new environmental trade-offs unavailable to ICE manufacturers (Gan </w:t>
      </w:r>
      <w:r w:rsidR="00642FAE" w:rsidRPr="00642FAE">
        <w:rPr>
          <w:i/>
          <w:iCs/>
          <w:lang w:val="en-US" w:eastAsia="zh-CN" w:bidi="bn-IN"/>
        </w:rPr>
        <w:t>et al</w:t>
      </w:r>
      <w:r w:rsidRPr="00C91D10">
        <w:rPr>
          <w:lang w:val="en-US" w:eastAsia="zh-CN" w:bidi="bn-IN"/>
        </w:rPr>
        <w:t xml:space="preserve">., 2021; Guzmán </w:t>
      </w:r>
      <w:r w:rsidR="00642FAE" w:rsidRPr="00642FAE">
        <w:rPr>
          <w:i/>
          <w:iCs/>
          <w:lang w:val="en-US" w:eastAsia="zh-CN" w:bidi="bn-IN"/>
        </w:rPr>
        <w:t>et al</w:t>
      </w:r>
      <w:r w:rsidRPr="00C91D10">
        <w:rPr>
          <w:lang w:val="en-US" w:eastAsia="zh-CN" w:bidi="bn-IN"/>
        </w:rPr>
        <w:t xml:space="preserve">., 2022; Kim </w:t>
      </w:r>
      <w:r w:rsidR="00642FAE" w:rsidRPr="00642FAE">
        <w:rPr>
          <w:i/>
          <w:iCs/>
          <w:lang w:val="en-US" w:eastAsia="zh-CN" w:bidi="bn-IN"/>
        </w:rPr>
        <w:t>et al</w:t>
      </w:r>
      <w:r w:rsidRPr="00C91D10">
        <w:rPr>
          <w:lang w:val="en-US" w:eastAsia="zh-CN" w:bidi="bn-IN"/>
        </w:rPr>
        <w:t xml:space="preserve">., 2016). This leads to increased environmental questions of EV companies, including the source and consumption of lithium, water, and mineral shortage (Zeng </w:t>
      </w:r>
      <w:r w:rsidR="00642FAE" w:rsidRPr="00642FAE">
        <w:rPr>
          <w:i/>
          <w:iCs/>
          <w:lang w:val="en-US" w:eastAsia="zh-CN" w:bidi="bn-IN"/>
        </w:rPr>
        <w:t>et al</w:t>
      </w:r>
      <w:r w:rsidRPr="00C91D10">
        <w:rPr>
          <w:lang w:val="en-US" w:eastAsia="zh-CN" w:bidi="bn-IN"/>
        </w:rPr>
        <w:t xml:space="preserve">., 2020; Golebiewski </w:t>
      </w:r>
      <w:r w:rsidR="00642FAE" w:rsidRPr="00642FAE">
        <w:rPr>
          <w:i/>
          <w:iCs/>
          <w:lang w:val="en-US" w:eastAsia="zh-CN" w:bidi="bn-IN"/>
        </w:rPr>
        <w:t>et al</w:t>
      </w:r>
      <w:r w:rsidRPr="00C91D10">
        <w:rPr>
          <w:lang w:val="en-US" w:eastAsia="zh-CN" w:bidi="bn-IN"/>
        </w:rPr>
        <w:t>., 2025).</w:t>
      </w:r>
    </w:p>
    <w:p w14:paraId="66F90033" w14:textId="77777777" w:rsidR="00800F72" w:rsidRPr="00800F72" w:rsidRDefault="00800F72" w:rsidP="00800F72">
      <w:pPr>
        <w:pStyle w:val="Heading4"/>
        <w:rPr>
          <w:lang w:val="en-US" w:eastAsia="zh-CN" w:bidi="bn-IN"/>
        </w:rPr>
      </w:pPr>
      <w:r w:rsidRPr="00800F72">
        <w:rPr>
          <w:lang w:val="en-US" w:eastAsia="zh-CN" w:bidi="bn-IN"/>
        </w:rPr>
        <w:t>Social (S) Dimension</w:t>
      </w:r>
    </w:p>
    <w:p w14:paraId="798999F0" w14:textId="2811313B" w:rsidR="00800F72" w:rsidRPr="00800F72" w:rsidRDefault="00C91D10" w:rsidP="00800F72">
      <w:pPr>
        <w:rPr>
          <w:lang w:val="en-US" w:eastAsia="zh-CN" w:bidi="bn-IN"/>
        </w:rPr>
      </w:pPr>
      <w:r w:rsidRPr="00C91D10">
        <w:rPr>
          <w:lang w:eastAsia="zh-CN" w:bidi="bn-IN"/>
        </w:rPr>
        <w:t xml:space="preserve">Social ESG practises vary in terms of focus and not intensity. In contrast, traditional auto companies are more concerned with the stability of the workforce, labour relations, and community involvement, as their manufacturing facilities are more established, and their labour force is significant (Catacutan </w:t>
      </w:r>
      <w:r w:rsidR="00642FAE" w:rsidRPr="00642FAE">
        <w:rPr>
          <w:i/>
          <w:iCs/>
          <w:lang w:eastAsia="zh-CN" w:bidi="bn-IN"/>
        </w:rPr>
        <w:t>et al</w:t>
      </w:r>
      <w:r w:rsidRPr="00C91D10">
        <w:rPr>
          <w:lang w:eastAsia="zh-CN" w:bidi="bn-IN"/>
        </w:rPr>
        <w:t xml:space="preserve">., 2024; Vijaya </w:t>
      </w:r>
      <w:r w:rsidR="00642FAE" w:rsidRPr="00642FAE">
        <w:rPr>
          <w:i/>
          <w:iCs/>
          <w:lang w:eastAsia="zh-CN" w:bidi="bn-IN"/>
        </w:rPr>
        <w:t>et al</w:t>
      </w:r>
      <w:r w:rsidRPr="00C91D10">
        <w:rPr>
          <w:lang w:eastAsia="zh-CN" w:bidi="bn-IN"/>
        </w:rPr>
        <w:t xml:space="preserve">., 2024). Nevertheless, these companies are less interested in future-oriented social projects like alternative fuel training and skills change (Catacutan </w:t>
      </w:r>
      <w:r w:rsidR="00642FAE" w:rsidRPr="00642FAE">
        <w:rPr>
          <w:i/>
          <w:iCs/>
          <w:lang w:eastAsia="zh-CN" w:bidi="bn-IN"/>
        </w:rPr>
        <w:t>et al</w:t>
      </w:r>
      <w:r w:rsidRPr="00C91D10">
        <w:rPr>
          <w:lang w:eastAsia="zh-CN" w:bidi="bn-IN"/>
        </w:rPr>
        <w:t>., 2024).</w:t>
      </w:r>
    </w:p>
    <w:p w14:paraId="2EE37E3B" w14:textId="59727249" w:rsidR="00800F72" w:rsidRPr="00800F72" w:rsidRDefault="00C91D10" w:rsidP="00800F72">
      <w:pPr>
        <w:rPr>
          <w:lang w:val="en-US" w:eastAsia="zh-CN" w:bidi="bn-IN"/>
        </w:rPr>
      </w:pPr>
      <w:r w:rsidRPr="00C91D10">
        <w:rPr>
          <w:lang w:eastAsia="zh-CN" w:bidi="bn-IN"/>
        </w:rPr>
        <w:t xml:space="preserve">In contrast, EV companies are placing more emphasis on human capital development, employment that is driven by innovation, and consumer trust, which is a reflection of the skill-intensive and technology-driven aspect of electrification. Human resources preparedness and reskilling are significant social ESG issues, especially in EV </w:t>
      </w:r>
      <w:r w:rsidRPr="00C91D10">
        <w:rPr>
          <w:lang w:eastAsia="zh-CN" w:bidi="bn-IN"/>
        </w:rPr>
        <w:lastRenderedPageBreak/>
        <w:t xml:space="preserve">services and battery work (Yu </w:t>
      </w:r>
      <w:r w:rsidR="00642FAE" w:rsidRPr="00642FAE">
        <w:rPr>
          <w:i/>
          <w:iCs/>
          <w:lang w:eastAsia="zh-CN" w:bidi="bn-IN"/>
        </w:rPr>
        <w:t>et al</w:t>
      </w:r>
      <w:r w:rsidRPr="00C91D10">
        <w:rPr>
          <w:lang w:eastAsia="zh-CN" w:bidi="bn-IN"/>
        </w:rPr>
        <w:t xml:space="preserve">., 2025). Regarding markets, the transparency of governance and social responsibility matters and have a strong impact on the consumer trust and buy intention in the context of EVs, and in many cases, overpower the purely environmental message (Kim, </w:t>
      </w:r>
      <w:proofErr w:type="spellStart"/>
      <w:r w:rsidRPr="00C91D10">
        <w:rPr>
          <w:lang w:eastAsia="zh-CN" w:bidi="bn-IN"/>
        </w:rPr>
        <w:t>Im</w:t>
      </w:r>
      <w:proofErr w:type="spellEnd"/>
      <w:r w:rsidRPr="00C91D10">
        <w:rPr>
          <w:lang w:eastAsia="zh-CN" w:bidi="bn-IN"/>
        </w:rPr>
        <w:t xml:space="preserve"> and Gim, 2025, Fu </w:t>
      </w:r>
      <w:r w:rsidR="00642FAE" w:rsidRPr="00642FAE">
        <w:rPr>
          <w:i/>
          <w:iCs/>
          <w:lang w:eastAsia="zh-CN" w:bidi="bn-IN"/>
        </w:rPr>
        <w:t>et al</w:t>
      </w:r>
      <w:r w:rsidRPr="00C91D10">
        <w:rPr>
          <w:lang w:eastAsia="zh-CN" w:bidi="bn-IN"/>
        </w:rPr>
        <w:t>, 2023). This implies that EV companies apply social ESG practises in a strategic manner in order to minimise consumer uncertainty about emerging technologies.</w:t>
      </w:r>
    </w:p>
    <w:p w14:paraId="686E6297" w14:textId="77777777" w:rsidR="00800F72" w:rsidRPr="00800F72" w:rsidRDefault="00800F72" w:rsidP="00800F72">
      <w:pPr>
        <w:pStyle w:val="Heading4"/>
        <w:rPr>
          <w:lang w:val="en-US" w:eastAsia="zh-CN" w:bidi="bn-IN"/>
        </w:rPr>
      </w:pPr>
      <w:r w:rsidRPr="00800F72">
        <w:rPr>
          <w:lang w:val="en-US" w:eastAsia="zh-CN" w:bidi="bn-IN"/>
        </w:rPr>
        <w:t>Governance (G) Dimension</w:t>
      </w:r>
    </w:p>
    <w:p w14:paraId="1EC3D883" w14:textId="5557F8E1" w:rsidR="00C91D10" w:rsidRPr="00C91D10" w:rsidRDefault="00C91D10" w:rsidP="00C91D10">
      <w:pPr>
        <w:rPr>
          <w:lang w:val="en-US" w:eastAsia="zh-CN" w:bidi="bn-IN"/>
        </w:rPr>
      </w:pPr>
      <w:r w:rsidRPr="00C91D10">
        <w:rPr>
          <w:lang w:val="en-US" w:eastAsia="zh-CN" w:bidi="bn-IN"/>
        </w:rPr>
        <w:t xml:space="preserve">The form of governance is one of the most distinct variations between traditional and EV companies. In the automotive industry, the quality of governance is again and again cited as a key contributor to the performance of ESG and firm value (Chandrasekaran, 2022; Vijaya </w:t>
      </w:r>
      <w:r w:rsidR="00642FAE" w:rsidRPr="00642FAE">
        <w:rPr>
          <w:i/>
          <w:iCs/>
          <w:lang w:val="en-US" w:eastAsia="zh-CN" w:bidi="bn-IN"/>
        </w:rPr>
        <w:t>et al</w:t>
      </w:r>
      <w:r w:rsidRPr="00C91D10">
        <w:rPr>
          <w:lang w:val="en-US" w:eastAsia="zh-CN" w:bidi="bn-IN"/>
        </w:rPr>
        <w:t xml:space="preserve">., 2024). Much stronger governance integration is, however, manifested by EV companies, especially in the context of transparency, sustainability-related ESG disclosure, and strategic alignment (Lu </w:t>
      </w:r>
      <w:r w:rsidR="00642FAE" w:rsidRPr="00642FAE">
        <w:rPr>
          <w:i/>
          <w:iCs/>
          <w:lang w:val="en-US" w:eastAsia="zh-CN" w:bidi="bn-IN"/>
        </w:rPr>
        <w:t>et al</w:t>
      </w:r>
      <w:r w:rsidRPr="00C91D10">
        <w:rPr>
          <w:lang w:val="en-US" w:eastAsia="zh-CN" w:bidi="bn-IN"/>
        </w:rPr>
        <w:t>., 2025; Zhao, 2025).</w:t>
      </w:r>
    </w:p>
    <w:p w14:paraId="5A55DFD5" w14:textId="60F6650F" w:rsidR="00C91D10" w:rsidRPr="00C91D10" w:rsidRDefault="00C91D10" w:rsidP="00C91D10">
      <w:pPr>
        <w:rPr>
          <w:lang w:val="en-US" w:eastAsia="zh-CN" w:bidi="bn-IN"/>
        </w:rPr>
      </w:pPr>
      <w:r w:rsidRPr="00C91D10">
        <w:rPr>
          <w:lang w:val="en-US" w:eastAsia="zh-CN" w:bidi="bn-IN"/>
        </w:rPr>
        <w:t>Empirical data indicates that the factors of governance, including independent boards, board education, and gender diversity, have a positive association with the outcomes of ESG, but the impact is market-specific (</w:t>
      </w:r>
      <w:proofErr w:type="spellStart"/>
      <w:r w:rsidRPr="00C91D10">
        <w:rPr>
          <w:lang w:val="en-US" w:eastAsia="zh-CN" w:bidi="bn-IN"/>
        </w:rPr>
        <w:t>Arhinful</w:t>
      </w:r>
      <w:proofErr w:type="spellEnd"/>
      <w:r w:rsidRPr="00C91D10">
        <w:rPr>
          <w:lang w:val="en-US" w:eastAsia="zh-CN" w:bidi="bn-IN"/>
        </w:rPr>
        <w:t xml:space="preserve"> </w:t>
      </w:r>
      <w:r w:rsidR="00642FAE" w:rsidRPr="00642FAE">
        <w:rPr>
          <w:i/>
          <w:iCs/>
          <w:lang w:val="en-US" w:eastAsia="zh-CN" w:bidi="bn-IN"/>
        </w:rPr>
        <w:t>et al</w:t>
      </w:r>
      <w:r w:rsidRPr="00C91D10">
        <w:rPr>
          <w:lang w:val="en-US" w:eastAsia="zh-CN" w:bidi="bn-IN"/>
        </w:rPr>
        <w:t xml:space="preserve">., 2024; Khan </w:t>
      </w:r>
      <w:r w:rsidR="00642FAE" w:rsidRPr="00642FAE">
        <w:rPr>
          <w:i/>
          <w:iCs/>
          <w:lang w:val="en-US" w:eastAsia="zh-CN" w:bidi="bn-IN"/>
        </w:rPr>
        <w:t>et al</w:t>
      </w:r>
      <w:r w:rsidRPr="00C91D10">
        <w:rPr>
          <w:lang w:val="en-US" w:eastAsia="zh-CN" w:bidi="bn-IN"/>
        </w:rPr>
        <w:t xml:space="preserve">., 2024). EV supply chains are also more susceptible to elevated governance risks concerning greenwashing and accountability at the initial phases of the market development (Gao </w:t>
      </w:r>
      <w:r w:rsidR="00642FAE" w:rsidRPr="00642FAE">
        <w:rPr>
          <w:i/>
          <w:iCs/>
          <w:lang w:val="en-US" w:eastAsia="zh-CN" w:bidi="bn-IN"/>
        </w:rPr>
        <w:t>et al</w:t>
      </w:r>
      <w:r w:rsidRPr="00C91D10">
        <w:rPr>
          <w:lang w:val="en-US" w:eastAsia="zh-CN" w:bidi="bn-IN"/>
        </w:rPr>
        <w:t xml:space="preserve">., 2025). Consequently, centralized system of governance and ESG due diligence have become more widely used in EV companies to deal with battery sourcing, supplier responsibility, and regulatory compliance than the traditional, decentralized ICE supply chains (Zhao </w:t>
      </w:r>
      <w:r w:rsidR="00642FAE" w:rsidRPr="00642FAE">
        <w:rPr>
          <w:i/>
          <w:iCs/>
          <w:lang w:val="en-US" w:eastAsia="zh-CN" w:bidi="bn-IN"/>
        </w:rPr>
        <w:t>et al</w:t>
      </w:r>
      <w:r w:rsidRPr="00C91D10">
        <w:rPr>
          <w:lang w:val="en-US" w:eastAsia="zh-CN" w:bidi="bn-IN"/>
        </w:rPr>
        <w:t>., 2025).</w:t>
      </w:r>
    </w:p>
    <w:p w14:paraId="2B78E674" w14:textId="1322211E" w:rsidR="00C91D10" w:rsidRPr="00C91D10" w:rsidRDefault="00C91D10" w:rsidP="00C91D10">
      <w:pPr>
        <w:rPr>
          <w:lang w:val="en-US" w:eastAsia="zh-CN" w:bidi="bn-IN"/>
        </w:rPr>
      </w:pPr>
      <w:r w:rsidRPr="00C91D10">
        <w:rPr>
          <w:lang w:val="en-US" w:eastAsia="zh-CN" w:bidi="bn-IN"/>
        </w:rPr>
        <w:t xml:space="preserve">Traditional automotive firms, though they are enhancing their governance structures, tend to have uneven or time-varying ESG effects on firm value, due to the </w:t>
      </w:r>
      <w:proofErr w:type="spellStart"/>
      <w:r w:rsidRPr="00C91D10">
        <w:rPr>
          <w:lang w:val="en-US" w:eastAsia="zh-CN" w:bidi="bn-IN"/>
        </w:rPr>
        <w:t>organisational</w:t>
      </w:r>
      <w:proofErr w:type="spellEnd"/>
      <w:r w:rsidRPr="00C91D10">
        <w:rPr>
          <w:lang w:val="en-US" w:eastAsia="zh-CN" w:bidi="bn-IN"/>
        </w:rPr>
        <w:t xml:space="preserve"> structures of the past and slower strategic response (Dincă </w:t>
      </w:r>
      <w:r w:rsidR="00642FAE" w:rsidRPr="00642FAE">
        <w:rPr>
          <w:i/>
          <w:iCs/>
          <w:lang w:val="en-US" w:eastAsia="zh-CN" w:bidi="bn-IN"/>
        </w:rPr>
        <w:t>et al</w:t>
      </w:r>
      <w:r w:rsidRPr="00C91D10">
        <w:rPr>
          <w:lang w:val="en-US" w:eastAsia="zh-CN" w:bidi="bn-IN"/>
        </w:rPr>
        <w:t>., 2022; Glova and Panko, 2025).</w:t>
      </w:r>
    </w:p>
    <w:p w14:paraId="18B0DB17" w14:textId="582DB9DE" w:rsidR="00D57F09" w:rsidRPr="00800F72" w:rsidRDefault="00C91D10" w:rsidP="00C91D10">
      <w:pPr>
        <w:rPr>
          <w:lang w:val="en-US" w:eastAsia="zh-CN" w:bidi="bn-IN"/>
        </w:rPr>
      </w:pPr>
      <w:r w:rsidRPr="00C91D10">
        <w:rPr>
          <w:lang w:val="en-US" w:eastAsia="zh-CN" w:bidi="bn-IN"/>
        </w:rPr>
        <w:t xml:space="preserve">In general, EV firms have more strategic-level and future-oriented ESG </w:t>
      </w:r>
      <w:proofErr w:type="spellStart"/>
      <w:r w:rsidRPr="00C91D10">
        <w:rPr>
          <w:lang w:val="en-US" w:eastAsia="zh-CN" w:bidi="bn-IN"/>
        </w:rPr>
        <w:t>practises</w:t>
      </w:r>
      <w:proofErr w:type="spellEnd"/>
      <w:r w:rsidRPr="00C91D10">
        <w:rPr>
          <w:lang w:val="en-US" w:eastAsia="zh-CN" w:bidi="bn-IN"/>
        </w:rPr>
        <w:t xml:space="preserve">, especially in environmental innovation and governance transparency, as compared to traditional automotive companies, where they typically depend on less radical environmental changes and existing social </w:t>
      </w:r>
      <w:proofErr w:type="spellStart"/>
      <w:r w:rsidRPr="00C91D10">
        <w:rPr>
          <w:lang w:val="en-US" w:eastAsia="zh-CN" w:bidi="bn-IN"/>
        </w:rPr>
        <w:t>practises</w:t>
      </w:r>
      <w:proofErr w:type="spellEnd"/>
      <w:r w:rsidRPr="00C91D10">
        <w:rPr>
          <w:lang w:val="en-US" w:eastAsia="zh-CN" w:bidi="bn-IN"/>
        </w:rPr>
        <w:t xml:space="preserve">. Although EV companies are also confronted with new ESG issues concerning supply chain, resource intensity, and the </w:t>
      </w:r>
      <w:r w:rsidRPr="00C91D10">
        <w:rPr>
          <w:lang w:val="en-US" w:eastAsia="zh-CN" w:bidi="bn-IN"/>
        </w:rPr>
        <w:lastRenderedPageBreak/>
        <w:t>credibility of governance, the business model is inherently more in line with long-term sustainability goals. Conversely, the traditional automotive companies are showing partial convergence of ESG but are still bound by the technological lock in and legacies systems resulting in less transformative ESG results.</w:t>
      </w:r>
    </w:p>
    <w:p w14:paraId="74C3E402" w14:textId="79A86BAB" w:rsidR="001A2274" w:rsidRPr="001A2274" w:rsidRDefault="00D57F09" w:rsidP="001A2274">
      <w:pPr>
        <w:pStyle w:val="Heading3"/>
        <w:rPr>
          <w:lang w:val="en-US" w:eastAsia="zh-CN" w:bidi="bn-IN"/>
        </w:rPr>
      </w:pPr>
      <w:bookmarkStart w:id="57" w:name="_Toc217953870"/>
      <w:r w:rsidRPr="00D57F09">
        <w:rPr>
          <w:lang w:val="en-US" w:eastAsia="zh-CN" w:bidi="bn-IN"/>
        </w:rPr>
        <w:t>Key Drivers and Barriers Affecting ESG Adoption and Effectiveness in Automotive Firms</w:t>
      </w:r>
      <w:r>
        <w:rPr>
          <w:lang w:val="en-US" w:eastAsia="zh-CN" w:bidi="bn-IN"/>
        </w:rPr>
        <w:t xml:space="preserve"> (RQ2)</w:t>
      </w:r>
      <w:bookmarkEnd w:id="57"/>
    </w:p>
    <w:p w14:paraId="72D214C8" w14:textId="71CB93EB" w:rsidR="001A2274" w:rsidRDefault="003D121E" w:rsidP="00F21071">
      <w:pPr>
        <w:pStyle w:val="Heading4"/>
        <w:spacing w:before="120"/>
        <w:rPr>
          <w:lang w:eastAsia="zh-CN" w:bidi="bn-IN"/>
        </w:rPr>
      </w:pPr>
      <w:bookmarkStart w:id="58" w:name="_Hlk217951910"/>
      <w:r w:rsidRPr="003D121E">
        <w:rPr>
          <w:lang w:eastAsia="zh-CN" w:bidi="bn-IN"/>
        </w:rPr>
        <w:t>Key Drivers Influencing the Adoption and Effectiveness of ESG Practices</w:t>
      </w:r>
    </w:p>
    <w:p w14:paraId="176CE6A3" w14:textId="7AB6B9ED" w:rsidR="00F21071" w:rsidRPr="00F21071" w:rsidRDefault="00F21071" w:rsidP="00F21071">
      <w:pPr>
        <w:pStyle w:val="NoSpacing"/>
        <w:jc w:val="left"/>
        <w:rPr>
          <w:lang w:bidi="bn-IN"/>
        </w:rPr>
      </w:pPr>
      <w:bookmarkStart w:id="59" w:name="_Toc217952157"/>
      <w:bookmarkEnd w:id="58"/>
      <w:r w:rsidRPr="00F21071">
        <w:t xml:space="preserve">Table </w:t>
      </w:r>
      <w:fldSimple w:instr=" SEQ Table \* ARABIC ">
        <w:r>
          <w:rPr>
            <w:noProof/>
          </w:rPr>
          <w:t>3</w:t>
        </w:r>
      </w:fldSimple>
      <w:r w:rsidRPr="00F21071">
        <w:t xml:space="preserve"> Thematic Analysis of Key Drivers Influencing the Adoption and Effectiveness of ESG Practices</w:t>
      </w:r>
      <w:bookmarkEnd w:id="59"/>
    </w:p>
    <w:tbl>
      <w:tblPr>
        <w:tblStyle w:val="TableGridLight"/>
        <w:tblW w:w="0" w:type="auto"/>
        <w:tblLook w:val="04A0" w:firstRow="1" w:lastRow="0" w:firstColumn="1" w:lastColumn="0" w:noHBand="0" w:noVBand="1"/>
      </w:tblPr>
      <w:tblGrid>
        <w:gridCol w:w="1975"/>
        <w:gridCol w:w="1890"/>
        <w:gridCol w:w="5151"/>
      </w:tblGrid>
      <w:tr w:rsidR="001A2274" w:rsidRPr="001A2274" w14:paraId="111B0FB8" w14:textId="77777777" w:rsidTr="001A2274">
        <w:tc>
          <w:tcPr>
            <w:tcW w:w="1975" w:type="dxa"/>
            <w:vAlign w:val="center"/>
            <w:hideMark/>
          </w:tcPr>
          <w:p w14:paraId="3B4FB04A" w14:textId="77777777" w:rsidR="001A2274" w:rsidRPr="001A2274" w:rsidRDefault="001A2274" w:rsidP="00FA47D4">
            <w:pPr>
              <w:jc w:val="center"/>
              <w:rPr>
                <w:b/>
                <w:bCs/>
                <w:szCs w:val="24"/>
                <w:lang w:val="en-US" w:eastAsia="zh-CN" w:bidi="bn-IN"/>
              </w:rPr>
            </w:pPr>
            <w:r w:rsidRPr="001A2274">
              <w:rPr>
                <w:b/>
                <w:bCs/>
                <w:szCs w:val="24"/>
                <w:lang w:val="en-US" w:eastAsia="zh-CN" w:bidi="bn-IN"/>
              </w:rPr>
              <w:t>Theme</w:t>
            </w:r>
          </w:p>
        </w:tc>
        <w:tc>
          <w:tcPr>
            <w:tcW w:w="1890" w:type="dxa"/>
            <w:vAlign w:val="center"/>
            <w:hideMark/>
          </w:tcPr>
          <w:p w14:paraId="7B2ADEFF" w14:textId="77777777" w:rsidR="001A2274" w:rsidRPr="001A2274" w:rsidRDefault="001A2274" w:rsidP="00FA47D4">
            <w:pPr>
              <w:jc w:val="center"/>
              <w:rPr>
                <w:b/>
                <w:bCs/>
                <w:szCs w:val="24"/>
                <w:lang w:val="en-US" w:eastAsia="zh-CN" w:bidi="bn-IN"/>
              </w:rPr>
            </w:pPr>
            <w:r w:rsidRPr="001A2274">
              <w:rPr>
                <w:b/>
                <w:bCs/>
                <w:szCs w:val="24"/>
                <w:lang w:val="en-US" w:eastAsia="zh-CN" w:bidi="bn-IN"/>
              </w:rPr>
              <w:t>Sub-theme</w:t>
            </w:r>
          </w:p>
        </w:tc>
        <w:tc>
          <w:tcPr>
            <w:tcW w:w="5151" w:type="dxa"/>
            <w:vAlign w:val="center"/>
            <w:hideMark/>
          </w:tcPr>
          <w:p w14:paraId="36B9CDDB" w14:textId="77777777" w:rsidR="001A2274" w:rsidRPr="001A2274" w:rsidRDefault="001A2274" w:rsidP="00FA47D4">
            <w:pPr>
              <w:jc w:val="center"/>
              <w:rPr>
                <w:b/>
                <w:bCs/>
                <w:szCs w:val="24"/>
                <w:lang w:val="en-US" w:eastAsia="zh-CN" w:bidi="bn-IN"/>
              </w:rPr>
            </w:pPr>
            <w:r w:rsidRPr="001A2274">
              <w:rPr>
                <w:b/>
                <w:bCs/>
                <w:szCs w:val="24"/>
                <w:lang w:val="en-US" w:eastAsia="zh-CN" w:bidi="bn-IN"/>
              </w:rPr>
              <w:t>Code &amp; Citations</w:t>
            </w:r>
          </w:p>
        </w:tc>
      </w:tr>
      <w:tr w:rsidR="00FA47D4" w:rsidRPr="00FA47D4" w14:paraId="2D79DE21" w14:textId="77777777" w:rsidTr="001A2274">
        <w:tc>
          <w:tcPr>
            <w:tcW w:w="1975" w:type="dxa"/>
            <w:vMerge w:val="restart"/>
            <w:vAlign w:val="center"/>
            <w:hideMark/>
          </w:tcPr>
          <w:p w14:paraId="5636D26B" w14:textId="158EB2F1" w:rsidR="00FA47D4" w:rsidRPr="001A2274" w:rsidRDefault="00FA47D4" w:rsidP="004434E6">
            <w:pPr>
              <w:spacing w:line="276" w:lineRule="auto"/>
              <w:jc w:val="left"/>
              <w:rPr>
                <w:sz w:val="22"/>
                <w:lang w:val="en-US" w:eastAsia="zh-CN" w:bidi="bn-IN"/>
              </w:rPr>
            </w:pPr>
            <w:r w:rsidRPr="001A2274">
              <w:rPr>
                <w:b/>
                <w:bCs/>
                <w:sz w:val="22"/>
                <w:lang w:val="en-US" w:eastAsia="zh-CN" w:bidi="bn-IN"/>
              </w:rPr>
              <w:t>Regulatory and Policy Drivers</w:t>
            </w:r>
          </w:p>
        </w:tc>
        <w:tc>
          <w:tcPr>
            <w:tcW w:w="1890" w:type="dxa"/>
            <w:vAlign w:val="center"/>
            <w:hideMark/>
          </w:tcPr>
          <w:p w14:paraId="10334524" w14:textId="77777777" w:rsidR="00FA47D4" w:rsidRPr="001A2274" w:rsidRDefault="00FA47D4" w:rsidP="00FA47D4">
            <w:pPr>
              <w:jc w:val="left"/>
              <w:rPr>
                <w:sz w:val="22"/>
                <w:lang w:val="en-US" w:eastAsia="zh-CN" w:bidi="bn-IN"/>
              </w:rPr>
            </w:pPr>
            <w:r w:rsidRPr="001A2274">
              <w:rPr>
                <w:sz w:val="22"/>
                <w:lang w:val="en-US" w:eastAsia="zh-CN" w:bidi="bn-IN"/>
              </w:rPr>
              <w:t>Regulatory Pressure</w:t>
            </w:r>
          </w:p>
        </w:tc>
        <w:tc>
          <w:tcPr>
            <w:tcW w:w="5151" w:type="dxa"/>
            <w:vAlign w:val="center"/>
            <w:hideMark/>
          </w:tcPr>
          <w:p w14:paraId="19F029A2" w14:textId="57EF632F" w:rsidR="00FA47D4" w:rsidRPr="001A2274" w:rsidRDefault="00FA47D4" w:rsidP="00FA47D4">
            <w:pPr>
              <w:jc w:val="left"/>
              <w:rPr>
                <w:sz w:val="22"/>
                <w:lang w:val="en-US" w:eastAsia="zh-CN" w:bidi="bn-IN"/>
              </w:rPr>
            </w:pPr>
            <w:r w:rsidRPr="00FA47D4">
              <w:rPr>
                <w:color w:val="000000"/>
                <w:sz w:val="22"/>
              </w:rPr>
              <w:t>Strict regulations drive ESG in ICE firms; incentives promote ESG in EV firms.</w:t>
            </w:r>
          </w:p>
        </w:tc>
      </w:tr>
      <w:tr w:rsidR="00FA47D4" w:rsidRPr="00FA47D4" w14:paraId="5420F85F" w14:textId="77777777" w:rsidTr="001A2274">
        <w:tc>
          <w:tcPr>
            <w:tcW w:w="1975" w:type="dxa"/>
            <w:vMerge/>
            <w:vAlign w:val="center"/>
            <w:hideMark/>
          </w:tcPr>
          <w:p w14:paraId="374B6D42" w14:textId="77777777" w:rsidR="00FA47D4" w:rsidRPr="001A2274" w:rsidRDefault="00FA47D4" w:rsidP="004434E6">
            <w:pPr>
              <w:spacing w:line="276" w:lineRule="auto"/>
              <w:jc w:val="left"/>
              <w:rPr>
                <w:sz w:val="22"/>
                <w:lang w:val="en-US" w:eastAsia="zh-CN" w:bidi="bn-IN"/>
              </w:rPr>
            </w:pPr>
          </w:p>
        </w:tc>
        <w:tc>
          <w:tcPr>
            <w:tcW w:w="1890" w:type="dxa"/>
            <w:vAlign w:val="center"/>
            <w:hideMark/>
          </w:tcPr>
          <w:p w14:paraId="63AB4B93" w14:textId="77777777" w:rsidR="00FA47D4" w:rsidRPr="001A2274" w:rsidRDefault="00FA47D4" w:rsidP="00FA47D4">
            <w:pPr>
              <w:jc w:val="left"/>
              <w:rPr>
                <w:sz w:val="22"/>
                <w:lang w:val="en-US" w:eastAsia="zh-CN" w:bidi="bn-IN"/>
              </w:rPr>
            </w:pPr>
            <w:r w:rsidRPr="001A2274">
              <w:rPr>
                <w:sz w:val="22"/>
                <w:lang w:val="en-US" w:eastAsia="zh-CN" w:bidi="bn-IN"/>
              </w:rPr>
              <w:t>Policy Alignment</w:t>
            </w:r>
          </w:p>
        </w:tc>
        <w:tc>
          <w:tcPr>
            <w:tcW w:w="5151" w:type="dxa"/>
            <w:vAlign w:val="center"/>
            <w:hideMark/>
          </w:tcPr>
          <w:p w14:paraId="3D7F34FF" w14:textId="0CD9C8D1" w:rsidR="00FA47D4" w:rsidRPr="001A2274" w:rsidRDefault="00FA47D4" w:rsidP="00FA47D4">
            <w:pPr>
              <w:jc w:val="left"/>
              <w:rPr>
                <w:sz w:val="22"/>
                <w:lang w:val="en-US" w:eastAsia="zh-CN" w:bidi="bn-IN"/>
              </w:rPr>
            </w:pPr>
            <w:r w:rsidRPr="00FA47D4">
              <w:rPr>
                <w:color w:val="000000"/>
                <w:sz w:val="22"/>
              </w:rPr>
              <w:t>EVs align ESG with subsidies and emissions targets; ICEs comply with reporting standards.</w:t>
            </w:r>
          </w:p>
        </w:tc>
      </w:tr>
      <w:tr w:rsidR="00FA47D4" w:rsidRPr="00FA47D4" w14:paraId="2684BB7D" w14:textId="77777777" w:rsidTr="001A2274">
        <w:tc>
          <w:tcPr>
            <w:tcW w:w="1975" w:type="dxa"/>
            <w:vMerge w:val="restart"/>
            <w:vAlign w:val="center"/>
            <w:hideMark/>
          </w:tcPr>
          <w:p w14:paraId="0FE53745" w14:textId="326DA7A3" w:rsidR="00FA47D4" w:rsidRPr="001A2274" w:rsidRDefault="00FA47D4" w:rsidP="004434E6">
            <w:pPr>
              <w:spacing w:line="276" w:lineRule="auto"/>
              <w:jc w:val="left"/>
              <w:rPr>
                <w:sz w:val="22"/>
                <w:lang w:val="en-US" w:eastAsia="zh-CN" w:bidi="bn-IN"/>
              </w:rPr>
            </w:pPr>
            <w:r w:rsidRPr="001A2274">
              <w:rPr>
                <w:b/>
                <w:bCs/>
                <w:sz w:val="22"/>
                <w:lang w:val="en-US" w:eastAsia="zh-CN" w:bidi="bn-IN"/>
              </w:rPr>
              <w:t>Technological Innovation &amp; Product Strategy</w:t>
            </w:r>
          </w:p>
        </w:tc>
        <w:tc>
          <w:tcPr>
            <w:tcW w:w="1890" w:type="dxa"/>
            <w:vAlign w:val="center"/>
            <w:hideMark/>
          </w:tcPr>
          <w:p w14:paraId="678614FA" w14:textId="77777777" w:rsidR="00FA47D4" w:rsidRPr="001A2274" w:rsidRDefault="00FA47D4" w:rsidP="00FA47D4">
            <w:pPr>
              <w:jc w:val="left"/>
              <w:rPr>
                <w:sz w:val="22"/>
                <w:lang w:val="en-US" w:eastAsia="zh-CN" w:bidi="bn-IN"/>
              </w:rPr>
            </w:pPr>
            <w:r w:rsidRPr="001A2274">
              <w:rPr>
                <w:sz w:val="22"/>
                <w:lang w:val="en-US" w:eastAsia="zh-CN" w:bidi="bn-IN"/>
              </w:rPr>
              <w:t>Core Product Alignment</w:t>
            </w:r>
          </w:p>
        </w:tc>
        <w:tc>
          <w:tcPr>
            <w:tcW w:w="5151" w:type="dxa"/>
            <w:vAlign w:val="center"/>
            <w:hideMark/>
          </w:tcPr>
          <w:p w14:paraId="1DDF9C87" w14:textId="1ABD573F" w:rsidR="00FA47D4" w:rsidRPr="001A2274" w:rsidRDefault="00FA47D4" w:rsidP="00FA47D4">
            <w:pPr>
              <w:jc w:val="left"/>
              <w:rPr>
                <w:sz w:val="22"/>
                <w:lang w:val="en-US" w:eastAsia="zh-CN" w:bidi="bn-IN"/>
              </w:rPr>
            </w:pPr>
            <w:r w:rsidRPr="00FA47D4">
              <w:rPr>
                <w:color w:val="000000"/>
                <w:sz w:val="22"/>
              </w:rPr>
              <w:t>EV technology inherently supports environmental ESG; BEVs, FCEVs, PHEVs reduce emissions.</w:t>
            </w:r>
          </w:p>
        </w:tc>
      </w:tr>
      <w:tr w:rsidR="00FA47D4" w:rsidRPr="00FA47D4" w14:paraId="5C5422A3" w14:textId="77777777" w:rsidTr="001A2274">
        <w:tc>
          <w:tcPr>
            <w:tcW w:w="1975" w:type="dxa"/>
            <w:vMerge/>
            <w:vAlign w:val="center"/>
            <w:hideMark/>
          </w:tcPr>
          <w:p w14:paraId="4D197916" w14:textId="77777777" w:rsidR="00FA47D4" w:rsidRPr="001A2274" w:rsidRDefault="00FA47D4" w:rsidP="004434E6">
            <w:pPr>
              <w:spacing w:line="276" w:lineRule="auto"/>
              <w:jc w:val="left"/>
              <w:rPr>
                <w:sz w:val="22"/>
                <w:lang w:val="en-US" w:eastAsia="zh-CN" w:bidi="bn-IN"/>
              </w:rPr>
            </w:pPr>
          </w:p>
        </w:tc>
        <w:tc>
          <w:tcPr>
            <w:tcW w:w="1890" w:type="dxa"/>
            <w:vAlign w:val="center"/>
            <w:hideMark/>
          </w:tcPr>
          <w:p w14:paraId="65471030" w14:textId="77777777" w:rsidR="00FA47D4" w:rsidRPr="001A2274" w:rsidRDefault="00FA47D4" w:rsidP="00FA47D4">
            <w:pPr>
              <w:jc w:val="left"/>
              <w:rPr>
                <w:sz w:val="22"/>
                <w:lang w:val="en-US" w:eastAsia="zh-CN" w:bidi="bn-IN"/>
              </w:rPr>
            </w:pPr>
            <w:r w:rsidRPr="001A2274">
              <w:rPr>
                <w:sz w:val="22"/>
                <w:lang w:val="en-US" w:eastAsia="zh-CN" w:bidi="bn-IN"/>
              </w:rPr>
              <w:t>Transitional Technologies</w:t>
            </w:r>
          </w:p>
        </w:tc>
        <w:tc>
          <w:tcPr>
            <w:tcW w:w="5151" w:type="dxa"/>
            <w:vAlign w:val="center"/>
            <w:hideMark/>
          </w:tcPr>
          <w:p w14:paraId="7245016A" w14:textId="6FF9FB12" w:rsidR="00FA47D4" w:rsidRPr="001A2274" w:rsidRDefault="00FA47D4" w:rsidP="00FA47D4">
            <w:pPr>
              <w:jc w:val="left"/>
              <w:rPr>
                <w:sz w:val="22"/>
                <w:lang w:val="en-US" w:eastAsia="zh-CN" w:bidi="bn-IN"/>
              </w:rPr>
            </w:pPr>
            <w:r w:rsidRPr="00FA47D4">
              <w:rPr>
                <w:color w:val="000000"/>
                <w:sz w:val="22"/>
              </w:rPr>
              <w:t>ICE firms adopt hybrids, fuel efficiency improvements, and cleaner production.</w:t>
            </w:r>
          </w:p>
        </w:tc>
      </w:tr>
      <w:tr w:rsidR="00FA47D4" w:rsidRPr="00FA47D4" w14:paraId="40047164" w14:textId="77777777" w:rsidTr="001A2274">
        <w:tc>
          <w:tcPr>
            <w:tcW w:w="1975" w:type="dxa"/>
            <w:vMerge w:val="restart"/>
            <w:vAlign w:val="center"/>
            <w:hideMark/>
          </w:tcPr>
          <w:p w14:paraId="22C1AD0B" w14:textId="545C8725" w:rsidR="00FA47D4" w:rsidRPr="001A2274" w:rsidRDefault="00FA47D4" w:rsidP="004434E6">
            <w:pPr>
              <w:spacing w:line="276" w:lineRule="auto"/>
              <w:jc w:val="left"/>
              <w:rPr>
                <w:sz w:val="22"/>
                <w:lang w:val="en-US" w:eastAsia="zh-CN" w:bidi="bn-IN"/>
              </w:rPr>
            </w:pPr>
            <w:r w:rsidRPr="001A2274">
              <w:rPr>
                <w:b/>
                <w:bCs/>
                <w:sz w:val="22"/>
                <w:lang w:val="en-US" w:eastAsia="zh-CN" w:bidi="bn-IN"/>
              </w:rPr>
              <w:t>Corporate Governance &amp; Board-Level Drivers</w:t>
            </w:r>
          </w:p>
        </w:tc>
        <w:tc>
          <w:tcPr>
            <w:tcW w:w="1890" w:type="dxa"/>
            <w:vAlign w:val="center"/>
            <w:hideMark/>
          </w:tcPr>
          <w:p w14:paraId="7B185310" w14:textId="77777777" w:rsidR="00FA47D4" w:rsidRPr="001A2274" w:rsidRDefault="00FA47D4" w:rsidP="00FA47D4">
            <w:pPr>
              <w:jc w:val="left"/>
              <w:rPr>
                <w:sz w:val="22"/>
                <w:lang w:val="en-US" w:eastAsia="zh-CN" w:bidi="bn-IN"/>
              </w:rPr>
            </w:pPr>
            <w:r w:rsidRPr="001A2274">
              <w:rPr>
                <w:sz w:val="22"/>
                <w:lang w:val="en-US" w:eastAsia="zh-CN" w:bidi="bn-IN"/>
              </w:rPr>
              <w:t>Board Characteristics</w:t>
            </w:r>
          </w:p>
        </w:tc>
        <w:tc>
          <w:tcPr>
            <w:tcW w:w="5151" w:type="dxa"/>
            <w:vAlign w:val="center"/>
            <w:hideMark/>
          </w:tcPr>
          <w:p w14:paraId="6F37855F" w14:textId="00AAA11F" w:rsidR="00FA47D4" w:rsidRPr="001A2274" w:rsidRDefault="00FA47D4" w:rsidP="00FA47D4">
            <w:pPr>
              <w:jc w:val="left"/>
              <w:rPr>
                <w:sz w:val="22"/>
                <w:lang w:val="en-US" w:eastAsia="zh-CN" w:bidi="bn-IN"/>
              </w:rPr>
            </w:pPr>
            <w:r w:rsidRPr="00FA47D4">
              <w:rPr>
                <w:color w:val="000000"/>
                <w:sz w:val="22"/>
              </w:rPr>
              <w:t>Board size, independence, and education enhance ESG in both EV and ICE firms.</w:t>
            </w:r>
          </w:p>
        </w:tc>
      </w:tr>
      <w:tr w:rsidR="00FA47D4" w:rsidRPr="00FA47D4" w14:paraId="2D3EF0E6" w14:textId="77777777" w:rsidTr="001A2274">
        <w:tc>
          <w:tcPr>
            <w:tcW w:w="1975" w:type="dxa"/>
            <w:vMerge/>
            <w:vAlign w:val="center"/>
            <w:hideMark/>
          </w:tcPr>
          <w:p w14:paraId="057EE81E" w14:textId="77777777" w:rsidR="00FA47D4" w:rsidRPr="001A2274" w:rsidRDefault="00FA47D4" w:rsidP="004434E6">
            <w:pPr>
              <w:spacing w:line="276" w:lineRule="auto"/>
              <w:jc w:val="left"/>
              <w:rPr>
                <w:sz w:val="22"/>
                <w:lang w:val="en-US" w:eastAsia="zh-CN" w:bidi="bn-IN"/>
              </w:rPr>
            </w:pPr>
          </w:p>
        </w:tc>
        <w:tc>
          <w:tcPr>
            <w:tcW w:w="1890" w:type="dxa"/>
            <w:vAlign w:val="center"/>
            <w:hideMark/>
          </w:tcPr>
          <w:p w14:paraId="709B71C1" w14:textId="77777777" w:rsidR="00FA47D4" w:rsidRPr="001A2274" w:rsidRDefault="00FA47D4" w:rsidP="00FA47D4">
            <w:pPr>
              <w:jc w:val="left"/>
              <w:rPr>
                <w:sz w:val="22"/>
                <w:lang w:val="en-US" w:eastAsia="zh-CN" w:bidi="bn-IN"/>
              </w:rPr>
            </w:pPr>
            <w:r w:rsidRPr="001A2274">
              <w:rPr>
                <w:sz w:val="22"/>
                <w:lang w:val="en-US" w:eastAsia="zh-CN" w:bidi="bn-IN"/>
              </w:rPr>
              <w:t>Governance Transparency</w:t>
            </w:r>
          </w:p>
        </w:tc>
        <w:tc>
          <w:tcPr>
            <w:tcW w:w="5151" w:type="dxa"/>
            <w:vAlign w:val="center"/>
            <w:hideMark/>
          </w:tcPr>
          <w:p w14:paraId="1667F56C" w14:textId="22A61676" w:rsidR="00FA47D4" w:rsidRPr="001A2274" w:rsidRDefault="00FA47D4" w:rsidP="00FA47D4">
            <w:pPr>
              <w:jc w:val="left"/>
              <w:rPr>
                <w:sz w:val="22"/>
                <w:lang w:val="en-US" w:eastAsia="zh-CN" w:bidi="bn-IN"/>
              </w:rPr>
            </w:pPr>
            <w:r w:rsidRPr="00FA47D4">
              <w:rPr>
                <w:color w:val="000000"/>
                <w:sz w:val="22"/>
              </w:rPr>
              <w:t>Centralised ESG oversight improves coordination in EVs; ICEs use governance for compliance.</w:t>
            </w:r>
          </w:p>
        </w:tc>
      </w:tr>
      <w:tr w:rsidR="00FA47D4" w:rsidRPr="00FA47D4" w14:paraId="4E9E813A" w14:textId="77777777" w:rsidTr="001A2274">
        <w:tc>
          <w:tcPr>
            <w:tcW w:w="1975" w:type="dxa"/>
            <w:vMerge w:val="restart"/>
            <w:vAlign w:val="center"/>
            <w:hideMark/>
          </w:tcPr>
          <w:p w14:paraId="62AC7807" w14:textId="03FA7CDA" w:rsidR="00FA47D4" w:rsidRPr="001A2274" w:rsidRDefault="00FA47D4" w:rsidP="004434E6">
            <w:pPr>
              <w:spacing w:line="276" w:lineRule="auto"/>
              <w:jc w:val="left"/>
              <w:rPr>
                <w:sz w:val="22"/>
                <w:lang w:val="en-US" w:eastAsia="zh-CN" w:bidi="bn-IN"/>
              </w:rPr>
            </w:pPr>
            <w:r w:rsidRPr="001A2274">
              <w:rPr>
                <w:b/>
                <w:bCs/>
                <w:sz w:val="22"/>
                <w:lang w:val="en-US" w:eastAsia="zh-CN" w:bidi="bn-IN"/>
              </w:rPr>
              <w:t>Financial Performance &amp; Long-Term Value</w:t>
            </w:r>
          </w:p>
        </w:tc>
        <w:tc>
          <w:tcPr>
            <w:tcW w:w="1890" w:type="dxa"/>
            <w:vAlign w:val="center"/>
            <w:hideMark/>
          </w:tcPr>
          <w:p w14:paraId="0D858188" w14:textId="77777777" w:rsidR="00FA47D4" w:rsidRPr="001A2274" w:rsidRDefault="00FA47D4" w:rsidP="00FA47D4">
            <w:pPr>
              <w:jc w:val="left"/>
              <w:rPr>
                <w:sz w:val="22"/>
                <w:lang w:val="en-US" w:eastAsia="zh-CN" w:bidi="bn-IN"/>
              </w:rPr>
            </w:pPr>
            <w:r w:rsidRPr="001A2274">
              <w:rPr>
                <w:sz w:val="22"/>
                <w:lang w:val="en-US" w:eastAsia="zh-CN" w:bidi="bn-IN"/>
              </w:rPr>
              <w:t>Long-term Value Creation</w:t>
            </w:r>
          </w:p>
        </w:tc>
        <w:tc>
          <w:tcPr>
            <w:tcW w:w="5151" w:type="dxa"/>
            <w:vAlign w:val="center"/>
            <w:hideMark/>
          </w:tcPr>
          <w:p w14:paraId="55C701D7" w14:textId="39B453C2" w:rsidR="00FA47D4" w:rsidRPr="001A2274" w:rsidRDefault="00FA47D4" w:rsidP="00FA47D4">
            <w:pPr>
              <w:jc w:val="left"/>
              <w:rPr>
                <w:sz w:val="22"/>
                <w:lang w:val="en-US" w:eastAsia="zh-CN" w:bidi="bn-IN"/>
              </w:rPr>
            </w:pPr>
            <w:r w:rsidRPr="00FA47D4">
              <w:rPr>
                <w:color w:val="000000"/>
                <w:sz w:val="22"/>
              </w:rPr>
              <w:t>ESG improves long-term value for both EV and ICE firms.</w:t>
            </w:r>
          </w:p>
        </w:tc>
      </w:tr>
      <w:tr w:rsidR="00FA47D4" w:rsidRPr="00FA47D4" w14:paraId="66DD864D" w14:textId="77777777" w:rsidTr="001A2274">
        <w:tc>
          <w:tcPr>
            <w:tcW w:w="1975" w:type="dxa"/>
            <w:vMerge/>
            <w:vAlign w:val="center"/>
            <w:hideMark/>
          </w:tcPr>
          <w:p w14:paraId="31D06C08" w14:textId="77777777" w:rsidR="00FA47D4" w:rsidRPr="001A2274" w:rsidRDefault="00FA47D4" w:rsidP="004434E6">
            <w:pPr>
              <w:spacing w:line="276" w:lineRule="auto"/>
              <w:jc w:val="left"/>
              <w:rPr>
                <w:sz w:val="22"/>
                <w:lang w:val="en-US" w:eastAsia="zh-CN" w:bidi="bn-IN"/>
              </w:rPr>
            </w:pPr>
          </w:p>
        </w:tc>
        <w:tc>
          <w:tcPr>
            <w:tcW w:w="1890" w:type="dxa"/>
            <w:vAlign w:val="center"/>
            <w:hideMark/>
          </w:tcPr>
          <w:p w14:paraId="23CD4035" w14:textId="77777777" w:rsidR="00FA47D4" w:rsidRPr="001A2274" w:rsidRDefault="00FA47D4" w:rsidP="00FA47D4">
            <w:pPr>
              <w:jc w:val="left"/>
              <w:rPr>
                <w:sz w:val="22"/>
                <w:lang w:val="en-US" w:eastAsia="zh-CN" w:bidi="bn-IN"/>
              </w:rPr>
            </w:pPr>
            <w:r w:rsidRPr="001A2274">
              <w:rPr>
                <w:sz w:val="22"/>
                <w:lang w:val="en-US" w:eastAsia="zh-CN" w:bidi="bn-IN"/>
              </w:rPr>
              <w:t>Short-term Profitability Trade-offs</w:t>
            </w:r>
          </w:p>
        </w:tc>
        <w:tc>
          <w:tcPr>
            <w:tcW w:w="5151" w:type="dxa"/>
            <w:vAlign w:val="center"/>
            <w:hideMark/>
          </w:tcPr>
          <w:p w14:paraId="1424E7CE" w14:textId="0FB93648" w:rsidR="00FA47D4" w:rsidRPr="001A2274" w:rsidRDefault="00FA47D4" w:rsidP="00FA47D4">
            <w:pPr>
              <w:jc w:val="left"/>
              <w:rPr>
                <w:sz w:val="22"/>
                <w:lang w:val="en-US" w:eastAsia="zh-CN" w:bidi="bn-IN"/>
              </w:rPr>
            </w:pPr>
            <w:r w:rsidRPr="00FA47D4">
              <w:rPr>
                <w:color w:val="000000"/>
                <w:sz w:val="22"/>
              </w:rPr>
              <w:t>ESG investment may reduce short-term profits; ICE firms focus on resilience.</w:t>
            </w:r>
          </w:p>
        </w:tc>
      </w:tr>
      <w:tr w:rsidR="00FA47D4" w:rsidRPr="00FA47D4" w14:paraId="25F7C14B" w14:textId="77777777" w:rsidTr="001A2274">
        <w:tc>
          <w:tcPr>
            <w:tcW w:w="1975" w:type="dxa"/>
            <w:vMerge w:val="restart"/>
            <w:vAlign w:val="center"/>
            <w:hideMark/>
          </w:tcPr>
          <w:p w14:paraId="5B762837" w14:textId="18B09B64" w:rsidR="00FA47D4" w:rsidRPr="001A2274" w:rsidRDefault="00FA47D4" w:rsidP="004434E6">
            <w:pPr>
              <w:spacing w:line="276" w:lineRule="auto"/>
              <w:jc w:val="left"/>
              <w:rPr>
                <w:sz w:val="22"/>
                <w:lang w:val="en-US" w:eastAsia="zh-CN" w:bidi="bn-IN"/>
              </w:rPr>
            </w:pPr>
            <w:r w:rsidRPr="001A2274">
              <w:rPr>
                <w:b/>
                <w:bCs/>
                <w:sz w:val="22"/>
                <w:lang w:val="en-US" w:eastAsia="zh-CN" w:bidi="bn-IN"/>
              </w:rPr>
              <w:lastRenderedPageBreak/>
              <w:t>Market Demand, Reputation &amp; Consumer Expectations</w:t>
            </w:r>
          </w:p>
        </w:tc>
        <w:tc>
          <w:tcPr>
            <w:tcW w:w="1890" w:type="dxa"/>
            <w:vAlign w:val="center"/>
            <w:hideMark/>
          </w:tcPr>
          <w:p w14:paraId="5EF1A390" w14:textId="77777777" w:rsidR="00FA47D4" w:rsidRPr="001A2274" w:rsidRDefault="00FA47D4" w:rsidP="00FA47D4">
            <w:pPr>
              <w:jc w:val="left"/>
              <w:rPr>
                <w:sz w:val="22"/>
                <w:lang w:val="en-US" w:eastAsia="zh-CN" w:bidi="bn-IN"/>
              </w:rPr>
            </w:pPr>
            <w:r w:rsidRPr="001A2274">
              <w:rPr>
                <w:sz w:val="22"/>
                <w:lang w:val="en-US" w:eastAsia="zh-CN" w:bidi="bn-IN"/>
              </w:rPr>
              <w:t>Consumer Awareness</w:t>
            </w:r>
          </w:p>
        </w:tc>
        <w:tc>
          <w:tcPr>
            <w:tcW w:w="5151" w:type="dxa"/>
            <w:vAlign w:val="center"/>
            <w:hideMark/>
          </w:tcPr>
          <w:p w14:paraId="771CC67E" w14:textId="4F67FD4E" w:rsidR="00FA47D4" w:rsidRPr="001A2274" w:rsidRDefault="00FA47D4" w:rsidP="00FA47D4">
            <w:pPr>
              <w:jc w:val="left"/>
              <w:rPr>
                <w:sz w:val="22"/>
                <w:lang w:val="en-US" w:eastAsia="zh-CN" w:bidi="bn-IN"/>
              </w:rPr>
            </w:pPr>
            <w:r w:rsidRPr="00FA47D4">
              <w:rPr>
                <w:color w:val="000000"/>
                <w:sz w:val="22"/>
              </w:rPr>
              <w:t>EV ESG adoption driven by environmentally conscious consumers.</w:t>
            </w:r>
          </w:p>
        </w:tc>
      </w:tr>
      <w:tr w:rsidR="00FA47D4" w:rsidRPr="00FA47D4" w14:paraId="30BA1BAE" w14:textId="77777777" w:rsidTr="001A2274">
        <w:tc>
          <w:tcPr>
            <w:tcW w:w="1975" w:type="dxa"/>
            <w:vMerge/>
            <w:vAlign w:val="center"/>
            <w:hideMark/>
          </w:tcPr>
          <w:p w14:paraId="2CBF14EB" w14:textId="77777777" w:rsidR="00FA47D4" w:rsidRPr="001A2274" w:rsidRDefault="00FA47D4" w:rsidP="00FA47D4">
            <w:pPr>
              <w:jc w:val="left"/>
              <w:rPr>
                <w:sz w:val="22"/>
                <w:lang w:val="en-US" w:eastAsia="zh-CN" w:bidi="bn-IN"/>
              </w:rPr>
            </w:pPr>
          </w:p>
        </w:tc>
        <w:tc>
          <w:tcPr>
            <w:tcW w:w="1890" w:type="dxa"/>
            <w:vAlign w:val="center"/>
            <w:hideMark/>
          </w:tcPr>
          <w:p w14:paraId="39923777" w14:textId="77777777" w:rsidR="00FA47D4" w:rsidRPr="001A2274" w:rsidRDefault="00FA47D4" w:rsidP="00FA47D4">
            <w:pPr>
              <w:jc w:val="left"/>
              <w:rPr>
                <w:sz w:val="22"/>
                <w:lang w:val="en-US" w:eastAsia="zh-CN" w:bidi="bn-IN"/>
              </w:rPr>
            </w:pPr>
            <w:r w:rsidRPr="001A2274">
              <w:rPr>
                <w:sz w:val="22"/>
                <w:lang w:val="en-US" w:eastAsia="zh-CN" w:bidi="bn-IN"/>
              </w:rPr>
              <w:t>Brand &amp; Reputational Effects</w:t>
            </w:r>
          </w:p>
        </w:tc>
        <w:tc>
          <w:tcPr>
            <w:tcW w:w="5151" w:type="dxa"/>
            <w:vAlign w:val="center"/>
            <w:hideMark/>
          </w:tcPr>
          <w:p w14:paraId="39669DA2" w14:textId="7BCB15C8" w:rsidR="00FA47D4" w:rsidRPr="001A2274" w:rsidRDefault="00FA47D4" w:rsidP="00FA47D4">
            <w:pPr>
              <w:jc w:val="left"/>
              <w:rPr>
                <w:sz w:val="22"/>
                <w:lang w:val="en-US" w:eastAsia="zh-CN" w:bidi="bn-IN"/>
              </w:rPr>
            </w:pPr>
            <w:r w:rsidRPr="00FA47D4">
              <w:rPr>
                <w:color w:val="000000"/>
                <w:sz w:val="22"/>
              </w:rPr>
              <w:t>ICE firms adopt ESG reactively to maintain legitimacy.</w:t>
            </w:r>
          </w:p>
        </w:tc>
      </w:tr>
    </w:tbl>
    <w:p w14:paraId="2E349FE8" w14:textId="1B228D8E" w:rsidR="00C91D10" w:rsidRDefault="00C91D10" w:rsidP="00C91D10">
      <w:pPr>
        <w:spacing w:before="240"/>
        <w:rPr>
          <w:lang w:eastAsia="zh-CN" w:bidi="bn-IN"/>
        </w:rPr>
      </w:pPr>
      <w:r>
        <w:rPr>
          <w:lang w:eastAsia="zh-CN" w:bidi="bn-IN"/>
        </w:rPr>
        <w:t>Regulatory, technological, governance, market, performance-related drivers influence the adoption and effectiveness of the ESG practises within the automotive industry, and they tend to differ, albeit with some overlap, across the electric vehicles (EV) companies and the traditional automotive industry with internal combustion engines (ICEs).</w:t>
      </w:r>
    </w:p>
    <w:p w14:paraId="33E7611F" w14:textId="55C6DDD9" w:rsidR="00C91D10" w:rsidRDefault="00C91D10" w:rsidP="00C91D10">
      <w:pPr>
        <w:rPr>
          <w:lang w:eastAsia="zh-CN" w:bidi="bn-IN"/>
        </w:rPr>
      </w:pPr>
      <w:r>
        <w:rPr>
          <w:lang w:eastAsia="zh-CN" w:bidi="bn-IN"/>
        </w:rPr>
        <w:t>Regulatory pressure, and especially environmental regulation and climate policy are among the main motivators of ESG adoption in both EV and traditional automotive companies. In the case of traditional ICE-dominated companies, restrictive environmental regulations are a potent external pressure that pressures companies into better ESG operations, even at the cost of deteriorating short-term financial results. Experience of European car manufacturers demonstrates that although an increasing environmental regulation may adversely influence profitability in the short term, it creates financial advantages in the long term, promoting the long-term ESG involvement (</w:t>
      </w:r>
      <w:proofErr w:type="spellStart"/>
      <w:r>
        <w:rPr>
          <w:lang w:eastAsia="zh-CN" w:bidi="bn-IN"/>
        </w:rPr>
        <w:t>Chomachaei</w:t>
      </w:r>
      <w:proofErr w:type="spellEnd"/>
      <w:r>
        <w:rPr>
          <w:lang w:eastAsia="zh-CN" w:bidi="bn-IN"/>
        </w:rPr>
        <w:t xml:space="preserve"> and </w:t>
      </w:r>
      <w:proofErr w:type="spellStart"/>
      <w:r>
        <w:rPr>
          <w:lang w:eastAsia="zh-CN" w:bidi="bn-IN"/>
        </w:rPr>
        <w:t>Golmohammadi</w:t>
      </w:r>
      <w:proofErr w:type="spellEnd"/>
      <w:r>
        <w:rPr>
          <w:lang w:eastAsia="zh-CN" w:bidi="bn-IN"/>
        </w:rPr>
        <w:t xml:space="preserve">, 2023). On the same note, Indian automotive companies embrace green initiatives, including eco-design and environmental management systems, which is mostly due to the expectation and requirement of regulations (Kour </w:t>
      </w:r>
      <w:r w:rsidR="00642FAE" w:rsidRPr="00642FAE">
        <w:rPr>
          <w:i/>
          <w:iCs/>
          <w:lang w:eastAsia="zh-CN" w:bidi="bn-IN"/>
        </w:rPr>
        <w:t>et al</w:t>
      </w:r>
      <w:r>
        <w:rPr>
          <w:lang w:eastAsia="zh-CN" w:bidi="bn-IN"/>
        </w:rPr>
        <w:t>., 2020).</w:t>
      </w:r>
    </w:p>
    <w:p w14:paraId="4E85B3EF" w14:textId="77777777" w:rsidR="00C91D10" w:rsidRDefault="00C91D10" w:rsidP="00C91D10">
      <w:pPr>
        <w:rPr>
          <w:lang w:eastAsia="zh-CN" w:bidi="bn-IN"/>
        </w:rPr>
      </w:pPr>
      <w:r>
        <w:rPr>
          <w:lang w:eastAsia="zh-CN" w:bidi="bn-IN"/>
        </w:rPr>
        <w:t>In the case of EV companies, regulation is not as a constraint but rather as an empowering force. The active support of the ESG implementation through government subsidies, emission levels, and decarbonization goals make the alignment of environmental goals and the survival and growth of firms. China In China, companies in the EV sector that exhibit high levels of ESG performance gain an unfair advantage in obtaining government subsidies to increase organizational resilience and solidify long-term sustainable plans (Zhao, Zhang &amp; Li, 2024). Therefore, regulation forcefully induces ESG in conventional firms, but it incentivizes and propels faster ESG performance in EV firms.</w:t>
      </w:r>
    </w:p>
    <w:p w14:paraId="7A54B136" w14:textId="437DA7AF" w:rsidR="00C91D10" w:rsidRDefault="00C91D10" w:rsidP="00C91D10">
      <w:pPr>
        <w:rPr>
          <w:lang w:eastAsia="zh-CN" w:bidi="bn-IN"/>
        </w:rPr>
      </w:pPr>
      <w:r>
        <w:rPr>
          <w:lang w:eastAsia="zh-CN" w:bidi="bn-IN"/>
        </w:rPr>
        <w:lastRenderedPageBreak/>
        <w:t xml:space="preserve">The other prominent driver is technological orientation, but its contribution is significantly different in EV and traditional automotive firms. The nature of EV companies aligns with environmental ESG objectives because of their fundamental product offering. Research indicates that BEVs, PHEVs, and FCEVs have a significant impact on reducing greenhouse emissions and air pollutants throughout their lifetime as opposed to ICE vehicles, which supports the environmental argument in </w:t>
      </w:r>
      <w:proofErr w:type="spellStart"/>
      <w:r>
        <w:rPr>
          <w:lang w:eastAsia="zh-CN" w:bidi="bn-IN"/>
        </w:rPr>
        <w:t>favor</w:t>
      </w:r>
      <w:proofErr w:type="spellEnd"/>
      <w:r>
        <w:rPr>
          <w:lang w:eastAsia="zh-CN" w:bidi="bn-IN"/>
        </w:rPr>
        <w:t xml:space="preserve"> of ESG adoption (Dolan, Wallington and Anderson, 2024; Pipitone </w:t>
      </w:r>
      <w:r w:rsidR="00642FAE" w:rsidRPr="00642FAE">
        <w:rPr>
          <w:i/>
          <w:iCs/>
          <w:lang w:eastAsia="zh-CN" w:bidi="bn-IN"/>
        </w:rPr>
        <w:t>et al</w:t>
      </w:r>
      <w:r>
        <w:rPr>
          <w:lang w:eastAsia="zh-CN" w:bidi="bn-IN"/>
        </w:rPr>
        <w:t xml:space="preserve">., 2021). Such robust </w:t>
      </w:r>
      <w:proofErr w:type="spellStart"/>
      <w:r>
        <w:rPr>
          <w:lang w:eastAsia="zh-CN" w:bidi="bn-IN"/>
        </w:rPr>
        <w:t>technologyESG</w:t>
      </w:r>
      <w:proofErr w:type="spellEnd"/>
      <w:r>
        <w:rPr>
          <w:lang w:eastAsia="zh-CN" w:bidi="bn-IN"/>
        </w:rPr>
        <w:t xml:space="preserve"> alignment allows EV companies to integrate ESG in product development, research and development focus, and innovation platforms (</w:t>
      </w:r>
      <w:proofErr w:type="spellStart"/>
      <w:r>
        <w:rPr>
          <w:lang w:eastAsia="zh-CN" w:bidi="bn-IN"/>
        </w:rPr>
        <w:t>Aaldering</w:t>
      </w:r>
      <w:proofErr w:type="spellEnd"/>
      <w:r>
        <w:rPr>
          <w:lang w:eastAsia="zh-CN" w:bidi="bn-IN"/>
        </w:rPr>
        <w:t>, Leker and Song, 2019).</w:t>
      </w:r>
    </w:p>
    <w:p w14:paraId="1E1F5935" w14:textId="3BCB5984" w:rsidR="00C91D10" w:rsidRDefault="00C91D10" w:rsidP="00C91D10">
      <w:pPr>
        <w:rPr>
          <w:lang w:eastAsia="zh-CN" w:bidi="bn-IN"/>
        </w:rPr>
      </w:pPr>
      <w:r>
        <w:rPr>
          <w:lang w:eastAsia="zh-CN" w:bidi="bn-IN"/>
        </w:rPr>
        <w:t xml:space="preserve">By definition, in comparison, the conventional automotive companies deploy more gradual technological shifts, including hybridization, fuel efficiency, and cleaner production methodologies, as ESG drivers. Hybrid electric cars are frequently placed at an intermediate stage, with ICE-based companies able to boost their environmental efficiency without fully decommissioning previous resources (Liu </w:t>
      </w:r>
      <w:r w:rsidR="00642FAE" w:rsidRPr="00642FAE">
        <w:rPr>
          <w:i/>
          <w:iCs/>
          <w:lang w:eastAsia="zh-CN" w:bidi="bn-IN"/>
        </w:rPr>
        <w:t>et al</w:t>
      </w:r>
      <w:r>
        <w:rPr>
          <w:lang w:eastAsia="zh-CN" w:bidi="bn-IN"/>
        </w:rPr>
        <w:t xml:space="preserve">., 2018; </w:t>
      </w:r>
      <w:proofErr w:type="spellStart"/>
      <w:r>
        <w:rPr>
          <w:lang w:eastAsia="zh-CN" w:bidi="bn-IN"/>
        </w:rPr>
        <w:t>Tillu</w:t>
      </w:r>
      <w:proofErr w:type="spellEnd"/>
      <w:r>
        <w:rPr>
          <w:lang w:eastAsia="zh-CN" w:bidi="bn-IN"/>
        </w:rPr>
        <w:t xml:space="preserve"> </w:t>
      </w:r>
      <w:r w:rsidR="00642FAE" w:rsidRPr="00642FAE">
        <w:rPr>
          <w:i/>
          <w:iCs/>
          <w:lang w:eastAsia="zh-CN" w:bidi="bn-IN"/>
        </w:rPr>
        <w:t>et al</w:t>
      </w:r>
      <w:r>
        <w:rPr>
          <w:lang w:eastAsia="zh-CN" w:bidi="bn-IN"/>
        </w:rPr>
        <w:t>., 2024). Such companies are compelled to undertake ESGs practises mainly to curb the ecological effect and to survive in the face of stricter regulations on emissions and not to redefine their business models.</w:t>
      </w:r>
    </w:p>
    <w:p w14:paraId="33AE1202" w14:textId="052A7607" w:rsidR="00C91D10" w:rsidRDefault="00C91D10" w:rsidP="00C91D10">
      <w:pPr>
        <w:rPr>
          <w:lang w:eastAsia="zh-CN" w:bidi="bn-IN"/>
        </w:rPr>
      </w:pPr>
      <w:r>
        <w:rPr>
          <w:lang w:eastAsia="zh-CN" w:bidi="bn-IN"/>
        </w:rPr>
        <w:t>Corporate governance quality is among the best and most robust forces of ESG adoption and efficacy in both EV and traditional automotive companies. The empirical studies indicate that the following characteristics of boards, including board size, education, independence and gender diversity, have a great impact on the ESG outcomes. In the car industry, companies that possess better governance models have greater ESG performance, whether focusing on powertrain or not (</w:t>
      </w:r>
      <w:proofErr w:type="spellStart"/>
      <w:r>
        <w:rPr>
          <w:lang w:eastAsia="zh-CN" w:bidi="bn-IN"/>
        </w:rPr>
        <w:t>Arhinful</w:t>
      </w:r>
      <w:proofErr w:type="spellEnd"/>
      <w:r>
        <w:rPr>
          <w:lang w:eastAsia="zh-CN" w:bidi="bn-IN"/>
        </w:rPr>
        <w:t xml:space="preserve"> </w:t>
      </w:r>
      <w:r w:rsidR="00642FAE" w:rsidRPr="00642FAE">
        <w:rPr>
          <w:i/>
          <w:iCs/>
          <w:lang w:eastAsia="zh-CN" w:bidi="bn-IN"/>
        </w:rPr>
        <w:t>et al</w:t>
      </w:r>
      <w:r>
        <w:rPr>
          <w:lang w:eastAsia="zh-CN" w:bidi="bn-IN"/>
        </w:rPr>
        <w:t xml:space="preserve">., 2024; Khan </w:t>
      </w:r>
      <w:r w:rsidR="00642FAE" w:rsidRPr="00642FAE">
        <w:rPr>
          <w:i/>
          <w:iCs/>
          <w:lang w:eastAsia="zh-CN" w:bidi="bn-IN"/>
        </w:rPr>
        <w:t>et al</w:t>
      </w:r>
      <w:r>
        <w:rPr>
          <w:lang w:eastAsia="zh-CN" w:bidi="bn-IN"/>
        </w:rPr>
        <w:t>., 2024).</w:t>
      </w:r>
    </w:p>
    <w:p w14:paraId="37F5A2B4" w14:textId="77777777" w:rsidR="00C91D10" w:rsidRDefault="00C91D10" w:rsidP="00C91D10">
      <w:pPr>
        <w:rPr>
          <w:lang w:eastAsia="zh-CN" w:bidi="bn-IN"/>
        </w:rPr>
      </w:pPr>
      <w:r>
        <w:rPr>
          <w:lang w:eastAsia="zh-CN" w:bidi="bn-IN"/>
        </w:rPr>
        <w:t xml:space="preserve">In the case of EV companies, transparency in governance and centralised oversight of ESG are of particular significance as they have complicated supply chains (i.e., batteries and crucial minerals). Good governance structures aid in managing ESG activities among suppliers as well as mitigating reputational risks (Zhao, Han, Zhou &amp; Xia, 2025). In established automotive companies, the adoption of ESG is paradigmatically governed, usually relating to risk management, investor attention, and the ability to meet reporting standards over actual product differentiation (Dincă, </w:t>
      </w:r>
      <w:proofErr w:type="spellStart"/>
      <w:r>
        <w:rPr>
          <w:lang w:eastAsia="zh-CN" w:bidi="bn-IN"/>
        </w:rPr>
        <w:t>Vezeteu</w:t>
      </w:r>
      <w:proofErr w:type="spellEnd"/>
      <w:r>
        <w:rPr>
          <w:lang w:eastAsia="zh-CN" w:bidi="bn-IN"/>
        </w:rPr>
        <w:t xml:space="preserve"> &amp; Dincă, 2022).</w:t>
      </w:r>
    </w:p>
    <w:p w14:paraId="656FB445" w14:textId="77777777" w:rsidR="00C91D10" w:rsidRDefault="00C91D10" w:rsidP="00C91D10">
      <w:pPr>
        <w:rPr>
          <w:lang w:eastAsia="zh-CN" w:bidi="bn-IN"/>
        </w:rPr>
      </w:pPr>
      <w:r>
        <w:rPr>
          <w:lang w:eastAsia="zh-CN" w:bidi="bn-IN"/>
        </w:rPr>
        <w:lastRenderedPageBreak/>
        <w:t>Financial incentives are an imperative factor in adoption of ESG in both types of firms but with a different time horizon. A number of studies indicate positive long-term effects on firm value and financial performance of ESG practices despite short-term neutral or negative results. CSR and ESG activities in Asian automotive companies, most of which are still ICE based, have the positive impact on the performance of the firm in environmental, social, and governance aspects (Chandrasekaran, 2022).</w:t>
      </w:r>
    </w:p>
    <w:p w14:paraId="0963B5F4" w14:textId="77777777" w:rsidR="00C91D10" w:rsidRDefault="00C91D10" w:rsidP="00C91D10">
      <w:pPr>
        <w:rPr>
          <w:lang w:eastAsia="zh-CN" w:bidi="bn-IN"/>
        </w:rPr>
      </w:pPr>
      <w:r>
        <w:rPr>
          <w:lang w:eastAsia="zh-CN" w:bidi="bn-IN"/>
        </w:rPr>
        <w:t>In the case of EV firms, growth expectations and the value of the market are usually intertwined with the implementation of ESG. In spite of the fact that ESG investments can decrease the profitability in the short-run, long-term benefits are also observed due to the brand differentiation, investor trust, and policy backing (Chen, 2024). Conventional car manufacturers, in the meantime, are likely to perceive ESG as a strategic adjustment tool, enhancing a more resilient supply chain and competitive sustainability instead of a direct growth driver (Glova &amp; Panko, 2025).</w:t>
      </w:r>
    </w:p>
    <w:p w14:paraId="514800EB" w14:textId="77777777" w:rsidR="00C91D10" w:rsidRDefault="00C91D10" w:rsidP="00C91D10">
      <w:pPr>
        <w:rPr>
          <w:lang w:eastAsia="zh-CN" w:bidi="bn-IN"/>
        </w:rPr>
      </w:pPr>
      <w:r>
        <w:rPr>
          <w:lang w:eastAsia="zh-CN" w:bidi="bn-IN"/>
        </w:rPr>
        <w:t xml:space="preserve">The forces of the market are also essential. In the case of EV companies, ESG becomes more of a demand aspect, with the environmentally-conscious consumers tying high ESG performance to innovation, confidence, and brand equity. Transparency in governance, and social responsibility, has a substantial impact on the consumer purchase intention in the automotive industry and, at times, overshadows pure functional attributes (Kim, </w:t>
      </w:r>
      <w:proofErr w:type="spellStart"/>
      <w:r>
        <w:rPr>
          <w:lang w:eastAsia="zh-CN" w:bidi="bn-IN"/>
        </w:rPr>
        <w:t>Im</w:t>
      </w:r>
      <w:proofErr w:type="spellEnd"/>
      <w:r>
        <w:rPr>
          <w:lang w:eastAsia="zh-CN" w:bidi="bn-IN"/>
        </w:rPr>
        <w:t xml:space="preserve"> &amp; Gim, 2025).</w:t>
      </w:r>
    </w:p>
    <w:p w14:paraId="42D01704" w14:textId="6B8AF147" w:rsidR="00C91D10" w:rsidRDefault="00C91D10" w:rsidP="003D121E">
      <w:pPr>
        <w:rPr>
          <w:lang w:eastAsia="zh-CN" w:bidi="bn-IN"/>
        </w:rPr>
      </w:pPr>
      <w:r>
        <w:rPr>
          <w:lang w:eastAsia="zh-CN" w:bidi="bn-IN"/>
        </w:rPr>
        <w:t xml:space="preserve">The same reputational pressure is applied to traditional automotive companies, though often the adoption of ESG is reactive, as the companies are looking to maintain their legitimacy and brand image in the face of an ever-increasing amount of criticism over the environmental effects of ICE usage. Although CSR involvement enhances the image of the company, the correlation between this activity and the financial results is more fragile in most conventional companies (Catacutan </w:t>
      </w:r>
      <w:r w:rsidR="00642FAE" w:rsidRPr="00642FAE">
        <w:rPr>
          <w:i/>
          <w:iCs/>
          <w:lang w:eastAsia="zh-CN" w:bidi="bn-IN"/>
        </w:rPr>
        <w:t>et al</w:t>
      </w:r>
      <w:r>
        <w:rPr>
          <w:lang w:eastAsia="zh-CN" w:bidi="bn-IN"/>
        </w:rPr>
        <w:t>., 2024), which confirms the role of ESG as an image tactic and mitigation factor, not as a core competitive advantage.</w:t>
      </w:r>
    </w:p>
    <w:p w14:paraId="65C3079C" w14:textId="495720EB" w:rsidR="00C91D10" w:rsidRPr="003D121E" w:rsidRDefault="00C91D10" w:rsidP="00C91D10">
      <w:pPr>
        <w:spacing w:before="0" w:after="160" w:line="259" w:lineRule="auto"/>
        <w:jc w:val="left"/>
        <w:rPr>
          <w:lang w:eastAsia="zh-CN" w:bidi="bn-IN"/>
        </w:rPr>
      </w:pPr>
      <w:r>
        <w:rPr>
          <w:lang w:eastAsia="zh-CN" w:bidi="bn-IN"/>
        </w:rPr>
        <w:br w:type="page"/>
      </w:r>
    </w:p>
    <w:p w14:paraId="25492A3F" w14:textId="58FC3A07" w:rsidR="003D121E" w:rsidRDefault="003D121E" w:rsidP="003D121E">
      <w:pPr>
        <w:pStyle w:val="Heading4"/>
        <w:rPr>
          <w:lang w:eastAsia="zh-CN" w:bidi="bn-IN"/>
        </w:rPr>
      </w:pPr>
      <w:r w:rsidRPr="003D121E">
        <w:rPr>
          <w:lang w:eastAsia="zh-CN" w:bidi="bn-IN"/>
        </w:rPr>
        <w:lastRenderedPageBreak/>
        <w:t>Key Barriers Influencing the Adoption and Effectiveness of ESG Practices</w:t>
      </w:r>
    </w:p>
    <w:p w14:paraId="04E331C1" w14:textId="381F0A1F" w:rsidR="00F21071" w:rsidRPr="00F21071" w:rsidRDefault="00F21071" w:rsidP="00F21071">
      <w:pPr>
        <w:pStyle w:val="NoSpacing"/>
        <w:jc w:val="left"/>
        <w:rPr>
          <w:lang w:eastAsia="zh-CN" w:bidi="bn-IN"/>
        </w:rPr>
      </w:pPr>
      <w:bookmarkStart w:id="60" w:name="_Toc217952158"/>
      <w:r>
        <w:t xml:space="preserve">Table </w:t>
      </w:r>
      <w:fldSimple w:instr=" SEQ Table \* ARABIC ">
        <w:r>
          <w:rPr>
            <w:noProof/>
          </w:rPr>
          <w:t>4</w:t>
        </w:r>
      </w:fldSimple>
      <w:r>
        <w:t xml:space="preserve"> Thematic Analysis of the </w:t>
      </w:r>
      <w:r w:rsidRPr="00F21071">
        <w:rPr>
          <w:lang w:eastAsia="zh-CN" w:bidi="bn-IN"/>
        </w:rPr>
        <w:t>Key Barriers Influencing the Adoption and Effectiveness of ESG Practices</w:t>
      </w:r>
      <w:bookmarkEnd w:id="60"/>
    </w:p>
    <w:tbl>
      <w:tblPr>
        <w:tblStyle w:val="TableGridLight"/>
        <w:tblW w:w="0" w:type="auto"/>
        <w:tblLook w:val="04A0" w:firstRow="1" w:lastRow="0" w:firstColumn="1" w:lastColumn="0" w:noHBand="0" w:noVBand="1"/>
      </w:tblPr>
      <w:tblGrid>
        <w:gridCol w:w="1745"/>
        <w:gridCol w:w="2300"/>
        <w:gridCol w:w="4971"/>
      </w:tblGrid>
      <w:tr w:rsidR="00FA47D4" w:rsidRPr="003D121E" w14:paraId="3A90A099" w14:textId="77777777" w:rsidTr="004434E6">
        <w:tc>
          <w:tcPr>
            <w:tcW w:w="1745" w:type="dxa"/>
            <w:vAlign w:val="center"/>
            <w:hideMark/>
          </w:tcPr>
          <w:p w14:paraId="75B2D921" w14:textId="77777777" w:rsidR="003D121E" w:rsidRPr="003D121E" w:rsidRDefault="003D121E" w:rsidP="00FA47D4">
            <w:pPr>
              <w:spacing w:line="240" w:lineRule="auto"/>
              <w:jc w:val="center"/>
              <w:rPr>
                <w:b/>
                <w:bCs/>
                <w:szCs w:val="24"/>
                <w:lang w:val="en-US" w:eastAsia="zh-CN" w:bidi="bn-IN"/>
              </w:rPr>
            </w:pPr>
            <w:r w:rsidRPr="003D121E">
              <w:rPr>
                <w:b/>
                <w:bCs/>
                <w:szCs w:val="24"/>
                <w:lang w:val="en-US" w:eastAsia="zh-CN" w:bidi="bn-IN"/>
              </w:rPr>
              <w:t>Theme</w:t>
            </w:r>
          </w:p>
        </w:tc>
        <w:tc>
          <w:tcPr>
            <w:tcW w:w="2300" w:type="dxa"/>
            <w:vAlign w:val="center"/>
            <w:hideMark/>
          </w:tcPr>
          <w:p w14:paraId="6940AC4A" w14:textId="77777777" w:rsidR="003D121E" w:rsidRPr="003D121E" w:rsidRDefault="003D121E" w:rsidP="00FA47D4">
            <w:pPr>
              <w:spacing w:line="240" w:lineRule="auto"/>
              <w:jc w:val="center"/>
              <w:rPr>
                <w:b/>
                <w:bCs/>
                <w:szCs w:val="24"/>
                <w:lang w:val="en-US" w:eastAsia="zh-CN" w:bidi="bn-IN"/>
              </w:rPr>
            </w:pPr>
            <w:r w:rsidRPr="003D121E">
              <w:rPr>
                <w:b/>
                <w:bCs/>
                <w:szCs w:val="24"/>
                <w:lang w:val="en-US" w:eastAsia="zh-CN" w:bidi="bn-IN"/>
              </w:rPr>
              <w:t>Sub-theme</w:t>
            </w:r>
          </w:p>
        </w:tc>
        <w:tc>
          <w:tcPr>
            <w:tcW w:w="4971" w:type="dxa"/>
            <w:vAlign w:val="center"/>
            <w:hideMark/>
          </w:tcPr>
          <w:p w14:paraId="711E82E6" w14:textId="28D5727D" w:rsidR="003D121E" w:rsidRPr="003D121E" w:rsidRDefault="003D121E" w:rsidP="00FA47D4">
            <w:pPr>
              <w:spacing w:line="240" w:lineRule="auto"/>
              <w:jc w:val="center"/>
              <w:rPr>
                <w:b/>
                <w:bCs/>
                <w:szCs w:val="24"/>
                <w:lang w:val="en-US" w:eastAsia="zh-CN" w:bidi="bn-IN"/>
              </w:rPr>
            </w:pPr>
            <w:r w:rsidRPr="003D121E">
              <w:rPr>
                <w:b/>
                <w:bCs/>
                <w:szCs w:val="24"/>
                <w:lang w:val="en-US" w:eastAsia="zh-CN" w:bidi="bn-IN"/>
              </w:rPr>
              <w:t>Code</w:t>
            </w:r>
          </w:p>
        </w:tc>
      </w:tr>
      <w:tr w:rsidR="00FA47D4" w:rsidRPr="00FA47D4" w14:paraId="09F274FD" w14:textId="77777777" w:rsidTr="004434E6">
        <w:tc>
          <w:tcPr>
            <w:tcW w:w="1745" w:type="dxa"/>
            <w:vMerge w:val="restart"/>
            <w:vAlign w:val="center"/>
            <w:hideMark/>
          </w:tcPr>
          <w:p w14:paraId="596DEEEA" w14:textId="758531FF" w:rsidR="00FA47D4" w:rsidRPr="003D121E" w:rsidRDefault="00FA47D4" w:rsidP="004434E6">
            <w:pPr>
              <w:spacing w:line="276" w:lineRule="auto"/>
              <w:jc w:val="left"/>
              <w:rPr>
                <w:sz w:val="22"/>
                <w:lang w:val="en-US" w:eastAsia="zh-CN" w:bidi="bn-IN"/>
              </w:rPr>
            </w:pPr>
            <w:r w:rsidRPr="003D121E">
              <w:rPr>
                <w:b/>
                <w:bCs/>
                <w:sz w:val="22"/>
                <w:lang w:val="en-US" w:eastAsia="zh-CN" w:bidi="bn-IN"/>
              </w:rPr>
              <w:t>Economic &amp; Financial Barriers</w:t>
            </w:r>
          </w:p>
        </w:tc>
        <w:tc>
          <w:tcPr>
            <w:tcW w:w="2300" w:type="dxa"/>
            <w:vAlign w:val="center"/>
            <w:hideMark/>
          </w:tcPr>
          <w:p w14:paraId="69735EF9" w14:textId="77777777" w:rsidR="00FA47D4" w:rsidRPr="003D121E" w:rsidRDefault="00FA47D4" w:rsidP="00FA47D4">
            <w:pPr>
              <w:jc w:val="left"/>
              <w:rPr>
                <w:sz w:val="22"/>
                <w:lang w:val="en-US" w:eastAsia="zh-CN" w:bidi="bn-IN"/>
              </w:rPr>
            </w:pPr>
            <w:r w:rsidRPr="003D121E">
              <w:rPr>
                <w:sz w:val="22"/>
                <w:lang w:val="en-US" w:eastAsia="zh-CN" w:bidi="bn-IN"/>
              </w:rPr>
              <w:t>High Capital Intensity</w:t>
            </w:r>
          </w:p>
        </w:tc>
        <w:tc>
          <w:tcPr>
            <w:tcW w:w="4971" w:type="dxa"/>
            <w:vAlign w:val="center"/>
            <w:hideMark/>
          </w:tcPr>
          <w:p w14:paraId="0A0F59BE" w14:textId="4EBAB106" w:rsidR="00FA47D4" w:rsidRPr="003D121E" w:rsidRDefault="00FA47D4" w:rsidP="00FA47D4">
            <w:pPr>
              <w:jc w:val="left"/>
              <w:rPr>
                <w:sz w:val="22"/>
                <w:lang w:val="en-US" w:eastAsia="zh-CN" w:bidi="bn-IN"/>
              </w:rPr>
            </w:pPr>
            <w:r w:rsidRPr="00FA47D4">
              <w:rPr>
                <w:color w:val="000000"/>
                <w:sz w:val="22"/>
              </w:rPr>
              <w:t>EVs face high battery, R&amp;D, and infrastructure costs that limit ESG investment.</w:t>
            </w:r>
          </w:p>
        </w:tc>
      </w:tr>
      <w:tr w:rsidR="00FA47D4" w:rsidRPr="00FA47D4" w14:paraId="6E7E0993" w14:textId="77777777" w:rsidTr="004434E6">
        <w:tc>
          <w:tcPr>
            <w:tcW w:w="1745" w:type="dxa"/>
            <w:vMerge/>
            <w:vAlign w:val="center"/>
            <w:hideMark/>
          </w:tcPr>
          <w:p w14:paraId="357ED2C5"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5D68A6A2" w14:textId="77777777" w:rsidR="00FA47D4" w:rsidRPr="003D121E" w:rsidRDefault="00FA47D4" w:rsidP="00FA47D4">
            <w:pPr>
              <w:jc w:val="left"/>
              <w:rPr>
                <w:sz w:val="22"/>
                <w:lang w:val="en-US" w:eastAsia="zh-CN" w:bidi="bn-IN"/>
              </w:rPr>
            </w:pPr>
            <w:r w:rsidRPr="003D121E">
              <w:rPr>
                <w:sz w:val="22"/>
                <w:lang w:val="en-US" w:eastAsia="zh-CN" w:bidi="bn-IN"/>
              </w:rPr>
              <w:t>Short-term Financial Trade-offs</w:t>
            </w:r>
          </w:p>
        </w:tc>
        <w:tc>
          <w:tcPr>
            <w:tcW w:w="4971" w:type="dxa"/>
            <w:vAlign w:val="center"/>
            <w:hideMark/>
          </w:tcPr>
          <w:p w14:paraId="12CD713E" w14:textId="31046581" w:rsidR="00FA47D4" w:rsidRPr="003D121E" w:rsidRDefault="00FA47D4" w:rsidP="00FA47D4">
            <w:pPr>
              <w:jc w:val="left"/>
              <w:rPr>
                <w:sz w:val="22"/>
                <w:lang w:val="en-US" w:eastAsia="zh-CN" w:bidi="bn-IN"/>
              </w:rPr>
            </w:pPr>
            <w:r w:rsidRPr="00FA47D4">
              <w:rPr>
                <w:color w:val="000000"/>
                <w:sz w:val="22"/>
              </w:rPr>
              <w:t>ESG investments may reduce short-term profits in both EV and ICE firms.</w:t>
            </w:r>
          </w:p>
        </w:tc>
      </w:tr>
      <w:tr w:rsidR="00FA47D4" w:rsidRPr="00FA47D4" w14:paraId="5C019772" w14:textId="77777777" w:rsidTr="004434E6">
        <w:tc>
          <w:tcPr>
            <w:tcW w:w="1745" w:type="dxa"/>
            <w:vMerge/>
            <w:vAlign w:val="center"/>
            <w:hideMark/>
          </w:tcPr>
          <w:p w14:paraId="74423320"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2AB05407" w14:textId="77777777" w:rsidR="00FA47D4" w:rsidRPr="003D121E" w:rsidRDefault="00FA47D4" w:rsidP="00FA47D4">
            <w:pPr>
              <w:jc w:val="left"/>
              <w:rPr>
                <w:sz w:val="22"/>
                <w:lang w:val="en-US" w:eastAsia="zh-CN" w:bidi="bn-IN"/>
              </w:rPr>
            </w:pPr>
            <w:r w:rsidRPr="003D121E">
              <w:rPr>
                <w:sz w:val="22"/>
                <w:lang w:val="en-US" w:eastAsia="zh-CN" w:bidi="bn-IN"/>
              </w:rPr>
              <w:t>Legacy Asset Lock-in</w:t>
            </w:r>
          </w:p>
        </w:tc>
        <w:tc>
          <w:tcPr>
            <w:tcW w:w="4971" w:type="dxa"/>
            <w:vAlign w:val="center"/>
            <w:hideMark/>
          </w:tcPr>
          <w:p w14:paraId="49945EB1" w14:textId="4E77FEB0" w:rsidR="00FA47D4" w:rsidRPr="003D121E" w:rsidRDefault="00FA47D4" w:rsidP="00FA47D4">
            <w:pPr>
              <w:jc w:val="left"/>
              <w:rPr>
                <w:sz w:val="22"/>
                <w:lang w:val="en-US" w:eastAsia="zh-CN" w:bidi="bn-IN"/>
              </w:rPr>
            </w:pPr>
            <w:r w:rsidRPr="00FA47D4">
              <w:rPr>
                <w:color w:val="000000"/>
                <w:sz w:val="22"/>
              </w:rPr>
              <w:t>ICE firms constrained by existing facilities and powertrains.</w:t>
            </w:r>
          </w:p>
        </w:tc>
      </w:tr>
      <w:tr w:rsidR="00FA47D4" w:rsidRPr="00FA47D4" w14:paraId="0C2DA468" w14:textId="77777777" w:rsidTr="004434E6">
        <w:tc>
          <w:tcPr>
            <w:tcW w:w="1745" w:type="dxa"/>
            <w:vMerge w:val="restart"/>
            <w:vAlign w:val="center"/>
            <w:hideMark/>
          </w:tcPr>
          <w:p w14:paraId="441BE6E0" w14:textId="0B94BD09" w:rsidR="00FA47D4" w:rsidRPr="003D121E" w:rsidRDefault="00FA47D4" w:rsidP="004434E6">
            <w:pPr>
              <w:spacing w:line="276" w:lineRule="auto"/>
              <w:jc w:val="left"/>
              <w:rPr>
                <w:sz w:val="22"/>
                <w:lang w:val="en-US" w:eastAsia="zh-CN" w:bidi="bn-IN"/>
              </w:rPr>
            </w:pPr>
            <w:r w:rsidRPr="003D121E">
              <w:rPr>
                <w:b/>
                <w:bCs/>
                <w:sz w:val="22"/>
                <w:lang w:val="en-US" w:eastAsia="zh-CN" w:bidi="bn-IN"/>
              </w:rPr>
              <w:t>Infrastructure &amp; System Limitations</w:t>
            </w:r>
          </w:p>
        </w:tc>
        <w:tc>
          <w:tcPr>
            <w:tcW w:w="2300" w:type="dxa"/>
            <w:vAlign w:val="center"/>
            <w:hideMark/>
          </w:tcPr>
          <w:p w14:paraId="7D74FFE1" w14:textId="77777777" w:rsidR="00FA47D4" w:rsidRPr="003D121E" w:rsidRDefault="00FA47D4" w:rsidP="00FA47D4">
            <w:pPr>
              <w:jc w:val="left"/>
              <w:rPr>
                <w:sz w:val="22"/>
                <w:lang w:val="en-US" w:eastAsia="zh-CN" w:bidi="bn-IN"/>
              </w:rPr>
            </w:pPr>
            <w:r w:rsidRPr="003D121E">
              <w:rPr>
                <w:sz w:val="22"/>
                <w:lang w:val="en-US" w:eastAsia="zh-CN" w:bidi="bn-IN"/>
              </w:rPr>
              <w:t>Electricity Grid Dependence</w:t>
            </w:r>
          </w:p>
        </w:tc>
        <w:tc>
          <w:tcPr>
            <w:tcW w:w="4971" w:type="dxa"/>
            <w:vAlign w:val="center"/>
            <w:hideMark/>
          </w:tcPr>
          <w:p w14:paraId="0C895925" w14:textId="01CA6DE1" w:rsidR="00FA47D4" w:rsidRPr="003D121E" w:rsidRDefault="00FA47D4" w:rsidP="00FA47D4">
            <w:pPr>
              <w:jc w:val="left"/>
              <w:rPr>
                <w:sz w:val="22"/>
                <w:lang w:val="en-US" w:eastAsia="zh-CN" w:bidi="bn-IN"/>
              </w:rPr>
            </w:pPr>
            <w:r w:rsidRPr="00FA47D4">
              <w:rPr>
                <w:color w:val="000000"/>
                <w:sz w:val="22"/>
              </w:rPr>
              <w:t>EV benefits limited by coal-heavy grids; regional variation affects emissions.</w:t>
            </w:r>
          </w:p>
        </w:tc>
      </w:tr>
      <w:tr w:rsidR="00FA47D4" w:rsidRPr="00FA47D4" w14:paraId="1526B3BC" w14:textId="77777777" w:rsidTr="004434E6">
        <w:tc>
          <w:tcPr>
            <w:tcW w:w="1745" w:type="dxa"/>
            <w:vMerge/>
            <w:vAlign w:val="center"/>
            <w:hideMark/>
          </w:tcPr>
          <w:p w14:paraId="4E08D397"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43AA2F55" w14:textId="77777777" w:rsidR="00FA47D4" w:rsidRPr="003D121E" w:rsidRDefault="00FA47D4" w:rsidP="00FA47D4">
            <w:pPr>
              <w:jc w:val="left"/>
              <w:rPr>
                <w:sz w:val="22"/>
                <w:lang w:val="en-US" w:eastAsia="zh-CN" w:bidi="bn-IN"/>
              </w:rPr>
            </w:pPr>
            <w:r w:rsidRPr="003D121E">
              <w:rPr>
                <w:sz w:val="22"/>
                <w:lang w:val="en-US" w:eastAsia="zh-CN" w:bidi="bn-IN"/>
              </w:rPr>
              <w:t>Charging &amp; Energy Infrastructure</w:t>
            </w:r>
          </w:p>
        </w:tc>
        <w:tc>
          <w:tcPr>
            <w:tcW w:w="4971" w:type="dxa"/>
            <w:vAlign w:val="center"/>
            <w:hideMark/>
          </w:tcPr>
          <w:p w14:paraId="72E6A3CC" w14:textId="0D16F9D4" w:rsidR="00FA47D4" w:rsidRPr="003D121E" w:rsidRDefault="00FA47D4" w:rsidP="00FA47D4">
            <w:pPr>
              <w:jc w:val="left"/>
              <w:rPr>
                <w:sz w:val="22"/>
                <w:lang w:val="en-US" w:eastAsia="zh-CN" w:bidi="bn-IN"/>
              </w:rPr>
            </w:pPr>
            <w:r w:rsidRPr="00FA47D4">
              <w:rPr>
                <w:color w:val="000000"/>
                <w:sz w:val="22"/>
              </w:rPr>
              <w:t>EV adoption constrained by insufficient charging networks.</w:t>
            </w:r>
          </w:p>
        </w:tc>
      </w:tr>
      <w:tr w:rsidR="00FA47D4" w:rsidRPr="00FA47D4" w14:paraId="6057DEF1" w14:textId="77777777" w:rsidTr="004434E6">
        <w:tc>
          <w:tcPr>
            <w:tcW w:w="1745" w:type="dxa"/>
            <w:vMerge/>
            <w:vAlign w:val="center"/>
            <w:hideMark/>
          </w:tcPr>
          <w:p w14:paraId="08C9F90F"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47646C0C" w14:textId="77777777" w:rsidR="00FA47D4" w:rsidRPr="003D121E" w:rsidRDefault="00FA47D4" w:rsidP="00FA47D4">
            <w:pPr>
              <w:jc w:val="left"/>
              <w:rPr>
                <w:sz w:val="22"/>
                <w:lang w:val="en-US" w:eastAsia="zh-CN" w:bidi="bn-IN"/>
              </w:rPr>
            </w:pPr>
            <w:r w:rsidRPr="003D121E">
              <w:rPr>
                <w:sz w:val="22"/>
                <w:lang w:val="en-US" w:eastAsia="zh-CN" w:bidi="bn-IN"/>
              </w:rPr>
              <w:t>Alternative Fuel Constraints</w:t>
            </w:r>
          </w:p>
        </w:tc>
        <w:tc>
          <w:tcPr>
            <w:tcW w:w="4971" w:type="dxa"/>
            <w:vAlign w:val="center"/>
            <w:hideMark/>
          </w:tcPr>
          <w:p w14:paraId="7291D9A7" w14:textId="1A659062" w:rsidR="00FA47D4" w:rsidRPr="003D121E" w:rsidRDefault="00FA47D4" w:rsidP="00FA47D4">
            <w:pPr>
              <w:jc w:val="left"/>
              <w:rPr>
                <w:sz w:val="22"/>
                <w:lang w:val="en-US" w:eastAsia="zh-CN" w:bidi="bn-IN"/>
              </w:rPr>
            </w:pPr>
            <w:r w:rsidRPr="00FA47D4">
              <w:rPr>
                <w:color w:val="000000"/>
                <w:sz w:val="22"/>
              </w:rPr>
              <w:t>ICE adoption limited by hydrogen and hybrid infrastructure.</w:t>
            </w:r>
          </w:p>
        </w:tc>
      </w:tr>
      <w:tr w:rsidR="00FA47D4" w:rsidRPr="00FA47D4" w14:paraId="04A806E4" w14:textId="77777777" w:rsidTr="004434E6">
        <w:tc>
          <w:tcPr>
            <w:tcW w:w="1745" w:type="dxa"/>
            <w:vMerge w:val="restart"/>
            <w:vAlign w:val="center"/>
            <w:hideMark/>
          </w:tcPr>
          <w:p w14:paraId="2610A662" w14:textId="14345BDD" w:rsidR="00FA47D4" w:rsidRPr="003D121E" w:rsidRDefault="00FA47D4" w:rsidP="004434E6">
            <w:pPr>
              <w:spacing w:line="276" w:lineRule="auto"/>
              <w:jc w:val="left"/>
              <w:rPr>
                <w:sz w:val="22"/>
                <w:lang w:val="en-US" w:eastAsia="zh-CN" w:bidi="bn-IN"/>
              </w:rPr>
            </w:pPr>
            <w:r w:rsidRPr="003D121E">
              <w:rPr>
                <w:b/>
                <w:bCs/>
                <w:sz w:val="22"/>
                <w:lang w:val="en-US" w:eastAsia="zh-CN" w:bidi="bn-IN"/>
              </w:rPr>
              <w:t>Environmental Trade-offs &amp; Lifecycle Complexity</w:t>
            </w:r>
          </w:p>
        </w:tc>
        <w:tc>
          <w:tcPr>
            <w:tcW w:w="2300" w:type="dxa"/>
            <w:vAlign w:val="center"/>
            <w:hideMark/>
          </w:tcPr>
          <w:p w14:paraId="67CBC77B" w14:textId="77777777" w:rsidR="00FA47D4" w:rsidRPr="003D121E" w:rsidRDefault="00FA47D4" w:rsidP="00FA47D4">
            <w:pPr>
              <w:jc w:val="left"/>
              <w:rPr>
                <w:sz w:val="22"/>
                <w:lang w:val="en-US" w:eastAsia="zh-CN" w:bidi="bn-IN"/>
              </w:rPr>
            </w:pPr>
            <w:r w:rsidRPr="003D121E">
              <w:rPr>
                <w:sz w:val="22"/>
                <w:lang w:val="en-US" w:eastAsia="zh-CN" w:bidi="bn-IN"/>
              </w:rPr>
              <w:t>Manufacturing Emissions</w:t>
            </w:r>
          </w:p>
        </w:tc>
        <w:tc>
          <w:tcPr>
            <w:tcW w:w="4971" w:type="dxa"/>
            <w:vAlign w:val="center"/>
            <w:hideMark/>
          </w:tcPr>
          <w:p w14:paraId="0FB09746" w14:textId="2DA84B10" w:rsidR="00FA47D4" w:rsidRPr="003D121E" w:rsidRDefault="00FA47D4" w:rsidP="00FA47D4">
            <w:pPr>
              <w:jc w:val="left"/>
              <w:rPr>
                <w:sz w:val="22"/>
                <w:lang w:val="en-US" w:eastAsia="zh-CN" w:bidi="bn-IN"/>
              </w:rPr>
            </w:pPr>
            <w:r w:rsidRPr="00FA47D4">
              <w:rPr>
                <w:color w:val="000000"/>
                <w:sz w:val="22"/>
              </w:rPr>
              <w:t>EV battery production has high resource, water, and toxicity impacts.</w:t>
            </w:r>
          </w:p>
        </w:tc>
      </w:tr>
      <w:tr w:rsidR="00FA47D4" w:rsidRPr="00FA47D4" w14:paraId="7F380161" w14:textId="77777777" w:rsidTr="004434E6">
        <w:tc>
          <w:tcPr>
            <w:tcW w:w="1745" w:type="dxa"/>
            <w:vMerge/>
            <w:vAlign w:val="center"/>
            <w:hideMark/>
          </w:tcPr>
          <w:p w14:paraId="3D1CFD9E"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1C3A775C" w14:textId="77777777" w:rsidR="00FA47D4" w:rsidRPr="003D121E" w:rsidRDefault="00FA47D4" w:rsidP="00FA47D4">
            <w:pPr>
              <w:jc w:val="left"/>
              <w:rPr>
                <w:sz w:val="22"/>
                <w:lang w:val="en-US" w:eastAsia="zh-CN" w:bidi="bn-IN"/>
              </w:rPr>
            </w:pPr>
            <w:r w:rsidRPr="003D121E">
              <w:rPr>
                <w:sz w:val="22"/>
                <w:lang w:val="en-US" w:eastAsia="zh-CN" w:bidi="bn-IN"/>
              </w:rPr>
              <w:t>Resource Scarcity</w:t>
            </w:r>
          </w:p>
        </w:tc>
        <w:tc>
          <w:tcPr>
            <w:tcW w:w="4971" w:type="dxa"/>
            <w:vAlign w:val="center"/>
            <w:hideMark/>
          </w:tcPr>
          <w:p w14:paraId="0A01B98D" w14:textId="3EE5115A" w:rsidR="00FA47D4" w:rsidRPr="003D121E" w:rsidRDefault="00FA47D4" w:rsidP="00FA47D4">
            <w:pPr>
              <w:jc w:val="left"/>
              <w:rPr>
                <w:sz w:val="22"/>
                <w:lang w:val="en-US" w:eastAsia="zh-CN" w:bidi="bn-IN"/>
              </w:rPr>
            </w:pPr>
            <w:r w:rsidRPr="00FA47D4">
              <w:rPr>
                <w:color w:val="000000"/>
                <w:sz w:val="22"/>
              </w:rPr>
              <w:t>Mineral and raw material limits constrain EV ESG effectiveness.</w:t>
            </w:r>
          </w:p>
        </w:tc>
      </w:tr>
      <w:tr w:rsidR="00FA47D4" w:rsidRPr="00FA47D4" w14:paraId="6F6446C4" w14:textId="77777777" w:rsidTr="004434E6">
        <w:tc>
          <w:tcPr>
            <w:tcW w:w="1745" w:type="dxa"/>
            <w:vMerge/>
            <w:vAlign w:val="center"/>
            <w:hideMark/>
          </w:tcPr>
          <w:p w14:paraId="2299D80E"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030267A2" w14:textId="77777777" w:rsidR="00FA47D4" w:rsidRPr="003D121E" w:rsidRDefault="00FA47D4" w:rsidP="00FA47D4">
            <w:pPr>
              <w:jc w:val="left"/>
              <w:rPr>
                <w:sz w:val="22"/>
                <w:lang w:val="en-US" w:eastAsia="zh-CN" w:bidi="bn-IN"/>
              </w:rPr>
            </w:pPr>
            <w:r w:rsidRPr="003D121E">
              <w:rPr>
                <w:sz w:val="22"/>
                <w:lang w:val="en-US" w:eastAsia="zh-CN" w:bidi="bn-IN"/>
              </w:rPr>
              <w:t>Ambiguous Environmental Performance</w:t>
            </w:r>
          </w:p>
        </w:tc>
        <w:tc>
          <w:tcPr>
            <w:tcW w:w="4971" w:type="dxa"/>
            <w:vAlign w:val="center"/>
            <w:hideMark/>
          </w:tcPr>
          <w:p w14:paraId="0E4E5D77" w14:textId="09991F0F" w:rsidR="00FA47D4" w:rsidRPr="003D121E" w:rsidRDefault="00FA47D4" w:rsidP="00FA47D4">
            <w:pPr>
              <w:jc w:val="left"/>
              <w:rPr>
                <w:sz w:val="22"/>
                <w:lang w:val="en-US" w:eastAsia="zh-CN" w:bidi="bn-IN"/>
              </w:rPr>
            </w:pPr>
            <w:r w:rsidRPr="00FA47D4">
              <w:rPr>
                <w:color w:val="000000"/>
                <w:sz w:val="22"/>
              </w:rPr>
              <w:t>ICEs may outperform EVs in some manufacturing-stage impacts.</w:t>
            </w:r>
          </w:p>
        </w:tc>
      </w:tr>
      <w:tr w:rsidR="00FA47D4" w:rsidRPr="00FA47D4" w14:paraId="124D7AAF" w14:textId="77777777" w:rsidTr="004434E6">
        <w:tc>
          <w:tcPr>
            <w:tcW w:w="1745" w:type="dxa"/>
            <w:vMerge w:val="restart"/>
            <w:vAlign w:val="center"/>
            <w:hideMark/>
          </w:tcPr>
          <w:p w14:paraId="74FBC84F" w14:textId="4B156B0E" w:rsidR="00FA47D4" w:rsidRPr="003D121E" w:rsidRDefault="00FA47D4" w:rsidP="004434E6">
            <w:pPr>
              <w:spacing w:line="276" w:lineRule="auto"/>
              <w:jc w:val="left"/>
              <w:rPr>
                <w:sz w:val="22"/>
                <w:lang w:val="en-US" w:eastAsia="zh-CN" w:bidi="bn-IN"/>
              </w:rPr>
            </w:pPr>
            <w:r w:rsidRPr="003D121E">
              <w:rPr>
                <w:b/>
                <w:bCs/>
                <w:sz w:val="22"/>
                <w:lang w:val="en-US" w:eastAsia="zh-CN" w:bidi="bn-IN"/>
              </w:rPr>
              <w:t>Governance &amp; ESG Measurement Challenges</w:t>
            </w:r>
          </w:p>
        </w:tc>
        <w:tc>
          <w:tcPr>
            <w:tcW w:w="2300" w:type="dxa"/>
            <w:vAlign w:val="center"/>
            <w:hideMark/>
          </w:tcPr>
          <w:p w14:paraId="7A406952" w14:textId="77777777" w:rsidR="00FA47D4" w:rsidRPr="003D121E" w:rsidRDefault="00FA47D4" w:rsidP="00FA47D4">
            <w:pPr>
              <w:jc w:val="left"/>
              <w:rPr>
                <w:sz w:val="22"/>
                <w:lang w:val="en-US" w:eastAsia="zh-CN" w:bidi="bn-IN"/>
              </w:rPr>
            </w:pPr>
            <w:r w:rsidRPr="003D121E">
              <w:rPr>
                <w:sz w:val="22"/>
                <w:lang w:val="en-US" w:eastAsia="zh-CN" w:bidi="bn-IN"/>
              </w:rPr>
              <w:t>Supply Chain Complexity</w:t>
            </w:r>
          </w:p>
        </w:tc>
        <w:tc>
          <w:tcPr>
            <w:tcW w:w="4971" w:type="dxa"/>
            <w:vAlign w:val="center"/>
            <w:hideMark/>
          </w:tcPr>
          <w:p w14:paraId="14155AEA" w14:textId="5E644E3C" w:rsidR="00FA47D4" w:rsidRPr="003D121E" w:rsidRDefault="00FA47D4" w:rsidP="00FA47D4">
            <w:pPr>
              <w:jc w:val="left"/>
              <w:rPr>
                <w:sz w:val="22"/>
                <w:lang w:val="en-US" w:eastAsia="zh-CN" w:bidi="bn-IN"/>
              </w:rPr>
            </w:pPr>
            <w:r w:rsidRPr="00FA47D4">
              <w:rPr>
                <w:color w:val="000000"/>
                <w:sz w:val="22"/>
              </w:rPr>
              <w:t>EVs face traceability and ESG accountability challenges in battery supply chains.</w:t>
            </w:r>
          </w:p>
        </w:tc>
      </w:tr>
      <w:tr w:rsidR="00FA47D4" w:rsidRPr="00FA47D4" w14:paraId="5CED0A98" w14:textId="77777777" w:rsidTr="004434E6">
        <w:tc>
          <w:tcPr>
            <w:tcW w:w="1745" w:type="dxa"/>
            <w:vMerge/>
            <w:vAlign w:val="center"/>
            <w:hideMark/>
          </w:tcPr>
          <w:p w14:paraId="41683D7A"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570B4A1C" w14:textId="77777777" w:rsidR="00FA47D4" w:rsidRPr="003D121E" w:rsidRDefault="00FA47D4" w:rsidP="00FA47D4">
            <w:pPr>
              <w:jc w:val="left"/>
              <w:rPr>
                <w:sz w:val="22"/>
                <w:lang w:val="en-US" w:eastAsia="zh-CN" w:bidi="bn-IN"/>
              </w:rPr>
            </w:pPr>
            <w:r w:rsidRPr="003D121E">
              <w:rPr>
                <w:sz w:val="22"/>
                <w:lang w:val="en-US" w:eastAsia="zh-CN" w:bidi="bn-IN"/>
              </w:rPr>
              <w:t>Time-variant ESG Outcomes</w:t>
            </w:r>
          </w:p>
        </w:tc>
        <w:tc>
          <w:tcPr>
            <w:tcW w:w="4971" w:type="dxa"/>
            <w:vAlign w:val="center"/>
            <w:hideMark/>
          </w:tcPr>
          <w:p w14:paraId="6726F760" w14:textId="0BC01E9D" w:rsidR="00FA47D4" w:rsidRPr="003D121E" w:rsidRDefault="00FA47D4" w:rsidP="00FA47D4">
            <w:pPr>
              <w:jc w:val="left"/>
              <w:rPr>
                <w:sz w:val="22"/>
                <w:lang w:val="en-US" w:eastAsia="zh-CN" w:bidi="bn-IN"/>
              </w:rPr>
            </w:pPr>
            <w:r w:rsidRPr="00FA47D4">
              <w:rPr>
                <w:color w:val="000000"/>
                <w:sz w:val="22"/>
              </w:rPr>
              <w:t>ESG performance inconsistent in ICE firms due to fragmented governance.</w:t>
            </w:r>
          </w:p>
        </w:tc>
      </w:tr>
      <w:tr w:rsidR="00FA47D4" w:rsidRPr="00FA47D4" w14:paraId="56292D16" w14:textId="77777777" w:rsidTr="004434E6">
        <w:tc>
          <w:tcPr>
            <w:tcW w:w="1745" w:type="dxa"/>
            <w:vMerge/>
            <w:vAlign w:val="center"/>
            <w:hideMark/>
          </w:tcPr>
          <w:p w14:paraId="0CBC5891"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309E6301" w14:textId="77777777" w:rsidR="00FA47D4" w:rsidRPr="003D121E" w:rsidRDefault="00FA47D4" w:rsidP="00FA47D4">
            <w:pPr>
              <w:jc w:val="left"/>
              <w:rPr>
                <w:sz w:val="22"/>
                <w:lang w:val="en-US" w:eastAsia="zh-CN" w:bidi="bn-IN"/>
              </w:rPr>
            </w:pPr>
            <w:r w:rsidRPr="003D121E">
              <w:rPr>
                <w:sz w:val="22"/>
                <w:lang w:val="en-US" w:eastAsia="zh-CN" w:bidi="bn-IN"/>
              </w:rPr>
              <w:t>Symbolic ESG Adoption</w:t>
            </w:r>
          </w:p>
        </w:tc>
        <w:tc>
          <w:tcPr>
            <w:tcW w:w="4971" w:type="dxa"/>
            <w:vAlign w:val="center"/>
            <w:hideMark/>
          </w:tcPr>
          <w:p w14:paraId="4748FD45" w14:textId="4D302D3D" w:rsidR="00FA47D4" w:rsidRPr="003D121E" w:rsidRDefault="00FA47D4" w:rsidP="00FA47D4">
            <w:pPr>
              <w:jc w:val="left"/>
              <w:rPr>
                <w:sz w:val="22"/>
                <w:lang w:val="en-US" w:eastAsia="zh-CN" w:bidi="bn-IN"/>
              </w:rPr>
            </w:pPr>
            <w:r w:rsidRPr="00FA47D4">
              <w:rPr>
                <w:color w:val="000000"/>
                <w:sz w:val="22"/>
              </w:rPr>
              <w:t>ICE firms may adopt ESG superficially without real performance gains.</w:t>
            </w:r>
          </w:p>
        </w:tc>
      </w:tr>
      <w:tr w:rsidR="00FA47D4" w:rsidRPr="00FA47D4" w14:paraId="13262B92" w14:textId="77777777" w:rsidTr="004434E6">
        <w:tc>
          <w:tcPr>
            <w:tcW w:w="1745" w:type="dxa"/>
            <w:vMerge w:val="restart"/>
            <w:vAlign w:val="center"/>
            <w:hideMark/>
          </w:tcPr>
          <w:p w14:paraId="04B389DA" w14:textId="11744AE0" w:rsidR="00FA47D4" w:rsidRPr="003D121E" w:rsidRDefault="00FA47D4" w:rsidP="004434E6">
            <w:pPr>
              <w:spacing w:line="276" w:lineRule="auto"/>
              <w:jc w:val="left"/>
              <w:rPr>
                <w:sz w:val="22"/>
                <w:lang w:val="en-US" w:eastAsia="zh-CN" w:bidi="bn-IN"/>
              </w:rPr>
            </w:pPr>
            <w:r w:rsidRPr="003D121E">
              <w:rPr>
                <w:b/>
                <w:bCs/>
                <w:sz w:val="22"/>
                <w:lang w:val="en-US" w:eastAsia="zh-CN" w:bidi="bn-IN"/>
              </w:rPr>
              <w:t>ESG Greenwashing &amp; Credibility Risks</w:t>
            </w:r>
          </w:p>
        </w:tc>
        <w:tc>
          <w:tcPr>
            <w:tcW w:w="2300" w:type="dxa"/>
            <w:vAlign w:val="center"/>
            <w:hideMark/>
          </w:tcPr>
          <w:p w14:paraId="76BC1009" w14:textId="77777777" w:rsidR="00FA47D4" w:rsidRPr="003D121E" w:rsidRDefault="00FA47D4" w:rsidP="00FA47D4">
            <w:pPr>
              <w:jc w:val="left"/>
              <w:rPr>
                <w:sz w:val="22"/>
                <w:lang w:val="en-US" w:eastAsia="zh-CN" w:bidi="bn-IN"/>
              </w:rPr>
            </w:pPr>
            <w:r w:rsidRPr="003D121E">
              <w:rPr>
                <w:sz w:val="22"/>
                <w:lang w:val="en-US" w:eastAsia="zh-CN" w:bidi="bn-IN"/>
              </w:rPr>
              <w:t>Early-stage Greenwashing</w:t>
            </w:r>
          </w:p>
        </w:tc>
        <w:tc>
          <w:tcPr>
            <w:tcW w:w="4971" w:type="dxa"/>
            <w:vAlign w:val="center"/>
            <w:hideMark/>
          </w:tcPr>
          <w:p w14:paraId="27C0310B" w14:textId="772051C5" w:rsidR="00FA47D4" w:rsidRPr="003D121E" w:rsidRDefault="00FA47D4" w:rsidP="00FA47D4">
            <w:pPr>
              <w:jc w:val="left"/>
              <w:rPr>
                <w:sz w:val="22"/>
                <w:lang w:val="en-US" w:eastAsia="zh-CN" w:bidi="bn-IN"/>
              </w:rPr>
            </w:pPr>
            <w:r w:rsidRPr="00FA47D4">
              <w:rPr>
                <w:color w:val="000000"/>
                <w:sz w:val="22"/>
              </w:rPr>
              <w:t>EVs may signal ESG commitment without full implementation.</w:t>
            </w:r>
          </w:p>
        </w:tc>
      </w:tr>
      <w:tr w:rsidR="00FA47D4" w:rsidRPr="00FA47D4" w14:paraId="424D9B93" w14:textId="77777777" w:rsidTr="004434E6">
        <w:tc>
          <w:tcPr>
            <w:tcW w:w="1745" w:type="dxa"/>
            <w:vMerge/>
            <w:vAlign w:val="center"/>
            <w:hideMark/>
          </w:tcPr>
          <w:p w14:paraId="3A6238D6" w14:textId="77777777" w:rsidR="00FA47D4" w:rsidRPr="003D121E" w:rsidRDefault="00FA47D4" w:rsidP="004434E6">
            <w:pPr>
              <w:spacing w:line="276" w:lineRule="auto"/>
              <w:jc w:val="left"/>
              <w:rPr>
                <w:sz w:val="22"/>
                <w:lang w:val="en-US" w:eastAsia="zh-CN" w:bidi="bn-IN"/>
              </w:rPr>
            </w:pPr>
          </w:p>
        </w:tc>
        <w:tc>
          <w:tcPr>
            <w:tcW w:w="2300" w:type="dxa"/>
            <w:vAlign w:val="center"/>
            <w:hideMark/>
          </w:tcPr>
          <w:p w14:paraId="652B3771" w14:textId="77777777" w:rsidR="00FA47D4" w:rsidRPr="003D121E" w:rsidRDefault="00FA47D4" w:rsidP="00FA47D4">
            <w:pPr>
              <w:jc w:val="left"/>
              <w:rPr>
                <w:sz w:val="22"/>
                <w:lang w:val="en-US" w:eastAsia="zh-CN" w:bidi="bn-IN"/>
              </w:rPr>
            </w:pPr>
            <w:r w:rsidRPr="003D121E">
              <w:rPr>
                <w:sz w:val="22"/>
                <w:lang w:val="en-US" w:eastAsia="zh-CN" w:bidi="bn-IN"/>
              </w:rPr>
              <w:t>Reputational Risks</w:t>
            </w:r>
          </w:p>
        </w:tc>
        <w:tc>
          <w:tcPr>
            <w:tcW w:w="4971" w:type="dxa"/>
            <w:vAlign w:val="center"/>
            <w:hideMark/>
          </w:tcPr>
          <w:p w14:paraId="45FAD1C0" w14:textId="1A7C18DA" w:rsidR="00FA47D4" w:rsidRPr="003D121E" w:rsidRDefault="00FA47D4" w:rsidP="00FA47D4">
            <w:pPr>
              <w:jc w:val="left"/>
              <w:rPr>
                <w:sz w:val="22"/>
                <w:lang w:val="en-US" w:eastAsia="zh-CN" w:bidi="bn-IN"/>
              </w:rPr>
            </w:pPr>
            <w:r w:rsidRPr="00FA47D4">
              <w:rPr>
                <w:color w:val="000000"/>
                <w:sz w:val="22"/>
              </w:rPr>
              <w:t xml:space="preserve">ICE firms risk </w:t>
            </w:r>
            <w:proofErr w:type="spellStart"/>
            <w:r w:rsidRPr="00FA47D4">
              <w:rPr>
                <w:color w:val="000000"/>
                <w:sz w:val="22"/>
              </w:rPr>
              <w:t>skepticism</w:t>
            </w:r>
            <w:proofErr w:type="spellEnd"/>
            <w:r w:rsidRPr="00FA47D4">
              <w:rPr>
                <w:color w:val="000000"/>
                <w:sz w:val="22"/>
              </w:rPr>
              <w:t xml:space="preserve"> from superficial ESG disclosures.</w:t>
            </w:r>
          </w:p>
        </w:tc>
      </w:tr>
      <w:tr w:rsidR="00FA47D4" w:rsidRPr="00FA47D4" w14:paraId="293D18C7" w14:textId="77777777" w:rsidTr="004434E6">
        <w:tc>
          <w:tcPr>
            <w:tcW w:w="1745" w:type="dxa"/>
            <w:vMerge w:val="restart"/>
            <w:vAlign w:val="center"/>
            <w:hideMark/>
          </w:tcPr>
          <w:p w14:paraId="365634AA" w14:textId="290A53BD" w:rsidR="00FA47D4" w:rsidRPr="003D121E" w:rsidRDefault="00FA47D4" w:rsidP="004434E6">
            <w:pPr>
              <w:spacing w:line="276" w:lineRule="auto"/>
              <w:jc w:val="left"/>
              <w:rPr>
                <w:sz w:val="22"/>
                <w:lang w:val="en-US" w:eastAsia="zh-CN" w:bidi="bn-IN"/>
              </w:rPr>
            </w:pPr>
            <w:r w:rsidRPr="003D121E">
              <w:rPr>
                <w:b/>
                <w:bCs/>
                <w:sz w:val="22"/>
                <w:lang w:val="en-US" w:eastAsia="zh-CN" w:bidi="bn-IN"/>
              </w:rPr>
              <w:t>Social &amp; Workforce Barriers</w:t>
            </w:r>
          </w:p>
        </w:tc>
        <w:tc>
          <w:tcPr>
            <w:tcW w:w="2300" w:type="dxa"/>
            <w:vAlign w:val="center"/>
            <w:hideMark/>
          </w:tcPr>
          <w:p w14:paraId="242F2491" w14:textId="77777777" w:rsidR="00FA47D4" w:rsidRPr="003D121E" w:rsidRDefault="00FA47D4" w:rsidP="00FA47D4">
            <w:pPr>
              <w:jc w:val="left"/>
              <w:rPr>
                <w:sz w:val="22"/>
                <w:lang w:val="en-US" w:eastAsia="zh-CN" w:bidi="bn-IN"/>
              </w:rPr>
            </w:pPr>
            <w:r w:rsidRPr="003D121E">
              <w:rPr>
                <w:sz w:val="22"/>
                <w:lang w:val="en-US" w:eastAsia="zh-CN" w:bidi="bn-IN"/>
              </w:rPr>
              <w:t>Skills Shortage</w:t>
            </w:r>
          </w:p>
        </w:tc>
        <w:tc>
          <w:tcPr>
            <w:tcW w:w="4971" w:type="dxa"/>
            <w:vAlign w:val="center"/>
            <w:hideMark/>
          </w:tcPr>
          <w:p w14:paraId="3F9A9B1A" w14:textId="0BE14670" w:rsidR="00FA47D4" w:rsidRPr="003D121E" w:rsidRDefault="00FA47D4" w:rsidP="00FA47D4">
            <w:pPr>
              <w:jc w:val="left"/>
              <w:rPr>
                <w:sz w:val="22"/>
                <w:lang w:val="en-US" w:eastAsia="zh-CN" w:bidi="bn-IN"/>
              </w:rPr>
            </w:pPr>
            <w:r w:rsidRPr="00FA47D4">
              <w:rPr>
                <w:color w:val="000000"/>
                <w:sz w:val="22"/>
              </w:rPr>
              <w:t>EVs lack ESG-aligned technical skills for maintenance and battery management.</w:t>
            </w:r>
          </w:p>
        </w:tc>
      </w:tr>
      <w:tr w:rsidR="00FA47D4" w:rsidRPr="00FA47D4" w14:paraId="41821EF5" w14:textId="77777777" w:rsidTr="004434E6">
        <w:tc>
          <w:tcPr>
            <w:tcW w:w="1745" w:type="dxa"/>
            <w:vMerge/>
            <w:vAlign w:val="center"/>
            <w:hideMark/>
          </w:tcPr>
          <w:p w14:paraId="27EC4616" w14:textId="77777777" w:rsidR="00FA47D4" w:rsidRPr="003D121E" w:rsidRDefault="00FA47D4" w:rsidP="00FA47D4">
            <w:pPr>
              <w:jc w:val="left"/>
              <w:rPr>
                <w:sz w:val="22"/>
                <w:lang w:val="en-US" w:eastAsia="zh-CN" w:bidi="bn-IN"/>
              </w:rPr>
            </w:pPr>
          </w:p>
        </w:tc>
        <w:tc>
          <w:tcPr>
            <w:tcW w:w="2300" w:type="dxa"/>
            <w:vAlign w:val="center"/>
            <w:hideMark/>
          </w:tcPr>
          <w:p w14:paraId="2E4991E2" w14:textId="77777777" w:rsidR="00FA47D4" w:rsidRPr="003D121E" w:rsidRDefault="00FA47D4" w:rsidP="00FA47D4">
            <w:pPr>
              <w:jc w:val="left"/>
              <w:rPr>
                <w:sz w:val="22"/>
                <w:lang w:val="en-US" w:eastAsia="zh-CN" w:bidi="bn-IN"/>
              </w:rPr>
            </w:pPr>
            <w:r w:rsidRPr="003D121E">
              <w:rPr>
                <w:sz w:val="22"/>
                <w:lang w:val="en-US" w:eastAsia="zh-CN" w:bidi="bn-IN"/>
              </w:rPr>
              <w:t>Workforce Transition</w:t>
            </w:r>
          </w:p>
        </w:tc>
        <w:tc>
          <w:tcPr>
            <w:tcW w:w="4971" w:type="dxa"/>
            <w:vAlign w:val="center"/>
            <w:hideMark/>
          </w:tcPr>
          <w:p w14:paraId="576E676A" w14:textId="35C1A7C8" w:rsidR="00FA47D4" w:rsidRPr="003D121E" w:rsidRDefault="00FA47D4" w:rsidP="00FA47D4">
            <w:pPr>
              <w:jc w:val="left"/>
              <w:rPr>
                <w:sz w:val="22"/>
                <w:lang w:val="en-US" w:eastAsia="zh-CN" w:bidi="bn-IN"/>
              </w:rPr>
            </w:pPr>
            <w:r w:rsidRPr="00FA47D4">
              <w:rPr>
                <w:color w:val="000000"/>
                <w:sz w:val="22"/>
              </w:rPr>
              <w:t>ICE firms face reskilling challenges during ESG-driven transitions.</w:t>
            </w:r>
          </w:p>
        </w:tc>
      </w:tr>
    </w:tbl>
    <w:p w14:paraId="33413131" w14:textId="77777777" w:rsidR="00642FAE" w:rsidRPr="00642FAE" w:rsidRDefault="00642FAE" w:rsidP="00642FAE">
      <w:pPr>
        <w:rPr>
          <w:lang w:val="en-US" w:bidi="bn-IN"/>
        </w:rPr>
      </w:pPr>
      <w:r w:rsidRPr="00642FAE">
        <w:rPr>
          <w:lang w:val="en-US" w:bidi="bn-IN"/>
        </w:rPr>
        <w:t>Although the pressure on sustainability and the strategic interest increase in the institution, electric vehicle (EV) companies as well as conventional vehicle manufacturers encounter substantial obstacles that constrain the extent, rate, and achievement of ESG implementation. These obstacles vary in their forms but equally limiting to all types of firms.</w:t>
      </w:r>
    </w:p>
    <w:p w14:paraId="670900BC" w14:textId="77777777" w:rsidR="00642FAE" w:rsidRPr="00642FAE" w:rsidRDefault="00642FAE" w:rsidP="00642FAE">
      <w:pPr>
        <w:rPr>
          <w:lang w:val="en-US" w:bidi="bn-IN"/>
        </w:rPr>
      </w:pPr>
      <w:r w:rsidRPr="00642FAE">
        <w:rPr>
          <w:lang w:val="en-US" w:bidi="bn-IN"/>
        </w:rPr>
        <w:t xml:space="preserve">Financial constraints are also a significant obstacle to the implementation of ESG in both EV and traditional automotive companies, albeit due to different cost structures. In the case of EV companies, capital intensity contributes to battery development, charging infrastructure development, reconfiguring supply chains, and so on tend to consume resources that otherwise would be used to advance a more comprehensive ESG strategy. A number of experiments find that ESG investments may lower short-term financial results, particularly in capital-intensive EV production settings, which make firms less likely to go further with ESG integration (Chen, 2024). Also, the cost of EVs is still elevated in most areas, which limits the market size and undermines the financial rationale behind ESG investments (Pillay, Brent and </w:t>
      </w:r>
      <w:proofErr w:type="spellStart"/>
      <w:r w:rsidRPr="00642FAE">
        <w:rPr>
          <w:lang w:val="en-US" w:bidi="bn-IN"/>
        </w:rPr>
        <w:t>Musango</w:t>
      </w:r>
      <w:proofErr w:type="spellEnd"/>
      <w:r w:rsidRPr="00642FAE">
        <w:rPr>
          <w:lang w:val="en-US" w:bidi="bn-IN"/>
        </w:rPr>
        <w:t>, 2019).</w:t>
      </w:r>
    </w:p>
    <w:p w14:paraId="5F6E27A1" w14:textId="47084381" w:rsidR="00642FAE" w:rsidRPr="00642FAE" w:rsidRDefault="00642FAE" w:rsidP="00642FAE">
      <w:pPr>
        <w:rPr>
          <w:lang w:val="en-US" w:bidi="bn-IN"/>
        </w:rPr>
      </w:pPr>
      <w:r w:rsidRPr="00642FAE">
        <w:rPr>
          <w:lang w:val="en-US" w:bidi="bn-IN"/>
        </w:rPr>
        <w:t xml:space="preserve">Conventional ICE-based companies encounter obstacles caused by legacy asset lock-in. Easing of financial capabilities by investments in existing internal combustion technologies, production plants, and supplier networks augment the opportunity cost of ESG-driven change. Although green </w:t>
      </w:r>
      <w:proofErr w:type="spellStart"/>
      <w:r w:rsidRPr="00642FAE">
        <w:rPr>
          <w:lang w:val="en-US" w:bidi="bn-IN"/>
        </w:rPr>
        <w:t>practises</w:t>
      </w:r>
      <w:proofErr w:type="spellEnd"/>
      <w:r w:rsidRPr="00642FAE">
        <w:rPr>
          <w:lang w:val="en-US" w:bidi="bn-IN"/>
        </w:rPr>
        <w:t xml:space="preserve"> including eco-design and environmental management may enhance financial performance, not all ESG </w:t>
      </w:r>
      <w:r w:rsidRPr="00642FAE">
        <w:rPr>
          <w:lang w:val="en-US" w:bidi="bn-IN"/>
        </w:rPr>
        <w:lastRenderedPageBreak/>
        <w:t xml:space="preserve">initiatives can provide prompt returns, and thus firms are hesitant to adopt broad-based ESG initiatives (Kour </w:t>
      </w:r>
      <w:r w:rsidRPr="00642FAE">
        <w:rPr>
          <w:i/>
          <w:iCs/>
          <w:lang w:val="en-US" w:bidi="bn-IN"/>
        </w:rPr>
        <w:t>et al</w:t>
      </w:r>
      <w:r w:rsidRPr="00642FAE">
        <w:rPr>
          <w:lang w:val="en-US" w:bidi="bn-IN"/>
        </w:rPr>
        <w:t>., 2020). Consequently, ESG implementation within the traditional companies is usually incomplete and conformity-oriented instead of transformational.</w:t>
      </w:r>
    </w:p>
    <w:p w14:paraId="1FF32495" w14:textId="52A7F27E" w:rsidR="00642FAE" w:rsidRPr="00642FAE" w:rsidRDefault="00642FAE" w:rsidP="00642FAE">
      <w:pPr>
        <w:rPr>
          <w:lang w:val="en-US" w:bidi="bn-IN"/>
        </w:rPr>
      </w:pPr>
      <w:r w:rsidRPr="00642FAE">
        <w:rPr>
          <w:lang w:val="en-US" w:bidi="bn-IN"/>
        </w:rPr>
        <w:t xml:space="preserve">The issue of infrastructure barriers is a severe underminer of the effectiveness of ESG, especially among EV companies. The EV adoption will significantly depend on electricity generation mix and EV charging infrastructure which is diverse across regions which will result in environmental benefits of EV adoption. EVs can increase the lifecycle emissions compared to ICE vehicles in coal-reliant areas, which undermine the environmental validity of ESG statements (Gan </w:t>
      </w:r>
      <w:r w:rsidRPr="00642FAE">
        <w:rPr>
          <w:i/>
          <w:iCs/>
          <w:lang w:val="en-US" w:bidi="bn-IN"/>
        </w:rPr>
        <w:t>et al</w:t>
      </w:r>
      <w:r w:rsidRPr="00642FAE">
        <w:rPr>
          <w:lang w:val="en-US" w:bidi="bn-IN"/>
        </w:rPr>
        <w:t xml:space="preserve">., 2021; Guha </w:t>
      </w:r>
      <w:r w:rsidRPr="00642FAE">
        <w:rPr>
          <w:i/>
          <w:iCs/>
          <w:lang w:val="en-US" w:bidi="bn-IN"/>
        </w:rPr>
        <w:t>et al</w:t>
      </w:r>
      <w:r w:rsidRPr="00642FAE">
        <w:rPr>
          <w:lang w:val="en-US" w:bidi="bn-IN"/>
        </w:rPr>
        <w:t>., 2018). Low charge networks, and slow grid decarbonization are therefore systemic to the extent that EV companies have no direct control over them.</w:t>
      </w:r>
    </w:p>
    <w:p w14:paraId="4DCF1A7B" w14:textId="6783DE19" w:rsidR="00642FAE" w:rsidRPr="00642FAE" w:rsidRDefault="00642FAE" w:rsidP="00642FAE">
      <w:pPr>
        <w:rPr>
          <w:lang w:val="en-US" w:bidi="bn-IN"/>
        </w:rPr>
      </w:pPr>
      <w:r w:rsidRPr="00642FAE">
        <w:rPr>
          <w:lang w:val="en-US" w:bidi="bn-IN"/>
        </w:rPr>
        <w:t xml:space="preserve">The barriers experienced by the traditional automotive firms are in another dimension, which is infrastructure. Lack of developed alternative fuel and hydrogen infrastructure places a strain on scaling up of cleaner powertrain products like hybrids and fuel-cell vehicles, and puts off ESG-driven transitions (Liu </w:t>
      </w:r>
      <w:r w:rsidRPr="00642FAE">
        <w:rPr>
          <w:i/>
          <w:iCs/>
          <w:lang w:val="en-US" w:bidi="bn-IN"/>
        </w:rPr>
        <w:t>et al</w:t>
      </w:r>
      <w:r w:rsidRPr="00642FAE">
        <w:rPr>
          <w:lang w:val="en-US" w:bidi="bn-IN"/>
        </w:rPr>
        <w:t xml:space="preserve">., 2018; </w:t>
      </w:r>
      <w:proofErr w:type="spellStart"/>
      <w:r w:rsidRPr="00642FAE">
        <w:rPr>
          <w:lang w:val="en-US" w:bidi="bn-IN"/>
        </w:rPr>
        <w:t>Tillu</w:t>
      </w:r>
      <w:proofErr w:type="spellEnd"/>
      <w:r w:rsidRPr="00642FAE">
        <w:rPr>
          <w:lang w:val="en-US" w:bidi="bn-IN"/>
        </w:rPr>
        <w:t xml:space="preserve"> </w:t>
      </w:r>
      <w:r w:rsidRPr="00642FAE">
        <w:rPr>
          <w:i/>
          <w:iCs/>
          <w:lang w:val="en-US" w:bidi="bn-IN"/>
        </w:rPr>
        <w:t>et al</w:t>
      </w:r>
      <w:r w:rsidRPr="00642FAE">
        <w:rPr>
          <w:lang w:val="en-US" w:bidi="bn-IN"/>
        </w:rPr>
        <w:t>., 2024). Thus, the two types of firms are still limited by larger energy and transport networks, which means that the effectiveness of ESG is not limited to firm-level actions.</w:t>
      </w:r>
    </w:p>
    <w:p w14:paraId="1D37BCEC" w14:textId="48C4E5AD" w:rsidR="00642FAE" w:rsidRPr="00642FAE" w:rsidRDefault="00642FAE" w:rsidP="00642FAE">
      <w:pPr>
        <w:rPr>
          <w:lang w:val="en-US" w:bidi="bn-IN"/>
        </w:rPr>
      </w:pPr>
      <w:r w:rsidRPr="00642FAE">
        <w:rPr>
          <w:lang w:val="en-US" w:bidi="bn-IN"/>
        </w:rPr>
        <w:t xml:space="preserve">The key obstacle to the credibility of ESG in both EV and traditional car companies is the existence of environmental trade-offs that have been uncovered by the lifecycle assessment. In the case of EV companies, operational emissions are reduced, but producing batteries and extracting raw materials poses certain challenges in terms of mineral scarcity, water consumption, acidification, and toxicity effects (Kim </w:t>
      </w:r>
      <w:r w:rsidRPr="00642FAE">
        <w:rPr>
          <w:i/>
          <w:iCs/>
          <w:lang w:val="en-US" w:bidi="bn-IN"/>
        </w:rPr>
        <w:t>et al</w:t>
      </w:r>
      <w:r w:rsidRPr="00642FAE">
        <w:rPr>
          <w:lang w:val="en-US" w:bidi="bn-IN"/>
        </w:rPr>
        <w:t xml:space="preserve">., 2016; Zeng </w:t>
      </w:r>
      <w:r w:rsidRPr="00642FAE">
        <w:rPr>
          <w:i/>
          <w:iCs/>
          <w:lang w:val="en-US" w:bidi="bn-IN"/>
        </w:rPr>
        <w:t>et al</w:t>
      </w:r>
      <w:r w:rsidRPr="00642FAE">
        <w:rPr>
          <w:lang w:val="en-US" w:bidi="bn-IN"/>
        </w:rPr>
        <w:t>., 2020). These trade-offs make environmental ESG performance more difficult, and subject firms to criticism based on resource sustainability and supply-chain ethics.</w:t>
      </w:r>
    </w:p>
    <w:p w14:paraId="7E577436" w14:textId="13B75335" w:rsidR="00642FAE" w:rsidRPr="00642FAE" w:rsidRDefault="00642FAE" w:rsidP="00642FAE">
      <w:pPr>
        <w:rPr>
          <w:lang w:val="en-US" w:bidi="bn-IN"/>
        </w:rPr>
      </w:pPr>
      <w:r w:rsidRPr="00642FAE">
        <w:rPr>
          <w:lang w:val="en-US" w:bidi="bn-IN"/>
        </w:rPr>
        <w:t xml:space="preserve">Classical car companies encounter comparable challenges. Even though ICE cars tend to be even less efficient in greenhouse gas emissions, they could be more efficient in some manufacturing-stage indicators or non-climate environmental areas (Guzmán </w:t>
      </w:r>
      <w:r w:rsidRPr="00642FAE">
        <w:rPr>
          <w:i/>
          <w:iCs/>
          <w:lang w:val="en-US" w:bidi="bn-IN"/>
        </w:rPr>
        <w:t>et al</w:t>
      </w:r>
      <w:r w:rsidRPr="00642FAE">
        <w:rPr>
          <w:lang w:val="en-US" w:bidi="bn-IN"/>
        </w:rPr>
        <w:t>., 2022; Ha, 2019). This lowers the certainty of ESG standards and dilutes the agreement in the stakeholders on what will make the superior ESG performance, thus hindering adoption in both types of firms.</w:t>
      </w:r>
    </w:p>
    <w:p w14:paraId="7C122A95" w14:textId="44E697B2" w:rsidR="00642FAE" w:rsidRPr="00642FAE" w:rsidRDefault="00642FAE" w:rsidP="00642FAE">
      <w:pPr>
        <w:rPr>
          <w:lang w:val="en-US" w:bidi="bn-IN"/>
        </w:rPr>
      </w:pPr>
      <w:r w:rsidRPr="00642FAE">
        <w:rPr>
          <w:lang w:val="en-US" w:bidi="bn-IN"/>
        </w:rPr>
        <w:lastRenderedPageBreak/>
        <w:t xml:space="preserve">Another common obstacle is weak or inconsistent system of governance. Empirical data indicates that ESG performance in the automotive industry is very time-dependent and unreliable, which means that it has poor governance and lacks accountability (Dincă </w:t>
      </w:r>
      <w:r w:rsidRPr="00642FAE">
        <w:rPr>
          <w:i/>
          <w:iCs/>
          <w:lang w:val="en-US" w:bidi="bn-IN"/>
        </w:rPr>
        <w:t>et al</w:t>
      </w:r>
      <w:r w:rsidRPr="00642FAE">
        <w:rPr>
          <w:lang w:val="en-US" w:bidi="bn-IN"/>
        </w:rPr>
        <w:t>., 2022). In the case of EV companies, intricate and globally spread supply chains, especially, battery supply chains, are problematic in terms of governance regarding traceability, responsibility distribution, and enforcement of ESG guidelines (Zhao, Han, Zhou &amp; Xia, 2025).</w:t>
      </w:r>
    </w:p>
    <w:p w14:paraId="5FF896C7" w14:textId="57B90E95" w:rsidR="00642FAE" w:rsidRPr="00642FAE" w:rsidRDefault="00642FAE" w:rsidP="00642FAE">
      <w:pPr>
        <w:rPr>
          <w:lang w:val="en-US" w:bidi="bn-IN"/>
        </w:rPr>
      </w:pPr>
      <w:r w:rsidRPr="00642FAE">
        <w:rPr>
          <w:lang w:val="en-US" w:bidi="bn-IN"/>
        </w:rPr>
        <w:t xml:space="preserve">Barriers to governance typically arise in traditional automotive companies as rhetorical ESG implementation as opposed to change. The </w:t>
      </w:r>
      <w:proofErr w:type="spellStart"/>
      <w:r w:rsidRPr="00642FAE">
        <w:rPr>
          <w:lang w:val="en-US" w:bidi="bn-IN"/>
        </w:rPr>
        <w:t>institutionalisation</w:t>
      </w:r>
      <w:proofErr w:type="spellEnd"/>
      <w:r w:rsidRPr="00642FAE">
        <w:rPr>
          <w:lang w:val="en-US" w:bidi="bn-IN"/>
        </w:rPr>
        <w:t xml:space="preserve"> of board structures and CSR participation do not necessarily result in quantifiable performance changes, especially where ESG is not linked to the fundamental operational strategy (Catacutan </w:t>
      </w:r>
      <w:r w:rsidRPr="00642FAE">
        <w:rPr>
          <w:i/>
          <w:iCs/>
          <w:lang w:val="en-US" w:bidi="bn-IN"/>
        </w:rPr>
        <w:t>et al</w:t>
      </w:r>
      <w:r w:rsidRPr="00642FAE">
        <w:rPr>
          <w:lang w:val="en-US" w:bidi="bn-IN"/>
        </w:rPr>
        <w:t>., 2024). This restricts the efficacy of ESG and creates suspiciousness of stakeholders.</w:t>
      </w:r>
    </w:p>
    <w:p w14:paraId="5EBD4BD9" w14:textId="24A7ABF8" w:rsidR="00642FAE" w:rsidRPr="00642FAE" w:rsidRDefault="00642FAE" w:rsidP="00642FAE">
      <w:pPr>
        <w:rPr>
          <w:lang w:val="en-US" w:bidi="bn-IN"/>
        </w:rPr>
      </w:pPr>
      <w:r w:rsidRPr="00642FAE">
        <w:rPr>
          <w:lang w:val="en-US" w:bidi="bn-IN"/>
        </w:rPr>
        <w:t xml:space="preserve">EV and traditional automotive companies both encounter the challenge of ESG greenwashing, which discredits and undermines sustainability. The initial competition in the EV market and regulatory uncertainty </w:t>
      </w:r>
      <w:proofErr w:type="gramStart"/>
      <w:r w:rsidRPr="00642FAE">
        <w:rPr>
          <w:lang w:val="en-US" w:bidi="bn-IN"/>
        </w:rPr>
        <w:t>are</w:t>
      </w:r>
      <w:proofErr w:type="gramEnd"/>
      <w:r w:rsidRPr="00642FAE">
        <w:rPr>
          <w:lang w:val="en-US" w:bidi="bn-IN"/>
        </w:rPr>
        <w:t xml:space="preserve"> rewarding companies to demonstrate a commitment to ESG without adopting sustainable practices, especially in supply chains (Gao </w:t>
      </w:r>
      <w:r w:rsidRPr="00642FAE">
        <w:rPr>
          <w:i/>
          <w:iCs/>
          <w:lang w:val="en-US" w:bidi="bn-IN"/>
        </w:rPr>
        <w:t>et al</w:t>
      </w:r>
      <w:r w:rsidRPr="00642FAE">
        <w:rPr>
          <w:lang w:val="en-US" w:bidi="bn-IN"/>
        </w:rPr>
        <w:t>., 2025). This undermines the credibility of ESG and may lead to regulatory reaction.</w:t>
      </w:r>
    </w:p>
    <w:p w14:paraId="1F13B1D4" w14:textId="0D590C05" w:rsidR="00642FAE" w:rsidRPr="00642FAE" w:rsidRDefault="00642FAE" w:rsidP="00642FAE">
      <w:pPr>
        <w:rPr>
          <w:lang w:val="en-US" w:bidi="bn-IN"/>
        </w:rPr>
      </w:pPr>
      <w:r w:rsidRPr="00642FAE">
        <w:rPr>
          <w:lang w:val="en-US" w:bidi="bn-IN"/>
        </w:rPr>
        <w:t xml:space="preserve">Older car manufacturers are also at risk of greenwashing, particularly when the production of ICEs is being compensated by ESG disclosures. In the absence of tangible performance increases, ESG communication is likely to be viewed as reputational management, as opposed to actual sustainability action (Vijaya </w:t>
      </w:r>
      <w:r w:rsidRPr="00642FAE">
        <w:rPr>
          <w:i/>
          <w:iCs/>
          <w:lang w:val="en-US" w:bidi="bn-IN"/>
        </w:rPr>
        <w:t>et al</w:t>
      </w:r>
      <w:r w:rsidRPr="00642FAE">
        <w:rPr>
          <w:lang w:val="en-US" w:bidi="bn-IN"/>
        </w:rPr>
        <w:t>., 2024). Greenwashing in both scenarios destroys stakeholder trust and lowers the strategic importance of ESG implementation.</w:t>
      </w:r>
    </w:p>
    <w:p w14:paraId="5199DE5E" w14:textId="575F737E" w:rsidR="00642FAE" w:rsidRPr="00642FAE" w:rsidRDefault="00642FAE" w:rsidP="00642FAE">
      <w:pPr>
        <w:rPr>
          <w:lang w:val="en-US" w:bidi="bn-IN"/>
        </w:rPr>
      </w:pPr>
      <w:r w:rsidRPr="00642FAE">
        <w:rPr>
          <w:lang w:val="en-US" w:bidi="bn-IN"/>
        </w:rPr>
        <w:t xml:space="preserve">Lastly, the social ESG dimensions pose long-term obstacles throughout the industry. The lack of ESG-compatible technical expertise, especially within the areas of maintenance, battery management, and digital governance, is a challenge with which EV firms are short-changed, limiting successful ESG implementation (Yu </w:t>
      </w:r>
      <w:r w:rsidRPr="00642FAE">
        <w:rPr>
          <w:i/>
          <w:iCs/>
          <w:lang w:val="en-US" w:bidi="bn-IN"/>
        </w:rPr>
        <w:t>et al</w:t>
      </w:r>
      <w:r w:rsidRPr="00642FAE">
        <w:rPr>
          <w:lang w:val="en-US" w:bidi="bn-IN"/>
        </w:rPr>
        <w:t>., 2025). The legacy automotive companies, in turn, find it difficult to adapt to the workforce transition due to the ESG-motivated technological changes pushing upon employment stability and necessitating reskilling on a mass level (</w:t>
      </w:r>
      <w:proofErr w:type="spellStart"/>
      <w:r w:rsidRPr="00642FAE">
        <w:rPr>
          <w:lang w:val="en-US" w:bidi="bn-IN"/>
        </w:rPr>
        <w:t>Nuryakin</w:t>
      </w:r>
      <w:proofErr w:type="spellEnd"/>
      <w:r w:rsidRPr="00642FAE">
        <w:rPr>
          <w:lang w:val="en-US" w:bidi="bn-IN"/>
        </w:rPr>
        <w:t xml:space="preserve"> </w:t>
      </w:r>
      <w:r w:rsidRPr="00642FAE">
        <w:rPr>
          <w:i/>
          <w:iCs/>
          <w:lang w:val="en-US" w:bidi="bn-IN"/>
        </w:rPr>
        <w:t>et al</w:t>
      </w:r>
      <w:r w:rsidRPr="00642FAE">
        <w:rPr>
          <w:lang w:val="en-US" w:bidi="bn-IN"/>
        </w:rPr>
        <w:t>., 2019).</w:t>
      </w:r>
    </w:p>
    <w:p w14:paraId="0BA9C6D2" w14:textId="16F49983" w:rsidR="003D121E" w:rsidRPr="003D121E" w:rsidRDefault="00642FAE" w:rsidP="00642FAE">
      <w:pPr>
        <w:rPr>
          <w:lang w:val="en-US" w:bidi="bn-IN"/>
        </w:rPr>
      </w:pPr>
      <w:r w:rsidRPr="00642FAE">
        <w:rPr>
          <w:lang w:val="en-US" w:bidi="bn-IN"/>
        </w:rPr>
        <w:lastRenderedPageBreak/>
        <w:t xml:space="preserve">In conclusion, the narrative synthesis suggests that firm-specific factors and shared factors are behind the adoption of ESG in the automotive industry. Regulatory incentives, clean-technology alignment, and market demand, and long-term growth prompt EV firms to consider ESG as a strategic asset, whilst traditional ICE-dominated firms consider ESG as a strategic asset as a smooth transition measure, primarily compliance, governance, and risk management. The common drivers are sound governance, enabling policies and creation of long-term values. The barriers vary somewhat, EV companies depend on infrastructure, lifecycle trade-offs, and complicated supply chains, whereas the traditional companies have to deal with legacy systems, financial inflexibility, and symbolic ESG initiatives. The two are both </w:t>
      </w:r>
      <w:proofErr w:type="spellStart"/>
      <w:r w:rsidRPr="00642FAE">
        <w:rPr>
          <w:lang w:val="en-US" w:bidi="bn-IN"/>
        </w:rPr>
        <w:t>characterised</w:t>
      </w:r>
      <w:proofErr w:type="spellEnd"/>
      <w:r w:rsidRPr="00642FAE">
        <w:rPr>
          <w:lang w:val="en-US" w:bidi="bn-IN"/>
        </w:rPr>
        <w:t xml:space="preserve"> by the challenges of high prices, uncertainty in environmental performance, gaps in governance, and greenwashing, which restrict the effectiveness of ESG in the industry.</w:t>
      </w:r>
    </w:p>
    <w:p w14:paraId="364FFE24" w14:textId="6E347CC6" w:rsidR="00D57F09" w:rsidRDefault="00D57F09" w:rsidP="00D57F09">
      <w:pPr>
        <w:pStyle w:val="Heading3"/>
        <w:rPr>
          <w:lang w:val="en-US" w:eastAsia="zh-CN" w:bidi="bn-IN"/>
        </w:rPr>
      </w:pPr>
      <w:bookmarkStart w:id="61" w:name="_Hlk217952032"/>
      <w:bookmarkStart w:id="62" w:name="_Toc217953871"/>
      <w:r w:rsidRPr="00D57F09">
        <w:rPr>
          <w:lang w:val="en-US" w:eastAsia="zh-CN" w:bidi="bn-IN"/>
        </w:rPr>
        <w:t>Impact of ESG Considerations on Financial Performance of Automotive Companies</w:t>
      </w:r>
      <w:r>
        <w:rPr>
          <w:lang w:val="en-US" w:eastAsia="zh-CN" w:bidi="bn-IN"/>
        </w:rPr>
        <w:t xml:space="preserve"> </w:t>
      </w:r>
      <w:bookmarkEnd w:id="61"/>
      <w:r>
        <w:rPr>
          <w:lang w:val="en-US" w:eastAsia="zh-CN" w:bidi="bn-IN"/>
        </w:rPr>
        <w:t>(RQ3)</w:t>
      </w:r>
      <w:bookmarkEnd w:id="62"/>
    </w:p>
    <w:p w14:paraId="0C765A4F" w14:textId="3A64A20A" w:rsidR="00F21071" w:rsidRPr="00F21071" w:rsidRDefault="00F21071" w:rsidP="00F21071">
      <w:pPr>
        <w:pStyle w:val="Caption"/>
        <w:rPr>
          <w:lang w:val="en-US" w:eastAsia="zh-CN" w:bidi="bn-IN"/>
        </w:rPr>
      </w:pPr>
      <w:bookmarkStart w:id="63" w:name="_Toc217952159"/>
      <w:r>
        <w:t xml:space="preserve">Table </w:t>
      </w:r>
      <w:fldSimple w:instr=" SEQ Table \* ARABIC ">
        <w:r>
          <w:rPr>
            <w:noProof/>
          </w:rPr>
          <w:t>5</w:t>
        </w:r>
      </w:fldSimple>
      <w:r>
        <w:t xml:space="preserve"> Thematic Analysis of the </w:t>
      </w:r>
      <w:r w:rsidRPr="00F21071">
        <w:t>Impact of ESG Considerations on Financial Performance</w:t>
      </w:r>
      <w:bookmarkEnd w:id="63"/>
    </w:p>
    <w:tbl>
      <w:tblPr>
        <w:tblStyle w:val="TableGridLight"/>
        <w:tblW w:w="0" w:type="auto"/>
        <w:tblLook w:val="04A0" w:firstRow="1" w:lastRow="0" w:firstColumn="1" w:lastColumn="0" w:noHBand="0" w:noVBand="1"/>
      </w:tblPr>
      <w:tblGrid>
        <w:gridCol w:w="1975"/>
        <w:gridCol w:w="2520"/>
        <w:gridCol w:w="4521"/>
      </w:tblGrid>
      <w:tr w:rsidR="004656C4" w:rsidRPr="004656C4" w14:paraId="382C69AA" w14:textId="77777777" w:rsidTr="004434E6">
        <w:tc>
          <w:tcPr>
            <w:tcW w:w="1975" w:type="dxa"/>
            <w:vAlign w:val="center"/>
            <w:hideMark/>
          </w:tcPr>
          <w:p w14:paraId="6B2DC263" w14:textId="77777777" w:rsidR="004656C4" w:rsidRPr="004656C4" w:rsidRDefault="004656C4" w:rsidP="004656C4">
            <w:pPr>
              <w:jc w:val="left"/>
              <w:rPr>
                <w:b/>
                <w:bCs/>
                <w:sz w:val="22"/>
                <w:lang w:val="en-US" w:eastAsia="zh-CN" w:bidi="bn-IN"/>
              </w:rPr>
            </w:pPr>
            <w:r w:rsidRPr="004656C4">
              <w:rPr>
                <w:b/>
                <w:bCs/>
                <w:sz w:val="22"/>
                <w:lang w:val="en-US" w:eastAsia="zh-CN" w:bidi="bn-IN"/>
              </w:rPr>
              <w:t>Theme</w:t>
            </w:r>
          </w:p>
        </w:tc>
        <w:tc>
          <w:tcPr>
            <w:tcW w:w="2520" w:type="dxa"/>
            <w:vAlign w:val="center"/>
            <w:hideMark/>
          </w:tcPr>
          <w:p w14:paraId="55873B69" w14:textId="77777777" w:rsidR="004656C4" w:rsidRPr="004656C4" w:rsidRDefault="004656C4" w:rsidP="004656C4">
            <w:pPr>
              <w:jc w:val="left"/>
              <w:rPr>
                <w:b/>
                <w:bCs/>
                <w:sz w:val="22"/>
                <w:lang w:val="en-US" w:eastAsia="zh-CN" w:bidi="bn-IN"/>
              </w:rPr>
            </w:pPr>
            <w:r w:rsidRPr="004656C4">
              <w:rPr>
                <w:b/>
                <w:bCs/>
                <w:sz w:val="22"/>
                <w:lang w:val="en-US" w:eastAsia="zh-CN" w:bidi="bn-IN"/>
              </w:rPr>
              <w:t>Sub-theme</w:t>
            </w:r>
          </w:p>
        </w:tc>
        <w:tc>
          <w:tcPr>
            <w:tcW w:w="4521" w:type="dxa"/>
            <w:vAlign w:val="center"/>
            <w:hideMark/>
          </w:tcPr>
          <w:p w14:paraId="3FFF1744" w14:textId="77777777" w:rsidR="004656C4" w:rsidRPr="004656C4" w:rsidRDefault="004656C4" w:rsidP="004656C4">
            <w:pPr>
              <w:jc w:val="left"/>
              <w:rPr>
                <w:b/>
                <w:bCs/>
                <w:sz w:val="22"/>
                <w:lang w:val="en-US" w:eastAsia="zh-CN" w:bidi="bn-IN"/>
              </w:rPr>
            </w:pPr>
            <w:r w:rsidRPr="004656C4">
              <w:rPr>
                <w:b/>
                <w:bCs/>
                <w:sz w:val="22"/>
                <w:lang w:val="en-US" w:eastAsia="zh-CN" w:bidi="bn-IN"/>
              </w:rPr>
              <w:t>Code</w:t>
            </w:r>
          </w:p>
        </w:tc>
      </w:tr>
      <w:tr w:rsidR="004656C4" w:rsidRPr="00F21071" w14:paraId="44DC6779" w14:textId="77777777" w:rsidTr="004434E6">
        <w:tc>
          <w:tcPr>
            <w:tcW w:w="1975" w:type="dxa"/>
            <w:vMerge w:val="restart"/>
            <w:vAlign w:val="center"/>
            <w:hideMark/>
          </w:tcPr>
          <w:p w14:paraId="1ADE700F" w14:textId="77777777" w:rsidR="004656C4" w:rsidRPr="004656C4" w:rsidRDefault="004656C4" w:rsidP="004656C4">
            <w:pPr>
              <w:jc w:val="left"/>
              <w:rPr>
                <w:b/>
                <w:bCs/>
                <w:sz w:val="22"/>
                <w:lang w:val="en-US" w:eastAsia="zh-CN" w:bidi="bn-IN"/>
              </w:rPr>
            </w:pPr>
            <w:r w:rsidRPr="004656C4">
              <w:rPr>
                <w:b/>
                <w:bCs/>
                <w:sz w:val="22"/>
                <w:lang w:val="en-US" w:eastAsia="zh-CN" w:bidi="bn-IN"/>
              </w:rPr>
              <w:t>Positive impact of environmental initiatives on financial outcomes</w:t>
            </w:r>
          </w:p>
        </w:tc>
        <w:tc>
          <w:tcPr>
            <w:tcW w:w="2520" w:type="dxa"/>
            <w:vAlign w:val="center"/>
            <w:hideMark/>
          </w:tcPr>
          <w:p w14:paraId="627DA5FF" w14:textId="77777777" w:rsidR="004656C4" w:rsidRPr="004656C4" w:rsidRDefault="004656C4" w:rsidP="004656C4">
            <w:pPr>
              <w:jc w:val="left"/>
              <w:rPr>
                <w:sz w:val="22"/>
                <w:lang w:val="en-US" w:eastAsia="zh-CN" w:bidi="bn-IN"/>
              </w:rPr>
            </w:pPr>
            <w:r w:rsidRPr="004656C4">
              <w:rPr>
                <w:sz w:val="22"/>
                <w:lang w:val="en-US" w:eastAsia="zh-CN" w:bidi="bn-IN"/>
              </w:rPr>
              <w:t>Environmental management</w:t>
            </w:r>
          </w:p>
        </w:tc>
        <w:tc>
          <w:tcPr>
            <w:tcW w:w="4521" w:type="dxa"/>
            <w:vAlign w:val="center"/>
            <w:hideMark/>
          </w:tcPr>
          <w:p w14:paraId="09560A79" w14:textId="77777777" w:rsidR="004656C4" w:rsidRPr="004656C4" w:rsidRDefault="004656C4" w:rsidP="004656C4">
            <w:pPr>
              <w:jc w:val="left"/>
              <w:rPr>
                <w:sz w:val="22"/>
                <w:lang w:val="en-US" w:eastAsia="zh-CN" w:bidi="bn-IN"/>
              </w:rPr>
            </w:pPr>
            <w:r w:rsidRPr="004656C4">
              <w:rPr>
                <w:sz w:val="22"/>
                <w:lang w:val="en-US" w:eastAsia="zh-CN" w:bidi="bn-IN"/>
              </w:rPr>
              <w:t>Proactive environmental management enhances long-term profitability</w:t>
            </w:r>
          </w:p>
        </w:tc>
      </w:tr>
      <w:tr w:rsidR="004656C4" w:rsidRPr="00F21071" w14:paraId="15EC47BA" w14:textId="77777777" w:rsidTr="004434E6">
        <w:tc>
          <w:tcPr>
            <w:tcW w:w="1975" w:type="dxa"/>
            <w:vMerge/>
            <w:vAlign w:val="center"/>
            <w:hideMark/>
          </w:tcPr>
          <w:p w14:paraId="567A6A8B" w14:textId="77777777" w:rsidR="004656C4" w:rsidRPr="004656C4" w:rsidRDefault="004656C4" w:rsidP="004656C4">
            <w:pPr>
              <w:jc w:val="left"/>
              <w:rPr>
                <w:b/>
                <w:bCs/>
                <w:sz w:val="22"/>
                <w:lang w:val="en-US" w:eastAsia="zh-CN" w:bidi="bn-IN"/>
              </w:rPr>
            </w:pPr>
          </w:p>
        </w:tc>
        <w:tc>
          <w:tcPr>
            <w:tcW w:w="2520" w:type="dxa"/>
            <w:vAlign w:val="center"/>
            <w:hideMark/>
          </w:tcPr>
          <w:p w14:paraId="31562B51" w14:textId="77777777" w:rsidR="004656C4" w:rsidRPr="004656C4" w:rsidRDefault="004656C4" w:rsidP="004656C4">
            <w:pPr>
              <w:jc w:val="left"/>
              <w:rPr>
                <w:sz w:val="22"/>
                <w:lang w:val="en-US" w:eastAsia="zh-CN" w:bidi="bn-IN"/>
              </w:rPr>
            </w:pPr>
            <w:r w:rsidRPr="004656C4">
              <w:rPr>
                <w:sz w:val="22"/>
                <w:lang w:val="en-US" w:eastAsia="zh-CN" w:bidi="bn-IN"/>
              </w:rPr>
              <w:t>Eco-design &amp; Technology integration</w:t>
            </w:r>
          </w:p>
        </w:tc>
        <w:tc>
          <w:tcPr>
            <w:tcW w:w="4521" w:type="dxa"/>
            <w:vAlign w:val="center"/>
            <w:hideMark/>
          </w:tcPr>
          <w:p w14:paraId="51C88D94" w14:textId="77777777" w:rsidR="004656C4" w:rsidRPr="004656C4" w:rsidRDefault="004656C4" w:rsidP="004656C4">
            <w:pPr>
              <w:jc w:val="left"/>
              <w:rPr>
                <w:sz w:val="22"/>
                <w:lang w:val="en-US" w:eastAsia="zh-CN" w:bidi="bn-IN"/>
              </w:rPr>
            </w:pPr>
            <w:r w:rsidRPr="004656C4">
              <w:rPr>
                <w:sz w:val="22"/>
                <w:lang w:val="en-US" w:eastAsia="zh-CN" w:bidi="bn-IN"/>
              </w:rPr>
              <w:t>Eco-design and tech integration improve financial performance</w:t>
            </w:r>
          </w:p>
        </w:tc>
      </w:tr>
      <w:tr w:rsidR="004656C4" w:rsidRPr="00F21071" w14:paraId="72C3564B" w14:textId="77777777" w:rsidTr="004434E6">
        <w:tc>
          <w:tcPr>
            <w:tcW w:w="1975" w:type="dxa"/>
            <w:vMerge/>
            <w:vAlign w:val="center"/>
            <w:hideMark/>
          </w:tcPr>
          <w:p w14:paraId="24885FB2" w14:textId="77777777" w:rsidR="004656C4" w:rsidRPr="004656C4" w:rsidRDefault="004656C4" w:rsidP="004656C4">
            <w:pPr>
              <w:jc w:val="left"/>
              <w:rPr>
                <w:b/>
                <w:bCs/>
                <w:sz w:val="22"/>
                <w:lang w:val="en-US" w:eastAsia="zh-CN" w:bidi="bn-IN"/>
              </w:rPr>
            </w:pPr>
          </w:p>
        </w:tc>
        <w:tc>
          <w:tcPr>
            <w:tcW w:w="2520" w:type="dxa"/>
            <w:vAlign w:val="center"/>
            <w:hideMark/>
          </w:tcPr>
          <w:p w14:paraId="1ECC0130" w14:textId="77777777" w:rsidR="004656C4" w:rsidRPr="004656C4" w:rsidRDefault="004656C4" w:rsidP="004656C4">
            <w:pPr>
              <w:jc w:val="left"/>
              <w:rPr>
                <w:sz w:val="22"/>
                <w:lang w:val="en-US" w:eastAsia="zh-CN" w:bidi="bn-IN"/>
              </w:rPr>
            </w:pPr>
            <w:r w:rsidRPr="004656C4">
              <w:rPr>
                <w:sz w:val="22"/>
                <w:lang w:val="en-US" w:eastAsia="zh-CN" w:bidi="bn-IN"/>
              </w:rPr>
              <w:t>Green marketing</w:t>
            </w:r>
          </w:p>
        </w:tc>
        <w:tc>
          <w:tcPr>
            <w:tcW w:w="4521" w:type="dxa"/>
            <w:vAlign w:val="center"/>
            <w:hideMark/>
          </w:tcPr>
          <w:p w14:paraId="135659E5" w14:textId="77777777" w:rsidR="004656C4" w:rsidRPr="004656C4" w:rsidRDefault="004656C4" w:rsidP="004656C4">
            <w:pPr>
              <w:jc w:val="left"/>
              <w:rPr>
                <w:sz w:val="22"/>
                <w:lang w:val="en-US" w:eastAsia="zh-CN" w:bidi="bn-IN"/>
              </w:rPr>
            </w:pPr>
            <w:r w:rsidRPr="004656C4">
              <w:rPr>
                <w:sz w:val="22"/>
                <w:lang w:val="en-US" w:eastAsia="zh-CN" w:bidi="bn-IN"/>
              </w:rPr>
              <w:t>Green marketing contributes positively to financial outcomes</w:t>
            </w:r>
          </w:p>
        </w:tc>
      </w:tr>
      <w:tr w:rsidR="004656C4" w:rsidRPr="00F21071" w14:paraId="41C4DE97" w14:textId="77777777" w:rsidTr="004434E6">
        <w:tc>
          <w:tcPr>
            <w:tcW w:w="1975" w:type="dxa"/>
            <w:vMerge/>
            <w:vAlign w:val="center"/>
            <w:hideMark/>
          </w:tcPr>
          <w:p w14:paraId="4AD26C9D" w14:textId="77777777" w:rsidR="004656C4" w:rsidRPr="004656C4" w:rsidRDefault="004656C4" w:rsidP="004656C4">
            <w:pPr>
              <w:jc w:val="left"/>
              <w:rPr>
                <w:b/>
                <w:bCs/>
                <w:sz w:val="22"/>
                <w:lang w:val="en-US" w:eastAsia="zh-CN" w:bidi="bn-IN"/>
              </w:rPr>
            </w:pPr>
          </w:p>
        </w:tc>
        <w:tc>
          <w:tcPr>
            <w:tcW w:w="2520" w:type="dxa"/>
            <w:vAlign w:val="center"/>
            <w:hideMark/>
          </w:tcPr>
          <w:p w14:paraId="059D9622" w14:textId="77777777" w:rsidR="004656C4" w:rsidRPr="004656C4" w:rsidRDefault="004656C4" w:rsidP="004656C4">
            <w:pPr>
              <w:jc w:val="left"/>
              <w:rPr>
                <w:sz w:val="22"/>
                <w:lang w:val="en-US" w:eastAsia="zh-CN" w:bidi="bn-IN"/>
              </w:rPr>
            </w:pPr>
            <w:r w:rsidRPr="004656C4">
              <w:rPr>
                <w:sz w:val="22"/>
                <w:lang w:val="en-US" w:eastAsia="zh-CN" w:bidi="bn-IN"/>
              </w:rPr>
              <w:t>Limited effect practices</w:t>
            </w:r>
          </w:p>
        </w:tc>
        <w:tc>
          <w:tcPr>
            <w:tcW w:w="4521" w:type="dxa"/>
            <w:vAlign w:val="center"/>
            <w:hideMark/>
          </w:tcPr>
          <w:p w14:paraId="09955AB1" w14:textId="77777777" w:rsidR="004656C4" w:rsidRPr="004656C4" w:rsidRDefault="004656C4" w:rsidP="004656C4">
            <w:pPr>
              <w:jc w:val="left"/>
              <w:rPr>
                <w:sz w:val="22"/>
                <w:lang w:val="en-US" w:eastAsia="zh-CN" w:bidi="bn-IN"/>
              </w:rPr>
            </w:pPr>
            <w:r w:rsidRPr="004656C4">
              <w:rPr>
                <w:sz w:val="22"/>
                <w:lang w:val="en-US" w:eastAsia="zh-CN" w:bidi="bn-IN"/>
              </w:rPr>
              <w:t>Pollution prevention and customer-oriented initiatives show no significant effect</w:t>
            </w:r>
          </w:p>
        </w:tc>
      </w:tr>
      <w:tr w:rsidR="004656C4" w:rsidRPr="00F21071" w14:paraId="02C1CC39" w14:textId="77777777" w:rsidTr="004434E6">
        <w:tc>
          <w:tcPr>
            <w:tcW w:w="1975" w:type="dxa"/>
            <w:vMerge w:val="restart"/>
            <w:vAlign w:val="center"/>
            <w:hideMark/>
          </w:tcPr>
          <w:p w14:paraId="389C19BA" w14:textId="77777777" w:rsidR="004656C4" w:rsidRPr="004656C4" w:rsidRDefault="004656C4" w:rsidP="004656C4">
            <w:pPr>
              <w:jc w:val="left"/>
              <w:rPr>
                <w:b/>
                <w:bCs/>
                <w:sz w:val="22"/>
                <w:lang w:val="en-US" w:eastAsia="zh-CN" w:bidi="bn-IN"/>
              </w:rPr>
            </w:pPr>
            <w:r w:rsidRPr="004656C4">
              <w:rPr>
                <w:b/>
                <w:bCs/>
                <w:sz w:val="22"/>
                <w:lang w:val="en-US" w:eastAsia="zh-CN" w:bidi="bn-IN"/>
              </w:rPr>
              <w:t xml:space="preserve">Positive linkage of broader ESG/CSR with </w:t>
            </w:r>
            <w:r w:rsidRPr="004656C4">
              <w:rPr>
                <w:b/>
                <w:bCs/>
                <w:sz w:val="22"/>
                <w:lang w:val="en-US" w:eastAsia="zh-CN" w:bidi="bn-IN"/>
              </w:rPr>
              <w:lastRenderedPageBreak/>
              <w:t>firm performance</w:t>
            </w:r>
          </w:p>
        </w:tc>
        <w:tc>
          <w:tcPr>
            <w:tcW w:w="2520" w:type="dxa"/>
            <w:vAlign w:val="center"/>
            <w:hideMark/>
          </w:tcPr>
          <w:p w14:paraId="5793CA5D" w14:textId="77777777" w:rsidR="004656C4" w:rsidRPr="004656C4" w:rsidRDefault="004656C4" w:rsidP="004656C4">
            <w:pPr>
              <w:jc w:val="left"/>
              <w:rPr>
                <w:sz w:val="22"/>
                <w:lang w:val="en-US" w:eastAsia="zh-CN" w:bidi="bn-IN"/>
              </w:rPr>
            </w:pPr>
            <w:r w:rsidRPr="004656C4">
              <w:rPr>
                <w:sz w:val="22"/>
                <w:lang w:val="en-US" w:eastAsia="zh-CN" w:bidi="bn-IN"/>
              </w:rPr>
              <w:lastRenderedPageBreak/>
              <w:t>CSR initiatives</w:t>
            </w:r>
          </w:p>
        </w:tc>
        <w:tc>
          <w:tcPr>
            <w:tcW w:w="4521" w:type="dxa"/>
            <w:vAlign w:val="center"/>
            <w:hideMark/>
          </w:tcPr>
          <w:p w14:paraId="5BC72ACC" w14:textId="77777777" w:rsidR="004656C4" w:rsidRPr="004656C4" w:rsidRDefault="004656C4" w:rsidP="004656C4">
            <w:pPr>
              <w:jc w:val="left"/>
              <w:rPr>
                <w:sz w:val="22"/>
                <w:lang w:val="en-US" w:eastAsia="zh-CN" w:bidi="bn-IN"/>
              </w:rPr>
            </w:pPr>
            <w:r w:rsidRPr="004656C4">
              <w:rPr>
                <w:sz w:val="22"/>
                <w:lang w:val="en-US" w:eastAsia="zh-CN" w:bidi="bn-IN"/>
              </w:rPr>
              <w:t>CSR initiatives improve firm performance</w:t>
            </w:r>
          </w:p>
        </w:tc>
      </w:tr>
      <w:tr w:rsidR="004656C4" w:rsidRPr="00F21071" w14:paraId="46967075" w14:textId="77777777" w:rsidTr="004434E6">
        <w:tc>
          <w:tcPr>
            <w:tcW w:w="1975" w:type="dxa"/>
            <w:vMerge/>
            <w:vAlign w:val="center"/>
            <w:hideMark/>
          </w:tcPr>
          <w:p w14:paraId="5FC460B3" w14:textId="77777777" w:rsidR="004656C4" w:rsidRPr="004656C4" w:rsidRDefault="004656C4" w:rsidP="004656C4">
            <w:pPr>
              <w:jc w:val="left"/>
              <w:rPr>
                <w:b/>
                <w:bCs/>
                <w:sz w:val="22"/>
                <w:lang w:val="en-US" w:eastAsia="zh-CN" w:bidi="bn-IN"/>
              </w:rPr>
            </w:pPr>
          </w:p>
        </w:tc>
        <w:tc>
          <w:tcPr>
            <w:tcW w:w="2520" w:type="dxa"/>
            <w:vAlign w:val="center"/>
            <w:hideMark/>
          </w:tcPr>
          <w:p w14:paraId="0BBEA380" w14:textId="77777777" w:rsidR="004656C4" w:rsidRPr="004656C4" w:rsidRDefault="004656C4" w:rsidP="004656C4">
            <w:pPr>
              <w:jc w:val="left"/>
              <w:rPr>
                <w:sz w:val="22"/>
                <w:lang w:val="en-US" w:eastAsia="zh-CN" w:bidi="bn-IN"/>
              </w:rPr>
            </w:pPr>
            <w:r w:rsidRPr="004656C4">
              <w:rPr>
                <w:sz w:val="22"/>
                <w:lang w:val="en-US" w:eastAsia="zh-CN" w:bidi="bn-IN"/>
              </w:rPr>
              <w:t>Social dimension</w:t>
            </w:r>
          </w:p>
        </w:tc>
        <w:tc>
          <w:tcPr>
            <w:tcW w:w="4521" w:type="dxa"/>
            <w:vAlign w:val="center"/>
            <w:hideMark/>
          </w:tcPr>
          <w:p w14:paraId="2B932245" w14:textId="77777777" w:rsidR="004656C4" w:rsidRPr="004656C4" w:rsidRDefault="004656C4" w:rsidP="004656C4">
            <w:pPr>
              <w:jc w:val="left"/>
              <w:rPr>
                <w:sz w:val="22"/>
                <w:lang w:val="en-US" w:eastAsia="zh-CN" w:bidi="bn-IN"/>
              </w:rPr>
            </w:pPr>
            <w:r w:rsidRPr="004656C4">
              <w:rPr>
                <w:sz w:val="22"/>
                <w:lang w:val="en-US" w:eastAsia="zh-CN" w:bidi="bn-IN"/>
              </w:rPr>
              <w:t>Social ESG factors contribute positively to long-term value</w:t>
            </w:r>
          </w:p>
        </w:tc>
      </w:tr>
      <w:tr w:rsidR="004656C4" w:rsidRPr="00F21071" w14:paraId="405614DA" w14:textId="77777777" w:rsidTr="004434E6">
        <w:tc>
          <w:tcPr>
            <w:tcW w:w="1975" w:type="dxa"/>
            <w:vMerge/>
            <w:vAlign w:val="center"/>
            <w:hideMark/>
          </w:tcPr>
          <w:p w14:paraId="1465059C" w14:textId="77777777" w:rsidR="004656C4" w:rsidRPr="004656C4" w:rsidRDefault="004656C4" w:rsidP="004656C4">
            <w:pPr>
              <w:jc w:val="left"/>
              <w:rPr>
                <w:b/>
                <w:bCs/>
                <w:sz w:val="22"/>
                <w:lang w:val="en-US" w:eastAsia="zh-CN" w:bidi="bn-IN"/>
              </w:rPr>
            </w:pPr>
          </w:p>
        </w:tc>
        <w:tc>
          <w:tcPr>
            <w:tcW w:w="2520" w:type="dxa"/>
            <w:vAlign w:val="center"/>
            <w:hideMark/>
          </w:tcPr>
          <w:p w14:paraId="0294E1A1" w14:textId="77777777" w:rsidR="004656C4" w:rsidRPr="004656C4" w:rsidRDefault="004656C4" w:rsidP="004656C4">
            <w:pPr>
              <w:jc w:val="left"/>
              <w:rPr>
                <w:sz w:val="22"/>
                <w:lang w:val="en-US" w:eastAsia="zh-CN" w:bidi="bn-IN"/>
              </w:rPr>
            </w:pPr>
            <w:r w:rsidRPr="004656C4">
              <w:rPr>
                <w:sz w:val="22"/>
                <w:lang w:val="en-US" w:eastAsia="zh-CN" w:bidi="bn-IN"/>
              </w:rPr>
              <w:t>Governance dimension</w:t>
            </w:r>
          </w:p>
        </w:tc>
        <w:tc>
          <w:tcPr>
            <w:tcW w:w="4521" w:type="dxa"/>
            <w:vAlign w:val="center"/>
            <w:hideMark/>
          </w:tcPr>
          <w:p w14:paraId="24A09A8F" w14:textId="77777777" w:rsidR="004656C4" w:rsidRPr="004656C4" w:rsidRDefault="004656C4" w:rsidP="004656C4">
            <w:pPr>
              <w:jc w:val="left"/>
              <w:rPr>
                <w:sz w:val="22"/>
                <w:lang w:val="en-US" w:eastAsia="zh-CN" w:bidi="bn-IN"/>
              </w:rPr>
            </w:pPr>
            <w:r w:rsidRPr="004656C4">
              <w:rPr>
                <w:sz w:val="22"/>
                <w:lang w:val="en-US" w:eastAsia="zh-CN" w:bidi="bn-IN"/>
              </w:rPr>
              <w:t>Governance factors support sustainable financial performance</w:t>
            </w:r>
          </w:p>
        </w:tc>
      </w:tr>
      <w:tr w:rsidR="004656C4" w:rsidRPr="00F21071" w14:paraId="16FF2FF3" w14:textId="77777777" w:rsidTr="004434E6">
        <w:tc>
          <w:tcPr>
            <w:tcW w:w="1975" w:type="dxa"/>
            <w:vMerge/>
            <w:vAlign w:val="center"/>
            <w:hideMark/>
          </w:tcPr>
          <w:p w14:paraId="416AC2D1" w14:textId="77777777" w:rsidR="004656C4" w:rsidRPr="004656C4" w:rsidRDefault="004656C4" w:rsidP="004656C4">
            <w:pPr>
              <w:jc w:val="left"/>
              <w:rPr>
                <w:b/>
                <w:bCs/>
                <w:sz w:val="22"/>
                <w:lang w:val="en-US" w:eastAsia="zh-CN" w:bidi="bn-IN"/>
              </w:rPr>
            </w:pPr>
          </w:p>
        </w:tc>
        <w:tc>
          <w:tcPr>
            <w:tcW w:w="2520" w:type="dxa"/>
            <w:vAlign w:val="center"/>
            <w:hideMark/>
          </w:tcPr>
          <w:p w14:paraId="37C09AAD" w14:textId="77777777" w:rsidR="004656C4" w:rsidRPr="004656C4" w:rsidRDefault="004656C4" w:rsidP="004656C4">
            <w:pPr>
              <w:jc w:val="left"/>
              <w:rPr>
                <w:sz w:val="22"/>
                <w:lang w:val="en-US" w:eastAsia="zh-CN" w:bidi="bn-IN"/>
              </w:rPr>
            </w:pPr>
            <w:r w:rsidRPr="004656C4">
              <w:rPr>
                <w:sz w:val="22"/>
                <w:lang w:val="en-US" w:eastAsia="zh-CN" w:bidi="bn-IN"/>
              </w:rPr>
              <w:t>Short-term vs long-term</w:t>
            </w:r>
          </w:p>
        </w:tc>
        <w:tc>
          <w:tcPr>
            <w:tcW w:w="4521" w:type="dxa"/>
            <w:vAlign w:val="center"/>
            <w:hideMark/>
          </w:tcPr>
          <w:p w14:paraId="72FAB503" w14:textId="77777777" w:rsidR="004656C4" w:rsidRPr="004656C4" w:rsidRDefault="004656C4" w:rsidP="004656C4">
            <w:pPr>
              <w:jc w:val="left"/>
              <w:rPr>
                <w:sz w:val="22"/>
                <w:lang w:val="en-US" w:eastAsia="zh-CN" w:bidi="bn-IN"/>
              </w:rPr>
            </w:pPr>
            <w:r w:rsidRPr="004656C4">
              <w:rPr>
                <w:sz w:val="22"/>
                <w:lang w:val="en-US" w:eastAsia="zh-CN" w:bidi="bn-IN"/>
              </w:rPr>
              <w:t>ESG investment may reduce short-term financial performance but benefits accrue long-term</w:t>
            </w:r>
          </w:p>
        </w:tc>
      </w:tr>
      <w:tr w:rsidR="004656C4" w:rsidRPr="00F21071" w14:paraId="4E73B1BB" w14:textId="77777777" w:rsidTr="004434E6">
        <w:tc>
          <w:tcPr>
            <w:tcW w:w="1975" w:type="dxa"/>
            <w:vMerge w:val="restart"/>
            <w:vAlign w:val="center"/>
            <w:hideMark/>
          </w:tcPr>
          <w:p w14:paraId="56DF3A7E" w14:textId="77777777" w:rsidR="004656C4" w:rsidRPr="004656C4" w:rsidRDefault="004656C4" w:rsidP="004656C4">
            <w:pPr>
              <w:jc w:val="left"/>
              <w:rPr>
                <w:b/>
                <w:bCs/>
                <w:sz w:val="22"/>
                <w:lang w:val="en-US" w:eastAsia="zh-CN" w:bidi="bn-IN"/>
              </w:rPr>
            </w:pPr>
            <w:r w:rsidRPr="004656C4">
              <w:rPr>
                <w:b/>
                <w:bCs/>
                <w:sz w:val="22"/>
                <w:lang w:val="en-US" w:eastAsia="zh-CN" w:bidi="bn-IN"/>
              </w:rPr>
              <w:t>Mixed or context-dependent ESG impacts</w:t>
            </w:r>
          </w:p>
        </w:tc>
        <w:tc>
          <w:tcPr>
            <w:tcW w:w="2520" w:type="dxa"/>
            <w:vAlign w:val="center"/>
            <w:hideMark/>
          </w:tcPr>
          <w:p w14:paraId="4CD3DCF9" w14:textId="77777777" w:rsidR="004656C4" w:rsidRPr="004656C4" w:rsidRDefault="004656C4" w:rsidP="004656C4">
            <w:pPr>
              <w:jc w:val="left"/>
              <w:rPr>
                <w:sz w:val="22"/>
                <w:lang w:val="en-US" w:eastAsia="zh-CN" w:bidi="bn-IN"/>
              </w:rPr>
            </w:pPr>
            <w:r w:rsidRPr="004656C4">
              <w:rPr>
                <w:sz w:val="22"/>
                <w:lang w:val="en-US" w:eastAsia="zh-CN" w:bidi="bn-IN"/>
              </w:rPr>
              <w:t>Non-strategic ESG participation</w:t>
            </w:r>
          </w:p>
        </w:tc>
        <w:tc>
          <w:tcPr>
            <w:tcW w:w="4521" w:type="dxa"/>
            <w:vAlign w:val="center"/>
            <w:hideMark/>
          </w:tcPr>
          <w:p w14:paraId="76D11731" w14:textId="77777777" w:rsidR="004656C4" w:rsidRPr="004656C4" w:rsidRDefault="004656C4" w:rsidP="004656C4">
            <w:pPr>
              <w:jc w:val="left"/>
              <w:rPr>
                <w:sz w:val="22"/>
                <w:lang w:val="en-US" w:eastAsia="zh-CN" w:bidi="bn-IN"/>
              </w:rPr>
            </w:pPr>
            <w:r w:rsidRPr="004656C4">
              <w:rPr>
                <w:sz w:val="22"/>
                <w:lang w:val="en-US" w:eastAsia="zh-CN" w:bidi="bn-IN"/>
              </w:rPr>
              <w:t>CSR engagement without strategic integration may not enhance financial performance</w:t>
            </w:r>
          </w:p>
        </w:tc>
      </w:tr>
      <w:tr w:rsidR="004656C4" w:rsidRPr="00F21071" w14:paraId="48592CA6" w14:textId="77777777" w:rsidTr="004434E6">
        <w:tc>
          <w:tcPr>
            <w:tcW w:w="1975" w:type="dxa"/>
            <w:vMerge/>
            <w:vAlign w:val="center"/>
            <w:hideMark/>
          </w:tcPr>
          <w:p w14:paraId="47762162" w14:textId="77777777" w:rsidR="004656C4" w:rsidRPr="004656C4" w:rsidRDefault="004656C4" w:rsidP="004656C4">
            <w:pPr>
              <w:jc w:val="left"/>
              <w:rPr>
                <w:sz w:val="22"/>
                <w:lang w:val="en-US" w:eastAsia="zh-CN" w:bidi="bn-IN"/>
              </w:rPr>
            </w:pPr>
          </w:p>
        </w:tc>
        <w:tc>
          <w:tcPr>
            <w:tcW w:w="2520" w:type="dxa"/>
            <w:vAlign w:val="center"/>
            <w:hideMark/>
          </w:tcPr>
          <w:p w14:paraId="19EB8D43" w14:textId="77777777" w:rsidR="004656C4" w:rsidRPr="004656C4" w:rsidRDefault="004656C4" w:rsidP="004656C4">
            <w:pPr>
              <w:jc w:val="left"/>
              <w:rPr>
                <w:sz w:val="22"/>
                <w:lang w:val="en-US" w:eastAsia="zh-CN" w:bidi="bn-IN"/>
              </w:rPr>
            </w:pPr>
            <w:r w:rsidRPr="004656C4">
              <w:rPr>
                <w:sz w:val="22"/>
                <w:lang w:val="en-US" w:eastAsia="zh-CN" w:bidi="bn-IN"/>
              </w:rPr>
              <w:t>Inconsistent ESG effects</w:t>
            </w:r>
          </w:p>
        </w:tc>
        <w:tc>
          <w:tcPr>
            <w:tcW w:w="4521" w:type="dxa"/>
            <w:vAlign w:val="center"/>
            <w:hideMark/>
          </w:tcPr>
          <w:p w14:paraId="7C9702F3" w14:textId="77777777" w:rsidR="004656C4" w:rsidRPr="004656C4" w:rsidRDefault="004656C4" w:rsidP="004656C4">
            <w:pPr>
              <w:jc w:val="left"/>
              <w:rPr>
                <w:sz w:val="22"/>
                <w:lang w:val="en-US" w:eastAsia="zh-CN" w:bidi="bn-IN"/>
              </w:rPr>
            </w:pPr>
            <w:r w:rsidRPr="004656C4">
              <w:rPr>
                <w:sz w:val="22"/>
                <w:lang w:val="en-US" w:eastAsia="zh-CN" w:bidi="bn-IN"/>
              </w:rPr>
              <w:t>ESG scores show positive, negative, or non-significant effects depending on time period</w:t>
            </w:r>
          </w:p>
        </w:tc>
      </w:tr>
      <w:tr w:rsidR="004656C4" w:rsidRPr="00F21071" w14:paraId="36244756" w14:textId="77777777" w:rsidTr="004434E6">
        <w:tc>
          <w:tcPr>
            <w:tcW w:w="1975" w:type="dxa"/>
            <w:vMerge/>
            <w:vAlign w:val="center"/>
            <w:hideMark/>
          </w:tcPr>
          <w:p w14:paraId="2012A643" w14:textId="77777777" w:rsidR="004656C4" w:rsidRPr="004656C4" w:rsidRDefault="004656C4" w:rsidP="004656C4">
            <w:pPr>
              <w:jc w:val="left"/>
              <w:rPr>
                <w:sz w:val="22"/>
                <w:lang w:val="en-US" w:eastAsia="zh-CN" w:bidi="bn-IN"/>
              </w:rPr>
            </w:pPr>
          </w:p>
        </w:tc>
        <w:tc>
          <w:tcPr>
            <w:tcW w:w="2520" w:type="dxa"/>
            <w:vAlign w:val="center"/>
            <w:hideMark/>
          </w:tcPr>
          <w:p w14:paraId="06811689" w14:textId="77777777" w:rsidR="004656C4" w:rsidRPr="004656C4" w:rsidRDefault="004656C4" w:rsidP="004656C4">
            <w:pPr>
              <w:jc w:val="left"/>
              <w:rPr>
                <w:sz w:val="22"/>
                <w:lang w:val="en-US" w:eastAsia="zh-CN" w:bidi="bn-IN"/>
              </w:rPr>
            </w:pPr>
            <w:r w:rsidRPr="004656C4">
              <w:rPr>
                <w:sz w:val="22"/>
                <w:lang w:val="en-US" w:eastAsia="zh-CN" w:bidi="bn-IN"/>
              </w:rPr>
              <w:t>Heterogeneity across ESG dimensions</w:t>
            </w:r>
          </w:p>
        </w:tc>
        <w:tc>
          <w:tcPr>
            <w:tcW w:w="4521" w:type="dxa"/>
            <w:vAlign w:val="center"/>
            <w:hideMark/>
          </w:tcPr>
          <w:p w14:paraId="214A301B" w14:textId="77777777" w:rsidR="004656C4" w:rsidRPr="004656C4" w:rsidRDefault="004656C4" w:rsidP="004656C4">
            <w:pPr>
              <w:jc w:val="left"/>
              <w:rPr>
                <w:sz w:val="22"/>
                <w:lang w:val="en-US" w:eastAsia="zh-CN" w:bidi="bn-IN"/>
              </w:rPr>
            </w:pPr>
            <w:r w:rsidRPr="004656C4">
              <w:rPr>
                <w:sz w:val="22"/>
                <w:lang w:val="en-US" w:eastAsia="zh-CN" w:bidi="bn-IN"/>
              </w:rPr>
              <w:t>Social factors improve ROA; environmental weakly negative; governance insignificant</w:t>
            </w:r>
          </w:p>
        </w:tc>
      </w:tr>
      <w:tr w:rsidR="004656C4" w:rsidRPr="00F21071" w14:paraId="183355BF" w14:textId="77777777" w:rsidTr="004434E6">
        <w:tc>
          <w:tcPr>
            <w:tcW w:w="1975" w:type="dxa"/>
            <w:vMerge/>
            <w:vAlign w:val="center"/>
            <w:hideMark/>
          </w:tcPr>
          <w:p w14:paraId="28D18BAE" w14:textId="77777777" w:rsidR="004656C4" w:rsidRPr="004656C4" w:rsidRDefault="004656C4" w:rsidP="004656C4">
            <w:pPr>
              <w:jc w:val="left"/>
              <w:rPr>
                <w:sz w:val="22"/>
                <w:lang w:val="en-US" w:eastAsia="zh-CN" w:bidi="bn-IN"/>
              </w:rPr>
            </w:pPr>
          </w:p>
        </w:tc>
        <w:tc>
          <w:tcPr>
            <w:tcW w:w="2520" w:type="dxa"/>
            <w:vAlign w:val="center"/>
            <w:hideMark/>
          </w:tcPr>
          <w:p w14:paraId="09E85919" w14:textId="77777777" w:rsidR="004656C4" w:rsidRPr="004656C4" w:rsidRDefault="004656C4" w:rsidP="004656C4">
            <w:pPr>
              <w:jc w:val="left"/>
              <w:rPr>
                <w:sz w:val="22"/>
                <w:lang w:val="en-US" w:eastAsia="zh-CN" w:bidi="bn-IN"/>
              </w:rPr>
            </w:pPr>
            <w:r w:rsidRPr="004656C4">
              <w:rPr>
                <w:sz w:val="22"/>
                <w:lang w:val="en-US" w:eastAsia="zh-CN" w:bidi="bn-IN"/>
              </w:rPr>
              <w:t>Temporal effects</w:t>
            </w:r>
          </w:p>
        </w:tc>
        <w:tc>
          <w:tcPr>
            <w:tcW w:w="4521" w:type="dxa"/>
            <w:vAlign w:val="center"/>
            <w:hideMark/>
          </w:tcPr>
          <w:p w14:paraId="31AEC11D" w14:textId="77777777" w:rsidR="004656C4" w:rsidRPr="004656C4" w:rsidRDefault="004656C4" w:rsidP="004656C4">
            <w:pPr>
              <w:jc w:val="left"/>
              <w:rPr>
                <w:sz w:val="22"/>
                <w:lang w:val="en-US" w:eastAsia="zh-CN" w:bidi="bn-IN"/>
              </w:rPr>
            </w:pPr>
            <w:r w:rsidRPr="004656C4">
              <w:rPr>
                <w:sz w:val="22"/>
                <w:lang w:val="en-US" w:eastAsia="zh-CN" w:bidi="bn-IN"/>
              </w:rPr>
              <w:t>Stringent environmental policies may reduce short-term performance but increase long-term returns</w:t>
            </w:r>
          </w:p>
        </w:tc>
      </w:tr>
    </w:tbl>
    <w:p w14:paraId="67A89D24" w14:textId="143DEECA" w:rsidR="00642FAE" w:rsidRPr="00642FAE" w:rsidRDefault="00642FAE" w:rsidP="00642FAE">
      <w:pPr>
        <w:spacing w:before="240"/>
        <w:rPr>
          <w:lang w:val="en-US" w:eastAsia="zh-CN" w:bidi="bn-IN"/>
        </w:rPr>
      </w:pPr>
      <w:r w:rsidRPr="00642FAE">
        <w:rPr>
          <w:lang w:val="en-US" w:eastAsia="zh-CN" w:bidi="bn-IN"/>
        </w:rPr>
        <w:t xml:space="preserve">The </w:t>
      </w:r>
      <w:proofErr w:type="spellStart"/>
      <w:r w:rsidRPr="00642FAE">
        <w:rPr>
          <w:lang w:val="en-US" w:eastAsia="zh-CN" w:bidi="bn-IN"/>
        </w:rPr>
        <w:t>connexion</w:t>
      </w:r>
      <w:proofErr w:type="spellEnd"/>
      <w:r w:rsidRPr="00642FAE">
        <w:rPr>
          <w:lang w:val="en-US" w:eastAsia="zh-CN" w:bidi="bn-IN"/>
        </w:rPr>
        <w:t xml:space="preserve"> between the environmental, social, and governance (ESG) </w:t>
      </w:r>
      <w:proofErr w:type="spellStart"/>
      <w:r w:rsidRPr="00642FAE">
        <w:rPr>
          <w:lang w:val="en-US" w:eastAsia="zh-CN" w:bidi="bn-IN"/>
        </w:rPr>
        <w:t>practises</w:t>
      </w:r>
      <w:proofErr w:type="spellEnd"/>
      <w:r w:rsidRPr="00642FAE">
        <w:rPr>
          <w:lang w:val="en-US" w:eastAsia="zh-CN" w:bidi="bn-IN"/>
        </w:rPr>
        <w:t xml:space="preserve"> and financial results of the automotive companies is widely researched, and findings differ depending on the situation, time period, and the dimensions of ESG discussed. In general, there is an indication that ESG considerations can positively impact financial performance, but the impact is not usually obvious and may be dependent on the firm strategy, market environment, and the quality of implementation.</w:t>
      </w:r>
    </w:p>
    <w:p w14:paraId="4AA1540E" w14:textId="0C22C8B5" w:rsidR="00642FAE" w:rsidRPr="00642FAE" w:rsidRDefault="00642FAE" w:rsidP="00642FAE">
      <w:pPr>
        <w:rPr>
          <w:lang w:val="en-US" w:eastAsia="zh-CN" w:bidi="bn-IN"/>
        </w:rPr>
      </w:pPr>
      <w:r w:rsidRPr="00642FAE">
        <w:rPr>
          <w:lang w:val="en-US" w:eastAsia="zh-CN" w:bidi="bn-IN"/>
        </w:rPr>
        <w:t xml:space="preserve">Some studies demonstrate the positive effect of environmental </w:t>
      </w:r>
      <w:proofErr w:type="spellStart"/>
      <w:r w:rsidRPr="00642FAE">
        <w:rPr>
          <w:lang w:val="en-US" w:eastAsia="zh-CN" w:bidi="bn-IN"/>
        </w:rPr>
        <w:t>programmes</w:t>
      </w:r>
      <w:proofErr w:type="spellEnd"/>
      <w:r w:rsidRPr="00642FAE">
        <w:rPr>
          <w:lang w:val="en-US" w:eastAsia="zh-CN" w:bidi="bn-IN"/>
        </w:rPr>
        <w:t xml:space="preserve"> on financial performance. As an example, Ahmad, Khalil, and Rehman (2023) have discovered that environmental performance has a significant and positive impact on sustainable financial performance of automobile companies, meaning that active environmental management can support long-term profitability. In the same vein, Kour </w:t>
      </w:r>
      <w:r w:rsidRPr="00642FAE">
        <w:rPr>
          <w:i/>
          <w:iCs/>
          <w:lang w:val="en-US" w:eastAsia="zh-CN" w:bidi="bn-IN"/>
        </w:rPr>
        <w:t>et al</w:t>
      </w:r>
      <w:r w:rsidRPr="00642FAE">
        <w:rPr>
          <w:lang w:val="en-US" w:eastAsia="zh-CN" w:bidi="bn-IN"/>
        </w:rPr>
        <w:t xml:space="preserve">. (2020) established that integrated environmental management, eco-design, and technology integration as well as green marketing had a positive impact on financial </w:t>
      </w:r>
      <w:r w:rsidRPr="00642FAE">
        <w:rPr>
          <w:lang w:val="en-US" w:eastAsia="zh-CN" w:bidi="bn-IN"/>
        </w:rPr>
        <w:lastRenderedPageBreak/>
        <w:t xml:space="preserve">performance, whereas some of the </w:t>
      </w:r>
      <w:proofErr w:type="spellStart"/>
      <w:r w:rsidRPr="00642FAE">
        <w:rPr>
          <w:lang w:val="en-US" w:eastAsia="zh-CN" w:bidi="bn-IN"/>
        </w:rPr>
        <w:t>practises</w:t>
      </w:r>
      <w:proofErr w:type="spellEnd"/>
      <w:r w:rsidRPr="00642FAE">
        <w:rPr>
          <w:lang w:val="en-US" w:eastAsia="zh-CN" w:bidi="bn-IN"/>
        </w:rPr>
        <w:t xml:space="preserve"> such as pollution prevention and customer-oriented efforts did not influence the financial performance significantly.</w:t>
      </w:r>
    </w:p>
    <w:p w14:paraId="2A227F18" w14:textId="4E88BB99" w:rsidR="00642FAE" w:rsidRPr="00642FAE" w:rsidRDefault="00642FAE" w:rsidP="00642FAE">
      <w:pPr>
        <w:rPr>
          <w:lang w:val="en-US" w:eastAsia="zh-CN" w:bidi="bn-IN"/>
        </w:rPr>
      </w:pPr>
      <w:r w:rsidRPr="00642FAE">
        <w:rPr>
          <w:lang w:val="en-US" w:eastAsia="zh-CN" w:bidi="bn-IN"/>
        </w:rPr>
        <w:t xml:space="preserve">Studies of wider ESG or CSR aspects also indicate a positive association with firm performance. According to Chandrasena </w:t>
      </w:r>
      <w:r w:rsidRPr="00642FAE">
        <w:rPr>
          <w:i/>
          <w:iCs/>
          <w:lang w:val="en-US" w:eastAsia="zh-CN" w:bidi="bn-IN"/>
        </w:rPr>
        <w:t>et al</w:t>
      </w:r>
      <w:r w:rsidRPr="00642FAE">
        <w:rPr>
          <w:lang w:val="en-US" w:eastAsia="zh-CN" w:bidi="bn-IN"/>
        </w:rPr>
        <w:t xml:space="preserve"> (2022), corporate social responsibility (CSR) projects have a positive impact on the performance of firms in the Asian automotive market, and all 3 components of ESG, environmental, social, and governance, are positive. Chen (2024) found that social and governance aspects demonstrated positive effects of ESG investment on long-term performance, although environmental aspects did not have a significant impact in both short-term and long-term performance. The results highlight that ESG strategies can be short-term but sustainable in the value creation in the long-term.</w:t>
      </w:r>
    </w:p>
    <w:p w14:paraId="087285AD" w14:textId="666C4647" w:rsidR="00642FAE" w:rsidRPr="00642FAE" w:rsidRDefault="00642FAE" w:rsidP="00642FAE">
      <w:pPr>
        <w:rPr>
          <w:lang w:val="en-US" w:eastAsia="zh-CN" w:bidi="bn-IN"/>
        </w:rPr>
      </w:pPr>
      <w:r w:rsidRPr="00642FAE">
        <w:rPr>
          <w:lang w:val="en-US" w:eastAsia="zh-CN" w:bidi="bn-IN"/>
        </w:rPr>
        <w:t xml:space="preserve">But then, mixed or context-dependent results are also pointed out in the literature. Catacutan </w:t>
      </w:r>
      <w:r w:rsidRPr="00642FAE">
        <w:rPr>
          <w:i/>
          <w:iCs/>
          <w:lang w:val="en-US" w:eastAsia="zh-CN" w:bidi="bn-IN"/>
        </w:rPr>
        <w:t>et al</w:t>
      </w:r>
      <w:r w:rsidRPr="00642FAE">
        <w:rPr>
          <w:lang w:val="en-US" w:eastAsia="zh-CN" w:bidi="bn-IN"/>
        </w:rPr>
        <w:t xml:space="preserve">. (2024) observed that despite the extensive application of CSR activities in automotive companies, the financial performance gains were not found to be significant, indicating that being a participant in the activities without strategic business integration may not achieve financial results. Dincă, </w:t>
      </w:r>
      <w:proofErr w:type="spellStart"/>
      <w:r w:rsidRPr="00642FAE">
        <w:rPr>
          <w:lang w:val="en-US" w:eastAsia="zh-CN" w:bidi="bn-IN"/>
        </w:rPr>
        <w:t>Vezeteu</w:t>
      </w:r>
      <w:proofErr w:type="spellEnd"/>
      <w:r w:rsidRPr="00642FAE">
        <w:rPr>
          <w:lang w:val="en-US" w:eastAsia="zh-CN" w:bidi="bn-IN"/>
        </w:rPr>
        <w:t>, and Dincă (2022) also obtained the same result that ESG scores significantly influenced the value of the firm within a timeframe, with the environmental, social, and governance scores affecting the value of the firm significantly, negatively, or not significantly, depending on the year under consideration. Another finding by Glova and Panko (2025) was that although social factors enhanced return on assets (ROA), environmental performance was weakly negatively affected and governance had no significant effect, which indicates a heterogeneity in the translation of the ESG dimensions into financial results.</w:t>
      </w:r>
    </w:p>
    <w:p w14:paraId="2C7EFC0A" w14:textId="77777777" w:rsidR="00642FAE" w:rsidRPr="00642FAE" w:rsidRDefault="00642FAE" w:rsidP="00642FAE">
      <w:pPr>
        <w:rPr>
          <w:lang w:val="en-US" w:eastAsia="zh-CN" w:bidi="bn-IN"/>
        </w:rPr>
      </w:pPr>
      <w:r w:rsidRPr="00642FAE">
        <w:rPr>
          <w:lang w:val="en-US" w:eastAsia="zh-CN" w:bidi="bn-IN"/>
        </w:rPr>
        <w:t xml:space="preserve">In addition, the time factor of ESG execution is instrumental. </w:t>
      </w:r>
      <w:proofErr w:type="spellStart"/>
      <w:r w:rsidRPr="00642FAE">
        <w:rPr>
          <w:lang w:val="en-US" w:eastAsia="zh-CN" w:bidi="bn-IN"/>
        </w:rPr>
        <w:t>Chomachaei</w:t>
      </w:r>
      <w:proofErr w:type="spellEnd"/>
      <w:r w:rsidRPr="00642FAE">
        <w:rPr>
          <w:lang w:val="en-US" w:eastAsia="zh-CN" w:bidi="bn-IN"/>
        </w:rPr>
        <w:t xml:space="preserve"> and </w:t>
      </w:r>
      <w:proofErr w:type="spellStart"/>
      <w:r w:rsidRPr="00642FAE">
        <w:rPr>
          <w:lang w:val="en-US" w:eastAsia="zh-CN" w:bidi="bn-IN"/>
        </w:rPr>
        <w:t>Golmohammadi</w:t>
      </w:r>
      <w:proofErr w:type="spellEnd"/>
      <w:r w:rsidRPr="00642FAE">
        <w:rPr>
          <w:lang w:val="en-US" w:eastAsia="zh-CN" w:bidi="bn-IN"/>
        </w:rPr>
        <w:t xml:space="preserve"> (2023) </w:t>
      </w:r>
      <w:proofErr w:type="spellStart"/>
      <w:r w:rsidRPr="00642FAE">
        <w:rPr>
          <w:lang w:val="en-US" w:eastAsia="zh-CN" w:bidi="bn-IN"/>
        </w:rPr>
        <w:t>emphasised</w:t>
      </w:r>
      <w:proofErr w:type="spellEnd"/>
      <w:r w:rsidRPr="00642FAE">
        <w:rPr>
          <w:lang w:val="en-US" w:eastAsia="zh-CN" w:bidi="bn-IN"/>
        </w:rPr>
        <w:t xml:space="preserve"> that strict environmental regulations could have a short-term negative impact on financial performance in compliance expenses but long-term positive impact in encouraging efficiency and innovation.</w:t>
      </w:r>
    </w:p>
    <w:p w14:paraId="4C47708C" w14:textId="1E97DC55" w:rsidR="003D121E" w:rsidRPr="00D57F09" w:rsidRDefault="00642FAE" w:rsidP="00642FAE">
      <w:pPr>
        <w:rPr>
          <w:lang w:val="en-US" w:eastAsia="zh-CN" w:bidi="bn-IN"/>
        </w:rPr>
      </w:pPr>
      <w:r w:rsidRPr="00642FAE">
        <w:rPr>
          <w:lang w:val="en-US" w:eastAsia="zh-CN" w:bidi="bn-IN"/>
        </w:rPr>
        <w:t xml:space="preserve">Overall, the evidence shows that thoughtfully reflected ESG </w:t>
      </w:r>
      <w:proofErr w:type="spellStart"/>
      <w:r w:rsidRPr="00642FAE">
        <w:rPr>
          <w:lang w:val="en-US" w:eastAsia="zh-CN" w:bidi="bn-IN"/>
        </w:rPr>
        <w:t>practises</w:t>
      </w:r>
      <w:proofErr w:type="spellEnd"/>
      <w:r w:rsidRPr="00642FAE">
        <w:rPr>
          <w:lang w:val="en-US" w:eastAsia="zh-CN" w:bidi="bn-IN"/>
        </w:rPr>
        <w:t xml:space="preserve">, especially those that combine the environmental, social, and governance aspects, are likely to contribute to sustainable financial performance within the automotive industry. However, the effect varies between firms and regions and it depends on the particular ESG dimension, strategic orientation of the firm and the specified time frame. Although </w:t>
      </w:r>
      <w:r w:rsidRPr="00642FAE">
        <w:rPr>
          <w:lang w:val="en-US" w:eastAsia="zh-CN" w:bidi="bn-IN"/>
        </w:rPr>
        <w:lastRenderedPageBreak/>
        <w:t>there might be short-term expenses or a lack of uniformity among impacts, the longitudinal view is inclined to support the adoption of ESG as a form of financial and operational stability.</w:t>
      </w:r>
    </w:p>
    <w:p w14:paraId="3D7D4323" w14:textId="77777777" w:rsidR="00D06C43" w:rsidRDefault="00391EB6" w:rsidP="00D06C43">
      <w:pPr>
        <w:pStyle w:val="Heading2"/>
      </w:pPr>
      <w:bookmarkStart w:id="64" w:name="_Toc217953872"/>
      <w:bookmarkEnd w:id="52"/>
      <w:r w:rsidRPr="008C5097">
        <w:t>Discussion of Results</w:t>
      </w:r>
      <w:bookmarkEnd w:id="64"/>
    </w:p>
    <w:p w14:paraId="05DF77DD" w14:textId="20D6E142" w:rsidR="00D06C43" w:rsidRPr="00D06C43" w:rsidRDefault="00BA79C7" w:rsidP="00D06C43">
      <w:pPr>
        <w:rPr>
          <w:lang w:val="en-US"/>
        </w:rPr>
      </w:pPr>
      <w:r w:rsidRPr="00BA79C7">
        <w:rPr>
          <w:lang w:val="en-US"/>
        </w:rPr>
        <w:t xml:space="preserve">This research shows that there </w:t>
      </w:r>
      <w:proofErr w:type="gramStart"/>
      <w:r w:rsidRPr="00BA79C7">
        <w:rPr>
          <w:lang w:val="en-US"/>
        </w:rPr>
        <w:t>is</w:t>
      </w:r>
      <w:proofErr w:type="gramEnd"/>
      <w:r w:rsidRPr="00BA79C7">
        <w:rPr>
          <w:lang w:val="en-US"/>
        </w:rPr>
        <w:t xml:space="preserve"> convergence and divergence in ESG </w:t>
      </w:r>
      <w:proofErr w:type="spellStart"/>
      <w:r w:rsidRPr="00BA79C7">
        <w:rPr>
          <w:lang w:val="en-US"/>
        </w:rPr>
        <w:t>practises</w:t>
      </w:r>
      <w:proofErr w:type="spellEnd"/>
      <w:r w:rsidRPr="00BA79C7">
        <w:rPr>
          <w:lang w:val="en-US"/>
        </w:rPr>
        <w:t xml:space="preserve"> between the traditional automotive and electric vehicle (EV) businesses, which is theoretically expected based on earlier models, including the triple bottom line and CSR pyramid frameworks by Carroll and ESG </w:t>
      </w:r>
      <w:proofErr w:type="spellStart"/>
      <w:r w:rsidRPr="00BA79C7">
        <w:rPr>
          <w:lang w:val="en-US"/>
        </w:rPr>
        <w:t>operationalisation</w:t>
      </w:r>
      <w:proofErr w:type="spellEnd"/>
      <w:r w:rsidRPr="00BA79C7">
        <w:rPr>
          <w:lang w:val="en-US"/>
        </w:rPr>
        <w:t>. On environmental, social, and governance levels, the findings show how the context of firms influences the adoption of ESG, with some findings showing the consistency of the approach with the existing theory and new variations influenced by technology and market conditions.</w:t>
      </w:r>
    </w:p>
    <w:p w14:paraId="2818D5EC" w14:textId="77777777" w:rsidR="00D06C43" w:rsidRDefault="00D06C43" w:rsidP="00D06C43">
      <w:pPr>
        <w:pStyle w:val="Heading3"/>
        <w:rPr>
          <w:lang w:val="en-US"/>
        </w:rPr>
      </w:pPr>
      <w:bookmarkStart w:id="65" w:name="_Toc217953873"/>
      <w:r w:rsidRPr="00D06C43">
        <w:rPr>
          <w:lang w:val="en-US"/>
        </w:rPr>
        <w:t>Environmental Dimension</w:t>
      </w:r>
      <w:bookmarkEnd w:id="65"/>
    </w:p>
    <w:p w14:paraId="690603C4" w14:textId="52F8DCAF" w:rsidR="00D06C43" w:rsidRPr="00D06C43" w:rsidRDefault="00BA79C7" w:rsidP="00D06C43">
      <w:pPr>
        <w:rPr>
          <w:lang w:val="en-US"/>
        </w:rPr>
      </w:pPr>
      <w:r w:rsidRPr="00BA79C7">
        <w:rPr>
          <w:lang w:val="en-US"/>
        </w:rPr>
        <w:t xml:space="preserve">The more proximate environmental orientation of EV companies is quite consistent with the pillar of the triple bottom line planet of Elkington (1998) which focuses on environmental stewardship and profit and social responsibility. EV companies also make </w:t>
      </w:r>
      <w:proofErr w:type="spellStart"/>
      <w:r w:rsidRPr="00BA79C7">
        <w:rPr>
          <w:lang w:val="en-US"/>
        </w:rPr>
        <w:t>decarbonisation</w:t>
      </w:r>
      <w:proofErr w:type="spellEnd"/>
      <w:r w:rsidRPr="00BA79C7">
        <w:rPr>
          <w:lang w:val="en-US"/>
        </w:rPr>
        <w:t xml:space="preserve"> and emissions reduction a part of product strategy, </w:t>
      </w:r>
      <w:proofErr w:type="spellStart"/>
      <w:r w:rsidRPr="00BA79C7">
        <w:rPr>
          <w:lang w:val="en-US"/>
        </w:rPr>
        <w:t>operationalising</w:t>
      </w:r>
      <w:proofErr w:type="spellEnd"/>
      <w:r w:rsidRPr="00BA79C7">
        <w:rPr>
          <w:lang w:val="en-US"/>
        </w:rPr>
        <w:t xml:space="preserve"> sustainability in a quantifiable, strategic way in alignment with ESG frameworks (Dathe </w:t>
      </w:r>
      <w:r w:rsidR="00642FAE" w:rsidRPr="00642FAE">
        <w:rPr>
          <w:i/>
          <w:iCs/>
          <w:lang w:val="en-US"/>
        </w:rPr>
        <w:t>et al</w:t>
      </w:r>
      <w:r w:rsidRPr="00BA79C7">
        <w:rPr>
          <w:lang w:val="en-US"/>
        </w:rPr>
        <w:t xml:space="preserve">., 2022; Gupta, 2021). Conventional auto companies, conversely, show only incremental energy efficiency and pollution prevention, which shows the constraints of the old ICE technologies. The difference is a reflection of the critiques of CSR theory suggesting its normative, qualitative essence (Crane and Matten, 2016): traditional companies are </w:t>
      </w:r>
      <w:proofErr w:type="spellStart"/>
      <w:r w:rsidRPr="00BA79C7">
        <w:rPr>
          <w:lang w:val="en-US"/>
        </w:rPr>
        <w:t>practising</w:t>
      </w:r>
      <w:proofErr w:type="spellEnd"/>
      <w:r w:rsidRPr="00BA79C7">
        <w:rPr>
          <w:lang w:val="en-US"/>
        </w:rPr>
        <w:t xml:space="preserve"> environmental responsibility, but in a symbolic manner or as a response to regulatory pressures, whereas EV ones turn the environmental intent to tangible increased effect, which is how ESG builds on CSR. Yet, both forms of firms are </w:t>
      </w:r>
      <w:proofErr w:type="spellStart"/>
      <w:r w:rsidRPr="00BA79C7">
        <w:rPr>
          <w:lang w:val="en-US"/>
        </w:rPr>
        <w:t>characterised</w:t>
      </w:r>
      <w:proofErr w:type="spellEnd"/>
      <w:r w:rsidRPr="00BA79C7">
        <w:rPr>
          <w:lang w:val="en-US"/>
        </w:rPr>
        <w:t xml:space="preserve"> by lifecycle trade-offs and operational constraints, which supports the theoretical argument that the concept of environmental responsibility should strike a balance between conceptual richness and operational measurability (Carroll, 2016; Zeng </w:t>
      </w:r>
      <w:r w:rsidR="00642FAE" w:rsidRPr="00642FAE">
        <w:rPr>
          <w:i/>
          <w:iCs/>
          <w:lang w:val="en-US"/>
        </w:rPr>
        <w:t>et al</w:t>
      </w:r>
      <w:r w:rsidRPr="00BA79C7">
        <w:rPr>
          <w:lang w:val="en-US"/>
        </w:rPr>
        <w:t>., 2020).</w:t>
      </w:r>
    </w:p>
    <w:p w14:paraId="2CABB71D" w14:textId="77777777" w:rsidR="00D06C43" w:rsidRDefault="00D06C43" w:rsidP="00D06C43">
      <w:pPr>
        <w:pStyle w:val="Heading3"/>
        <w:rPr>
          <w:lang w:val="en-US"/>
        </w:rPr>
      </w:pPr>
      <w:bookmarkStart w:id="66" w:name="_Toc217953874"/>
      <w:r w:rsidRPr="00D06C43">
        <w:rPr>
          <w:lang w:val="en-US"/>
        </w:rPr>
        <w:t>Social Dimension</w:t>
      </w:r>
      <w:bookmarkEnd w:id="66"/>
    </w:p>
    <w:p w14:paraId="26CB7608" w14:textId="48F9F6CB" w:rsidR="00D06C43" w:rsidRPr="00D06C43" w:rsidRDefault="00BA79C7" w:rsidP="00D06C43">
      <w:pPr>
        <w:rPr>
          <w:lang w:val="en-US"/>
        </w:rPr>
      </w:pPr>
      <w:r w:rsidRPr="00BA79C7">
        <w:rPr>
          <w:lang w:val="en-US"/>
        </w:rPr>
        <w:t xml:space="preserve">More subtle differences can be shown with social ESG </w:t>
      </w:r>
      <w:proofErr w:type="spellStart"/>
      <w:r w:rsidRPr="00BA79C7">
        <w:rPr>
          <w:lang w:val="en-US"/>
        </w:rPr>
        <w:t>practises</w:t>
      </w:r>
      <w:proofErr w:type="spellEnd"/>
      <w:r w:rsidRPr="00BA79C7">
        <w:rPr>
          <w:lang w:val="en-US"/>
        </w:rPr>
        <w:t xml:space="preserve">. The concern of traditional automotive firms with workforce stability, community involvement, and labour relations corresponds to the pillar of people in the Elkington model and the </w:t>
      </w:r>
      <w:r w:rsidRPr="00BA79C7">
        <w:rPr>
          <w:lang w:val="en-US"/>
        </w:rPr>
        <w:lastRenderedPageBreak/>
        <w:t xml:space="preserve">social responsibility outlined in the CSR pyramid by Carroll (Carroll, 1979, 2016). EV companies, in their turn, focus on reskilling of their workforce, innovation-related hiring, and customer confidence, </w:t>
      </w:r>
      <w:proofErr w:type="spellStart"/>
      <w:r w:rsidRPr="00BA79C7">
        <w:rPr>
          <w:lang w:val="en-US"/>
        </w:rPr>
        <w:t>emphasising</w:t>
      </w:r>
      <w:proofErr w:type="spellEnd"/>
      <w:r w:rsidRPr="00BA79C7">
        <w:rPr>
          <w:lang w:val="en-US"/>
        </w:rPr>
        <w:t xml:space="preserve"> the future-focused strategy that combines the aspects of social goals with market policy. This transformation of normative ethical duties into strategically focused, quantifiable social procedures explains the logic of operation of ESG that links social responsibility and stakeholder trust as well as financial performance (Fu </w:t>
      </w:r>
      <w:r w:rsidR="00642FAE" w:rsidRPr="00642FAE">
        <w:rPr>
          <w:i/>
          <w:iCs/>
          <w:lang w:val="en-US"/>
        </w:rPr>
        <w:t>et al</w:t>
      </w:r>
      <w:r w:rsidRPr="00BA79C7">
        <w:rPr>
          <w:lang w:val="en-US"/>
        </w:rPr>
        <w:t xml:space="preserve">., 2023; Kim, </w:t>
      </w:r>
      <w:proofErr w:type="spellStart"/>
      <w:r w:rsidRPr="00BA79C7">
        <w:rPr>
          <w:lang w:val="en-US"/>
        </w:rPr>
        <w:t>Im</w:t>
      </w:r>
      <w:proofErr w:type="spellEnd"/>
      <w:r w:rsidRPr="00BA79C7">
        <w:rPr>
          <w:lang w:val="en-US"/>
        </w:rPr>
        <w:t xml:space="preserve"> and Gim, 2025). The results highlight the importance of the CSR theory to articulate the logic of socially responsible behaviour, yet ESG offers the tools to the actionable and strategic execution, especially in the emerging technology industries.</w:t>
      </w:r>
    </w:p>
    <w:p w14:paraId="17388EFC" w14:textId="77777777" w:rsidR="00D06C43" w:rsidRDefault="00D06C43" w:rsidP="00D06C43">
      <w:pPr>
        <w:pStyle w:val="Heading3"/>
        <w:rPr>
          <w:lang w:val="en-US"/>
        </w:rPr>
      </w:pPr>
      <w:bookmarkStart w:id="67" w:name="_Toc217953875"/>
      <w:r w:rsidRPr="00D06C43">
        <w:rPr>
          <w:lang w:val="en-US"/>
        </w:rPr>
        <w:t>Governance Dimension</w:t>
      </w:r>
      <w:bookmarkEnd w:id="67"/>
    </w:p>
    <w:p w14:paraId="667BE619" w14:textId="5773DDDF" w:rsidR="00D06C43" w:rsidRPr="00D06C43" w:rsidRDefault="00BA79C7" w:rsidP="00D06C43">
      <w:pPr>
        <w:rPr>
          <w:lang w:val="en-US"/>
        </w:rPr>
      </w:pPr>
      <w:r w:rsidRPr="00BA79C7">
        <w:rPr>
          <w:lang w:val="en-US"/>
        </w:rPr>
        <w:t xml:space="preserve">Governance became a key distinguishing factor, and EV companies were found to be more transparent, have more </w:t>
      </w:r>
      <w:proofErr w:type="spellStart"/>
      <w:r w:rsidRPr="00BA79C7">
        <w:rPr>
          <w:lang w:val="en-US"/>
        </w:rPr>
        <w:t>centralised</w:t>
      </w:r>
      <w:proofErr w:type="spellEnd"/>
      <w:r w:rsidRPr="00BA79C7">
        <w:rPr>
          <w:lang w:val="en-US"/>
        </w:rPr>
        <w:t xml:space="preserve"> governance, and make decisions that were ESG-oriented. This is in line with the previous study that highlights governance as a source of ESG performance and value of a firm (</w:t>
      </w:r>
      <w:proofErr w:type="spellStart"/>
      <w:r w:rsidRPr="00BA79C7">
        <w:rPr>
          <w:lang w:val="en-US"/>
        </w:rPr>
        <w:t>Arhinful</w:t>
      </w:r>
      <w:proofErr w:type="spellEnd"/>
      <w:r w:rsidRPr="00BA79C7">
        <w:rPr>
          <w:lang w:val="en-US"/>
        </w:rPr>
        <w:t xml:space="preserve"> </w:t>
      </w:r>
      <w:r w:rsidR="00642FAE" w:rsidRPr="00642FAE">
        <w:rPr>
          <w:i/>
          <w:iCs/>
          <w:lang w:val="en-US"/>
        </w:rPr>
        <w:t>et al</w:t>
      </w:r>
      <w:r w:rsidRPr="00BA79C7">
        <w:rPr>
          <w:lang w:val="en-US"/>
        </w:rPr>
        <w:t xml:space="preserve">., 2024; Khan </w:t>
      </w:r>
      <w:r w:rsidR="00642FAE" w:rsidRPr="00642FAE">
        <w:rPr>
          <w:i/>
          <w:iCs/>
          <w:lang w:val="en-US"/>
        </w:rPr>
        <w:t>et al</w:t>
      </w:r>
      <w:r w:rsidRPr="00BA79C7">
        <w:rPr>
          <w:lang w:val="en-US"/>
        </w:rPr>
        <w:t xml:space="preserve">., 2024). This is, theoretically, the consolidation of ethical and regulatory compliance obligations in the model of Carroll, and it </w:t>
      </w:r>
      <w:proofErr w:type="spellStart"/>
      <w:r w:rsidRPr="00BA79C7">
        <w:rPr>
          <w:lang w:val="en-US"/>
        </w:rPr>
        <w:t>operationalises</w:t>
      </w:r>
      <w:proofErr w:type="spellEnd"/>
      <w:r w:rsidRPr="00BA79C7">
        <w:rPr>
          <w:lang w:val="en-US"/>
        </w:rPr>
        <w:t xml:space="preserve"> them in terms of measurable ESG reporting and strategic alignment (Dathe </w:t>
      </w:r>
      <w:r w:rsidR="00642FAE" w:rsidRPr="00642FAE">
        <w:rPr>
          <w:i/>
          <w:iCs/>
          <w:lang w:val="en-US"/>
        </w:rPr>
        <w:t>et al</w:t>
      </w:r>
      <w:r w:rsidRPr="00BA79C7">
        <w:rPr>
          <w:lang w:val="en-US"/>
        </w:rPr>
        <w:t xml:space="preserve">., 2022). Conventional companies tend to have selective or token governance increases, which indicates that the historic </w:t>
      </w:r>
      <w:proofErr w:type="spellStart"/>
      <w:r w:rsidRPr="00BA79C7">
        <w:rPr>
          <w:lang w:val="en-US"/>
        </w:rPr>
        <w:t>organisational</w:t>
      </w:r>
      <w:proofErr w:type="spellEnd"/>
      <w:r w:rsidRPr="00BA79C7">
        <w:rPr>
          <w:lang w:val="en-US"/>
        </w:rPr>
        <w:t xml:space="preserve"> designs limit the total transformation of governance principles into quantifiable ESG results. These remarks support the claims about ESG frameworks as being at risk of focusing on what is quantifiable more than ethically or socially important (Crane and Matten, 2016).</w:t>
      </w:r>
    </w:p>
    <w:p w14:paraId="54381253" w14:textId="77777777" w:rsidR="00D06C43" w:rsidRDefault="00D06C43" w:rsidP="00D06C43">
      <w:pPr>
        <w:pStyle w:val="Heading3"/>
        <w:rPr>
          <w:lang w:val="en-US"/>
        </w:rPr>
      </w:pPr>
      <w:bookmarkStart w:id="68" w:name="_Toc217953876"/>
      <w:r w:rsidRPr="00D06C43">
        <w:rPr>
          <w:lang w:val="en-US"/>
        </w:rPr>
        <w:t>Drivers and Barriers</w:t>
      </w:r>
      <w:bookmarkEnd w:id="68"/>
    </w:p>
    <w:p w14:paraId="3A373B14" w14:textId="6F4160DB" w:rsidR="00D06C43" w:rsidRPr="00D06C43" w:rsidRDefault="00BA79C7" w:rsidP="00D06C43">
      <w:pPr>
        <w:rPr>
          <w:lang w:val="en-US"/>
        </w:rPr>
      </w:pPr>
      <w:r w:rsidRPr="00BA79C7">
        <w:rPr>
          <w:lang w:val="en-US"/>
        </w:rPr>
        <w:t xml:space="preserve">The theoretical implications are additionally presented in the scope of the identified drivers and barriers. Regulatory pressure, technology alignment, quality of governance, market demand and financial incentives are forces as expected by both CSR and ESG literature but their extent of influence varies by firm type. The regulation and technology used by EV companies as facilitating drivers and making ESG </w:t>
      </w:r>
      <w:proofErr w:type="spellStart"/>
      <w:r w:rsidRPr="00BA79C7">
        <w:rPr>
          <w:lang w:val="en-US"/>
        </w:rPr>
        <w:t>practises</w:t>
      </w:r>
      <w:proofErr w:type="spellEnd"/>
      <w:r w:rsidRPr="00BA79C7">
        <w:rPr>
          <w:lang w:val="en-US"/>
        </w:rPr>
        <w:t xml:space="preserve"> a strategic growth benefit, are adopted in the traditional automotive company, which sees regulation as a compliance cost, which is in line with the normative logic of CSR. Financial constraints, infrastructure constraints, lifecycle </w:t>
      </w:r>
      <w:r w:rsidRPr="00BA79C7">
        <w:rPr>
          <w:lang w:val="en-US"/>
        </w:rPr>
        <w:lastRenderedPageBreak/>
        <w:t xml:space="preserve">trade-offs, and inconsistent governance are some examples of barriers to </w:t>
      </w:r>
      <w:proofErr w:type="spellStart"/>
      <w:r w:rsidRPr="00BA79C7">
        <w:rPr>
          <w:lang w:val="en-US"/>
        </w:rPr>
        <w:t>operationalising</w:t>
      </w:r>
      <w:proofErr w:type="spellEnd"/>
      <w:r w:rsidRPr="00BA79C7">
        <w:rPr>
          <w:lang w:val="en-US"/>
        </w:rPr>
        <w:t xml:space="preserve"> ESG, which are not out of place in terms of theory; some criticisms of CSR include its qualitative orientation and ESG having a metric focus (Crane and Matten, 2016; Dathe </w:t>
      </w:r>
      <w:r w:rsidR="00642FAE" w:rsidRPr="00642FAE">
        <w:rPr>
          <w:i/>
          <w:iCs/>
          <w:lang w:val="en-US"/>
        </w:rPr>
        <w:t>et al</w:t>
      </w:r>
      <w:r w:rsidRPr="00BA79C7">
        <w:rPr>
          <w:lang w:val="en-US"/>
        </w:rPr>
        <w:t>., 2022). It is important to note that greenwashing issues are linked to the conflict between transparency and legitimacy, where ESG frameworks need to strike an equilibrium between quantifiable results and genuine ethical conduct, which is also evident in Carroll (2016).</w:t>
      </w:r>
    </w:p>
    <w:p w14:paraId="6A257BCB" w14:textId="77777777" w:rsidR="00D06C43" w:rsidRDefault="00D06C43" w:rsidP="00D06C43">
      <w:pPr>
        <w:pStyle w:val="Heading3"/>
        <w:rPr>
          <w:lang w:val="en-US"/>
        </w:rPr>
      </w:pPr>
      <w:bookmarkStart w:id="69" w:name="_Toc217953877"/>
      <w:r w:rsidRPr="00D06C43">
        <w:rPr>
          <w:lang w:val="en-US"/>
        </w:rPr>
        <w:t>Impact on Financial Performance</w:t>
      </w:r>
      <w:bookmarkEnd w:id="69"/>
    </w:p>
    <w:p w14:paraId="73E23A9D" w14:textId="1CDA28C8" w:rsidR="00D06C43" w:rsidRPr="00D06C43" w:rsidRDefault="00BA79C7" w:rsidP="00D06C43">
      <w:pPr>
        <w:rPr>
          <w:lang w:val="en-US"/>
        </w:rPr>
      </w:pPr>
      <w:r w:rsidRPr="00BA79C7">
        <w:rPr>
          <w:lang w:val="en-US"/>
        </w:rPr>
        <w:t xml:space="preserve">The financial performance results are empirical evidence of the ESG-financial performance relationship examined in the previous articles (Chandrasekaran, 2022; Ahmad </w:t>
      </w:r>
      <w:r w:rsidR="00642FAE" w:rsidRPr="00642FAE">
        <w:rPr>
          <w:i/>
          <w:iCs/>
          <w:lang w:val="en-US"/>
        </w:rPr>
        <w:t>et al</w:t>
      </w:r>
      <w:r w:rsidRPr="00BA79C7">
        <w:rPr>
          <w:lang w:val="en-US"/>
        </w:rPr>
        <w:t xml:space="preserve">., 2023). ESG </w:t>
      </w:r>
      <w:proofErr w:type="spellStart"/>
      <w:r w:rsidRPr="00BA79C7">
        <w:rPr>
          <w:lang w:val="en-US"/>
        </w:rPr>
        <w:t>practises</w:t>
      </w:r>
      <w:proofErr w:type="spellEnd"/>
      <w:r w:rsidRPr="00BA79C7">
        <w:rPr>
          <w:lang w:val="en-US"/>
        </w:rPr>
        <w:t xml:space="preserve"> which are strategically embedded especially in relation to core technological capabilities and market expectations seem to increase the long run firm value. This is the same observation that is echoed by Elkington in his triple bottom line, where profit cannot be discussed without social and environmental concerns, and with the theory of CSR, which suggests that responsible corporate behaviour can facilitate sustainable financial performance. Nevertheless, unpredictable short-term impacts, especially within conventional auto companies, highlight the sophistication identified in the existing ESG, with time-specific, contextual, and dimension-specific influences on performance (Dinca </w:t>
      </w:r>
      <w:r w:rsidR="00642FAE" w:rsidRPr="00642FAE">
        <w:rPr>
          <w:i/>
          <w:iCs/>
          <w:lang w:val="en-US"/>
        </w:rPr>
        <w:t>et al</w:t>
      </w:r>
      <w:r w:rsidRPr="00BA79C7">
        <w:rPr>
          <w:lang w:val="en-US"/>
        </w:rPr>
        <w:t>., 2022; Glova and Panko, 2025).</w:t>
      </w:r>
    </w:p>
    <w:p w14:paraId="2B5DA4E8" w14:textId="79406FD0" w:rsidR="00D06C43" w:rsidRDefault="00D06C43" w:rsidP="00D06C43">
      <w:pPr>
        <w:pStyle w:val="Heading3"/>
        <w:rPr>
          <w:lang w:val="en-US"/>
        </w:rPr>
      </w:pPr>
      <w:bookmarkStart w:id="70" w:name="_Toc217953878"/>
      <w:r w:rsidRPr="00D06C43">
        <w:rPr>
          <w:lang w:val="en-US"/>
        </w:rPr>
        <w:t>Synthesis</w:t>
      </w:r>
      <w:bookmarkEnd w:id="70"/>
    </w:p>
    <w:p w14:paraId="548C013A" w14:textId="5E1F8BB2" w:rsidR="00BA79C7" w:rsidRPr="00BA79C7" w:rsidRDefault="00BA79C7" w:rsidP="00BA79C7">
      <w:pPr>
        <w:rPr>
          <w:lang w:val="en-US"/>
        </w:rPr>
      </w:pPr>
      <w:r w:rsidRPr="00BA79C7">
        <w:rPr>
          <w:lang w:val="en-US"/>
        </w:rPr>
        <w:t xml:space="preserve">In general, the discussion shows that ESG is a progressive development of CSR and sustainability theory, in the way that it </w:t>
      </w:r>
      <w:proofErr w:type="spellStart"/>
      <w:r w:rsidRPr="00BA79C7">
        <w:rPr>
          <w:lang w:val="en-US"/>
        </w:rPr>
        <w:t>operationalises</w:t>
      </w:r>
      <w:proofErr w:type="spellEnd"/>
      <w:r w:rsidRPr="00BA79C7">
        <w:rPr>
          <w:lang w:val="en-US"/>
        </w:rPr>
        <w:t xml:space="preserve"> ethical and social principles into quantifiable and governance-endorsed outputs. The EV companies are a case in point as they are strategically ESG-focused on the environmental, social and governance levels, whereas the old automotive companies are partially adapted to the legacy and are therefore limited in their ESG adoption. The patterns prove the theoretical hypothesis that ESG frameworks integrate the normative direction of CSR with operational and metric-oriented accountability, but also show a number of tensions between measurement, authenticity, and long-term strategic influence (Elkington, 1998; Carroll, 2016; Dathe </w:t>
      </w:r>
      <w:r w:rsidR="00642FAE" w:rsidRPr="00642FAE">
        <w:rPr>
          <w:i/>
          <w:iCs/>
          <w:lang w:val="en-US"/>
        </w:rPr>
        <w:t>et al</w:t>
      </w:r>
      <w:r w:rsidRPr="00BA79C7">
        <w:rPr>
          <w:lang w:val="en-US"/>
        </w:rPr>
        <w:t>., 2022).</w:t>
      </w:r>
    </w:p>
    <w:p w14:paraId="1DD485F4" w14:textId="1A17E464" w:rsidR="00BA79C7" w:rsidRPr="00BA79C7" w:rsidRDefault="00BA79C7" w:rsidP="00BA79C7">
      <w:pPr>
        <w:rPr>
          <w:lang w:val="en-US"/>
        </w:rPr>
      </w:pPr>
      <w:r w:rsidRPr="00BA79C7">
        <w:rPr>
          <w:lang w:val="en-US"/>
        </w:rPr>
        <w:lastRenderedPageBreak/>
        <w:t>Overall, the results prove that the situation regarding ESG adoption in the automotive sector is not homogeneous: it is based on the ability of firms, technological focus, market forces, and even governance. CSR and sustainability supply the theoretical frameworks that may serve as a solid explanatory base, yet the realities of operational measurements, supply-chain complexity, and market-led ESG demands give an exemplary understanding of how the theories were transformed into the modern day ESG paradigm.</w:t>
      </w:r>
    </w:p>
    <w:p w14:paraId="6A0802B2" w14:textId="0EA72684" w:rsidR="008C5097" w:rsidRDefault="008C5097" w:rsidP="00D06C43">
      <w:r>
        <w:br w:type="page"/>
      </w:r>
    </w:p>
    <w:p w14:paraId="3CCBADD8" w14:textId="0F667E4D" w:rsidR="00391EB6" w:rsidRPr="008C5097" w:rsidRDefault="00786750" w:rsidP="008C5097">
      <w:pPr>
        <w:pStyle w:val="Heading1"/>
      </w:pPr>
      <w:bookmarkStart w:id="71" w:name="_Toc217953879"/>
      <w:r w:rsidRPr="008C5097">
        <w:lastRenderedPageBreak/>
        <w:t>CHAPTER 5: CONCLUSIONS AND RECOMMENDATIONS</w:t>
      </w:r>
      <w:bookmarkEnd w:id="71"/>
      <w:r w:rsidRPr="008C5097">
        <w:t xml:space="preserve"> </w:t>
      </w:r>
    </w:p>
    <w:p w14:paraId="315632C7" w14:textId="5D29552A" w:rsidR="00F21071" w:rsidRPr="00F21071" w:rsidRDefault="00F21071" w:rsidP="00F21071">
      <w:pPr>
        <w:pStyle w:val="Heading2"/>
        <w:rPr>
          <w:lang w:val="en-US"/>
        </w:rPr>
      </w:pPr>
      <w:bookmarkStart w:id="72" w:name="_Toc217953880"/>
      <w:r w:rsidRPr="00F21071">
        <w:rPr>
          <w:lang w:val="en-US"/>
        </w:rPr>
        <w:t>Summary of Main Findings</w:t>
      </w:r>
      <w:bookmarkEnd w:id="72"/>
    </w:p>
    <w:p w14:paraId="52E6BAEF" w14:textId="68775ACB" w:rsidR="00F21071" w:rsidRPr="00F21071" w:rsidRDefault="00BA79C7" w:rsidP="00F21071">
      <w:pPr>
        <w:rPr>
          <w:lang w:val="en-US"/>
        </w:rPr>
      </w:pPr>
      <w:r w:rsidRPr="00BA79C7">
        <w:rPr>
          <w:lang w:val="en-US"/>
        </w:rPr>
        <w:t xml:space="preserve">The analysis demonstrated that the ESG </w:t>
      </w:r>
      <w:proofErr w:type="spellStart"/>
      <w:r w:rsidRPr="00BA79C7">
        <w:rPr>
          <w:lang w:val="en-US"/>
        </w:rPr>
        <w:t>practises</w:t>
      </w:r>
      <w:proofErr w:type="spellEnd"/>
      <w:r w:rsidRPr="00BA79C7">
        <w:rPr>
          <w:lang w:val="en-US"/>
        </w:rPr>
        <w:t xml:space="preserve"> of the traditional automotive and electric vehicle (EV) firms differ remarkably due to differences in technology, strategic orientation, and stakeholder expectations. EV companies are more integrated with the environment, with </w:t>
      </w:r>
      <w:proofErr w:type="spellStart"/>
      <w:r w:rsidRPr="00BA79C7">
        <w:rPr>
          <w:lang w:val="en-US"/>
        </w:rPr>
        <w:t>decarbonisation</w:t>
      </w:r>
      <w:proofErr w:type="spellEnd"/>
      <w:r w:rsidRPr="00BA79C7">
        <w:rPr>
          <w:lang w:val="en-US"/>
        </w:rPr>
        <w:t>, emission mitigation, and sustainable product design being part of the fundamental business model, and traditional automotive companies embrace business upgrades to the current internal combustion engine (ICE) platforms. Social ESG activities vary in scope: traditional firms focus on workforce security, labour relations and community involvement whereas EV-enterprises concentrate on skills growth, employment based on innovation and consumer confidence. Governance became a key distinguishing factor with EV firms having better levels of transparency, centralized control, and consistency in ESG strategies and long-term sustainability goals. Regulatory pressure, technological alignment, quality of governance, market demand and financial incentive are the key drivers of ESG adoption but they vary on their relative contribution in EV and traditional firms. Financial constraints, infrastructure barriers, lifecycle trade-offs, and greenwashing are obstacles that impact both categories of firms, but EV firms have more complicated supply-chain and resource-related issues. Lastly, ESGs can have a beneficial impact on financial performance in the event they are strategically incorporated, especially in EV businesses, but the returns may be unstable in the short term in conventional automotive corporations.</w:t>
      </w:r>
    </w:p>
    <w:p w14:paraId="789E36F7" w14:textId="6B2D53F9" w:rsidR="00F21071" w:rsidRPr="00F21071" w:rsidRDefault="00F21071" w:rsidP="00F21071">
      <w:pPr>
        <w:pStyle w:val="Heading2"/>
        <w:rPr>
          <w:lang w:val="en-US"/>
        </w:rPr>
      </w:pPr>
      <w:bookmarkStart w:id="73" w:name="_Toc217953881"/>
      <w:r w:rsidRPr="00F21071">
        <w:rPr>
          <w:lang w:val="en-US"/>
        </w:rPr>
        <w:t>Conclusion Based on the Research Questions</w:t>
      </w:r>
      <w:bookmarkEnd w:id="73"/>
    </w:p>
    <w:p w14:paraId="270361CD" w14:textId="77777777" w:rsidR="00BA79C7" w:rsidRPr="00BA79C7" w:rsidRDefault="00BA79C7" w:rsidP="00BA79C7">
      <w:pPr>
        <w:rPr>
          <w:lang w:val="en-US"/>
        </w:rPr>
      </w:pPr>
      <w:r w:rsidRPr="00BA79C7">
        <w:rPr>
          <w:lang w:val="en-US"/>
        </w:rPr>
        <w:t xml:space="preserve">There are significant differences between conventional automotive and EV companies in terms of environmental, social, and governance </w:t>
      </w:r>
      <w:proofErr w:type="spellStart"/>
      <w:r w:rsidRPr="00BA79C7">
        <w:rPr>
          <w:lang w:val="en-US"/>
        </w:rPr>
        <w:t>practises</w:t>
      </w:r>
      <w:proofErr w:type="spellEnd"/>
      <w:r w:rsidRPr="00BA79C7">
        <w:rPr>
          <w:lang w:val="en-US"/>
        </w:rPr>
        <w:t xml:space="preserve">. EV companies integrate environmental performance and governance disclosure into business models, and place ESG at the centre of business strategies to help them remain competitive in the long term. Traditional automotive companies exhibit a biassed ESG implementation, with a bigger emphasis on compliance, ad hoc environmental enhancement, and employee security instead of restructuring sustainability. These disparities are manifested in social </w:t>
      </w:r>
      <w:proofErr w:type="spellStart"/>
      <w:r w:rsidRPr="00BA79C7">
        <w:rPr>
          <w:lang w:val="en-US"/>
        </w:rPr>
        <w:t>practise</w:t>
      </w:r>
      <w:proofErr w:type="spellEnd"/>
      <w:r w:rsidRPr="00BA79C7">
        <w:rPr>
          <w:lang w:val="en-US"/>
        </w:rPr>
        <w:t xml:space="preserve">, where EV companies associate ESG </w:t>
      </w:r>
      <w:proofErr w:type="spellStart"/>
      <w:r w:rsidRPr="00BA79C7">
        <w:rPr>
          <w:lang w:val="en-US"/>
        </w:rPr>
        <w:t>programmes</w:t>
      </w:r>
      <w:proofErr w:type="spellEnd"/>
      <w:r w:rsidRPr="00BA79C7">
        <w:rPr>
          <w:lang w:val="en-US"/>
        </w:rPr>
        <w:t xml:space="preserve"> with innovation, consumer trust and human capital building.</w:t>
      </w:r>
    </w:p>
    <w:p w14:paraId="47CBC44C" w14:textId="77777777" w:rsidR="00BA79C7" w:rsidRPr="00BA79C7" w:rsidRDefault="00BA79C7" w:rsidP="00BA79C7">
      <w:pPr>
        <w:rPr>
          <w:lang w:val="en-US"/>
        </w:rPr>
      </w:pPr>
      <w:r w:rsidRPr="00BA79C7">
        <w:rPr>
          <w:lang w:val="en-US"/>
        </w:rPr>
        <w:lastRenderedPageBreak/>
        <w:t>The main forces affecting ESG adoption are the pressure of regulations, alignment of technology, quality of governance, financial incentives and market demand. ESG implementation in EV firms is strategic due to the assistance of technology and policies, unlike in traditional automotive firms where it is mostly imposed by law. The two types of firms are limited by barriers in the form of high capital requirements, reliance on infrastructure, resource trade-offs, legacy systems, inconsistencies in governance, and risks of greenwashing. EV companies are challenged by the complicated global supply chains and the problem of sourcing minerals, whereas traditional companies have the problem of technological lock-in and symbolic ESG activity.</w:t>
      </w:r>
    </w:p>
    <w:p w14:paraId="4E252B40" w14:textId="6F3674BE" w:rsidR="00F21071" w:rsidRPr="00F21071" w:rsidRDefault="00BA79C7" w:rsidP="00BA79C7">
      <w:pPr>
        <w:rPr>
          <w:lang w:val="en-US"/>
        </w:rPr>
      </w:pPr>
      <w:r w:rsidRPr="00BA79C7">
        <w:rPr>
          <w:lang w:val="en-US"/>
        </w:rPr>
        <w:t xml:space="preserve">Generally speaking, ESG considerations have a positive influence on financial performance, specifically in cases when these initiatives are well-planned and strategically oriented to the core operations and market expectations. The environmental investments in EV companies assist in long-term profitability, whereas the social and governance </w:t>
      </w:r>
      <w:proofErr w:type="spellStart"/>
      <w:r w:rsidRPr="00BA79C7">
        <w:rPr>
          <w:lang w:val="en-US"/>
        </w:rPr>
        <w:t>practises</w:t>
      </w:r>
      <w:proofErr w:type="spellEnd"/>
      <w:r w:rsidRPr="00BA79C7">
        <w:rPr>
          <w:lang w:val="en-US"/>
        </w:rPr>
        <w:t xml:space="preserve"> help to increase the trust of stakeholders, brand reputation, and resilience. The impact of ESG is less clearly positive in the case of traditional automotive companies; gradual adoption can result in better social outcomes, although it does not necessarily lead to direct financial benefits. ESG is therefore essential and therefore strategic integration and uniform governance mechanisms are critical in ensuring that the sector achieves sustainable financial performance.</w:t>
      </w:r>
    </w:p>
    <w:p w14:paraId="02F91F3B" w14:textId="79D459B0" w:rsidR="00F21071" w:rsidRPr="00F21071" w:rsidRDefault="00F21071" w:rsidP="00F21071">
      <w:pPr>
        <w:pStyle w:val="Heading2"/>
        <w:rPr>
          <w:lang w:val="en-US"/>
        </w:rPr>
      </w:pPr>
      <w:bookmarkStart w:id="74" w:name="_Toc217953882"/>
      <w:r w:rsidRPr="00F21071">
        <w:rPr>
          <w:lang w:val="en-US"/>
        </w:rPr>
        <w:t>Recommendations (Practical and Theoretical)</w:t>
      </w:r>
      <w:bookmarkEnd w:id="74"/>
    </w:p>
    <w:p w14:paraId="2A2FB9E8" w14:textId="4BFF343E" w:rsidR="00F21071" w:rsidRPr="00F21071" w:rsidRDefault="00BA79C7" w:rsidP="00F21071">
      <w:pPr>
        <w:rPr>
          <w:lang w:val="en-US"/>
        </w:rPr>
      </w:pPr>
      <w:r w:rsidRPr="00BA79C7">
        <w:rPr>
          <w:lang w:val="en-US"/>
        </w:rPr>
        <w:t xml:space="preserve">In </w:t>
      </w:r>
      <w:proofErr w:type="spellStart"/>
      <w:r w:rsidRPr="00BA79C7">
        <w:rPr>
          <w:lang w:val="en-US"/>
        </w:rPr>
        <w:t>practise</w:t>
      </w:r>
      <w:proofErr w:type="spellEnd"/>
      <w:r w:rsidRPr="00BA79C7">
        <w:rPr>
          <w:lang w:val="en-US"/>
        </w:rPr>
        <w:t xml:space="preserve">, automotive companies ought to make ESG part of business strategy, and not a compliance or publicity instrument. EV companies must maintain the focus on the supply-chain transparency, lifecycle sustainability, and workforce reskilling to enhance ESG credibility. Conventional automobile companies must hasten the </w:t>
      </w:r>
      <w:proofErr w:type="spellStart"/>
      <w:r w:rsidRPr="00BA79C7">
        <w:rPr>
          <w:lang w:val="en-US"/>
        </w:rPr>
        <w:t>practise</w:t>
      </w:r>
      <w:proofErr w:type="spellEnd"/>
      <w:r w:rsidRPr="00BA79C7">
        <w:rPr>
          <w:lang w:val="en-US"/>
        </w:rPr>
        <w:t xml:space="preserve"> of the transformative environmental </w:t>
      </w:r>
      <w:proofErr w:type="spellStart"/>
      <w:r w:rsidRPr="00BA79C7">
        <w:rPr>
          <w:lang w:val="en-US"/>
        </w:rPr>
        <w:t>practises</w:t>
      </w:r>
      <w:proofErr w:type="spellEnd"/>
      <w:r w:rsidRPr="00BA79C7">
        <w:rPr>
          <w:lang w:val="en-US"/>
        </w:rPr>
        <w:t xml:space="preserve">, invest in digital and sustainable technologies, and improve governance mechanisms to make ESG correspond to long-term competitiveness. In theory, ESG frameworks are to be further complexified to make them strike the right balance between accountability as a metric and ethical considerations as a qualitative component, as the current models have the limitations to focus on quantifiable factors rather than meaningful effects. To inform </w:t>
      </w:r>
      <w:proofErr w:type="spellStart"/>
      <w:r w:rsidRPr="00BA79C7">
        <w:rPr>
          <w:lang w:val="en-US"/>
        </w:rPr>
        <w:t>practise</w:t>
      </w:r>
      <w:proofErr w:type="spellEnd"/>
      <w:r w:rsidRPr="00BA79C7">
        <w:rPr>
          <w:lang w:val="en-US"/>
        </w:rPr>
        <w:t xml:space="preserve"> and </w:t>
      </w:r>
      <w:r w:rsidRPr="00BA79C7">
        <w:rPr>
          <w:lang w:val="en-US"/>
        </w:rPr>
        <w:lastRenderedPageBreak/>
        <w:t>policy, researchers ought to come up with integrative models through which ESG adoption, technological orientation, and financial performance are connected.</w:t>
      </w:r>
    </w:p>
    <w:p w14:paraId="03FBB7DA" w14:textId="04996A26" w:rsidR="00F21071" w:rsidRPr="00F21071" w:rsidRDefault="00F21071" w:rsidP="00F21071">
      <w:pPr>
        <w:pStyle w:val="Heading2"/>
        <w:rPr>
          <w:lang w:val="en-US"/>
        </w:rPr>
      </w:pPr>
      <w:bookmarkStart w:id="75" w:name="_Toc217953883"/>
      <w:r w:rsidRPr="00F21071">
        <w:rPr>
          <w:lang w:val="en-US"/>
        </w:rPr>
        <w:t>Limitations of Research</w:t>
      </w:r>
      <w:bookmarkEnd w:id="75"/>
    </w:p>
    <w:p w14:paraId="6AC8E402" w14:textId="0DABF066" w:rsidR="00F21071" w:rsidRPr="00F21071" w:rsidRDefault="00BA79C7" w:rsidP="00F21071">
      <w:pPr>
        <w:rPr>
          <w:lang w:val="en-US"/>
        </w:rPr>
      </w:pPr>
      <w:r w:rsidRPr="00BA79C7">
        <w:rPr>
          <w:lang w:val="en-US"/>
        </w:rPr>
        <w:t xml:space="preserve">This research has a number of limitations. First, the analysis largely relies on qualitative analysis and a more </w:t>
      </w:r>
      <w:proofErr w:type="spellStart"/>
      <w:r w:rsidRPr="00BA79C7">
        <w:rPr>
          <w:lang w:val="en-US"/>
        </w:rPr>
        <w:t>generalisable</w:t>
      </w:r>
      <w:proofErr w:type="spellEnd"/>
      <w:r w:rsidRPr="00BA79C7">
        <w:rPr>
          <w:lang w:val="en-US"/>
        </w:rPr>
        <w:t xml:space="preserve"> and statistically strong analysis, like meta-analysis or econometric modelling, might have been more appropriate. Second, English-language publications were selected only, which could gain access to other languages of research. Third, the research used one database (Scopus) and one reviewer, which might have introduced selection bias and restricted the scope of sources. Lastly, thematic synthesis and narrative analysis could have undergone individual interpretation and brought subjectivity bias that might have compromised the validity and reproducibility of the study results.</w:t>
      </w:r>
    </w:p>
    <w:p w14:paraId="37E01B4F" w14:textId="6C31BEC4" w:rsidR="00F21071" w:rsidRPr="00F21071" w:rsidRDefault="00F21071" w:rsidP="00F21071">
      <w:pPr>
        <w:pStyle w:val="Heading2"/>
        <w:rPr>
          <w:lang w:val="en-US"/>
        </w:rPr>
      </w:pPr>
      <w:bookmarkStart w:id="76" w:name="_Toc217953884"/>
      <w:r w:rsidRPr="00F21071">
        <w:rPr>
          <w:lang w:val="en-US"/>
        </w:rPr>
        <w:t>Recommendations for Future Work</w:t>
      </w:r>
      <w:bookmarkEnd w:id="76"/>
    </w:p>
    <w:p w14:paraId="2B8485D5" w14:textId="45046F20" w:rsidR="00F21071" w:rsidRPr="00F21071" w:rsidRDefault="00C91D10" w:rsidP="00F21071">
      <w:pPr>
        <w:rPr>
          <w:lang w:val="en-US"/>
        </w:rPr>
      </w:pPr>
      <w:r w:rsidRPr="00C91D10">
        <w:rPr>
          <w:lang w:val="en-US"/>
        </w:rPr>
        <w:t xml:space="preserve">Future studies ought to incorporate mixed research methods integrating both qualitative synthesis and quantitative meta-analysis in order to validate and </w:t>
      </w:r>
      <w:proofErr w:type="spellStart"/>
      <w:r w:rsidRPr="00C91D10">
        <w:rPr>
          <w:lang w:val="en-US"/>
        </w:rPr>
        <w:t>generalise</w:t>
      </w:r>
      <w:proofErr w:type="spellEnd"/>
      <w:r w:rsidRPr="00C91D10">
        <w:rPr>
          <w:lang w:val="en-US"/>
        </w:rPr>
        <w:t xml:space="preserve"> results in different contexts. Research ought to increase the amount of data sources used besides Scopus and also use non-English publications to give a wider global picture. Individual bias can be reduced by multi-reviewer analysis or systematic reviews that should include inter-rater reliability. Moreover, further research can be based on longitudinal studies evaluating the changes in ESG over time, the introduction of new technologies to ESG optimization, e.g., battery recycling and AI, and comparative studies in different regions to determine the effect of policy, market maturity, and infrastructure on ESG performance and effectiveness.</w:t>
      </w:r>
    </w:p>
    <w:p w14:paraId="72C49E1B" w14:textId="1A3E8AF3" w:rsidR="00391EB6" w:rsidRPr="00F21071" w:rsidRDefault="00391EB6" w:rsidP="00F21071">
      <w:pPr>
        <w:rPr>
          <w:lang w:val="en-US"/>
        </w:rPr>
      </w:pPr>
    </w:p>
    <w:p w14:paraId="3DB7E462" w14:textId="77777777" w:rsidR="008C5097" w:rsidRDefault="008C5097">
      <w:r>
        <w:br w:type="page"/>
      </w:r>
    </w:p>
    <w:p w14:paraId="65014064" w14:textId="4EC15878" w:rsidR="00431C43" w:rsidRPr="00431C43" w:rsidRDefault="00786750" w:rsidP="00431C43">
      <w:pPr>
        <w:pStyle w:val="Heading1"/>
      </w:pPr>
      <w:bookmarkStart w:id="77" w:name="_Toc217953885"/>
      <w:r w:rsidRPr="008C5097">
        <w:lastRenderedPageBreak/>
        <w:t>REFERENCES</w:t>
      </w:r>
      <w:bookmarkEnd w:id="77"/>
      <w:r w:rsidRPr="008C5097">
        <w:t xml:space="preserve"> </w:t>
      </w:r>
    </w:p>
    <w:p w14:paraId="2240E499" w14:textId="77777777" w:rsidR="00B83B3F" w:rsidRPr="009D347F" w:rsidRDefault="00B83B3F" w:rsidP="00B83B3F">
      <w:pPr>
        <w:pStyle w:val="NormalWeb"/>
        <w:spacing w:before="140" w:beforeAutospacing="0" w:after="140" w:afterAutospacing="0" w:line="360" w:lineRule="auto"/>
        <w:rPr>
          <w:rFonts w:ascii="Arial" w:hAnsi="Arial" w:cs="Arial"/>
        </w:rPr>
      </w:pPr>
      <w:proofErr w:type="spellStart"/>
      <w:r w:rsidRPr="009D347F">
        <w:rPr>
          <w:rFonts w:ascii="Arial" w:hAnsi="Arial" w:cs="Arial"/>
        </w:rPr>
        <w:t>Aaldering</w:t>
      </w:r>
      <w:proofErr w:type="spellEnd"/>
      <w:r w:rsidRPr="009D347F">
        <w:rPr>
          <w:rFonts w:ascii="Arial" w:hAnsi="Arial" w:cs="Arial"/>
        </w:rPr>
        <w:t xml:space="preserve">, L.J., Leker, J. &amp; Song, C.H. (2019) ‘Competition or collaboration? – Analysis of technological knowledge ecosystem within the field of alternative powertrain systems: A patent-based approach’, </w:t>
      </w:r>
      <w:r w:rsidRPr="009D347F">
        <w:rPr>
          <w:rFonts w:ascii="Arial" w:hAnsi="Arial" w:cs="Arial"/>
          <w:i/>
          <w:iCs/>
        </w:rPr>
        <w:t>Journal of Cleaner Production</w:t>
      </w:r>
      <w:r w:rsidRPr="009D347F">
        <w:rPr>
          <w:rFonts w:ascii="Arial" w:hAnsi="Arial" w:cs="Arial"/>
        </w:rPr>
        <w:t>, 212, pp. 362–371.</w:t>
      </w:r>
    </w:p>
    <w:p w14:paraId="2E8E73EF"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Afifi, M., Stryhn, H. and Sánchez, J. (2023) ‘Data extraction and comparison for complex systematic reviews: A step-by-step guideline and an implementation example using open-source software’, </w:t>
      </w:r>
      <w:r w:rsidRPr="005124F4">
        <w:rPr>
          <w:rFonts w:ascii="Arial" w:hAnsi="Arial" w:cs="Arial"/>
          <w:i/>
          <w:iCs/>
        </w:rPr>
        <w:t>Systematic Reviews</w:t>
      </w:r>
      <w:r w:rsidRPr="005124F4">
        <w:rPr>
          <w:rFonts w:ascii="Arial" w:hAnsi="Arial" w:cs="Arial"/>
        </w:rPr>
        <w:t xml:space="preserve">, 12(1). Available at: </w:t>
      </w:r>
      <w:hyperlink r:id="rId17" w:history="1">
        <w:r w:rsidRPr="005124F4">
          <w:rPr>
            <w:rStyle w:val="Hyperlink"/>
            <w:rFonts w:ascii="Arial" w:hAnsi="Arial" w:cs="Arial"/>
          </w:rPr>
          <w:t>https://doi.org/10.1186/s13643-023-02322-1</w:t>
        </w:r>
      </w:hyperlink>
      <w:r w:rsidRPr="005124F4">
        <w:rPr>
          <w:rFonts w:ascii="Arial" w:hAnsi="Arial" w:cs="Arial"/>
        </w:rPr>
        <w:t>.</w:t>
      </w:r>
    </w:p>
    <w:p w14:paraId="2A027410"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Ahmad, N., Khalil, M.T. and Rehman, J.U. (2023) ‘Impact of Environmental Performance of Automobile Companies on their Sustainable Financial Performance’, </w:t>
      </w:r>
      <w:r w:rsidRPr="00B83B3F">
        <w:rPr>
          <w:rFonts w:ascii="Arial" w:hAnsi="Arial" w:cs="Arial"/>
          <w:i/>
          <w:iCs/>
        </w:rPr>
        <w:t>Bulletin of Business and Economics (BBE)</w:t>
      </w:r>
      <w:r w:rsidRPr="00B83B3F">
        <w:rPr>
          <w:rFonts w:ascii="Arial" w:hAnsi="Arial" w:cs="Arial"/>
        </w:rPr>
        <w:t xml:space="preserve">, 12(3), pp. 44–54. Available at: </w:t>
      </w:r>
      <w:hyperlink r:id="rId18" w:history="1">
        <w:r w:rsidRPr="00B83B3F">
          <w:rPr>
            <w:rStyle w:val="Hyperlink"/>
            <w:rFonts w:ascii="Arial" w:hAnsi="Arial" w:cs="Arial"/>
          </w:rPr>
          <w:t>https://bbejournal.com/index.php/BBE/article/view/449</w:t>
        </w:r>
      </w:hyperlink>
      <w:r w:rsidRPr="00B83B3F">
        <w:rPr>
          <w:rFonts w:ascii="Arial" w:hAnsi="Arial" w:cs="Arial"/>
        </w:rPr>
        <w:t>.</w:t>
      </w:r>
    </w:p>
    <w:p w14:paraId="3B2B544B"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Alanazi, F. (2023) ‘Electric vehicles: Benefits, challenges, and potential solutions for widespread adaptation’, </w:t>
      </w:r>
      <w:r w:rsidRPr="00B83B3F">
        <w:rPr>
          <w:rStyle w:val="Emphasis"/>
          <w:rFonts w:ascii="Arial" w:hAnsi="Arial" w:cs="Arial"/>
        </w:rPr>
        <w:t>Applied Sciences</w:t>
      </w:r>
      <w:r w:rsidRPr="00B83B3F">
        <w:rPr>
          <w:rFonts w:ascii="Arial" w:hAnsi="Arial" w:cs="Arial"/>
        </w:rPr>
        <w:t xml:space="preserve">, 13(10), p. 6016. Available at: </w:t>
      </w:r>
      <w:hyperlink r:id="rId19" w:tgtFrame="_new" w:history="1">
        <w:r w:rsidRPr="00B83B3F">
          <w:rPr>
            <w:rStyle w:val="Hyperlink"/>
            <w:rFonts w:ascii="Arial" w:hAnsi="Arial" w:cs="Arial"/>
          </w:rPr>
          <w:t>https://doi.org/10.3390/app13106016</w:t>
        </w:r>
      </w:hyperlink>
      <w:r w:rsidRPr="00B83B3F">
        <w:rPr>
          <w:rFonts w:ascii="Arial" w:hAnsi="Arial" w:cs="Arial"/>
        </w:rPr>
        <w:t>.</w:t>
      </w:r>
    </w:p>
    <w:p w14:paraId="084D89DB" w14:textId="77777777" w:rsidR="00B83B3F" w:rsidRPr="00B83B3F" w:rsidRDefault="00B83B3F" w:rsidP="00B83B3F">
      <w:pPr>
        <w:pStyle w:val="NormalWeb"/>
        <w:spacing w:before="140" w:beforeAutospacing="0" w:after="140" w:afterAutospacing="0" w:line="360" w:lineRule="auto"/>
        <w:rPr>
          <w:rFonts w:ascii="Arial" w:hAnsi="Arial" w:cs="Arial"/>
        </w:rPr>
      </w:pPr>
      <w:proofErr w:type="spellStart"/>
      <w:r w:rsidRPr="00B83B3F">
        <w:rPr>
          <w:rFonts w:ascii="Arial" w:hAnsi="Arial" w:cs="Arial"/>
        </w:rPr>
        <w:t>Arhinful</w:t>
      </w:r>
      <w:proofErr w:type="spellEnd"/>
      <w:r w:rsidRPr="00B83B3F">
        <w:rPr>
          <w:rFonts w:ascii="Arial" w:hAnsi="Arial" w:cs="Arial"/>
        </w:rPr>
        <w:t xml:space="preserve">, R., Mensah, L. and Owusu-Sarfo, J.S. (2024) ‘Board governance and ESG performance in Tokyo stock exchange-listed automobile companies: An empirical analysis’, </w:t>
      </w:r>
      <w:r w:rsidRPr="00B83B3F">
        <w:rPr>
          <w:rStyle w:val="Emphasis"/>
          <w:rFonts w:ascii="Arial" w:hAnsi="Arial" w:cs="Arial"/>
        </w:rPr>
        <w:t>Asia Pacific Management Review</w:t>
      </w:r>
      <w:r w:rsidRPr="00B83B3F">
        <w:rPr>
          <w:rFonts w:ascii="Arial" w:hAnsi="Arial" w:cs="Arial"/>
        </w:rPr>
        <w:t xml:space="preserve">, 29(4). Available at: </w:t>
      </w:r>
      <w:hyperlink r:id="rId20" w:tgtFrame="_new" w:history="1">
        <w:r w:rsidRPr="00B83B3F">
          <w:rPr>
            <w:rStyle w:val="Hyperlink"/>
            <w:rFonts w:ascii="Arial" w:hAnsi="Arial" w:cs="Arial"/>
          </w:rPr>
          <w:t>https://doi.org/10.1016/j.apmrv.2024.11.001</w:t>
        </w:r>
      </w:hyperlink>
      <w:r w:rsidRPr="00B83B3F">
        <w:rPr>
          <w:rFonts w:ascii="Arial" w:hAnsi="Arial" w:cs="Arial"/>
        </w:rPr>
        <w:t>.</w:t>
      </w:r>
    </w:p>
    <w:p w14:paraId="21AE4A69" w14:textId="77777777" w:rsidR="00B83B3F" w:rsidRPr="009D347F" w:rsidRDefault="00B83B3F" w:rsidP="00B83B3F">
      <w:pPr>
        <w:pStyle w:val="NormalWeb"/>
        <w:spacing w:before="140" w:beforeAutospacing="0" w:after="140" w:afterAutospacing="0" w:line="360" w:lineRule="auto"/>
        <w:rPr>
          <w:rFonts w:ascii="Arial" w:hAnsi="Arial" w:cs="Arial"/>
        </w:rPr>
      </w:pPr>
      <w:r w:rsidRPr="009D347F">
        <w:rPr>
          <w:rFonts w:ascii="Arial" w:hAnsi="Arial" w:cs="Arial"/>
        </w:rPr>
        <w:t xml:space="preserve">Asghar, S., Patni, S. &amp; Menon, N. (2025) ‘Beyond adoption: examining zero-emission vehicle usage with an MDCEV model approach’, </w:t>
      </w:r>
      <w:r w:rsidRPr="009D347F">
        <w:rPr>
          <w:rFonts w:ascii="Arial" w:hAnsi="Arial" w:cs="Arial"/>
          <w:i/>
          <w:iCs/>
        </w:rPr>
        <w:t>Transportation Research Part D: Transport and Environment</w:t>
      </w:r>
      <w:r w:rsidRPr="009D347F">
        <w:rPr>
          <w:rFonts w:ascii="Arial" w:hAnsi="Arial" w:cs="Arial"/>
        </w:rPr>
        <w:t>, 149, 105078.</w:t>
      </w:r>
    </w:p>
    <w:p w14:paraId="36696C4C"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Boland, A., Cherry, M. and Dickson, R. (2017) </w:t>
      </w:r>
      <w:r w:rsidRPr="005124F4">
        <w:rPr>
          <w:rFonts w:ascii="Arial" w:hAnsi="Arial" w:cs="Arial"/>
          <w:i/>
          <w:iCs/>
        </w:rPr>
        <w:t>Doing a systematic review: A student’s guide</w:t>
      </w:r>
      <w:r w:rsidRPr="005124F4">
        <w:rPr>
          <w:rFonts w:ascii="Arial" w:hAnsi="Arial" w:cs="Arial"/>
        </w:rPr>
        <w:t xml:space="preserve">. 2nd </w:t>
      </w:r>
      <w:proofErr w:type="spellStart"/>
      <w:r w:rsidRPr="005124F4">
        <w:rPr>
          <w:rFonts w:ascii="Arial" w:hAnsi="Arial" w:cs="Arial"/>
        </w:rPr>
        <w:t>edn</w:t>
      </w:r>
      <w:proofErr w:type="spellEnd"/>
      <w:r w:rsidRPr="005124F4">
        <w:rPr>
          <w:rFonts w:ascii="Arial" w:hAnsi="Arial" w:cs="Arial"/>
        </w:rPr>
        <w:t>. London: Sage.</w:t>
      </w:r>
    </w:p>
    <w:p w14:paraId="056C6466"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Boretti, A. (2019) ‘Electric vehicles with small batteries and high-efficiency on-board electricity production’, </w:t>
      </w:r>
      <w:r w:rsidRPr="002417E8">
        <w:rPr>
          <w:rFonts w:ascii="Arial" w:hAnsi="Arial" w:cs="Arial"/>
          <w:i/>
          <w:iCs/>
        </w:rPr>
        <w:t>Energy Storage</w:t>
      </w:r>
      <w:r w:rsidRPr="002417E8">
        <w:rPr>
          <w:rFonts w:ascii="Arial" w:hAnsi="Arial" w:cs="Arial"/>
        </w:rPr>
        <w:t>, 1(4), e75.</w:t>
      </w:r>
    </w:p>
    <w:p w14:paraId="2A5446CB" w14:textId="77777777" w:rsidR="00B83B3F" w:rsidRPr="002417E8" w:rsidRDefault="00B83B3F" w:rsidP="00B83B3F">
      <w:pPr>
        <w:pStyle w:val="NormalWeb"/>
        <w:spacing w:before="140" w:beforeAutospacing="0" w:after="140" w:afterAutospacing="0" w:line="360" w:lineRule="auto"/>
        <w:rPr>
          <w:rFonts w:ascii="Arial" w:hAnsi="Arial" w:cs="Arial"/>
        </w:rPr>
      </w:pPr>
      <w:proofErr w:type="spellStart"/>
      <w:r w:rsidRPr="002417E8">
        <w:rPr>
          <w:rFonts w:ascii="Arial" w:hAnsi="Arial" w:cs="Arial"/>
        </w:rPr>
        <w:t>Boroujerdi</w:t>
      </w:r>
      <w:proofErr w:type="spellEnd"/>
      <w:r w:rsidRPr="002417E8">
        <w:rPr>
          <w:rFonts w:ascii="Arial" w:hAnsi="Arial" w:cs="Arial"/>
        </w:rPr>
        <w:t xml:space="preserve">, A., Simsek, Y., Bahri, P.A. &amp; </w:t>
      </w:r>
      <w:proofErr w:type="spellStart"/>
      <w:r w:rsidRPr="002417E8">
        <w:rPr>
          <w:rFonts w:ascii="Arial" w:hAnsi="Arial" w:cs="Arial"/>
        </w:rPr>
        <w:t>Urmee</w:t>
      </w:r>
      <w:proofErr w:type="spellEnd"/>
      <w:r w:rsidRPr="002417E8">
        <w:rPr>
          <w:rFonts w:ascii="Arial" w:hAnsi="Arial" w:cs="Arial"/>
        </w:rPr>
        <w:t xml:space="preserve">, T. (2025) ‘Transitioning Australia's land freight transport: Competition of fuel cell electric, battery electric, and internal combustion engine vehicles’, </w:t>
      </w:r>
      <w:r w:rsidRPr="002417E8">
        <w:rPr>
          <w:rFonts w:ascii="Arial" w:hAnsi="Arial" w:cs="Arial"/>
          <w:i/>
          <w:iCs/>
        </w:rPr>
        <w:t>Energy Conversion and Management</w:t>
      </w:r>
      <w:r w:rsidRPr="002417E8">
        <w:rPr>
          <w:rFonts w:ascii="Arial" w:hAnsi="Arial" w:cs="Arial"/>
        </w:rPr>
        <w:t>, 333, 119798.</w:t>
      </w:r>
    </w:p>
    <w:p w14:paraId="7E2C93E3"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lastRenderedPageBreak/>
        <w:t xml:space="preserve">Carroll, A.B. (1979) ‘A three-dimensional conceptual model of corporate social performance’, </w:t>
      </w:r>
      <w:r w:rsidRPr="00B83B3F">
        <w:rPr>
          <w:rStyle w:val="Emphasis"/>
          <w:rFonts w:ascii="Arial" w:hAnsi="Arial" w:cs="Arial"/>
        </w:rPr>
        <w:t>Academy of Management Review</w:t>
      </w:r>
      <w:r w:rsidRPr="00B83B3F">
        <w:rPr>
          <w:rFonts w:ascii="Arial" w:hAnsi="Arial" w:cs="Arial"/>
        </w:rPr>
        <w:t>, 4(4), pp. 497–505.</w:t>
      </w:r>
    </w:p>
    <w:p w14:paraId="0F3269DF"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Carroll, A.B. (2016) ‘Carroll’s pyramid of CSR: Taking another look’, </w:t>
      </w:r>
      <w:r w:rsidRPr="00B83B3F">
        <w:rPr>
          <w:rStyle w:val="Emphasis"/>
          <w:rFonts w:ascii="Arial" w:hAnsi="Arial" w:cs="Arial"/>
        </w:rPr>
        <w:t>International Journal of Corporate Social Responsibility</w:t>
      </w:r>
      <w:r w:rsidRPr="00B83B3F">
        <w:rPr>
          <w:rFonts w:ascii="Arial" w:hAnsi="Arial" w:cs="Arial"/>
        </w:rPr>
        <w:t xml:space="preserve">, 1(1), p. 3. Available at: </w:t>
      </w:r>
      <w:hyperlink r:id="rId21" w:tgtFrame="_new" w:history="1">
        <w:r w:rsidRPr="00B83B3F">
          <w:rPr>
            <w:rStyle w:val="Hyperlink"/>
            <w:rFonts w:ascii="Arial" w:hAnsi="Arial" w:cs="Arial"/>
          </w:rPr>
          <w:t>https://doi.org/10.1186/s40991-016-0004-6</w:t>
        </w:r>
      </w:hyperlink>
      <w:r w:rsidRPr="00B83B3F">
        <w:rPr>
          <w:rFonts w:ascii="Arial" w:hAnsi="Arial" w:cs="Arial"/>
        </w:rPr>
        <w:t>.</w:t>
      </w:r>
    </w:p>
    <w:p w14:paraId="1C1453F9" w14:textId="3C1373EA" w:rsidR="00B83B3F" w:rsidRPr="00B83B3F" w:rsidRDefault="00B83B3F" w:rsidP="00B83B3F">
      <w:pPr>
        <w:pStyle w:val="NormalWeb"/>
        <w:spacing w:before="140" w:beforeAutospacing="0" w:after="140" w:afterAutospacing="0" w:line="360" w:lineRule="auto"/>
        <w:rPr>
          <w:rFonts w:ascii="Arial" w:hAnsi="Arial" w:cs="Arial"/>
        </w:rPr>
      </w:pPr>
      <w:r w:rsidRPr="00642FAE">
        <w:rPr>
          <w:rFonts w:ascii="Arial" w:hAnsi="Arial" w:cs="Arial"/>
          <w:lang w:val="nl-NL"/>
        </w:rPr>
        <w:t xml:space="preserve">Catacutan, K.J. </w:t>
      </w:r>
      <w:r w:rsidR="00642FAE" w:rsidRPr="00642FAE">
        <w:rPr>
          <w:rFonts w:ascii="Arial" w:hAnsi="Arial" w:cs="Arial"/>
          <w:i/>
          <w:iCs/>
          <w:lang w:val="nl-NL"/>
        </w:rPr>
        <w:t>et al</w:t>
      </w:r>
      <w:r w:rsidRPr="00642FAE">
        <w:rPr>
          <w:rFonts w:ascii="Arial" w:hAnsi="Arial" w:cs="Arial"/>
          <w:lang w:val="nl-NL"/>
        </w:rPr>
        <w:t xml:space="preserve">. </w:t>
      </w:r>
      <w:r w:rsidRPr="00B83B3F">
        <w:rPr>
          <w:rFonts w:ascii="Arial" w:hAnsi="Arial" w:cs="Arial"/>
        </w:rPr>
        <w:t xml:space="preserve">(2024) ‘Corporate social responsibility and financial performance of automotive companies: A basis for corporate social responsibility framework’, </w:t>
      </w:r>
      <w:r w:rsidRPr="00B83B3F">
        <w:rPr>
          <w:rStyle w:val="Emphasis"/>
          <w:rFonts w:ascii="Arial" w:hAnsi="Arial" w:cs="Arial"/>
        </w:rPr>
        <w:t>Indonesian Journal of Business Analytics</w:t>
      </w:r>
      <w:r w:rsidRPr="00B83B3F">
        <w:rPr>
          <w:rFonts w:ascii="Arial" w:hAnsi="Arial" w:cs="Arial"/>
        </w:rPr>
        <w:t xml:space="preserve">, 4(5), pp. 2033–2052. Available at: </w:t>
      </w:r>
      <w:hyperlink r:id="rId22" w:tgtFrame="_new" w:history="1">
        <w:r w:rsidRPr="00B83B3F">
          <w:rPr>
            <w:rStyle w:val="Hyperlink"/>
            <w:rFonts w:ascii="Arial" w:hAnsi="Arial" w:cs="Arial"/>
          </w:rPr>
          <w:t>https://doi.org/10.55927/ijba.v4i5.11444</w:t>
        </w:r>
      </w:hyperlink>
      <w:r w:rsidRPr="00B83B3F">
        <w:rPr>
          <w:rFonts w:ascii="Arial" w:hAnsi="Arial" w:cs="Arial"/>
        </w:rPr>
        <w:t>.</w:t>
      </w:r>
    </w:p>
    <w:p w14:paraId="52E647A1"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Chandrasekaran, M.M. (2022) ‘Does corporate social responsibility fuel firm performance? Evidence from the Asian automotive sector’, </w:t>
      </w:r>
      <w:r w:rsidRPr="00B83B3F">
        <w:rPr>
          <w:rStyle w:val="Emphasis"/>
          <w:rFonts w:ascii="Arial" w:hAnsi="Arial" w:cs="Arial"/>
        </w:rPr>
        <w:t>Sustainability</w:t>
      </w:r>
      <w:r w:rsidRPr="00B83B3F">
        <w:rPr>
          <w:rFonts w:ascii="Arial" w:hAnsi="Arial" w:cs="Arial"/>
        </w:rPr>
        <w:t xml:space="preserve">, 14(22), p. 15440. Available at: </w:t>
      </w:r>
      <w:hyperlink r:id="rId23" w:tgtFrame="_new" w:history="1">
        <w:r w:rsidRPr="00B83B3F">
          <w:rPr>
            <w:rStyle w:val="Hyperlink"/>
            <w:rFonts w:ascii="Arial" w:hAnsi="Arial" w:cs="Arial"/>
          </w:rPr>
          <w:t>https://doi.org/10.3390/su142215440</w:t>
        </w:r>
      </w:hyperlink>
      <w:r w:rsidRPr="00B83B3F">
        <w:rPr>
          <w:rFonts w:ascii="Arial" w:hAnsi="Arial" w:cs="Arial"/>
        </w:rPr>
        <w:t>.</w:t>
      </w:r>
    </w:p>
    <w:p w14:paraId="6756D2F6"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Chen, R. (2024) ‘The impact of ESG performance on corporate’s financial performance: Evidence from China’s automobile manufacturing industry’, in </w:t>
      </w:r>
      <w:r w:rsidRPr="00B83B3F">
        <w:rPr>
          <w:rStyle w:val="Emphasis"/>
          <w:rFonts w:ascii="Arial" w:hAnsi="Arial" w:cs="Arial"/>
        </w:rPr>
        <w:t>Highlights in Business, Economics and Management</w:t>
      </w:r>
      <w:r w:rsidRPr="00B83B3F">
        <w:rPr>
          <w:rFonts w:ascii="Arial" w:hAnsi="Arial" w:cs="Arial"/>
        </w:rPr>
        <w:t xml:space="preserve">, pp. 210–220. Available at: </w:t>
      </w:r>
      <w:hyperlink r:id="rId24" w:tgtFrame="_new" w:history="1">
        <w:r w:rsidRPr="00B83B3F">
          <w:rPr>
            <w:rStyle w:val="Hyperlink"/>
            <w:rFonts w:ascii="Arial" w:hAnsi="Arial" w:cs="Arial"/>
          </w:rPr>
          <w:t>https://doi.org/10.54097/7ck76113</w:t>
        </w:r>
      </w:hyperlink>
      <w:r w:rsidRPr="00B83B3F">
        <w:rPr>
          <w:rFonts w:ascii="Arial" w:hAnsi="Arial" w:cs="Arial"/>
        </w:rPr>
        <w:t>.</w:t>
      </w:r>
    </w:p>
    <w:p w14:paraId="08E821A7"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Choi, S. and Cho, K. (2025) ‘A scenario-based approach to using electric vehicle batteries in virtual power plants: Insights from environmental, social, and governance and Monte Carlo simulations’, </w:t>
      </w:r>
      <w:r w:rsidRPr="00B83B3F">
        <w:rPr>
          <w:rStyle w:val="Emphasis"/>
          <w:rFonts w:ascii="Arial" w:hAnsi="Arial" w:cs="Arial"/>
        </w:rPr>
        <w:t>Sustainability</w:t>
      </w:r>
      <w:r w:rsidRPr="00B83B3F">
        <w:rPr>
          <w:rFonts w:ascii="Arial" w:hAnsi="Arial" w:cs="Arial"/>
        </w:rPr>
        <w:t xml:space="preserve">, 17(7), p. 3224. Available at: </w:t>
      </w:r>
      <w:hyperlink r:id="rId25" w:history="1">
        <w:r w:rsidRPr="00B83B3F">
          <w:rPr>
            <w:rStyle w:val="Hyperlink"/>
            <w:rFonts w:ascii="Arial" w:hAnsi="Arial" w:cs="Arial"/>
          </w:rPr>
          <w:t>https://doi.org/10.3390/su17073224</w:t>
        </w:r>
      </w:hyperlink>
      <w:r w:rsidRPr="00B83B3F">
        <w:rPr>
          <w:rFonts w:ascii="Arial" w:hAnsi="Arial" w:cs="Arial"/>
        </w:rPr>
        <w:t>.</w:t>
      </w:r>
    </w:p>
    <w:p w14:paraId="4C5FC7ED" w14:textId="77777777" w:rsidR="00B83B3F" w:rsidRPr="00B83B3F" w:rsidRDefault="00B83B3F" w:rsidP="00B83B3F">
      <w:pPr>
        <w:pStyle w:val="NormalWeb"/>
        <w:spacing w:before="140" w:beforeAutospacing="0" w:after="140" w:afterAutospacing="0" w:line="360" w:lineRule="auto"/>
        <w:rPr>
          <w:rFonts w:ascii="Arial" w:hAnsi="Arial" w:cs="Arial"/>
        </w:rPr>
      </w:pPr>
      <w:proofErr w:type="spellStart"/>
      <w:r w:rsidRPr="00B83B3F">
        <w:rPr>
          <w:rFonts w:ascii="Arial" w:hAnsi="Arial" w:cs="Arial"/>
        </w:rPr>
        <w:t>Chomachaei</w:t>
      </w:r>
      <w:proofErr w:type="spellEnd"/>
      <w:r w:rsidRPr="00B83B3F">
        <w:rPr>
          <w:rFonts w:ascii="Arial" w:hAnsi="Arial" w:cs="Arial"/>
        </w:rPr>
        <w:t xml:space="preserve">, F.R. and </w:t>
      </w:r>
      <w:proofErr w:type="spellStart"/>
      <w:r w:rsidRPr="00B83B3F">
        <w:rPr>
          <w:rFonts w:ascii="Arial" w:hAnsi="Arial" w:cs="Arial"/>
        </w:rPr>
        <w:t>Golmohammadi</w:t>
      </w:r>
      <w:proofErr w:type="spellEnd"/>
      <w:r w:rsidRPr="00B83B3F">
        <w:rPr>
          <w:rFonts w:ascii="Arial" w:hAnsi="Arial" w:cs="Arial"/>
        </w:rPr>
        <w:t xml:space="preserve">, D. (2023) ‘The impact of the stringency of environmental policy on a firm’s financial performance: An empirical study of European automobile manufacturers’, </w:t>
      </w:r>
      <w:r w:rsidRPr="00B83B3F">
        <w:rPr>
          <w:rStyle w:val="Emphasis"/>
          <w:rFonts w:ascii="Arial" w:hAnsi="Arial" w:cs="Arial"/>
        </w:rPr>
        <w:t>The International Journal of Logistics Management</w:t>
      </w:r>
      <w:r w:rsidRPr="00B83B3F">
        <w:rPr>
          <w:rFonts w:ascii="Arial" w:hAnsi="Arial" w:cs="Arial"/>
        </w:rPr>
        <w:t xml:space="preserve">, 35(3). Available at: </w:t>
      </w:r>
      <w:hyperlink r:id="rId26" w:tgtFrame="_new" w:history="1">
        <w:r w:rsidRPr="00B83B3F">
          <w:rPr>
            <w:rStyle w:val="Hyperlink"/>
            <w:rFonts w:ascii="Arial" w:hAnsi="Arial" w:cs="Arial"/>
          </w:rPr>
          <w:t>https://doi.org/10.1108/ijlm-02-2023-0067</w:t>
        </w:r>
      </w:hyperlink>
      <w:r w:rsidRPr="00B83B3F">
        <w:rPr>
          <w:rFonts w:ascii="Arial" w:hAnsi="Arial" w:cs="Arial"/>
        </w:rPr>
        <w:t>.</w:t>
      </w:r>
    </w:p>
    <w:p w14:paraId="1185BB26"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Cooper, H.M. (1984) </w:t>
      </w:r>
      <w:r w:rsidRPr="005124F4">
        <w:rPr>
          <w:rFonts w:ascii="Arial" w:hAnsi="Arial" w:cs="Arial"/>
          <w:i/>
          <w:iCs/>
        </w:rPr>
        <w:t>The integrative research review: A systematic approach</w:t>
      </w:r>
      <w:r w:rsidRPr="005124F4">
        <w:rPr>
          <w:rFonts w:ascii="Arial" w:hAnsi="Arial" w:cs="Arial"/>
        </w:rPr>
        <w:t>. Thousand Oaks, CA: Sage Publications.</w:t>
      </w:r>
    </w:p>
    <w:p w14:paraId="5269516F"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Crane, A. and Matten, D. (2016) </w:t>
      </w:r>
      <w:r w:rsidRPr="00B83B3F">
        <w:rPr>
          <w:rStyle w:val="Emphasis"/>
          <w:rFonts w:ascii="Arial" w:hAnsi="Arial" w:cs="Arial"/>
        </w:rPr>
        <w:t>Business ethics: Managing corporate citizenship and sustainability in the age of globalization</w:t>
      </w:r>
      <w:r w:rsidRPr="00B83B3F">
        <w:rPr>
          <w:rFonts w:ascii="Arial" w:hAnsi="Arial" w:cs="Arial"/>
        </w:rPr>
        <w:t xml:space="preserve">. 4th </w:t>
      </w:r>
      <w:proofErr w:type="spellStart"/>
      <w:r w:rsidRPr="00B83B3F">
        <w:rPr>
          <w:rFonts w:ascii="Arial" w:hAnsi="Arial" w:cs="Arial"/>
        </w:rPr>
        <w:t>edn</w:t>
      </w:r>
      <w:proofErr w:type="spellEnd"/>
      <w:r w:rsidRPr="00B83B3F">
        <w:rPr>
          <w:rFonts w:ascii="Arial" w:hAnsi="Arial" w:cs="Arial"/>
        </w:rPr>
        <w:t>. Oxford: Oxford University Press.</w:t>
      </w:r>
    </w:p>
    <w:p w14:paraId="2D65E4BE"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lastRenderedPageBreak/>
        <w:t xml:space="preserve">Dathe, T., Dathe, R., Dathe, I. and Helmold, M. (2022) ‘Corporate social responsibility (CSR), sustainability and environmental, social and governance (ESG)’, in </w:t>
      </w:r>
      <w:r w:rsidRPr="00B83B3F">
        <w:rPr>
          <w:rStyle w:val="Emphasis"/>
          <w:rFonts w:ascii="Arial" w:hAnsi="Arial" w:cs="Arial"/>
        </w:rPr>
        <w:t>Implementing environmental, social and governance (ESG) principles for sustainable businesses</w:t>
      </w:r>
      <w:r w:rsidRPr="00B83B3F">
        <w:rPr>
          <w:rFonts w:ascii="Arial" w:hAnsi="Arial" w:cs="Arial"/>
        </w:rPr>
        <w:t xml:space="preserve">, pp. 23–39. Cham: Springer Nature Switzerland AG. Available at: </w:t>
      </w:r>
      <w:hyperlink r:id="rId27" w:tgtFrame="_new" w:history="1">
        <w:r w:rsidRPr="00B83B3F">
          <w:rPr>
            <w:rStyle w:val="Hyperlink"/>
            <w:rFonts w:ascii="Arial" w:hAnsi="Arial" w:cs="Arial"/>
          </w:rPr>
          <w:t>https://doi.org/10.1007/978-3-031-52734-0_3</w:t>
        </w:r>
      </w:hyperlink>
      <w:r w:rsidRPr="00B83B3F">
        <w:rPr>
          <w:rFonts w:ascii="Arial" w:hAnsi="Arial" w:cs="Arial"/>
        </w:rPr>
        <w:t>.</w:t>
      </w:r>
    </w:p>
    <w:p w14:paraId="39052990"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Dathe, T., Helmold, M., Dathe, R. and Dathe, I. (2024) ‘ESG-related theoretical frameworks’, in </w:t>
      </w:r>
      <w:r w:rsidRPr="00B83B3F">
        <w:rPr>
          <w:rStyle w:val="Emphasis"/>
          <w:rFonts w:ascii="Arial" w:hAnsi="Arial" w:cs="Arial"/>
        </w:rPr>
        <w:t>Implementing environmental, social and governance (ESG) principles for sustainable businesses</w:t>
      </w:r>
      <w:r w:rsidRPr="00B83B3F">
        <w:rPr>
          <w:rFonts w:ascii="Arial" w:hAnsi="Arial" w:cs="Arial"/>
        </w:rPr>
        <w:t xml:space="preserve">. Cham: Springer, pp. 23–38. Available at: </w:t>
      </w:r>
      <w:hyperlink r:id="rId28" w:tgtFrame="_new" w:history="1">
        <w:r w:rsidRPr="00B83B3F">
          <w:rPr>
            <w:rStyle w:val="Hyperlink"/>
            <w:rFonts w:ascii="Arial" w:hAnsi="Arial" w:cs="Arial"/>
          </w:rPr>
          <w:t>https://doi.org/10.1007/978-3-031-52734-0_3</w:t>
        </w:r>
      </w:hyperlink>
      <w:r w:rsidRPr="00B83B3F">
        <w:rPr>
          <w:rFonts w:ascii="Arial" w:hAnsi="Arial" w:cs="Arial"/>
        </w:rPr>
        <w:t>.</w:t>
      </w:r>
    </w:p>
    <w:p w14:paraId="1618394E"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Dincă, M.S., </w:t>
      </w:r>
      <w:proofErr w:type="spellStart"/>
      <w:r w:rsidRPr="00B83B3F">
        <w:rPr>
          <w:rFonts w:ascii="Arial" w:hAnsi="Arial" w:cs="Arial"/>
        </w:rPr>
        <w:t>Vezeteu</w:t>
      </w:r>
      <w:proofErr w:type="spellEnd"/>
      <w:r w:rsidRPr="00B83B3F">
        <w:rPr>
          <w:rFonts w:ascii="Arial" w:hAnsi="Arial" w:cs="Arial"/>
        </w:rPr>
        <w:t xml:space="preserve">, C.-D. and Dincă, D. (2022) ‘The relationship between ESG and firm value. Case study of the automotive industry’, </w:t>
      </w:r>
      <w:r w:rsidRPr="00B83B3F">
        <w:rPr>
          <w:rFonts w:ascii="Arial" w:hAnsi="Arial" w:cs="Arial"/>
          <w:i/>
          <w:iCs/>
        </w:rPr>
        <w:t>Frontiers in Environmental Science</w:t>
      </w:r>
      <w:r w:rsidRPr="00B83B3F">
        <w:rPr>
          <w:rFonts w:ascii="Arial" w:hAnsi="Arial" w:cs="Arial"/>
        </w:rPr>
        <w:t xml:space="preserve">, 10(10). Available at: </w:t>
      </w:r>
      <w:hyperlink r:id="rId29" w:history="1">
        <w:r w:rsidRPr="00B83B3F">
          <w:rPr>
            <w:rStyle w:val="Hyperlink"/>
            <w:rFonts w:ascii="Arial" w:hAnsi="Arial" w:cs="Arial"/>
          </w:rPr>
          <w:t>https://doi.org/10.3389/fenvs.2022.1059906</w:t>
        </w:r>
      </w:hyperlink>
      <w:r w:rsidRPr="00B83B3F">
        <w:rPr>
          <w:rFonts w:ascii="Arial" w:hAnsi="Arial" w:cs="Arial"/>
        </w:rPr>
        <w:t>.</w:t>
      </w:r>
    </w:p>
    <w:p w14:paraId="3A5B1D75" w14:textId="77777777" w:rsidR="00B83B3F" w:rsidRPr="009D347F" w:rsidRDefault="00B83B3F" w:rsidP="00B83B3F">
      <w:pPr>
        <w:pStyle w:val="NormalWeb"/>
        <w:spacing w:before="140" w:beforeAutospacing="0" w:after="140" w:afterAutospacing="0" w:line="360" w:lineRule="auto"/>
        <w:rPr>
          <w:rFonts w:ascii="Arial" w:hAnsi="Arial" w:cs="Arial"/>
        </w:rPr>
      </w:pPr>
      <w:r w:rsidRPr="009D347F">
        <w:rPr>
          <w:rFonts w:ascii="Arial" w:hAnsi="Arial" w:cs="Arial"/>
        </w:rPr>
        <w:t xml:space="preserve">Dolan, R.H., Wallington, T.J. &amp; Anderson, J.E. (2024) ‘Large Decreases in Tailpipe Criteria Pollutant Emissions from the U.S. Light-Duty Vehicle Fleet Expected in 2020–2040’, </w:t>
      </w:r>
      <w:r w:rsidRPr="009D347F">
        <w:rPr>
          <w:rFonts w:ascii="Arial" w:hAnsi="Arial" w:cs="Arial"/>
          <w:i/>
          <w:iCs/>
        </w:rPr>
        <w:t>Environmental Science and Technology</w:t>
      </w:r>
      <w:r w:rsidRPr="009D347F">
        <w:rPr>
          <w:rFonts w:ascii="Arial" w:hAnsi="Arial" w:cs="Arial"/>
        </w:rPr>
        <w:t>, 58(7), pp. 3205–3212.</w:t>
      </w:r>
    </w:p>
    <w:p w14:paraId="5485ED37"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Elkington, J. (1998) </w:t>
      </w:r>
      <w:r w:rsidRPr="00B83B3F">
        <w:rPr>
          <w:rStyle w:val="Emphasis"/>
          <w:rFonts w:ascii="Arial" w:hAnsi="Arial" w:cs="Arial"/>
        </w:rPr>
        <w:t>Cannibals with forks: The triple bottom line of 21st century business</w:t>
      </w:r>
      <w:r w:rsidRPr="00B83B3F">
        <w:rPr>
          <w:rFonts w:ascii="Arial" w:hAnsi="Arial" w:cs="Arial"/>
        </w:rPr>
        <w:t>. Gabriola Island: New Society Publishers.</w:t>
      </w:r>
    </w:p>
    <w:p w14:paraId="30EA3D69"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Foster, M.J. and Jewell, S.T. (2017) </w:t>
      </w:r>
      <w:r w:rsidRPr="005124F4">
        <w:rPr>
          <w:rFonts w:ascii="Arial" w:hAnsi="Arial" w:cs="Arial"/>
          <w:i/>
          <w:iCs/>
        </w:rPr>
        <w:t>Assembling the pieces of a systematic review: Guide for librarians</w:t>
      </w:r>
      <w:r w:rsidRPr="005124F4">
        <w:rPr>
          <w:rFonts w:ascii="Arial" w:hAnsi="Arial" w:cs="Arial"/>
        </w:rPr>
        <w:t>. Lanham, MD: Rowman and Littlefield.</w:t>
      </w:r>
    </w:p>
    <w:p w14:paraId="2542A43C" w14:textId="6C66A489"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Fu, Z. </w:t>
      </w:r>
      <w:r w:rsidR="00642FAE" w:rsidRPr="00642FAE">
        <w:rPr>
          <w:rFonts w:ascii="Arial" w:hAnsi="Arial" w:cs="Arial"/>
          <w:i/>
          <w:iCs/>
        </w:rPr>
        <w:t>et al</w:t>
      </w:r>
      <w:r w:rsidRPr="00B83B3F">
        <w:rPr>
          <w:rFonts w:ascii="Arial" w:hAnsi="Arial" w:cs="Arial"/>
        </w:rPr>
        <w:t xml:space="preserve">. (2023) ‘The influence of the attributes of electric vehicles on brand image, consumer attitude, and purchase intention: Focusing on the moderating effects of ESG management’, </w:t>
      </w:r>
      <w:r w:rsidRPr="00B83B3F">
        <w:rPr>
          <w:rStyle w:val="Emphasis"/>
          <w:rFonts w:ascii="Arial" w:hAnsi="Arial" w:cs="Arial"/>
        </w:rPr>
        <w:t>International Academy of Global Business and Trade</w:t>
      </w:r>
      <w:r w:rsidRPr="00B83B3F">
        <w:rPr>
          <w:rFonts w:ascii="Arial" w:hAnsi="Arial" w:cs="Arial"/>
        </w:rPr>
        <w:t xml:space="preserve">, 19(3), pp. 1–23. Available at: </w:t>
      </w:r>
      <w:hyperlink r:id="rId30" w:history="1">
        <w:r w:rsidRPr="00B83B3F">
          <w:rPr>
            <w:rStyle w:val="Hyperlink"/>
            <w:rFonts w:ascii="Arial" w:hAnsi="Arial" w:cs="Arial"/>
          </w:rPr>
          <w:t>https://doi.org/10.20294/jgbt.2023.19.3.1</w:t>
        </w:r>
      </w:hyperlink>
      <w:r w:rsidRPr="00B83B3F">
        <w:rPr>
          <w:rFonts w:ascii="Arial" w:hAnsi="Arial" w:cs="Arial"/>
        </w:rPr>
        <w:t>.</w:t>
      </w:r>
    </w:p>
    <w:p w14:paraId="08A36964" w14:textId="77777777" w:rsidR="00B83B3F" w:rsidRPr="009D347F" w:rsidRDefault="00B83B3F" w:rsidP="00B83B3F">
      <w:pPr>
        <w:pStyle w:val="NormalWeb"/>
        <w:spacing w:before="140" w:beforeAutospacing="0" w:after="140" w:afterAutospacing="0" w:line="360" w:lineRule="auto"/>
        <w:rPr>
          <w:rFonts w:ascii="Arial" w:hAnsi="Arial" w:cs="Arial"/>
        </w:rPr>
      </w:pPr>
      <w:r w:rsidRPr="009D347F">
        <w:rPr>
          <w:rFonts w:ascii="Arial" w:hAnsi="Arial" w:cs="Arial"/>
        </w:rPr>
        <w:t xml:space="preserve">Fulton, L. (2020) ‘A publicly available simulation of battery electric, hybrid electric, and gas-powered vehicles’, </w:t>
      </w:r>
      <w:r w:rsidRPr="009D347F">
        <w:rPr>
          <w:rFonts w:ascii="Arial" w:hAnsi="Arial" w:cs="Arial"/>
          <w:i/>
          <w:iCs/>
        </w:rPr>
        <w:t>Energies</w:t>
      </w:r>
      <w:r w:rsidRPr="009D347F">
        <w:rPr>
          <w:rFonts w:ascii="Arial" w:hAnsi="Arial" w:cs="Arial"/>
        </w:rPr>
        <w:t>, 13(10), 2569.</w:t>
      </w:r>
    </w:p>
    <w:p w14:paraId="000EE1C5"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Gan, Y., Lu, Z., He, X., </w:t>
      </w:r>
      <w:proofErr w:type="spellStart"/>
      <w:r w:rsidRPr="002417E8">
        <w:rPr>
          <w:rFonts w:ascii="Arial" w:hAnsi="Arial" w:cs="Arial"/>
        </w:rPr>
        <w:t>Przesmitzki</w:t>
      </w:r>
      <w:proofErr w:type="spellEnd"/>
      <w:r w:rsidRPr="002417E8">
        <w:rPr>
          <w:rFonts w:ascii="Arial" w:hAnsi="Arial" w:cs="Arial"/>
        </w:rPr>
        <w:t xml:space="preserve">, S. &amp; Bouchard, J. (2021) ‘Provincial greenhouse gas emissions of gasoline and plug-in electric vehicles in China: Comparison from the consumption-based electricity perspective’, </w:t>
      </w:r>
      <w:r w:rsidRPr="002417E8">
        <w:rPr>
          <w:rFonts w:ascii="Arial" w:hAnsi="Arial" w:cs="Arial"/>
          <w:i/>
          <w:iCs/>
        </w:rPr>
        <w:t>Environmental Science and Technology</w:t>
      </w:r>
      <w:r w:rsidRPr="002417E8">
        <w:rPr>
          <w:rFonts w:ascii="Arial" w:hAnsi="Arial" w:cs="Arial"/>
        </w:rPr>
        <w:t>, 55(10), pp. 6944–6956.</w:t>
      </w:r>
    </w:p>
    <w:p w14:paraId="55F7FE22" w14:textId="2F34BB4B"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lastRenderedPageBreak/>
        <w:t xml:space="preserve">Gao, Y. </w:t>
      </w:r>
      <w:r w:rsidR="00642FAE" w:rsidRPr="00642FAE">
        <w:rPr>
          <w:rFonts w:ascii="Arial" w:hAnsi="Arial" w:cs="Arial"/>
          <w:i/>
          <w:iCs/>
        </w:rPr>
        <w:t>et al</w:t>
      </w:r>
      <w:r w:rsidRPr="00B83B3F">
        <w:rPr>
          <w:rFonts w:ascii="Arial" w:hAnsi="Arial" w:cs="Arial"/>
          <w:i/>
          <w:iCs/>
        </w:rPr>
        <w:t>.</w:t>
      </w:r>
      <w:r w:rsidRPr="00B83B3F">
        <w:rPr>
          <w:rFonts w:ascii="Arial" w:hAnsi="Arial" w:cs="Arial"/>
        </w:rPr>
        <w:t xml:space="preserve"> (2025) ‘ESG greenwashing behaviour in the electric vehicle supply chain: Insights from evolutionary game theory’, </w:t>
      </w:r>
      <w:r w:rsidRPr="00B83B3F">
        <w:rPr>
          <w:rFonts w:ascii="Arial" w:hAnsi="Arial" w:cs="Arial"/>
          <w:i/>
          <w:iCs/>
        </w:rPr>
        <w:t>International Journal of Production Economics</w:t>
      </w:r>
      <w:r w:rsidRPr="00B83B3F">
        <w:rPr>
          <w:rFonts w:ascii="Arial" w:hAnsi="Arial" w:cs="Arial"/>
        </w:rPr>
        <w:t xml:space="preserve">, 289(1), p. 109798. Available at: </w:t>
      </w:r>
      <w:hyperlink r:id="rId31" w:history="1">
        <w:r w:rsidRPr="00B83B3F">
          <w:rPr>
            <w:rStyle w:val="Hyperlink"/>
            <w:rFonts w:ascii="Arial" w:hAnsi="Arial" w:cs="Arial"/>
          </w:rPr>
          <w:t>https://doi.org/10.1016/j.ijpe.2025.109798</w:t>
        </w:r>
      </w:hyperlink>
      <w:r w:rsidRPr="00B83B3F">
        <w:rPr>
          <w:rFonts w:ascii="Arial" w:hAnsi="Arial" w:cs="Arial"/>
        </w:rPr>
        <w:t>.</w:t>
      </w:r>
    </w:p>
    <w:p w14:paraId="25DD47B4"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Glova, J. and Panko, M. (2025) ‘The effects of environmental, social, and governance factors on financial performance and market valuation in the European automotive industry’, </w:t>
      </w:r>
      <w:r w:rsidRPr="00B83B3F">
        <w:rPr>
          <w:rStyle w:val="Emphasis"/>
          <w:rFonts w:ascii="Arial" w:hAnsi="Arial" w:cs="Arial"/>
        </w:rPr>
        <w:t>International Journal of Financial Studies</w:t>
      </w:r>
      <w:r w:rsidRPr="00B83B3F">
        <w:rPr>
          <w:rFonts w:ascii="Arial" w:hAnsi="Arial" w:cs="Arial"/>
        </w:rPr>
        <w:t xml:space="preserve">, 13(2), pp. 82–82. Available at: </w:t>
      </w:r>
      <w:hyperlink r:id="rId32" w:history="1">
        <w:r w:rsidRPr="00B83B3F">
          <w:rPr>
            <w:rStyle w:val="Hyperlink"/>
            <w:rFonts w:ascii="Arial" w:hAnsi="Arial" w:cs="Arial"/>
          </w:rPr>
          <w:t>https://doi.org/10.3390/ijfs13020082</w:t>
        </w:r>
      </w:hyperlink>
      <w:r w:rsidRPr="00B83B3F">
        <w:rPr>
          <w:rFonts w:ascii="Arial" w:hAnsi="Arial" w:cs="Arial"/>
        </w:rPr>
        <w:t>.</w:t>
      </w:r>
    </w:p>
    <w:p w14:paraId="35149457"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Golebiewski, W., </w:t>
      </w:r>
      <w:proofErr w:type="spellStart"/>
      <w:r w:rsidRPr="002417E8">
        <w:rPr>
          <w:rFonts w:ascii="Arial" w:hAnsi="Arial" w:cs="Arial"/>
        </w:rPr>
        <w:t>Galdynski</w:t>
      </w:r>
      <w:proofErr w:type="spellEnd"/>
      <w:r w:rsidRPr="002417E8">
        <w:rPr>
          <w:rFonts w:ascii="Arial" w:hAnsi="Arial" w:cs="Arial"/>
        </w:rPr>
        <w:t xml:space="preserve">, D., </w:t>
      </w:r>
      <w:proofErr w:type="spellStart"/>
      <w:r w:rsidRPr="002417E8">
        <w:rPr>
          <w:rFonts w:ascii="Arial" w:hAnsi="Arial" w:cs="Arial"/>
        </w:rPr>
        <w:t>Osipowicz</w:t>
      </w:r>
      <w:proofErr w:type="spellEnd"/>
      <w:r w:rsidRPr="002417E8">
        <w:rPr>
          <w:rFonts w:ascii="Arial" w:hAnsi="Arial" w:cs="Arial"/>
        </w:rPr>
        <w:t xml:space="preserve">, T. &amp; Lisowski, M. (2025) ‘Comparative assessment of carbon dioxide emissions from internal combustion engines vehicles, plug-in hybrid electric vehicles, battery electric vehicles and fuel-cell electric vehicles operated in Poland from 2025–2040 – all types of vehicles M1 category’, </w:t>
      </w:r>
      <w:r w:rsidRPr="002417E8">
        <w:rPr>
          <w:rFonts w:ascii="Arial" w:hAnsi="Arial" w:cs="Arial"/>
          <w:i/>
          <w:iCs/>
        </w:rPr>
        <w:t>Transport Problems</w:t>
      </w:r>
      <w:r w:rsidRPr="002417E8">
        <w:rPr>
          <w:rFonts w:ascii="Arial" w:hAnsi="Arial" w:cs="Arial"/>
        </w:rPr>
        <w:t>, 20(2), pp. 45–58.</w:t>
      </w:r>
    </w:p>
    <w:p w14:paraId="718BA02C"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Gough, D.A., Oliver, S. and Thomas, J. (2017) </w:t>
      </w:r>
      <w:r w:rsidRPr="005124F4">
        <w:rPr>
          <w:rFonts w:ascii="Arial" w:hAnsi="Arial" w:cs="Arial"/>
          <w:i/>
          <w:iCs/>
        </w:rPr>
        <w:t>An introduction to systematic reviews</w:t>
      </w:r>
      <w:r w:rsidRPr="005124F4">
        <w:rPr>
          <w:rFonts w:ascii="Arial" w:hAnsi="Arial" w:cs="Arial"/>
        </w:rPr>
        <w:t>. London: Sage.</w:t>
      </w:r>
    </w:p>
    <w:p w14:paraId="148CBEA2"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Ground, J. (2022) </w:t>
      </w:r>
      <w:r w:rsidRPr="005124F4">
        <w:rPr>
          <w:rFonts w:ascii="Arial" w:hAnsi="Arial" w:cs="Arial"/>
          <w:i/>
          <w:iCs/>
        </w:rPr>
        <w:t>ESG Global Study 2022</w:t>
      </w:r>
      <w:r w:rsidRPr="005124F4">
        <w:rPr>
          <w:rFonts w:ascii="Arial" w:hAnsi="Arial" w:cs="Arial"/>
        </w:rPr>
        <w:t xml:space="preserve">, </w:t>
      </w:r>
      <w:r w:rsidRPr="005124F4">
        <w:rPr>
          <w:rFonts w:ascii="Arial" w:hAnsi="Arial" w:cs="Arial"/>
          <w:i/>
          <w:iCs/>
        </w:rPr>
        <w:t>The Harvard Law School Forum on Corporate Governance</w:t>
      </w:r>
      <w:r w:rsidRPr="005124F4">
        <w:rPr>
          <w:rFonts w:ascii="Arial" w:hAnsi="Arial" w:cs="Arial"/>
        </w:rPr>
        <w:t xml:space="preserve">. Available at: </w:t>
      </w:r>
      <w:hyperlink r:id="rId33" w:history="1">
        <w:r w:rsidRPr="005124F4">
          <w:rPr>
            <w:rStyle w:val="Hyperlink"/>
            <w:rFonts w:ascii="Arial" w:hAnsi="Arial" w:cs="Arial"/>
          </w:rPr>
          <w:t>https://corpgov.law.harvard.edu/2022/06/17/esg-global-study-2022/</w:t>
        </w:r>
      </w:hyperlink>
      <w:r w:rsidRPr="005124F4">
        <w:rPr>
          <w:rFonts w:ascii="Arial" w:hAnsi="Arial" w:cs="Arial"/>
        </w:rPr>
        <w:t>.</w:t>
      </w:r>
    </w:p>
    <w:p w14:paraId="767A100F" w14:textId="0718498B"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Guha, A. </w:t>
      </w:r>
      <w:r w:rsidR="00642FAE" w:rsidRPr="00642FAE">
        <w:rPr>
          <w:rFonts w:ascii="Arial" w:hAnsi="Arial" w:cs="Arial"/>
          <w:i/>
          <w:iCs/>
        </w:rPr>
        <w:t>et al</w:t>
      </w:r>
      <w:r w:rsidRPr="005124F4">
        <w:rPr>
          <w:rFonts w:ascii="Arial" w:hAnsi="Arial" w:cs="Arial"/>
        </w:rPr>
        <w:t xml:space="preserve">. (2018) ‘Indices to determine the environmental and economic impact of using an electric vehicle over gasoline or hybrid vehicles on a regional basis’, </w:t>
      </w:r>
      <w:r w:rsidRPr="005124F4">
        <w:rPr>
          <w:rFonts w:ascii="Arial" w:hAnsi="Arial" w:cs="Arial"/>
          <w:i/>
          <w:iCs/>
        </w:rPr>
        <w:t>2018 IEEE Transportation Electrification Conference (ITEC)</w:t>
      </w:r>
      <w:r w:rsidRPr="005124F4">
        <w:rPr>
          <w:rFonts w:ascii="Arial" w:hAnsi="Arial" w:cs="Arial"/>
        </w:rPr>
        <w:t xml:space="preserve">, pp. 731–736. Available at: </w:t>
      </w:r>
      <w:hyperlink r:id="rId34" w:history="1">
        <w:r w:rsidRPr="005124F4">
          <w:rPr>
            <w:rStyle w:val="Hyperlink"/>
            <w:rFonts w:ascii="Arial" w:hAnsi="Arial" w:cs="Arial"/>
          </w:rPr>
          <w:t>https://doi.org/10.1109/itec.2018.8450105</w:t>
        </w:r>
      </w:hyperlink>
      <w:r w:rsidRPr="005124F4">
        <w:rPr>
          <w:rFonts w:ascii="Arial" w:hAnsi="Arial" w:cs="Arial"/>
        </w:rPr>
        <w:t>.</w:t>
      </w:r>
    </w:p>
    <w:p w14:paraId="43C70D07"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Gupta, P. (2021) </w:t>
      </w:r>
      <w:r w:rsidRPr="005124F4">
        <w:rPr>
          <w:rFonts w:ascii="Arial" w:hAnsi="Arial" w:cs="Arial"/>
          <w:i/>
          <w:iCs/>
        </w:rPr>
        <w:t>Understanding and adopting ESG – an overview part I: The evolution of ESG from CSR</w:t>
      </w:r>
      <w:r w:rsidRPr="005124F4">
        <w:rPr>
          <w:rFonts w:ascii="Arial" w:hAnsi="Arial" w:cs="Arial"/>
        </w:rPr>
        <w:t xml:space="preserve">. RHT Law Asia. Available at: </w:t>
      </w:r>
      <w:hyperlink r:id="rId35" w:history="1">
        <w:r w:rsidRPr="005124F4">
          <w:rPr>
            <w:rStyle w:val="Hyperlink"/>
            <w:rFonts w:ascii="Arial" w:hAnsi="Arial" w:cs="Arial"/>
          </w:rPr>
          <w:t>https://www.rhtlawasia.com/wp-content/uploads/2021/03/ESG-Part-I-The-Evolution-of-ESG-from-CSR.pdf</w:t>
        </w:r>
      </w:hyperlink>
      <w:r w:rsidRPr="005124F4">
        <w:rPr>
          <w:rFonts w:ascii="Arial" w:hAnsi="Arial" w:cs="Arial"/>
        </w:rPr>
        <w:t xml:space="preserve"> (Accessed: 1 November 2025).</w:t>
      </w:r>
    </w:p>
    <w:p w14:paraId="464BAFDE"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Gusenbauer, M. and </w:t>
      </w:r>
      <w:proofErr w:type="spellStart"/>
      <w:r w:rsidRPr="005124F4">
        <w:rPr>
          <w:rFonts w:ascii="Arial" w:hAnsi="Arial" w:cs="Arial"/>
        </w:rPr>
        <w:t>Gauster</w:t>
      </w:r>
      <w:proofErr w:type="spellEnd"/>
      <w:r w:rsidRPr="005124F4">
        <w:rPr>
          <w:rFonts w:ascii="Arial" w:hAnsi="Arial" w:cs="Arial"/>
        </w:rPr>
        <w:t xml:space="preserve">, S.P. (2024) ‘How to search for literature in systematic reviews and meta-analyses: A comprehensive step-by-step guide’, </w:t>
      </w:r>
      <w:r w:rsidRPr="005124F4">
        <w:rPr>
          <w:rFonts w:ascii="Arial" w:hAnsi="Arial" w:cs="Arial"/>
          <w:i/>
          <w:iCs/>
        </w:rPr>
        <w:t>Technological Forecasting and Social Change</w:t>
      </w:r>
      <w:r w:rsidRPr="005124F4">
        <w:rPr>
          <w:rFonts w:ascii="Arial" w:hAnsi="Arial" w:cs="Arial"/>
        </w:rPr>
        <w:t xml:space="preserve">, 212, p. 123833. Available at: </w:t>
      </w:r>
      <w:hyperlink r:id="rId36" w:history="1">
        <w:r w:rsidRPr="005124F4">
          <w:rPr>
            <w:rStyle w:val="Hyperlink"/>
            <w:rFonts w:ascii="Arial" w:hAnsi="Arial" w:cs="Arial"/>
          </w:rPr>
          <w:t>https://doi.org/10.1016/j.techfore.2024.123833</w:t>
        </w:r>
      </w:hyperlink>
      <w:r w:rsidRPr="005124F4">
        <w:rPr>
          <w:rFonts w:ascii="Arial" w:hAnsi="Arial" w:cs="Arial"/>
        </w:rPr>
        <w:t>.</w:t>
      </w:r>
    </w:p>
    <w:p w14:paraId="60A6A7D2"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lastRenderedPageBreak/>
        <w:t xml:space="preserve">Guzmán, J.I., </w:t>
      </w:r>
      <w:proofErr w:type="spellStart"/>
      <w:r w:rsidRPr="002417E8">
        <w:rPr>
          <w:rFonts w:ascii="Arial" w:hAnsi="Arial" w:cs="Arial"/>
        </w:rPr>
        <w:t>Faúndez</w:t>
      </w:r>
      <w:proofErr w:type="spellEnd"/>
      <w:r w:rsidRPr="002417E8">
        <w:rPr>
          <w:rFonts w:ascii="Arial" w:hAnsi="Arial" w:cs="Arial"/>
        </w:rPr>
        <w:t xml:space="preserve">, P., Jara, J.J. &amp; Retamal, C. (2022) ‘On the source of metals and the environmental sustainability of battery electric vehicles versus internal combustion engine vehicles: The lithium production case study’, </w:t>
      </w:r>
      <w:r w:rsidRPr="002417E8">
        <w:rPr>
          <w:rFonts w:ascii="Arial" w:hAnsi="Arial" w:cs="Arial"/>
          <w:i/>
          <w:iCs/>
        </w:rPr>
        <w:t>Journal of Cleaner Production</w:t>
      </w:r>
      <w:r w:rsidRPr="002417E8">
        <w:rPr>
          <w:rFonts w:ascii="Arial" w:hAnsi="Arial" w:cs="Arial"/>
        </w:rPr>
        <w:t>, 376, 133588.</w:t>
      </w:r>
    </w:p>
    <w:p w14:paraId="74810AC3"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Ha, N. (2019) ‘Comparative environmental impacts of internal combustion engine vehicles with hybrid vehicles and electric vehicles in China—based on life cycle assessment’, </w:t>
      </w:r>
      <w:r w:rsidRPr="005124F4">
        <w:rPr>
          <w:rFonts w:ascii="Arial" w:hAnsi="Arial" w:cs="Arial"/>
          <w:i/>
          <w:iCs/>
        </w:rPr>
        <w:t>E3S Web of Conferences</w:t>
      </w:r>
      <w:r w:rsidRPr="005124F4">
        <w:rPr>
          <w:rFonts w:ascii="Arial" w:hAnsi="Arial" w:cs="Arial"/>
        </w:rPr>
        <w:t xml:space="preserve">, 118, p. 02010. Available at: </w:t>
      </w:r>
      <w:hyperlink r:id="rId37" w:history="1">
        <w:r w:rsidRPr="005124F4">
          <w:rPr>
            <w:rStyle w:val="Hyperlink"/>
            <w:rFonts w:ascii="Arial" w:hAnsi="Arial" w:cs="Arial"/>
          </w:rPr>
          <w:t>https://doi.org/10.1051/e3sconf/201911802010</w:t>
        </w:r>
      </w:hyperlink>
      <w:r w:rsidRPr="005124F4">
        <w:rPr>
          <w:rFonts w:ascii="Arial" w:hAnsi="Arial" w:cs="Arial"/>
        </w:rPr>
        <w:t>.</w:t>
      </w:r>
    </w:p>
    <w:p w14:paraId="1586D520" w14:textId="77777777" w:rsidR="00B83B3F" w:rsidRPr="005124F4" w:rsidRDefault="00B83B3F" w:rsidP="00B83B3F">
      <w:pPr>
        <w:pStyle w:val="NormalWeb"/>
        <w:spacing w:before="140" w:beforeAutospacing="0" w:after="140" w:afterAutospacing="0" w:line="360" w:lineRule="auto"/>
        <w:rPr>
          <w:rFonts w:ascii="Arial" w:hAnsi="Arial" w:cs="Arial"/>
        </w:rPr>
      </w:pPr>
      <w:proofErr w:type="spellStart"/>
      <w:r w:rsidRPr="005124F4">
        <w:rPr>
          <w:rFonts w:ascii="Arial" w:hAnsi="Arial" w:cs="Arial"/>
        </w:rPr>
        <w:t>Helfaya</w:t>
      </w:r>
      <w:proofErr w:type="spellEnd"/>
      <w:r w:rsidRPr="005124F4">
        <w:rPr>
          <w:rFonts w:ascii="Arial" w:hAnsi="Arial" w:cs="Arial"/>
        </w:rPr>
        <w:t xml:space="preserve">, A. and Bui, P. (2025) ‘Pursuing a corporate sustainable identity: Green governance strategy, hybrid vehicle development, knowledge and sustainability performance’, </w:t>
      </w:r>
      <w:r w:rsidRPr="005124F4">
        <w:rPr>
          <w:rFonts w:ascii="Arial" w:hAnsi="Arial" w:cs="Arial"/>
          <w:i/>
          <w:iCs/>
        </w:rPr>
        <w:t>Journal of Innovation and Knowledge</w:t>
      </w:r>
      <w:r w:rsidRPr="005124F4">
        <w:rPr>
          <w:rFonts w:ascii="Arial" w:hAnsi="Arial" w:cs="Arial"/>
        </w:rPr>
        <w:t xml:space="preserve">, 10(2), pp. 100660–100660. Available at: </w:t>
      </w:r>
      <w:hyperlink r:id="rId38" w:history="1">
        <w:r w:rsidRPr="005124F4">
          <w:rPr>
            <w:rStyle w:val="Hyperlink"/>
            <w:rFonts w:ascii="Arial" w:hAnsi="Arial" w:cs="Arial"/>
          </w:rPr>
          <w:t>https://doi.org/10.1016/j.jik.2025.100660</w:t>
        </w:r>
      </w:hyperlink>
      <w:r w:rsidRPr="005124F4">
        <w:rPr>
          <w:rFonts w:ascii="Arial" w:hAnsi="Arial" w:cs="Arial"/>
        </w:rPr>
        <w:t>.</w:t>
      </w:r>
    </w:p>
    <w:p w14:paraId="70AAF0E2"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Higgins, J.P.T. and Green, S. (2019) </w:t>
      </w:r>
      <w:r w:rsidRPr="005124F4">
        <w:rPr>
          <w:rFonts w:ascii="Arial" w:hAnsi="Arial" w:cs="Arial"/>
          <w:i/>
          <w:iCs/>
        </w:rPr>
        <w:t>Cochrane handbook for systematic reviews of interventions</w:t>
      </w:r>
      <w:r w:rsidRPr="005124F4">
        <w:rPr>
          <w:rFonts w:ascii="Arial" w:hAnsi="Arial" w:cs="Arial"/>
        </w:rPr>
        <w:t>. Chichester: Wiley-Blackwell.</w:t>
      </w:r>
    </w:p>
    <w:p w14:paraId="68E7FA25"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Joshi, A., Sharma, R. &amp; Baral, B. (2022) ‘Comparative life cycle assessment of conventional combustion engine vehicle, battery electric vehicle and fuel cell electric vehicle in Nepal’, </w:t>
      </w:r>
      <w:r w:rsidRPr="002417E8">
        <w:rPr>
          <w:rFonts w:ascii="Arial" w:hAnsi="Arial" w:cs="Arial"/>
          <w:i/>
          <w:iCs/>
        </w:rPr>
        <w:t>Journal of Cleaner Production</w:t>
      </w:r>
      <w:r w:rsidRPr="002417E8">
        <w:rPr>
          <w:rFonts w:ascii="Arial" w:hAnsi="Arial" w:cs="Arial"/>
        </w:rPr>
        <w:t>, 379, 134407.</w:t>
      </w:r>
    </w:p>
    <w:p w14:paraId="26745AF3" w14:textId="77777777" w:rsidR="00B83B3F" w:rsidRPr="009D347F" w:rsidRDefault="00B83B3F" w:rsidP="00B83B3F">
      <w:pPr>
        <w:pStyle w:val="NormalWeb"/>
        <w:spacing w:before="140" w:beforeAutospacing="0" w:after="140" w:afterAutospacing="0" w:line="360" w:lineRule="auto"/>
        <w:rPr>
          <w:rFonts w:ascii="Arial" w:hAnsi="Arial" w:cs="Arial"/>
        </w:rPr>
      </w:pPr>
      <w:r w:rsidRPr="009D347F">
        <w:rPr>
          <w:rFonts w:ascii="Arial" w:hAnsi="Arial" w:cs="Arial"/>
        </w:rPr>
        <w:t xml:space="preserve">Keegan, G., </w:t>
      </w:r>
      <w:proofErr w:type="spellStart"/>
      <w:r w:rsidRPr="009D347F">
        <w:rPr>
          <w:rFonts w:ascii="Arial" w:hAnsi="Arial" w:cs="Arial"/>
        </w:rPr>
        <w:t>Nelendran</w:t>
      </w:r>
      <w:proofErr w:type="spellEnd"/>
      <w:r w:rsidRPr="009D347F">
        <w:rPr>
          <w:rFonts w:ascii="Arial" w:hAnsi="Arial" w:cs="Arial"/>
        </w:rPr>
        <w:t xml:space="preserve">, P. &amp; Oluwafemi, O. (2024) ‘Modeling and Simulation of Hybrid Electric Vehicles for Sustainable Transportation: Insights into Fuel Savings and Emissions Reduction’, </w:t>
      </w:r>
      <w:r w:rsidRPr="009D347F">
        <w:rPr>
          <w:rFonts w:ascii="Arial" w:hAnsi="Arial" w:cs="Arial"/>
          <w:i/>
          <w:iCs/>
        </w:rPr>
        <w:t>Energies</w:t>
      </w:r>
      <w:r w:rsidRPr="009D347F">
        <w:rPr>
          <w:rFonts w:ascii="Arial" w:hAnsi="Arial" w:cs="Arial"/>
        </w:rPr>
        <w:t>, 17(20), 5225.</w:t>
      </w:r>
    </w:p>
    <w:p w14:paraId="58D1D945" w14:textId="663E2B30"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lang w:val="nl-NL"/>
        </w:rPr>
        <w:t xml:space="preserve">Khan, K.U. </w:t>
      </w:r>
      <w:r w:rsidR="00642FAE" w:rsidRPr="00642FAE">
        <w:rPr>
          <w:rFonts w:ascii="Arial" w:hAnsi="Arial" w:cs="Arial"/>
          <w:i/>
          <w:iCs/>
          <w:lang w:val="nl-NL"/>
        </w:rPr>
        <w:t>et al</w:t>
      </w:r>
      <w:r w:rsidRPr="00B83B3F">
        <w:rPr>
          <w:rFonts w:ascii="Arial" w:hAnsi="Arial" w:cs="Arial"/>
          <w:i/>
          <w:iCs/>
          <w:lang w:val="nl-NL"/>
        </w:rPr>
        <w:t>.</w:t>
      </w:r>
      <w:r w:rsidRPr="00B83B3F">
        <w:rPr>
          <w:rFonts w:ascii="Arial" w:hAnsi="Arial" w:cs="Arial"/>
          <w:lang w:val="nl-NL"/>
        </w:rPr>
        <w:t xml:space="preserve"> </w:t>
      </w:r>
      <w:r w:rsidRPr="00B83B3F">
        <w:rPr>
          <w:rFonts w:ascii="Arial" w:hAnsi="Arial" w:cs="Arial"/>
        </w:rPr>
        <w:t xml:space="preserve">(2024) ‘Driving change: the influence of female directors on ESG performance in the automotive industry’, </w:t>
      </w:r>
      <w:r w:rsidRPr="00B83B3F">
        <w:rPr>
          <w:rFonts w:ascii="Arial" w:hAnsi="Arial" w:cs="Arial"/>
          <w:i/>
          <w:iCs/>
        </w:rPr>
        <w:t>Discover Sustainability</w:t>
      </w:r>
      <w:r w:rsidRPr="00B83B3F">
        <w:rPr>
          <w:rFonts w:ascii="Arial" w:hAnsi="Arial" w:cs="Arial"/>
        </w:rPr>
        <w:t xml:space="preserve">, 5(1). Available at: </w:t>
      </w:r>
      <w:hyperlink r:id="rId39" w:history="1">
        <w:r w:rsidRPr="00B83B3F">
          <w:rPr>
            <w:rStyle w:val="Hyperlink"/>
            <w:rFonts w:ascii="Arial" w:hAnsi="Arial" w:cs="Arial"/>
          </w:rPr>
          <w:t>https://doi.org/10.1007/s43621-024-00743-z</w:t>
        </w:r>
      </w:hyperlink>
      <w:r w:rsidRPr="00B83B3F">
        <w:rPr>
          <w:rFonts w:ascii="Arial" w:hAnsi="Arial" w:cs="Arial"/>
        </w:rPr>
        <w:t>.</w:t>
      </w:r>
    </w:p>
    <w:p w14:paraId="0589005D" w14:textId="31615FFC" w:rsidR="00B83B3F" w:rsidRPr="009D347F" w:rsidRDefault="00B83B3F" w:rsidP="00B83B3F">
      <w:pPr>
        <w:pStyle w:val="NormalWeb"/>
        <w:spacing w:before="140" w:beforeAutospacing="0" w:after="140" w:afterAutospacing="0" w:line="360" w:lineRule="auto"/>
        <w:rPr>
          <w:rFonts w:ascii="Arial" w:hAnsi="Arial" w:cs="Arial"/>
        </w:rPr>
      </w:pPr>
      <w:r w:rsidRPr="009D347F">
        <w:rPr>
          <w:rFonts w:ascii="Arial" w:hAnsi="Arial" w:cs="Arial"/>
        </w:rPr>
        <w:t xml:space="preserve">Kim, H.C., Wallington, T.J., Mueller, S.A., </w:t>
      </w:r>
      <w:r w:rsidR="00642FAE" w:rsidRPr="00642FAE">
        <w:rPr>
          <w:rFonts w:ascii="Arial" w:hAnsi="Arial" w:cs="Arial"/>
          <w:i/>
          <w:iCs/>
        </w:rPr>
        <w:t>et al</w:t>
      </w:r>
      <w:r w:rsidRPr="009D347F">
        <w:rPr>
          <w:rFonts w:ascii="Arial" w:hAnsi="Arial" w:cs="Arial"/>
        </w:rPr>
        <w:t xml:space="preserve">. (2016) ‘Life Cycle Water Use of Ford Focus Gasoline and Ford Focus Electric Vehicles’, </w:t>
      </w:r>
      <w:r w:rsidRPr="009D347F">
        <w:rPr>
          <w:rFonts w:ascii="Arial" w:hAnsi="Arial" w:cs="Arial"/>
          <w:i/>
          <w:iCs/>
        </w:rPr>
        <w:t>Journal of Industrial Ecology</w:t>
      </w:r>
      <w:r w:rsidRPr="009D347F">
        <w:rPr>
          <w:rFonts w:ascii="Arial" w:hAnsi="Arial" w:cs="Arial"/>
        </w:rPr>
        <w:t>, 20(5), pp. 1122–1133.</w:t>
      </w:r>
    </w:p>
    <w:p w14:paraId="73DFB085" w14:textId="77777777"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Kim, J., </w:t>
      </w:r>
      <w:proofErr w:type="spellStart"/>
      <w:r w:rsidRPr="00B83B3F">
        <w:rPr>
          <w:rFonts w:ascii="Arial" w:hAnsi="Arial" w:cs="Arial"/>
        </w:rPr>
        <w:t>Im</w:t>
      </w:r>
      <w:proofErr w:type="spellEnd"/>
      <w:r w:rsidRPr="00B83B3F">
        <w:rPr>
          <w:rFonts w:ascii="Arial" w:hAnsi="Arial" w:cs="Arial"/>
        </w:rPr>
        <w:t xml:space="preserve">, E. and Gim, G. (2025) ‘The Impact of ESG Management by Automobile Companies on Consumer Purchase Intention’, </w:t>
      </w:r>
      <w:r w:rsidRPr="00B83B3F">
        <w:rPr>
          <w:rFonts w:ascii="Arial" w:hAnsi="Arial" w:cs="Arial"/>
          <w:i/>
          <w:iCs/>
        </w:rPr>
        <w:t>Sustainability</w:t>
      </w:r>
      <w:r w:rsidRPr="00B83B3F">
        <w:rPr>
          <w:rFonts w:ascii="Arial" w:hAnsi="Arial" w:cs="Arial"/>
        </w:rPr>
        <w:t xml:space="preserve">, 17(19), p. 8733. Available at: </w:t>
      </w:r>
      <w:hyperlink r:id="rId40" w:history="1">
        <w:r w:rsidRPr="00B83B3F">
          <w:rPr>
            <w:rStyle w:val="Hyperlink"/>
            <w:rFonts w:ascii="Arial" w:hAnsi="Arial" w:cs="Arial"/>
          </w:rPr>
          <w:t>https://doi.org/10.3390/su17198733</w:t>
        </w:r>
      </w:hyperlink>
      <w:r w:rsidRPr="00B83B3F">
        <w:rPr>
          <w:rFonts w:ascii="Arial" w:hAnsi="Arial" w:cs="Arial"/>
        </w:rPr>
        <w:t>.</w:t>
      </w:r>
    </w:p>
    <w:p w14:paraId="6783DC1E"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lastRenderedPageBreak/>
        <w:t>Komiyama, R. and Fujii, Y. (2015) ‘Assessment of energy saving and CO</w:t>
      </w:r>
      <w:r w:rsidRPr="005124F4">
        <w:rPr>
          <w:rFonts w:ascii="Cambria Math" w:hAnsi="Cambria Math" w:cs="Cambria Math"/>
        </w:rPr>
        <w:t>₂</w:t>
      </w:r>
      <w:r w:rsidRPr="005124F4">
        <w:rPr>
          <w:rFonts w:ascii="Arial" w:hAnsi="Arial" w:cs="Arial"/>
        </w:rPr>
        <w:t xml:space="preserve"> mitigation potential of electric vehicles and plug-in hybrid vehicles under Japan’s power generation mix’, </w:t>
      </w:r>
      <w:r w:rsidRPr="005124F4">
        <w:rPr>
          <w:rFonts w:ascii="Arial" w:hAnsi="Arial" w:cs="Arial"/>
          <w:i/>
          <w:iCs/>
        </w:rPr>
        <w:t>Electrical Engineering in Japan</w:t>
      </w:r>
      <w:r w:rsidRPr="005124F4">
        <w:rPr>
          <w:rFonts w:ascii="Arial" w:hAnsi="Arial" w:cs="Arial"/>
        </w:rPr>
        <w:t xml:space="preserve">, 192(1), pp. 1–12. Available at: </w:t>
      </w:r>
      <w:hyperlink r:id="rId41" w:history="1">
        <w:r w:rsidRPr="005124F4">
          <w:rPr>
            <w:rStyle w:val="Hyperlink"/>
            <w:rFonts w:ascii="Arial" w:hAnsi="Arial" w:cs="Arial"/>
          </w:rPr>
          <w:t>https://doi.org/10.1002/eej.22546</w:t>
        </w:r>
      </w:hyperlink>
      <w:r w:rsidRPr="005124F4">
        <w:rPr>
          <w:rFonts w:ascii="Arial" w:hAnsi="Arial" w:cs="Arial"/>
        </w:rPr>
        <w:t>.</w:t>
      </w:r>
    </w:p>
    <w:p w14:paraId="48A06A34" w14:textId="08D94DD9"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Kour, M. </w:t>
      </w:r>
      <w:r w:rsidR="00642FAE" w:rsidRPr="00642FAE">
        <w:rPr>
          <w:rFonts w:ascii="Arial" w:hAnsi="Arial" w:cs="Arial"/>
          <w:i/>
          <w:iCs/>
        </w:rPr>
        <w:t>et al</w:t>
      </w:r>
      <w:r w:rsidRPr="005124F4">
        <w:rPr>
          <w:rFonts w:ascii="Arial" w:hAnsi="Arial" w:cs="Arial"/>
        </w:rPr>
        <w:t xml:space="preserve">. (2020) ‘Impact of green practices on the financial performance: A study of Indian automobile companies’, </w:t>
      </w:r>
      <w:r w:rsidRPr="005124F4">
        <w:rPr>
          <w:rFonts w:ascii="Arial" w:hAnsi="Arial" w:cs="Arial"/>
          <w:i/>
          <w:iCs/>
        </w:rPr>
        <w:t>International Journal of Economics and Financial Issues</w:t>
      </w:r>
      <w:r w:rsidRPr="005124F4">
        <w:rPr>
          <w:rFonts w:ascii="Arial" w:hAnsi="Arial" w:cs="Arial"/>
        </w:rPr>
        <w:t xml:space="preserve">, 10(5), pp. 220–226. Available at: </w:t>
      </w:r>
      <w:hyperlink r:id="rId42" w:history="1">
        <w:r w:rsidRPr="005124F4">
          <w:rPr>
            <w:rStyle w:val="Hyperlink"/>
            <w:rFonts w:ascii="Arial" w:hAnsi="Arial" w:cs="Arial"/>
          </w:rPr>
          <w:t>https://doi.org/10.32479/ijefi.10462</w:t>
        </w:r>
      </w:hyperlink>
      <w:r w:rsidRPr="005124F4">
        <w:rPr>
          <w:rFonts w:ascii="Arial" w:hAnsi="Arial" w:cs="Arial"/>
        </w:rPr>
        <w:t>.</w:t>
      </w:r>
    </w:p>
    <w:p w14:paraId="4D1717AB"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Liu, Z., Hao, H., Cheng, X. &amp; Zhao, F. (2018) ‘Critical issues of energy efficient and new energy vehicles development in China’, </w:t>
      </w:r>
      <w:r w:rsidRPr="002417E8">
        <w:rPr>
          <w:rFonts w:ascii="Arial" w:hAnsi="Arial" w:cs="Arial"/>
          <w:i/>
          <w:iCs/>
        </w:rPr>
        <w:t>Energy Policy</w:t>
      </w:r>
      <w:r w:rsidRPr="002417E8">
        <w:rPr>
          <w:rFonts w:ascii="Arial" w:hAnsi="Arial" w:cs="Arial"/>
        </w:rPr>
        <w:t>, 115, pp. 92–97.</w:t>
      </w:r>
    </w:p>
    <w:p w14:paraId="09F3DF9B" w14:textId="0526EB8C"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Lu, W.-M. </w:t>
      </w:r>
      <w:r w:rsidR="00642FAE" w:rsidRPr="00642FAE">
        <w:rPr>
          <w:rFonts w:ascii="Arial" w:hAnsi="Arial" w:cs="Arial"/>
          <w:i/>
          <w:iCs/>
        </w:rPr>
        <w:t>et al</w:t>
      </w:r>
      <w:r w:rsidRPr="005124F4">
        <w:rPr>
          <w:rFonts w:ascii="Arial" w:hAnsi="Arial" w:cs="Arial"/>
        </w:rPr>
        <w:t xml:space="preserve">. (2025) ‘A new integrated approach for evaluating sustainable development in the electric vehicle sector’, </w:t>
      </w:r>
      <w:r w:rsidRPr="005124F4">
        <w:rPr>
          <w:rFonts w:ascii="Arial" w:hAnsi="Arial" w:cs="Arial"/>
          <w:i/>
          <w:iCs/>
        </w:rPr>
        <w:t>Omega</w:t>
      </w:r>
      <w:r w:rsidRPr="005124F4">
        <w:rPr>
          <w:rFonts w:ascii="Arial" w:hAnsi="Arial" w:cs="Arial"/>
        </w:rPr>
        <w:t xml:space="preserve">, 133, p. 103247. Available at: </w:t>
      </w:r>
      <w:hyperlink r:id="rId43" w:history="1">
        <w:r w:rsidRPr="005124F4">
          <w:rPr>
            <w:rStyle w:val="Hyperlink"/>
            <w:rFonts w:ascii="Arial" w:hAnsi="Arial" w:cs="Arial"/>
          </w:rPr>
          <w:t>https://doi.org/10.1016/j.omega.2024.103247</w:t>
        </w:r>
      </w:hyperlink>
      <w:r w:rsidRPr="005124F4">
        <w:rPr>
          <w:rFonts w:ascii="Arial" w:hAnsi="Arial" w:cs="Arial"/>
        </w:rPr>
        <w:t>.</w:t>
      </w:r>
    </w:p>
    <w:p w14:paraId="6BD5E0AC" w14:textId="1134B98E" w:rsidR="00B83B3F" w:rsidRPr="005124F4" w:rsidRDefault="00B83B3F" w:rsidP="00B83B3F">
      <w:pPr>
        <w:pStyle w:val="NormalWeb"/>
        <w:spacing w:before="140" w:beforeAutospacing="0" w:after="140" w:afterAutospacing="0" w:line="360" w:lineRule="auto"/>
        <w:rPr>
          <w:rFonts w:ascii="Arial" w:hAnsi="Arial" w:cs="Arial"/>
        </w:rPr>
      </w:pPr>
      <w:proofErr w:type="spellStart"/>
      <w:r w:rsidRPr="005124F4">
        <w:rPr>
          <w:rFonts w:ascii="Arial" w:hAnsi="Arial" w:cs="Arial"/>
        </w:rPr>
        <w:t>Nuryakin</w:t>
      </w:r>
      <w:proofErr w:type="spellEnd"/>
      <w:r w:rsidRPr="005124F4">
        <w:rPr>
          <w:rFonts w:ascii="Arial" w:hAnsi="Arial" w:cs="Arial"/>
        </w:rPr>
        <w:t xml:space="preserve">, C. </w:t>
      </w:r>
      <w:r w:rsidR="00642FAE" w:rsidRPr="00642FAE">
        <w:rPr>
          <w:rFonts w:ascii="Arial" w:hAnsi="Arial" w:cs="Arial"/>
          <w:i/>
          <w:iCs/>
        </w:rPr>
        <w:t>et al</w:t>
      </w:r>
      <w:r w:rsidRPr="005124F4">
        <w:rPr>
          <w:rFonts w:ascii="Arial" w:hAnsi="Arial" w:cs="Arial"/>
        </w:rPr>
        <w:t xml:space="preserve">. (2019) ‘Socioeconomic impacts and consumer preferences analysis of electrified vehicle in Indonesia’, </w:t>
      </w:r>
      <w:r w:rsidRPr="005124F4">
        <w:rPr>
          <w:rFonts w:ascii="Arial" w:hAnsi="Arial" w:cs="Arial"/>
          <w:i/>
          <w:iCs/>
        </w:rPr>
        <w:t>2019 IEEE Conference on Electric Vehicles and Technologies (ICEVT)</w:t>
      </w:r>
      <w:r w:rsidRPr="005124F4">
        <w:rPr>
          <w:rFonts w:ascii="Arial" w:hAnsi="Arial" w:cs="Arial"/>
        </w:rPr>
        <w:t xml:space="preserve">, pp. 80–93. Available at: </w:t>
      </w:r>
      <w:hyperlink r:id="rId44" w:history="1">
        <w:r w:rsidRPr="005124F4">
          <w:rPr>
            <w:rStyle w:val="Hyperlink"/>
            <w:rFonts w:ascii="Arial" w:hAnsi="Arial" w:cs="Arial"/>
          </w:rPr>
          <w:t>https://doi.org/10.1109/icevt48285.2019.8993989</w:t>
        </w:r>
      </w:hyperlink>
      <w:r w:rsidRPr="005124F4">
        <w:rPr>
          <w:rFonts w:ascii="Arial" w:hAnsi="Arial" w:cs="Arial"/>
        </w:rPr>
        <w:t>.</w:t>
      </w:r>
    </w:p>
    <w:p w14:paraId="07191C80"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Olabi, A.G., Abdelkareem, M.A., Wilberforce, T., Hassan, M.M. &amp; Sayed, E.T. (2022) ‘Battery electric vehicles: Progress, power electronic converters, strength (S), weakness (W), opportunity (O), and threats (T)’, </w:t>
      </w:r>
      <w:r w:rsidRPr="002417E8">
        <w:rPr>
          <w:rFonts w:ascii="Arial" w:hAnsi="Arial" w:cs="Arial"/>
          <w:i/>
          <w:iCs/>
        </w:rPr>
        <w:t xml:space="preserve">International Journal of </w:t>
      </w:r>
      <w:proofErr w:type="spellStart"/>
      <w:r w:rsidRPr="002417E8">
        <w:rPr>
          <w:rFonts w:ascii="Arial" w:hAnsi="Arial" w:cs="Arial"/>
          <w:i/>
          <w:iCs/>
        </w:rPr>
        <w:t>Thermofluids</w:t>
      </w:r>
      <w:proofErr w:type="spellEnd"/>
      <w:r w:rsidRPr="002417E8">
        <w:rPr>
          <w:rFonts w:ascii="Arial" w:hAnsi="Arial" w:cs="Arial"/>
        </w:rPr>
        <w:t>, 16, 100212.</w:t>
      </w:r>
    </w:p>
    <w:p w14:paraId="69671145" w14:textId="7B697C0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lang w:val="nl-NL"/>
        </w:rPr>
        <w:t xml:space="preserve">Page, M.J. </w:t>
      </w:r>
      <w:r w:rsidR="00642FAE" w:rsidRPr="00642FAE">
        <w:rPr>
          <w:rFonts w:ascii="Arial" w:hAnsi="Arial" w:cs="Arial"/>
          <w:i/>
          <w:iCs/>
          <w:lang w:val="nl-NL"/>
        </w:rPr>
        <w:t>et al</w:t>
      </w:r>
      <w:r w:rsidRPr="005124F4">
        <w:rPr>
          <w:rFonts w:ascii="Arial" w:hAnsi="Arial" w:cs="Arial"/>
          <w:lang w:val="nl-NL"/>
        </w:rPr>
        <w:t xml:space="preserve">. </w:t>
      </w:r>
      <w:r w:rsidRPr="005124F4">
        <w:rPr>
          <w:rFonts w:ascii="Arial" w:hAnsi="Arial" w:cs="Arial"/>
        </w:rPr>
        <w:t xml:space="preserve">(2021) ‘The PRISMA 2020 statement: An updated guideline for reporting systematic reviews’, </w:t>
      </w:r>
      <w:r w:rsidRPr="005124F4">
        <w:rPr>
          <w:rFonts w:ascii="Arial" w:hAnsi="Arial" w:cs="Arial"/>
          <w:i/>
          <w:iCs/>
        </w:rPr>
        <w:t>BMJ</w:t>
      </w:r>
      <w:r w:rsidRPr="005124F4">
        <w:rPr>
          <w:rFonts w:ascii="Arial" w:hAnsi="Arial" w:cs="Arial"/>
        </w:rPr>
        <w:t xml:space="preserve">, 372, n71. Available at: </w:t>
      </w:r>
      <w:hyperlink r:id="rId45" w:history="1">
        <w:r w:rsidRPr="005124F4">
          <w:rPr>
            <w:rStyle w:val="Hyperlink"/>
            <w:rFonts w:ascii="Arial" w:hAnsi="Arial" w:cs="Arial"/>
          </w:rPr>
          <w:t>https://doi.org/10.1136/bmj.n71</w:t>
        </w:r>
      </w:hyperlink>
      <w:r w:rsidRPr="005124F4">
        <w:rPr>
          <w:rFonts w:ascii="Arial" w:hAnsi="Arial" w:cs="Arial"/>
        </w:rPr>
        <w:t>.</w:t>
      </w:r>
    </w:p>
    <w:p w14:paraId="320E7BCE" w14:textId="4ECEF01E" w:rsidR="00B83B3F" w:rsidRPr="005124F4" w:rsidRDefault="00B83B3F" w:rsidP="00B83B3F">
      <w:pPr>
        <w:spacing w:before="140" w:after="140"/>
        <w:jc w:val="left"/>
        <w:rPr>
          <w:rFonts w:ascii="Arial" w:hAnsi="Arial" w:cs="Arial"/>
          <w:color w:val="000000" w:themeColor="text1"/>
          <w:szCs w:val="24"/>
          <w:lang w:val="en-US"/>
        </w:rPr>
      </w:pPr>
      <w:r w:rsidRPr="00642FAE">
        <w:rPr>
          <w:rFonts w:ascii="Arial" w:hAnsi="Arial" w:cs="Arial"/>
          <w:color w:val="000000" w:themeColor="text1"/>
          <w:szCs w:val="24"/>
          <w:lang w:val="nl-NL"/>
        </w:rPr>
        <w:t xml:space="preserve">Page, M.J. </w:t>
      </w:r>
      <w:r w:rsidR="00642FAE" w:rsidRPr="00642FAE">
        <w:rPr>
          <w:rFonts w:ascii="Arial" w:hAnsi="Arial" w:cs="Arial"/>
          <w:i/>
          <w:iCs/>
          <w:color w:val="000000" w:themeColor="text1"/>
          <w:szCs w:val="24"/>
          <w:lang w:val="nl-NL"/>
        </w:rPr>
        <w:t>et al</w:t>
      </w:r>
      <w:r w:rsidRPr="00642FAE">
        <w:rPr>
          <w:rFonts w:ascii="Arial" w:hAnsi="Arial" w:cs="Arial"/>
          <w:color w:val="000000" w:themeColor="text1"/>
          <w:szCs w:val="24"/>
          <w:lang w:val="nl-NL"/>
        </w:rPr>
        <w:t xml:space="preserve">. </w:t>
      </w:r>
      <w:r w:rsidRPr="005124F4">
        <w:rPr>
          <w:rFonts w:ascii="Arial" w:hAnsi="Arial" w:cs="Arial"/>
          <w:color w:val="000000" w:themeColor="text1"/>
          <w:szCs w:val="24"/>
          <w:lang w:val="en-US"/>
        </w:rPr>
        <w:t xml:space="preserve">(2021) ‘The PRISMA 2020 statement: An updated guideline for reporting systematic reviews’, </w:t>
      </w:r>
      <w:r w:rsidRPr="005124F4">
        <w:rPr>
          <w:rFonts w:ascii="Arial" w:hAnsi="Arial" w:cs="Arial"/>
          <w:i/>
          <w:iCs/>
          <w:color w:val="000000" w:themeColor="text1"/>
          <w:szCs w:val="24"/>
          <w:lang w:val="en-US"/>
        </w:rPr>
        <w:t>Systematic Reviews</w:t>
      </w:r>
      <w:r w:rsidRPr="005124F4">
        <w:rPr>
          <w:rFonts w:ascii="Arial" w:hAnsi="Arial" w:cs="Arial"/>
          <w:color w:val="000000" w:themeColor="text1"/>
          <w:szCs w:val="24"/>
          <w:lang w:val="en-US"/>
        </w:rPr>
        <w:t xml:space="preserve">, 10(1). Available at: </w:t>
      </w:r>
      <w:hyperlink r:id="rId46" w:history="1">
        <w:r w:rsidRPr="005124F4">
          <w:rPr>
            <w:rStyle w:val="Hyperlink"/>
            <w:rFonts w:ascii="Arial" w:hAnsi="Arial" w:cs="Arial"/>
            <w:szCs w:val="24"/>
            <w:lang w:val="en-US"/>
          </w:rPr>
          <w:t>https://doi.org/10.1186/s13643-021-01626-4</w:t>
        </w:r>
      </w:hyperlink>
      <w:r w:rsidRPr="005124F4">
        <w:rPr>
          <w:rFonts w:ascii="Arial" w:hAnsi="Arial" w:cs="Arial"/>
          <w:color w:val="000000" w:themeColor="text1"/>
          <w:szCs w:val="24"/>
          <w:lang w:val="en-US"/>
        </w:rPr>
        <w:t>.</w:t>
      </w:r>
    </w:p>
    <w:p w14:paraId="70B04B59" w14:textId="77777777" w:rsidR="00B83B3F" w:rsidRPr="009D347F" w:rsidRDefault="00B83B3F" w:rsidP="00B83B3F">
      <w:pPr>
        <w:pStyle w:val="NormalWeb"/>
        <w:spacing w:before="140" w:beforeAutospacing="0" w:after="140" w:afterAutospacing="0" w:line="360" w:lineRule="auto"/>
        <w:rPr>
          <w:rFonts w:ascii="Arial" w:hAnsi="Arial" w:cs="Arial"/>
        </w:rPr>
      </w:pPr>
      <w:r w:rsidRPr="009D347F">
        <w:rPr>
          <w:rFonts w:ascii="Arial" w:hAnsi="Arial" w:cs="Arial"/>
        </w:rPr>
        <w:t xml:space="preserve">Pillay, N.S., Brent, A.C. &amp; </w:t>
      </w:r>
      <w:proofErr w:type="spellStart"/>
      <w:r w:rsidRPr="009D347F">
        <w:rPr>
          <w:rFonts w:ascii="Arial" w:hAnsi="Arial" w:cs="Arial"/>
        </w:rPr>
        <w:t>Musango</w:t>
      </w:r>
      <w:proofErr w:type="spellEnd"/>
      <w:r w:rsidRPr="009D347F">
        <w:rPr>
          <w:rFonts w:ascii="Arial" w:hAnsi="Arial" w:cs="Arial"/>
        </w:rPr>
        <w:t xml:space="preserve">, J.K. (2019) ‘Affordability of battery electric vehicles based on disposable income and the impact on provincial residential electricity requirements in South Africa’, </w:t>
      </w:r>
      <w:r w:rsidRPr="009D347F">
        <w:rPr>
          <w:rFonts w:ascii="Arial" w:hAnsi="Arial" w:cs="Arial"/>
          <w:i/>
          <w:iCs/>
        </w:rPr>
        <w:t>Energy</w:t>
      </w:r>
      <w:r w:rsidRPr="009D347F">
        <w:rPr>
          <w:rFonts w:ascii="Arial" w:hAnsi="Arial" w:cs="Arial"/>
        </w:rPr>
        <w:t>, 171, pp. 1077–1087.</w:t>
      </w:r>
    </w:p>
    <w:p w14:paraId="36479A68"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lastRenderedPageBreak/>
        <w:t xml:space="preserve">Pipitone, E., </w:t>
      </w:r>
      <w:proofErr w:type="spellStart"/>
      <w:r w:rsidRPr="005124F4">
        <w:rPr>
          <w:rFonts w:ascii="Arial" w:hAnsi="Arial" w:cs="Arial"/>
        </w:rPr>
        <w:t>Caltabellotta</w:t>
      </w:r>
      <w:proofErr w:type="spellEnd"/>
      <w:r w:rsidRPr="005124F4">
        <w:rPr>
          <w:rFonts w:ascii="Arial" w:hAnsi="Arial" w:cs="Arial"/>
        </w:rPr>
        <w:t xml:space="preserve">, S. and Occhipinti, L. (2021) ‘A life cycle environmental impact comparison between traditional, hybrid, and electric vehicles in the European context’, </w:t>
      </w:r>
      <w:r w:rsidRPr="005124F4">
        <w:rPr>
          <w:rFonts w:ascii="Arial" w:hAnsi="Arial" w:cs="Arial"/>
          <w:i/>
          <w:iCs/>
        </w:rPr>
        <w:t>Sustainability</w:t>
      </w:r>
      <w:r w:rsidRPr="005124F4">
        <w:rPr>
          <w:rFonts w:ascii="Arial" w:hAnsi="Arial" w:cs="Arial"/>
        </w:rPr>
        <w:t xml:space="preserve">, 13(19), p. 10992. Available at: </w:t>
      </w:r>
      <w:hyperlink r:id="rId47" w:history="1">
        <w:r w:rsidRPr="005124F4">
          <w:rPr>
            <w:rStyle w:val="Hyperlink"/>
            <w:rFonts w:ascii="Arial" w:hAnsi="Arial" w:cs="Arial"/>
          </w:rPr>
          <w:t>https://doi.org/10.3390/su131910992</w:t>
        </w:r>
      </w:hyperlink>
      <w:r w:rsidRPr="005124F4">
        <w:rPr>
          <w:rFonts w:ascii="Arial" w:hAnsi="Arial" w:cs="Arial"/>
        </w:rPr>
        <w:t>.</w:t>
      </w:r>
    </w:p>
    <w:p w14:paraId="73FB5208"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Quazi, A. and O’Brien, D. (2000) ‘An empirical test of a cross-national model of corporate social responsibility’, </w:t>
      </w:r>
      <w:r w:rsidRPr="005124F4">
        <w:rPr>
          <w:rFonts w:ascii="Arial" w:hAnsi="Arial" w:cs="Arial"/>
          <w:i/>
          <w:iCs/>
        </w:rPr>
        <w:t>Journal of Business Ethics</w:t>
      </w:r>
      <w:r w:rsidRPr="005124F4">
        <w:rPr>
          <w:rFonts w:ascii="Arial" w:hAnsi="Arial" w:cs="Arial"/>
        </w:rPr>
        <w:t>, 25(1), pp. 33–51.</w:t>
      </w:r>
    </w:p>
    <w:p w14:paraId="0B86FD56" w14:textId="77777777" w:rsidR="00B83B3F" w:rsidRPr="009D347F" w:rsidRDefault="00B83B3F" w:rsidP="00B83B3F">
      <w:pPr>
        <w:pStyle w:val="NormalWeb"/>
        <w:spacing w:before="140" w:beforeAutospacing="0" w:after="140" w:afterAutospacing="0" w:line="360" w:lineRule="auto"/>
        <w:rPr>
          <w:rFonts w:ascii="Arial" w:hAnsi="Arial" w:cs="Arial"/>
        </w:rPr>
      </w:pPr>
      <w:proofErr w:type="spellStart"/>
      <w:r w:rsidRPr="009D347F">
        <w:rPr>
          <w:rFonts w:ascii="Arial" w:hAnsi="Arial" w:cs="Arial"/>
        </w:rPr>
        <w:t>Raugei</w:t>
      </w:r>
      <w:proofErr w:type="spellEnd"/>
      <w:r w:rsidRPr="009D347F">
        <w:rPr>
          <w:rFonts w:ascii="Arial" w:hAnsi="Arial" w:cs="Arial"/>
        </w:rPr>
        <w:t xml:space="preserve">, M., Hutchinson, A. &amp; Morrey, D. (2018) ‘Can electric vehicles significantly reduce our dependence on non-renewable energy? Scenarios of compact vehicles in the UK as a case in point’, </w:t>
      </w:r>
      <w:r w:rsidRPr="009D347F">
        <w:rPr>
          <w:rFonts w:ascii="Arial" w:hAnsi="Arial" w:cs="Arial"/>
          <w:i/>
          <w:iCs/>
        </w:rPr>
        <w:t>Journal of Cleaner Production</w:t>
      </w:r>
      <w:r w:rsidRPr="009D347F">
        <w:rPr>
          <w:rFonts w:ascii="Arial" w:hAnsi="Arial" w:cs="Arial"/>
        </w:rPr>
        <w:t>, 201, pp. 1043–1051.</w:t>
      </w:r>
    </w:p>
    <w:p w14:paraId="54B18C9B" w14:textId="77777777" w:rsidR="00B83B3F" w:rsidRPr="009D347F" w:rsidRDefault="00B83B3F" w:rsidP="00B83B3F">
      <w:pPr>
        <w:pStyle w:val="NormalWeb"/>
        <w:spacing w:before="140" w:beforeAutospacing="0" w:after="140" w:afterAutospacing="0" w:line="360" w:lineRule="auto"/>
        <w:rPr>
          <w:rFonts w:ascii="Arial" w:hAnsi="Arial" w:cs="Arial"/>
        </w:rPr>
      </w:pPr>
      <w:proofErr w:type="spellStart"/>
      <w:r w:rsidRPr="009D347F">
        <w:rPr>
          <w:rFonts w:ascii="Arial" w:hAnsi="Arial" w:cs="Arial"/>
        </w:rPr>
        <w:t>Schlürscheid</w:t>
      </w:r>
      <w:proofErr w:type="spellEnd"/>
      <w:r w:rsidRPr="009D347F">
        <w:rPr>
          <w:rFonts w:ascii="Arial" w:hAnsi="Arial" w:cs="Arial"/>
        </w:rPr>
        <w:t xml:space="preserve">, T., Khanh, T.Q., Buck, A. &amp; Weber, S. (2024) ‘Temperature Behavior in Headlights: A Comparative Analysis between Battery Electric Vehicles and Internal Combustion Engine Vehicles’, </w:t>
      </w:r>
      <w:r w:rsidRPr="009D347F">
        <w:rPr>
          <w:rFonts w:ascii="Arial" w:hAnsi="Arial" w:cs="Arial"/>
          <w:i/>
          <w:iCs/>
        </w:rPr>
        <w:t>Applied Sciences Switzerland</w:t>
      </w:r>
      <w:r w:rsidRPr="009D347F">
        <w:rPr>
          <w:rFonts w:ascii="Arial" w:hAnsi="Arial" w:cs="Arial"/>
        </w:rPr>
        <w:t>, 14(15), 6654.</w:t>
      </w:r>
    </w:p>
    <w:p w14:paraId="3A6BF146" w14:textId="77777777" w:rsidR="00B83B3F" w:rsidRPr="00B83B3F"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Schwartz, M. and Carroll, A. (2003) ‘Corporate social responsibility: A three-domain approach’, </w:t>
      </w:r>
      <w:r w:rsidRPr="005124F4">
        <w:rPr>
          <w:rFonts w:ascii="Arial" w:hAnsi="Arial" w:cs="Arial"/>
          <w:i/>
          <w:iCs/>
        </w:rPr>
        <w:t>Business Ethics Quarterly</w:t>
      </w:r>
      <w:r w:rsidRPr="005124F4">
        <w:rPr>
          <w:rFonts w:ascii="Arial" w:hAnsi="Arial" w:cs="Arial"/>
        </w:rPr>
        <w:t>, 13(4), pp. 503–530.</w:t>
      </w:r>
    </w:p>
    <w:p w14:paraId="5A13D189" w14:textId="77777777" w:rsidR="00B83B3F" w:rsidRPr="002417E8"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Seixas, J., Simões, S., Dias, L., Fortes, P. &amp; Gargiulo, M. (2015) ‘Assessing the cost-effectiveness of electric vehicles in European countries using integrated modeling’, </w:t>
      </w:r>
      <w:r w:rsidRPr="002417E8">
        <w:rPr>
          <w:rFonts w:ascii="Arial" w:hAnsi="Arial" w:cs="Arial"/>
          <w:i/>
          <w:iCs/>
        </w:rPr>
        <w:t>Energy Policy</w:t>
      </w:r>
      <w:r w:rsidRPr="002417E8">
        <w:rPr>
          <w:rFonts w:ascii="Arial" w:hAnsi="Arial" w:cs="Arial"/>
        </w:rPr>
        <w:t>, 80, pp. 165–176.</w:t>
      </w:r>
    </w:p>
    <w:p w14:paraId="455A5D12" w14:textId="3B056E46" w:rsidR="00B83B3F" w:rsidRPr="005124F4" w:rsidRDefault="00B83B3F" w:rsidP="00B83B3F">
      <w:pPr>
        <w:spacing w:before="140" w:after="140"/>
        <w:jc w:val="left"/>
        <w:rPr>
          <w:rFonts w:ascii="Arial" w:hAnsi="Arial" w:cs="Arial"/>
          <w:color w:val="000000" w:themeColor="text1"/>
          <w:szCs w:val="24"/>
          <w:lang w:val="en-US"/>
        </w:rPr>
      </w:pPr>
      <w:r w:rsidRPr="005124F4">
        <w:rPr>
          <w:rFonts w:ascii="Arial" w:hAnsi="Arial" w:cs="Arial"/>
          <w:color w:val="000000" w:themeColor="text1"/>
          <w:szCs w:val="24"/>
          <w:lang w:val="en-US"/>
        </w:rPr>
        <w:t xml:space="preserve">Shaheen, N. </w:t>
      </w:r>
      <w:r w:rsidR="00642FAE" w:rsidRPr="00642FAE">
        <w:rPr>
          <w:rFonts w:ascii="Arial" w:hAnsi="Arial" w:cs="Arial"/>
          <w:i/>
          <w:iCs/>
          <w:color w:val="000000" w:themeColor="text1"/>
          <w:szCs w:val="24"/>
          <w:lang w:val="en-US"/>
        </w:rPr>
        <w:t>et al</w:t>
      </w:r>
      <w:r w:rsidRPr="005124F4">
        <w:rPr>
          <w:rFonts w:ascii="Arial" w:hAnsi="Arial" w:cs="Arial"/>
          <w:color w:val="000000" w:themeColor="text1"/>
          <w:szCs w:val="24"/>
          <w:lang w:val="en-US"/>
        </w:rPr>
        <w:t xml:space="preserve">. (2023) ‘Appraising systematic reviews: A comprehensive guide to ensuring validity and reliability’, </w:t>
      </w:r>
      <w:r w:rsidRPr="005124F4">
        <w:rPr>
          <w:rFonts w:ascii="Arial" w:hAnsi="Arial" w:cs="Arial"/>
          <w:i/>
          <w:iCs/>
          <w:color w:val="000000" w:themeColor="text1"/>
          <w:szCs w:val="24"/>
          <w:lang w:val="en-US"/>
        </w:rPr>
        <w:t>Frontiers in Research Metrics and Analytics</w:t>
      </w:r>
      <w:r w:rsidRPr="005124F4">
        <w:rPr>
          <w:rFonts w:ascii="Arial" w:hAnsi="Arial" w:cs="Arial"/>
          <w:color w:val="000000" w:themeColor="text1"/>
          <w:szCs w:val="24"/>
          <w:lang w:val="en-US"/>
        </w:rPr>
        <w:t xml:space="preserve">, 8(8). Available at: </w:t>
      </w:r>
      <w:hyperlink r:id="rId48" w:history="1">
        <w:r w:rsidRPr="005124F4">
          <w:rPr>
            <w:rStyle w:val="Hyperlink"/>
            <w:rFonts w:ascii="Arial" w:hAnsi="Arial" w:cs="Arial"/>
            <w:szCs w:val="24"/>
            <w:lang w:val="en-US"/>
          </w:rPr>
          <w:t>https://doi.org/10.3389/frma.2023.1268045</w:t>
        </w:r>
      </w:hyperlink>
      <w:r w:rsidRPr="005124F4">
        <w:rPr>
          <w:rFonts w:ascii="Arial" w:hAnsi="Arial" w:cs="Arial"/>
          <w:color w:val="000000" w:themeColor="text1"/>
          <w:szCs w:val="24"/>
          <w:lang w:val="en-US"/>
        </w:rPr>
        <w:t>.</w:t>
      </w:r>
    </w:p>
    <w:p w14:paraId="36B14F62"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Siemens (2023) </w:t>
      </w:r>
      <w:r w:rsidRPr="005124F4">
        <w:rPr>
          <w:rFonts w:ascii="Arial" w:hAnsi="Arial" w:cs="Arial"/>
          <w:i/>
          <w:iCs/>
        </w:rPr>
        <w:t>Our sustainability indicators (DEGREE)</w:t>
      </w:r>
      <w:r w:rsidRPr="005124F4">
        <w:rPr>
          <w:rFonts w:ascii="Arial" w:hAnsi="Arial" w:cs="Arial"/>
        </w:rPr>
        <w:t xml:space="preserve">. Available at: </w:t>
      </w:r>
      <w:hyperlink r:id="rId49" w:anchor="DEGREE" w:history="1">
        <w:r w:rsidRPr="005124F4">
          <w:rPr>
            <w:rStyle w:val="Hyperlink"/>
            <w:rFonts w:ascii="Arial" w:hAnsi="Arial" w:cs="Arial"/>
          </w:rPr>
          <w:t>https://new.siemens.com/global/en/company/sustainability/sustainability-figures.html#DEGREE</w:t>
        </w:r>
      </w:hyperlink>
      <w:r w:rsidRPr="005124F4">
        <w:rPr>
          <w:rFonts w:ascii="Arial" w:hAnsi="Arial" w:cs="Arial"/>
        </w:rPr>
        <w:t xml:space="preserve"> (Accessed: 1 November 2025).</w:t>
      </w:r>
    </w:p>
    <w:p w14:paraId="4B3F4641" w14:textId="77777777" w:rsidR="00B83B3F" w:rsidRPr="00B83B3F" w:rsidRDefault="00B83B3F" w:rsidP="00B83B3F">
      <w:pPr>
        <w:pStyle w:val="NormalWeb"/>
        <w:spacing w:before="140" w:beforeAutospacing="0" w:after="140" w:afterAutospacing="0" w:line="360" w:lineRule="auto"/>
        <w:rPr>
          <w:rFonts w:ascii="Arial" w:hAnsi="Arial" w:cs="Arial"/>
        </w:rPr>
      </w:pPr>
      <w:proofErr w:type="spellStart"/>
      <w:r w:rsidRPr="009D347F">
        <w:rPr>
          <w:rFonts w:ascii="Arial" w:hAnsi="Arial" w:cs="Arial"/>
        </w:rPr>
        <w:t>Sisani</w:t>
      </w:r>
      <w:proofErr w:type="spellEnd"/>
      <w:r w:rsidRPr="009D347F">
        <w:rPr>
          <w:rFonts w:ascii="Arial" w:hAnsi="Arial" w:cs="Arial"/>
        </w:rPr>
        <w:t xml:space="preserve">, F., Di Maria, F. &amp; Cesari, D. (2022) ‘Environmental and human health impact of different powertrain passenger cars in a life cycle perspective. A focus on health risk and oxidative potential of particulate matter components’, </w:t>
      </w:r>
      <w:r w:rsidRPr="009D347F">
        <w:rPr>
          <w:rFonts w:ascii="Arial" w:hAnsi="Arial" w:cs="Arial"/>
          <w:i/>
          <w:iCs/>
        </w:rPr>
        <w:t>Science of the Total Environment</w:t>
      </w:r>
      <w:r w:rsidRPr="009D347F">
        <w:rPr>
          <w:rFonts w:ascii="Arial" w:hAnsi="Arial" w:cs="Arial"/>
        </w:rPr>
        <w:t>, 805, 150171.</w:t>
      </w:r>
    </w:p>
    <w:p w14:paraId="55771BC8" w14:textId="77777777" w:rsidR="00B83B3F" w:rsidRPr="00B83B3F" w:rsidRDefault="00B83B3F" w:rsidP="00B83B3F">
      <w:pPr>
        <w:pStyle w:val="NormalWeb"/>
        <w:spacing w:before="140" w:beforeAutospacing="0" w:after="140" w:afterAutospacing="0" w:line="360" w:lineRule="auto"/>
        <w:rPr>
          <w:rFonts w:ascii="Arial" w:hAnsi="Arial" w:cs="Arial"/>
        </w:rPr>
      </w:pPr>
      <w:r w:rsidRPr="002417E8">
        <w:rPr>
          <w:rFonts w:ascii="Arial" w:hAnsi="Arial" w:cs="Arial"/>
        </w:rPr>
        <w:t xml:space="preserve">Sun, B. &amp; Ju, Z. (2023) ‘Research on the promotion of new energy vehicles based on multi-source heterogeneous data: consumer and manufacturer perspectives’, </w:t>
      </w:r>
      <w:r w:rsidRPr="002417E8">
        <w:rPr>
          <w:rFonts w:ascii="Arial" w:hAnsi="Arial" w:cs="Arial"/>
          <w:i/>
          <w:iCs/>
        </w:rPr>
        <w:t>Environmental Science and Pollution Research</w:t>
      </w:r>
      <w:r w:rsidRPr="002417E8">
        <w:rPr>
          <w:rFonts w:ascii="Arial" w:hAnsi="Arial" w:cs="Arial"/>
        </w:rPr>
        <w:t>, 30(11), pp. 28863–28873.</w:t>
      </w:r>
    </w:p>
    <w:p w14:paraId="55719E46" w14:textId="77777777" w:rsidR="00B83B3F" w:rsidRPr="005124F4" w:rsidRDefault="00B83B3F" w:rsidP="00B83B3F">
      <w:pPr>
        <w:spacing w:before="140" w:after="140"/>
        <w:jc w:val="left"/>
        <w:rPr>
          <w:rFonts w:ascii="Arial" w:hAnsi="Arial" w:cs="Arial"/>
          <w:color w:val="000000" w:themeColor="text1"/>
          <w:szCs w:val="24"/>
          <w:lang w:val="en-US"/>
        </w:rPr>
      </w:pPr>
      <w:r w:rsidRPr="005124F4">
        <w:rPr>
          <w:rFonts w:ascii="Arial" w:hAnsi="Arial" w:cs="Arial"/>
          <w:color w:val="000000" w:themeColor="text1"/>
          <w:szCs w:val="24"/>
          <w:lang w:val="en-US"/>
        </w:rPr>
        <w:lastRenderedPageBreak/>
        <w:t xml:space="preserve">Suri, H. (2020) ‘Ethical considerations of conducting systematic reviews in educational research’, </w:t>
      </w:r>
      <w:r w:rsidRPr="005124F4">
        <w:rPr>
          <w:rFonts w:ascii="Arial" w:hAnsi="Arial" w:cs="Arial"/>
          <w:i/>
          <w:iCs/>
          <w:color w:val="000000" w:themeColor="text1"/>
          <w:szCs w:val="24"/>
          <w:lang w:val="en-US"/>
        </w:rPr>
        <w:t>Systematic Reviews in Educational Research</w:t>
      </w:r>
      <w:r w:rsidRPr="005124F4">
        <w:rPr>
          <w:rFonts w:ascii="Arial" w:hAnsi="Arial" w:cs="Arial"/>
          <w:color w:val="000000" w:themeColor="text1"/>
          <w:szCs w:val="24"/>
          <w:lang w:val="en-US"/>
        </w:rPr>
        <w:t xml:space="preserve">, 1(1), pp. 41–54. Available at: </w:t>
      </w:r>
      <w:hyperlink r:id="rId50" w:history="1">
        <w:r w:rsidRPr="005124F4">
          <w:rPr>
            <w:rStyle w:val="Hyperlink"/>
            <w:rFonts w:ascii="Arial" w:hAnsi="Arial" w:cs="Arial"/>
            <w:szCs w:val="24"/>
            <w:lang w:val="en-US"/>
          </w:rPr>
          <w:t>https://doi.org/10.1007/978-3-658-27602-7_3</w:t>
        </w:r>
      </w:hyperlink>
      <w:r w:rsidRPr="005124F4">
        <w:rPr>
          <w:rFonts w:ascii="Arial" w:hAnsi="Arial" w:cs="Arial"/>
          <w:color w:val="000000" w:themeColor="text1"/>
          <w:szCs w:val="24"/>
          <w:lang w:val="en-US"/>
        </w:rPr>
        <w:t>.</w:t>
      </w:r>
    </w:p>
    <w:p w14:paraId="02D1BC60"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Thorat, J.S., Kumar, D. and Sandhu, J.S. (2024) ‘Powering sustainable mobility: Electric and hybrid vehicles leading the way’, </w:t>
      </w:r>
      <w:r w:rsidRPr="005124F4">
        <w:rPr>
          <w:rFonts w:ascii="Arial" w:hAnsi="Arial" w:cs="Arial"/>
          <w:i/>
          <w:iCs/>
        </w:rPr>
        <w:t>SAE Technical Paper Series</w:t>
      </w:r>
      <w:r w:rsidRPr="005124F4">
        <w:rPr>
          <w:rFonts w:ascii="Arial" w:hAnsi="Arial" w:cs="Arial"/>
        </w:rPr>
        <w:t xml:space="preserve">, 1. Available at: </w:t>
      </w:r>
      <w:hyperlink r:id="rId51" w:history="1">
        <w:r w:rsidRPr="005124F4">
          <w:rPr>
            <w:rStyle w:val="Hyperlink"/>
            <w:rFonts w:ascii="Arial" w:hAnsi="Arial" w:cs="Arial"/>
          </w:rPr>
          <w:t>https://doi.org/10.4271/2024-28-0137</w:t>
        </w:r>
      </w:hyperlink>
      <w:r w:rsidRPr="005124F4">
        <w:rPr>
          <w:rFonts w:ascii="Arial" w:hAnsi="Arial" w:cs="Arial"/>
        </w:rPr>
        <w:t>.</w:t>
      </w:r>
    </w:p>
    <w:p w14:paraId="4334534A" w14:textId="52AABC1F" w:rsidR="00B83B3F" w:rsidRPr="005124F4" w:rsidRDefault="00B83B3F" w:rsidP="00B83B3F">
      <w:pPr>
        <w:pStyle w:val="NormalWeb"/>
        <w:spacing w:before="140" w:beforeAutospacing="0" w:after="140" w:afterAutospacing="0" w:line="360" w:lineRule="auto"/>
        <w:rPr>
          <w:rFonts w:ascii="Arial" w:hAnsi="Arial" w:cs="Arial"/>
        </w:rPr>
      </w:pPr>
      <w:r w:rsidRPr="00642FAE">
        <w:rPr>
          <w:rFonts w:ascii="Arial" w:hAnsi="Arial" w:cs="Arial"/>
          <w:lang w:val="nl-NL"/>
        </w:rPr>
        <w:t xml:space="preserve">Tillu, P.G. </w:t>
      </w:r>
      <w:r w:rsidR="00642FAE" w:rsidRPr="00642FAE">
        <w:rPr>
          <w:rFonts w:ascii="Arial" w:hAnsi="Arial" w:cs="Arial"/>
          <w:i/>
          <w:iCs/>
          <w:lang w:val="nl-NL"/>
        </w:rPr>
        <w:t>et al</w:t>
      </w:r>
      <w:r w:rsidRPr="00642FAE">
        <w:rPr>
          <w:rFonts w:ascii="Arial" w:hAnsi="Arial" w:cs="Arial"/>
          <w:lang w:val="nl-NL"/>
        </w:rPr>
        <w:t xml:space="preserve">. </w:t>
      </w:r>
      <w:r w:rsidRPr="005124F4">
        <w:rPr>
          <w:rFonts w:ascii="Arial" w:hAnsi="Arial" w:cs="Arial"/>
        </w:rPr>
        <w:t xml:space="preserve">(2024) ‘Towards sustainable automobile ecosystem in India: Integrated analysis of technical, economic, and ESG dimensions’, </w:t>
      </w:r>
      <w:r w:rsidRPr="005124F4">
        <w:rPr>
          <w:rFonts w:ascii="Arial" w:hAnsi="Arial" w:cs="Arial"/>
          <w:i/>
          <w:iCs/>
        </w:rPr>
        <w:t>Cleaner Environmental Systems</w:t>
      </w:r>
      <w:r w:rsidRPr="005124F4">
        <w:rPr>
          <w:rFonts w:ascii="Arial" w:hAnsi="Arial" w:cs="Arial"/>
        </w:rPr>
        <w:t xml:space="preserve">, 14, pp. 100210–100210. Available at: </w:t>
      </w:r>
      <w:hyperlink r:id="rId52" w:history="1">
        <w:r w:rsidRPr="005124F4">
          <w:rPr>
            <w:rStyle w:val="Hyperlink"/>
            <w:rFonts w:ascii="Arial" w:hAnsi="Arial" w:cs="Arial"/>
          </w:rPr>
          <w:t>https://doi.org/10.1016/j.cesys.2024.100210</w:t>
        </w:r>
      </w:hyperlink>
      <w:r w:rsidRPr="005124F4">
        <w:rPr>
          <w:rFonts w:ascii="Arial" w:hAnsi="Arial" w:cs="Arial"/>
        </w:rPr>
        <w:t>.</w:t>
      </w:r>
    </w:p>
    <w:p w14:paraId="496C225D" w14:textId="77777777" w:rsidR="00B83B3F" w:rsidRPr="005124F4" w:rsidRDefault="00B83B3F" w:rsidP="00B83B3F">
      <w:pPr>
        <w:spacing w:before="140" w:after="140"/>
        <w:jc w:val="left"/>
        <w:rPr>
          <w:rFonts w:ascii="Arial" w:hAnsi="Arial" w:cs="Arial"/>
          <w:color w:val="000000" w:themeColor="text1"/>
          <w:szCs w:val="24"/>
          <w:lang w:val="en-US"/>
        </w:rPr>
      </w:pPr>
      <w:r w:rsidRPr="005124F4">
        <w:rPr>
          <w:rFonts w:ascii="Arial" w:hAnsi="Arial" w:cs="Arial"/>
          <w:color w:val="000000" w:themeColor="text1"/>
          <w:szCs w:val="24"/>
          <w:lang w:val="en-US"/>
        </w:rPr>
        <w:t xml:space="preserve">Tsang, E.W.K. (2016) </w:t>
      </w:r>
      <w:r w:rsidRPr="005124F4">
        <w:rPr>
          <w:rFonts w:ascii="Arial" w:hAnsi="Arial" w:cs="Arial"/>
          <w:i/>
          <w:iCs/>
          <w:color w:val="000000" w:themeColor="text1"/>
          <w:szCs w:val="24"/>
          <w:lang w:val="en-US"/>
        </w:rPr>
        <w:t>The philosophy of management research</w:t>
      </w:r>
      <w:r w:rsidRPr="005124F4">
        <w:rPr>
          <w:rFonts w:ascii="Arial" w:hAnsi="Arial" w:cs="Arial"/>
          <w:color w:val="000000" w:themeColor="text1"/>
          <w:szCs w:val="24"/>
          <w:lang w:val="en-US"/>
        </w:rPr>
        <w:t>. Abingdon: Routledge.</w:t>
      </w:r>
    </w:p>
    <w:p w14:paraId="546F2A84"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UNDP (2023) </w:t>
      </w:r>
      <w:r w:rsidRPr="005124F4">
        <w:rPr>
          <w:rFonts w:ascii="Arial" w:hAnsi="Arial" w:cs="Arial"/>
          <w:i/>
          <w:iCs/>
        </w:rPr>
        <w:t>Sustainable development goals: Background on the goals</w:t>
      </w:r>
      <w:r w:rsidRPr="005124F4">
        <w:rPr>
          <w:rFonts w:ascii="Arial" w:hAnsi="Arial" w:cs="Arial"/>
        </w:rPr>
        <w:t xml:space="preserve">. </w:t>
      </w:r>
      <w:r w:rsidRPr="005124F4">
        <w:rPr>
          <w:rFonts w:ascii="Arial" w:hAnsi="Arial" w:cs="Arial"/>
          <w:i/>
          <w:iCs/>
        </w:rPr>
        <w:t xml:space="preserve">United Nations Development </w:t>
      </w:r>
      <w:proofErr w:type="spellStart"/>
      <w:r w:rsidRPr="005124F4">
        <w:rPr>
          <w:rFonts w:ascii="Arial" w:hAnsi="Arial" w:cs="Arial"/>
          <w:i/>
          <w:iCs/>
        </w:rPr>
        <w:t>Programme</w:t>
      </w:r>
      <w:proofErr w:type="spellEnd"/>
      <w:r w:rsidRPr="005124F4">
        <w:rPr>
          <w:rFonts w:ascii="Arial" w:hAnsi="Arial" w:cs="Arial"/>
        </w:rPr>
        <w:t xml:space="preserve">. Available at: </w:t>
      </w:r>
      <w:hyperlink r:id="rId53" w:history="1">
        <w:r w:rsidRPr="005124F4">
          <w:rPr>
            <w:rStyle w:val="Hyperlink"/>
            <w:rFonts w:ascii="Arial" w:hAnsi="Arial" w:cs="Arial"/>
          </w:rPr>
          <w:t>https://www.undp.org/sdg-accelerator/background-goals</w:t>
        </w:r>
      </w:hyperlink>
      <w:r w:rsidRPr="005124F4">
        <w:rPr>
          <w:rFonts w:ascii="Arial" w:hAnsi="Arial" w:cs="Arial"/>
        </w:rPr>
        <w:t xml:space="preserve"> (Accessed: 4 November 2025).</w:t>
      </w:r>
    </w:p>
    <w:p w14:paraId="47BEF6E6"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United Nations (2015) </w:t>
      </w:r>
      <w:r w:rsidRPr="005124F4">
        <w:rPr>
          <w:rFonts w:ascii="Arial" w:hAnsi="Arial" w:cs="Arial"/>
          <w:i/>
          <w:iCs/>
        </w:rPr>
        <w:t>Sustainable development goals kick off with start of new year</w:t>
      </w:r>
      <w:r w:rsidRPr="005124F4">
        <w:rPr>
          <w:rFonts w:ascii="Arial" w:hAnsi="Arial" w:cs="Arial"/>
        </w:rPr>
        <w:t xml:space="preserve">. Available at: </w:t>
      </w:r>
      <w:hyperlink r:id="rId54" w:history="1">
        <w:r w:rsidRPr="005124F4">
          <w:rPr>
            <w:rStyle w:val="Hyperlink"/>
            <w:rFonts w:ascii="Arial" w:hAnsi="Arial" w:cs="Arial"/>
          </w:rPr>
          <w:t>https://www.un.org/sustainabledevelopment/blog/2015/12/sustainable-development-goals-kick-off-with-start-of-new-year/</w:t>
        </w:r>
      </w:hyperlink>
      <w:r w:rsidRPr="005124F4">
        <w:rPr>
          <w:rFonts w:ascii="Arial" w:hAnsi="Arial" w:cs="Arial"/>
        </w:rPr>
        <w:t xml:space="preserve"> (Accessed: 4 November 2025).</w:t>
      </w:r>
    </w:p>
    <w:p w14:paraId="0412B372" w14:textId="77777777" w:rsidR="00B83B3F" w:rsidRPr="005124F4" w:rsidRDefault="00B83B3F" w:rsidP="00B83B3F">
      <w:pPr>
        <w:spacing w:before="140" w:after="140"/>
        <w:jc w:val="left"/>
        <w:rPr>
          <w:rFonts w:ascii="Arial" w:hAnsi="Arial" w:cs="Arial"/>
          <w:color w:val="000000" w:themeColor="text1"/>
          <w:szCs w:val="24"/>
          <w:lang w:val="en-US"/>
        </w:rPr>
      </w:pPr>
      <w:r w:rsidRPr="005124F4">
        <w:rPr>
          <w:rFonts w:ascii="Arial" w:hAnsi="Arial" w:cs="Arial"/>
          <w:color w:val="000000" w:themeColor="text1"/>
          <w:szCs w:val="24"/>
          <w:lang w:val="en-US"/>
        </w:rPr>
        <w:t xml:space="preserve">UWTSD (2022) </w:t>
      </w:r>
      <w:r w:rsidRPr="005124F4">
        <w:rPr>
          <w:rFonts w:ascii="Arial" w:hAnsi="Arial" w:cs="Arial"/>
          <w:i/>
          <w:iCs/>
          <w:color w:val="000000" w:themeColor="text1"/>
          <w:szCs w:val="24"/>
          <w:lang w:val="en-US"/>
        </w:rPr>
        <w:t>Research integrity and ethics</w:t>
      </w:r>
      <w:r w:rsidRPr="005124F4">
        <w:rPr>
          <w:rFonts w:ascii="Arial" w:hAnsi="Arial" w:cs="Arial"/>
          <w:color w:val="000000" w:themeColor="text1"/>
          <w:szCs w:val="24"/>
          <w:lang w:val="en-US"/>
        </w:rPr>
        <w:t xml:space="preserve">. </w:t>
      </w:r>
      <w:r w:rsidRPr="005124F4">
        <w:rPr>
          <w:rFonts w:ascii="Arial" w:hAnsi="Arial" w:cs="Arial"/>
          <w:i/>
          <w:iCs/>
          <w:color w:val="000000" w:themeColor="text1"/>
          <w:szCs w:val="24"/>
          <w:lang w:val="en-US"/>
        </w:rPr>
        <w:t>The University of Wales Trinity Saint David</w:t>
      </w:r>
      <w:r w:rsidRPr="005124F4">
        <w:rPr>
          <w:rFonts w:ascii="Arial" w:hAnsi="Arial" w:cs="Arial"/>
          <w:color w:val="000000" w:themeColor="text1"/>
          <w:szCs w:val="24"/>
          <w:lang w:val="en-US"/>
        </w:rPr>
        <w:t xml:space="preserve">. Available at: </w:t>
      </w:r>
      <w:hyperlink r:id="rId55" w:history="1">
        <w:r w:rsidRPr="005124F4">
          <w:rPr>
            <w:rStyle w:val="Hyperlink"/>
            <w:rFonts w:ascii="Arial" w:hAnsi="Arial" w:cs="Arial"/>
            <w:szCs w:val="24"/>
            <w:lang w:val="en-US"/>
          </w:rPr>
          <w:t>https://www.uwtsd.ac.uk/research/research-integrity-and-ethics</w:t>
        </w:r>
      </w:hyperlink>
      <w:r w:rsidRPr="005124F4">
        <w:rPr>
          <w:rFonts w:ascii="Arial" w:hAnsi="Arial" w:cs="Arial"/>
          <w:color w:val="000000" w:themeColor="text1"/>
          <w:szCs w:val="24"/>
          <w:lang w:val="en-US"/>
        </w:rPr>
        <w:t>.</w:t>
      </w:r>
    </w:p>
    <w:p w14:paraId="5C7AC061" w14:textId="418FBC95"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Veza, I. </w:t>
      </w:r>
      <w:r w:rsidR="00642FAE" w:rsidRPr="00642FAE">
        <w:rPr>
          <w:rFonts w:ascii="Arial" w:hAnsi="Arial" w:cs="Arial"/>
          <w:i/>
          <w:iCs/>
        </w:rPr>
        <w:t>et al</w:t>
      </w:r>
      <w:r w:rsidRPr="005124F4">
        <w:rPr>
          <w:rFonts w:ascii="Arial" w:hAnsi="Arial" w:cs="Arial"/>
        </w:rPr>
        <w:t xml:space="preserve">. (2023) ‘Electric vehicle (EV) and driving towards sustainability: Comparison between EV, HEV, PHEV, and ICE vehicles to achieve net zero emissions by 2050 from EV’, </w:t>
      </w:r>
      <w:r w:rsidRPr="005124F4">
        <w:rPr>
          <w:rFonts w:ascii="Arial" w:hAnsi="Arial" w:cs="Arial"/>
          <w:i/>
          <w:iCs/>
        </w:rPr>
        <w:t>Alexandria Engineering Journal</w:t>
      </w:r>
      <w:r w:rsidRPr="005124F4">
        <w:rPr>
          <w:rFonts w:ascii="Arial" w:hAnsi="Arial" w:cs="Arial"/>
        </w:rPr>
        <w:t xml:space="preserve">, 82, pp. 459–467. Available at: </w:t>
      </w:r>
      <w:hyperlink r:id="rId56" w:history="1">
        <w:r w:rsidRPr="005124F4">
          <w:rPr>
            <w:rStyle w:val="Hyperlink"/>
            <w:rFonts w:ascii="Arial" w:hAnsi="Arial" w:cs="Arial"/>
          </w:rPr>
          <w:t>https://doi.org/10.1016/j.aej.2023.10.020</w:t>
        </w:r>
      </w:hyperlink>
      <w:r w:rsidRPr="005124F4">
        <w:rPr>
          <w:rFonts w:ascii="Arial" w:hAnsi="Arial" w:cs="Arial"/>
        </w:rPr>
        <w:t>.</w:t>
      </w:r>
    </w:p>
    <w:p w14:paraId="6C332A45" w14:textId="0D5ED8F9" w:rsidR="00B83B3F" w:rsidRPr="00B83B3F" w:rsidRDefault="00B83B3F" w:rsidP="00B83B3F">
      <w:pPr>
        <w:pStyle w:val="NormalWeb"/>
        <w:spacing w:before="140" w:beforeAutospacing="0" w:after="140" w:afterAutospacing="0" w:line="360" w:lineRule="auto"/>
        <w:rPr>
          <w:rFonts w:ascii="Arial" w:hAnsi="Arial" w:cs="Arial"/>
        </w:rPr>
      </w:pPr>
      <w:r w:rsidRPr="00B83B3F">
        <w:rPr>
          <w:rFonts w:ascii="Arial" w:hAnsi="Arial" w:cs="Arial"/>
        </w:rPr>
        <w:t xml:space="preserve">Vijaya, A. </w:t>
      </w:r>
      <w:r w:rsidR="00642FAE" w:rsidRPr="00642FAE">
        <w:rPr>
          <w:rFonts w:ascii="Arial" w:hAnsi="Arial" w:cs="Arial"/>
          <w:i/>
          <w:iCs/>
        </w:rPr>
        <w:t>et al</w:t>
      </w:r>
      <w:r w:rsidRPr="00B83B3F">
        <w:rPr>
          <w:rFonts w:ascii="Arial" w:hAnsi="Arial" w:cs="Arial"/>
        </w:rPr>
        <w:t xml:space="preserve">. (2024) ‘Advancing sustainability in the automotive sector: A critical analysis of environmental, social, and governance (ESG) performance indicators’, </w:t>
      </w:r>
      <w:r w:rsidRPr="00B83B3F">
        <w:rPr>
          <w:rStyle w:val="Emphasis"/>
          <w:rFonts w:ascii="Arial" w:hAnsi="Arial" w:cs="Arial"/>
        </w:rPr>
        <w:t>Cleaner Environmental Systems</w:t>
      </w:r>
      <w:r w:rsidRPr="00B83B3F">
        <w:rPr>
          <w:rFonts w:ascii="Arial" w:hAnsi="Arial" w:cs="Arial"/>
        </w:rPr>
        <w:t xml:space="preserve">, pp. 100248–100248. Available at: </w:t>
      </w:r>
      <w:hyperlink r:id="rId57" w:history="1">
        <w:r w:rsidRPr="00B83B3F">
          <w:rPr>
            <w:rStyle w:val="Hyperlink"/>
            <w:rFonts w:ascii="Arial" w:hAnsi="Arial" w:cs="Arial"/>
          </w:rPr>
          <w:t>https://doi.org/10.1016/j.cesys.2024.100248</w:t>
        </w:r>
      </w:hyperlink>
      <w:r w:rsidRPr="00B83B3F">
        <w:rPr>
          <w:rFonts w:ascii="Arial" w:hAnsi="Arial" w:cs="Arial"/>
        </w:rPr>
        <w:t>.</w:t>
      </w:r>
    </w:p>
    <w:p w14:paraId="01E97B87"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Volkswagen (2023) </w:t>
      </w:r>
      <w:r w:rsidRPr="005124F4">
        <w:rPr>
          <w:rFonts w:ascii="Arial" w:hAnsi="Arial" w:cs="Arial"/>
          <w:i/>
          <w:iCs/>
        </w:rPr>
        <w:t>Sustainability</w:t>
      </w:r>
      <w:r w:rsidRPr="005124F4">
        <w:rPr>
          <w:rFonts w:ascii="Arial" w:hAnsi="Arial" w:cs="Arial"/>
        </w:rPr>
        <w:t xml:space="preserve">. Available at: </w:t>
      </w:r>
      <w:hyperlink r:id="rId58" w:history="1">
        <w:r w:rsidRPr="005124F4">
          <w:rPr>
            <w:rStyle w:val="Hyperlink"/>
            <w:rFonts w:ascii="Arial" w:hAnsi="Arial" w:cs="Arial"/>
          </w:rPr>
          <w:t>https://www.volkswagenag.com/en/sustainability.html</w:t>
        </w:r>
      </w:hyperlink>
      <w:r w:rsidRPr="005124F4">
        <w:rPr>
          <w:rFonts w:ascii="Arial" w:hAnsi="Arial" w:cs="Arial"/>
        </w:rPr>
        <w:t xml:space="preserve"> (Accessed: 1 November 2025).</w:t>
      </w:r>
    </w:p>
    <w:p w14:paraId="7534913A" w14:textId="77777777" w:rsidR="00B83B3F" w:rsidRPr="005124F4" w:rsidRDefault="00B83B3F" w:rsidP="00B83B3F">
      <w:pPr>
        <w:spacing w:before="140" w:after="140"/>
        <w:jc w:val="left"/>
        <w:rPr>
          <w:rFonts w:ascii="Arial" w:hAnsi="Arial" w:cs="Arial"/>
          <w:color w:val="000000" w:themeColor="text1"/>
          <w:szCs w:val="24"/>
          <w:lang w:val="en-US"/>
        </w:rPr>
      </w:pPr>
      <w:r w:rsidRPr="005124F4">
        <w:rPr>
          <w:rFonts w:ascii="Arial" w:hAnsi="Arial" w:cs="Arial"/>
          <w:color w:val="000000" w:themeColor="text1"/>
          <w:szCs w:val="24"/>
          <w:lang w:val="en-US"/>
        </w:rPr>
        <w:lastRenderedPageBreak/>
        <w:t xml:space="preserve">Wager, E. and Wiffen, P.J. (2011) ‘Ethical issues in preparing and publishing systematic reviews’, </w:t>
      </w:r>
      <w:r w:rsidRPr="005124F4">
        <w:rPr>
          <w:rFonts w:ascii="Arial" w:hAnsi="Arial" w:cs="Arial"/>
          <w:i/>
          <w:iCs/>
          <w:color w:val="000000" w:themeColor="text1"/>
          <w:szCs w:val="24"/>
          <w:lang w:val="en-US"/>
        </w:rPr>
        <w:t>Journal of Evidence-Based Medicine</w:t>
      </w:r>
      <w:r w:rsidRPr="005124F4">
        <w:rPr>
          <w:rFonts w:ascii="Arial" w:hAnsi="Arial" w:cs="Arial"/>
          <w:color w:val="000000" w:themeColor="text1"/>
          <w:szCs w:val="24"/>
          <w:lang w:val="en-US"/>
        </w:rPr>
        <w:t xml:space="preserve">, 4(2), pp. 130–134. Available at: </w:t>
      </w:r>
      <w:hyperlink r:id="rId59" w:history="1">
        <w:r w:rsidRPr="005124F4">
          <w:rPr>
            <w:rStyle w:val="Hyperlink"/>
            <w:rFonts w:ascii="Arial" w:hAnsi="Arial" w:cs="Arial"/>
            <w:szCs w:val="24"/>
            <w:lang w:val="en-US"/>
          </w:rPr>
          <w:t>https://doi.org/10.1111/j.1756-5391.2011.01122.x</w:t>
        </w:r>
      </w:hyperlink>
      <w:r w:rsidRPr="005124F4">
        <w:rPr>
          <w:rFonts w:ascii="Arial" w:hAnsi="Arial" w:cs="Arial"/>
          <w:color w:val="000000" w:themeColor="text1"/>
          <w:szCs w:val="24"/>
          <w:lang w:val="en-US"/>
        </w:rPr>
        <w:t>.</w:t>
      </w:r>
    </w:p>
    <w:p w14:paraId="7CB45E32" w14:textId="170502C1"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Yu, H.-C. </w:t>
      </w:r>
      <w:r w:rsidR="00642FAE" w:rsidRPr="00642FAE">
        <w:rPr>
          <w:rFonts w:ascii="Arial" w:hAnsi="Arial" w:cs="Arial"/>
          <w:i/>
          <w:iCs/>
        </w:rPr>
        <w:t>et al</w:t>
      </w:r>
      <w:r w:rsidRPr="005124F4">
        <w:rPr>
          <w:rFonts w:ascii="Arial" w:hAnsi="Arial" w:cs="Arial"/>
        </w:rPr>
        <w:t xml:space="preserve">. (2025) ‘A competency framework for electric vehicle maintenance technicians: Addressing the environmental, social, and governance (ESG) imperatives of the BEV industry’, </w:t>
      </w:r>
      <w:r w:rsidRPr="005124F4">
        <w:rPr>
          <w:rFonts w:ascii="Arial" w:hAnsi="Arial" w:cs="Arial"/>
          <w:i/>
          <w:iCs/>
        </w:rPr>
        <w:t>World Electric Vehicle Journal</w:t>
      </w:r>
      <w:r w:rsidRPr="005124F4">
        <w:rPr>
          <w:rFonts w:ascii="Arial" w:hAnsi="Arial" w:cs="Arial"/>
        </w:rPr>
        <w:t xml:space="preserve">, 16(6), p. 314. Available at: </w:t>
      </w:r>
      <w:hyperlink r:id="rId60" w:history="1">
        <w:r w:rsidRPr="005124F4">
          <w:rPr>
            <w:rStyle w:val="Hyperlink"/>
            <w:rFonts w:ascii="Arial" w:hAnsi="Arial" w:cs="Arial"/>
          </w:rPr>
          <w:t>https://doi.org/10.3390/wevj16060314</w:t>
        </w:r>
      </w:hyperlink>
      <w:r w:rsidRPr="005124F4">
        <w:rPr>
          <w:rFonts w:ascii="Arial" w:hAnsi="Arial" w:cs="Arial"/>
        </w:rPr>
        <w:t>.</w:t>
      </w:r>
    </w:p>
    <w:p w14:paraId="2E8EAC4F" w14:textId="6E891662"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Zeng, D. </w:t>
      </w:r>
      <w:r w:rsidR="00642FAE" w:rsidRPr="00642FAE">
        <w:rPr>
          <w:rFonts w:ascii="Arial" w:hAnsi="Arial" w:cs="Arial"/>
          <w:i/>
          <w:iCs/>
        </w:rPr>
        <w:t>et al</w:t>
      </w:r>
      <w:r w:rsidRPr="005124F4">
        <w:rPr>
          <w:rFonts w:ascii="Arial" w:hAnsi="Arial" w:cs="Arial"/>
        </w:rPr>
        <w:t xml:space="preserve">. (2020) ‘Are the electric vehicles more sustainable than the conventional ones? Influences of the assumptions and modeling approaches in the case of typical cars in China’, </w:t>
      </w:r>
      <w:r w:rsidRPr="005124F4">
        <w:rPr>
          <w:rFonts w:ascii="Arial" w:hAnsi="Arial" w:cs="Arial"/>
          <w:i/>
          <w:iCs/>
        </w:rPr>
        <w:t>Resources, Conservation and Recycling</w:t>
      </w:r>
      <w:r w:rsidRPr="005124F4">
        <w:rPr>
          <w:rFonts w:ascii="Arial" w:hAnsi="Arial" w:cs="Arial"/>
        </w:rPr>
        <w:t xml:space="preserve">, 167, p. 105210. Available at: </w:t>
      </w:r>
      <w:hyperlink r:id="rId61" w:history="1">
        <w:r w:rsidRPr="005124F4">
          <w:rPr>
            <w:rStyle w:val="Hyperlink"/>
            <w:rFonts w:ascii="Arial" w:hAnsi="Arial" w:cs="Arial"/>
          </w:rPr>
          <w:t>https://doi.org/10.1016/j.resconrec.2020.105210</w:t>
        </w:r>
      </w:hyperlink>
      <w:r w:rsidRPr="005124F4">
        <w:rPr>
          <w:rFonts w:ascii="Arial" w:hAnsi="Arial" w:cs="Arial"/>
        </w:rPr>
        <w:t>.</w:t>
      </w:r>
    </w:p>
    <w:p w14:paraId="32752E30"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Zhao, M. (2025) ‘Performance analysis of Japanese electric vehicle manufacturers in environmental, social, and governance using text mining and predictive methods’, </w:t>
      </w:r>
      <w:r w:rsidRPr="005124F4">
        <w:rPr>
          <w:rFonts w:ascii="Arial" w:hAnsi="Arial" w:cs="Arial"/>
          <w:i/>
          <w:iCs/>
        </w:rPr>
        <w:t>Engineering Proceedings</w:t>
      </w:r>
      <w:r w:rsidRPr="005124F4">
        <w:rPr>
          <w:rFonts w:ascii="Arial" w:hAnsi="Arial" w:cs="Arial"/>
        </w:rPr>
        <w:t xml:space="preserve">, 92(1), p. 35. Available at: </w:t>
      </w:r>
      <w:hyperlink r:id="rId62" w:history="1">
        <w:r w:rsidRPr="005124F4">
          <w:rPr>
            <w:rStyle w:val="Hyperlink"/>
            <w:rFonts w:ascii="Arial" w:hAnsi="Arial" w:cs="Arial"/>
          </w:rPr>
          <w:t>https://doi.org/10.3390/engproc2025092035</w:t>
        </w:r>
      </w:hyperlink>
      <w:r w:rsidRPr="005124F4">
        <w:rPr>
          <w:rFonts w:ascii="Arial" w:hAnsi="Arial" w:cs="Arial"/>
        </w:rPr>
        <w:t>.</w:t>
      </w:r>
    </w:p>
    <w:p w14:paraId="5479B8F5" w14:textId="77777777" w:rsidR="00B83B3F" w:rsidRPr="005124F4"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Zhao, Q., Zhang, C. and Li, Z. (2024) ‘Government subsidies and business resilience of Chinese electric vehicle enterprises: The roles of ESG and technological capability’, </w:t>
      </w:r>
      <w:r w:rsidRPr="005124F4">
        <w:rPr>
          <w:rFonts w:ascii="Arial" w:hAnsi="Arial" w:cs="Arial"/>
          <w:i/>
          <w:iCs/>
        </w:rPr>
        <w:t>Energies</w:t>
      </w:r>
      <w:r w:rsidRPr="005124F4">
        <w:rPr>
          <w:rFonts w:ascii="Arial" w:hAnsi="Arial" w:cs="Arial"/>
        </w:rPr>
        <w:t xml:space="preserve">, 17(22), p. 5569. Available at: </w:t>
      </w:r>
      <w:hyperlink r:id="rId63" w:history="1">
        <w:r w:rsidRPr="005124F4">
          <w:rPr>
            <w:rStyle w:val="Hyperlink"/>
            <w:rFonts w:ascii="Arial" w:hAnsi="Arial" w:cs="Arial"/>
          </w:rPr>
          <w:t>https://doi.org/10.3390/en17225569</w:t>
        </w:r>
      </w:hyperlink>
      <w:r w:rsidRPr="005124F4">
        <w:rPr>
          <w:rFonts w:ascii="Arial" w:hAnsi="Arial" w:cs="Arial"/>
        </w:rPr>
        <w:t>.</w:t>
      </w:r>
    </w:p>
    <w:p w14:paraId="5CB980D2" w14:textId="77777777" w:rsidR="00B83B3F" w:rsidRPr="00B83B3F" w:rsidRDefault="00B83B3F" w:rsidP="00B83B3F">
      <w:pPr>
        <w:pStyle w:val="NormalWeb"/>
        <w:spacing w:before="140" w:beforeAutospacing="0" w:after="140" w:afterAutospacing="0" w:line="360" w:lineRule="auto"/>
        <w:rPr>
          <w:rFonts w:ascii="Arial" w:hAnsi="Arial" w:cs="Arial"/>
        </w:rPr>
      </w:pPr>
      <w:r w:rsidRPr="005124F4">
        <w:rPr>
          <w:rFonts w:ascii="Arial" w:hAnsi="Arial" w:cs="Arial"/>
        </w:rPr>
        <w:t xml:space="preserve">Zhao, S., Han, Y., Zhou, Q. and Xia, X. (2025) ‘Collaborative management of battery manufacturer responsibility in electric vehicle production with ESG due diligence’, </w:t>
      </w:r>
      <w:r w:rsidRPr="005124F4">
        <w:rPr>
          <w:rFonts w:ascii="Arial" w:hAnsi="Arial" w:cs="Arial"/>
          <w:i/>
          <w:iCs/>
        </w:rPr>
        <w:t>Journal of Cleaner Production</w:t>
      </w:r>
      <w:r w:rsidRPr="005124F4">
        <w:rPr>
          <w:rFonts w:ascii="Arial" w:hAnsi="Arial" w:cs="Arial"/>
        </w:rPr>
        <w:t xml:space="preserve">, 486, p. 144591. Available at: </w:t>
      </w:r>
      <w:hyperlink r:id="rId64" w:history="1">
        <w:r w:rsidRPr="005124F4">
          <w:rPr>
            <w:rStyle w:val="Hyperlink"/>
            <w:rFonts w:ascii="Arial" w:hAnsi="Arial" w:cs="Arial"/>
          </w:rPr>
          <w:t>https://doi.org/10.1016/j.jclepro.2024.144591</w:t>
        </w:r>
      </w:hyperlink>
    </w:p>
    <w:p w14:paraId="5F914085" w14:textId="77777777" w:rsidR="00B83B3F" w:rsidRPr="00B83B3F" w:rsidRDefault="00B83B3F" w:rsidP="00B83B3F">
      <w:pPr>
        <w:pStyle w:val="NormalWeb"/>
        <w:spacing w:before="160" w:beforeAutospacing="0" w:after="160" w:afterAutospacing="0" w:line="360" w:lineRule="auto"/>
        <w:rPr>
          <w:rFonts w:asciiTheme="minorBidi" w:hAnsiTheme="minorBidi" w:cstheme="minorBidi"/>
        </w:rPr>
      </w:pPr>
    </w:p>
    <w:p w14:paraId="1040D011" w14:textId="77777777" w:rsidR="00B83B3F" w:rsidRDefault="00B83B3F" w:rsidP="005124F4">
      <w:pPr>
        <w:pStyle w:val="NormalWeb"/>
        <w:spacing w:before="120" w:beforeAutospacing="0" w:after="120" w:afterAutospacing="0" w:line="360" w:lineRule="auto"/>
        <w:rPr>
          <w:rFonts w:asciiTheme="minorBidi" w:hAnsiTheme="minorBidi" w:cstheme="minorBidi"/>
        </w:rPr>
      </w:pPr>
    </w:p>
    <w:p w14:paraId="66DAE913" w14:textId="0AC0D788" w:rsidR="00B83B3F" w:rsidRDefault="00B83B3F" w:rsidP="00B83B3F">
      <w:pPr>
        <w:sectPr w:rsidR="00B83B3F" w:rsidSect="001F7590">
          <w:pgSz w:w="11906" w:h="16838" w:code="9"/>
          <w:pgMar w:top="1440" w:right="1440" w:bottom="1440" w:left="1440" w:header="708" w:footer="708" w:gutter="0"/>
          <w:cols w:space="708"/>
          <w:titlePg/>
          <w:docGrid w:linePitch="360"/>
        </w:sectPr>
      </w:pPr>
    </w:p>
    <w:p w14:paraId="2969D493" w14:textId="1D94F3BD" w:rsidR="009D347F" w:rsidRDefault="00864307" w:rsidP="00864307">
      <w:pPr>
        <w:pStyle w:val="Heading1"/>
      </w:pPr>
      <w:bookmarkStart w:id="78" w:name="_Toc217953886"/>
      <w:r>
        <w:lastRenderedPageBreak/>
        <w:t>Appendices</w:t>
      </w:r>
      <w:bookmarkEnd w:id="78"/>
    </w:p>
    <w:p w14:paraId="39768D30" w14:textId="7B9339B5" w:rsidR="00864307" w:rsidRDefault="00864307" w:rsidP="00CC43B9">
      <w:pPr>
        <w:pStyle w:val="Heading2"/>
        <w:rPr>
          <w:lang w:val="en-US" w:eastAsia="zh-CN" w:bidi="bn-IN"/>
        </w:rPr>
      </w:pPr>
      <w:bookmarkStart w:id="79" w:name="_Toc217953887"/>
      <w:r>
        <w:rPr>
          <w:lang w:val="en-US" w:eastAsia="zh-CN" w:bidi="bn-IN"/>
        </w:rPr>
        <w:t xml:space="preserve">Appendix 1: </w:t>
      </w:r>
      <w:r w:rsidRPr="00CC43B9">
        <w:t>Scopus</w:t>
      </w:r>
      <w:r w:rsidRPr="00864307">
        <w:rPr>
          <w:lang w:val="en-US" w:eastAsia="zh-CN" w:bidi="bn-IN"/>
        </w:rPr>
        <w:t xml:space="preserve"> Search Strings, Applied Filters, and Result</w:t>
      </w:r>
      <w:r>
        <w:rPr>
          <w:lang w:val="en-US" w:eastAsia="zh-CN" w:bidi="bn-IN"/>
        </w:rPr>
        <w:t>s</w:t>
      </w:r>
      <w:bookmarkEnd w:id="79"/>
    </w:p>
    <w:tbl>
      <w:tblPr>
        <w:tblStyle w:val="TableGridLight"/>
        <w:tblW w:w="0" w:type="auto"/>
        <w:tblLook w:val="04A0" w:firstRow="1" w:lastRow="0" w:firstColumn="1" w:lastColumn="0" w:noHBand="0" w:noVBand="1"/>
      </w:tblPr>
      <w:tblGrid>
        <w:gridCol w:w="1123"/>
        <w:gridCol w:w="9852"/>
        <w:gridCol w:w="1970"/>
        <w:gridCol w:w="1003"/>
      </w:tblGrid>
      <w:tr w:rsidR="00864307" w:rsidRPr="00864307" w14:paraId="52A31489" w14:textId="77777777" w:rsidTr="00864307">
        <w:tc>
          <w:tcPr>
            <w:tcW w:w="0" w:type="auto"/>
            <w:vAlign w:val="center"/>
            <w:hideMark/>
          </w:tcPr>
          <w:p w14:paraId="6188DECE" w14:textId="77777777" w:rsidR="00864307" w:rsidRPr="00864307" w:rsidRDefault="00864307" w:rsidP="00864307">
            <w:pPr>
              <w:jc w:val="center"/>
              <w:rPr>
                <w:b/>
                <w:bCs/>
                <w:lang w:val="en-US" w:eastAsia="zh-CN" w:bidi="bn-IN"/>
              </w:rPr>
            </w:pPr>
            <w:r w:rsidRPr="00864307">
              <w:rPr>
                <w:b/>
                <w:bCs/>
                <w:lang w:val="en-US" w:eastAsia="zh-CN" w:bidi="bn-IN"/>
              </w:rPr>
              <w:t>Attempt</w:t>
            </w:r>
          </w:p>
        </w:tc>
        <w:tc>
          <w:tcPr>
            <w:tcW w:w="9852" w:type="dxa"/>
            <w:vAlign w:val="center"/>
            <w:hideMark/>
          </w:tcPr>
          <w:p w14:paraId="5AD87334" w14:textId="77777777" w:rsidR="00864307" w:rsidRPr="00864307" w:rsidRDefault="00864307" w:rsidP="00864307">
            <w:pPr>
              <w:jc w:val="center"/>
              <w:rPr>
                <w:b/>
                <w:bCs/>
                <w:lang w:val="en-US" w:eastAsia="zh-CN" w:bidi="bn-IN"/>
              </w:rPr>
            </w:pPr>
            <w:r w:rsidRPr="00864307">
              <w:rPr>
                <w:b/>
                <w:bCs/>
                <w:lang w:val="en-US" w:eastAsia="zh-CN" w:bidi="bn-IN"/>
              </w:rPr>
              <w:t>String</w:t>
            </w:r>
          </w:p>
        </w:tc>
        <w:tc>
          <w:tcPr>
            <w:tcW w:w="1970" w:type="dxa"/>
            <w:vAlign w:val="center"/>
            <w:hideMark/>
          </w:tcPr>
          <w:p w14:paraId="3CC88116" w14:textId="77777777" w:rsidR="00864307" w:rsidRPr="00864307" w:rsidRDefault="00864307" w:rsidP="00864307">
            <w:pPr>
              <w:jc w:val="center"/>
              <w:rPr>
                <w:b/>
                <w:bCs/>
                <w:lang w:val="en-US" w:eastAsia="zh-CN" w:bidi="bn-IN"/>
              </w:rPr>
            </w:pPr>
            <w:r w:rsidRPr="00864307">
              <w:rPr>
                <w:b/>
                <w:bCs/>
                <w:lang w:val="en-US" w:eastAsia="zh-CN" w:bidi="bn-IN"/>
              </w:rPr>
              <w:t>Filters</w:t>
            </w:r>
          </w:p>
        </w:tc>
        <w:tc>
          <w:tcPr>
            <w:tcW w:w="0" w:type="auto"/>
            <w:vAlign w:val="center"/>
            <w:hideMark/>
          </w:tcPr>
          <w:p w14:paraId="730CF1BF" w14:textId="77777777" w:rsidR="00864307" w:rsidRPr="00864307" w:rsidRDefault="00864307" w:rsidP="00864307">
            <w:pPr>
              <w:jc w:val="center"/>
              <w:rPr>
                <w:b/>
                <w:bCs/>
                <w:lang w:val="en-US" w:eastAsia="zh-CN" w:bidi="bn-IN"/>
              </w:rPr>
            </w:pPr>
            <w:r w:rsidRPr="00864307">
              <w:rPr>
                <w:b/>
                <w:bCs/>
                <w:lang w:val="en-US" w:eastAsia="zh-CN" w:bidi="bn-IN"/>
              </w:rPr>
              <w:t>Output</w:t>
            </w:r>
          </w:p>
        </w:tc>
      </w:tr>
      <w:tr w:rsidR="00864307" w:rsidRPr="00864307" w14:paraId="1DD4EA92" w14:textId="77777777" w:rsidTr="00864307">
        <w:tc>
          <w:tcPr>
            <w:tcW w:w="0" w:type="auto"/>
            <w:vAlign w:val="center"/>
            <w:hideMark/>
          </w:tcPr>
          <w:p w14:paraId="5557B831" w14:textId="77777777" w:rsidR="00864307" w:rsidRPr="00864307" w:rsidRDefault="00864307" w:rsidP="00864307">
            <w:pPr>
              <w:jc w:val="center"/>
              <w:rPr>
                <w:lang w:val="en-US" w:eastAsia="zh-CN" w:bidi="bn-IN"/>
              </w:rPr>
            </w:pPr>
            <w:r w:rsidRPr="00864307">
              <w:rPr>
                <w:lang w:val="en-US" w:eastAsia="zh-CN" w:bidi="bn-IN"/>
              </w:rPr>
              <w:t>1</w:t>
            </w:r>
          </w:p>
        </w:tc>
        <w:tc>
          <w:tcPr>
            <w:tcW w:w="9852" w:type="dxa"/>
            <w:hideMark/>
          </w:tcPr>
          <w:p w14:paraId="21420346" w14:textId="19FFDF39" w:rsidR="00864307" w:rsidRPr="00864307" w:rsidRDefault="00864307" w:rsidP="00864307">
            <w:pPr>
              <w:rPr>
                <w:lang w:val="en-US" w:eastAsia="zh-CN" w:bidi="bn-IN"/>
              </w:rPr>
            </w:pPr>
            <w:r w:rsidRPr="00864307">
              <w:rPr>
                <w:lang w:val="en-US" w:eastAsia="zh-CN" w:bidi="bn-IN"/>
              </w:rPr>
              <w:t xml:space="preserve">TITLE-ABS-KEY </w:t>
            </w:r>
            <w:r>
              <w:rPr>
                <w:lang w:val="en-US" w:eastAsia="zh-CN" w:bidi="bn-IN"/>
              </w:rPr>
              <w:t>((</w:t>
            </w:r>
            <w:r w:rsidRPr="00864307">
              <w:rPr>
                <w:lang w:val="en-US" w:eastAsia="zh-CN" w:bidi="bn-IN"/>
              </w:rPr>
              <w:t>environmental OR social OR governance OR ESG</w:t>
            </w:r>
            <w:r>
              <w:rPr>
                <w:lang w:val="en-US" w:eastAsia="zh-CN" w:bidi="bn-IN"/>
              </w:rPr>
              <w:t>)</w:t>
            </w:r>
            <w:r w:rsidRPr="00864307">
              <w:rPr>
                <w:lang w:val="en-US" w:eastAsia="zh-CN" w:bidi="bn-IN"/>
              </w:rPr>
              <w:t xml:space="preserve"> AND ("traditional automotive company" OR "legacy automaker" OR "internal combustion engine" OR ICE</w:t>
            </w:r>
            <w:r>
              <w:rPr>
                <w:lang w:val="en-US" w:eastAsia="zh-CN" w:bidi="bn-IN"/>
              </w:rPr>
              <w:t>)</w:t>
            </w:r>
            <w:r w:rsidRPr="00864307">
              <w:rPr>
                <w:lang w:val="en-US" w:eastAsia="zh-CN" w:bidi="bn-IN"/>
              </w:rPr>
              <w:t xml:space="preserve"> AND ("electric vehicle company" OR EV OR "battery electric vehicle" OR BEV OR NEV OR "new energy vehicle"</w:t>
            </w:r>
            <w:r>
              <w:rPr>
                <w:lang w:val="en-US" w:eastAsia="zh-CN" w:bidi="bn-IN"/>
              </w:rPr>
              <w:t>))</w:t>
            </w:r>
          </w:p>
        </w:tc>
        <w:tc>
          <w:tcPr>
            <w:tcW w:w="1970" w:type="dxa"/>
            <w:vMerge w:val="restart"/>
            <w:vAlign w:val="center"/>
            <w:hideMark/>
          </w:tcPr>
          <w:p w14:paraId="7C84553D" w14:textId="7DC727EA" w:rsidR="00864307" w:rsidRPr="00864307" w:rsidRDefault="00864307" w:rsidP="00864307">
            <w:pPr>
              <w:jc w:val="left"/>
              <w:rPr>
                <w:lang w:val="en-US" w:eastAsia="zh-CN" w:bidi="bn-IN"/>
              </w:rPr>
            </w:pPr>
            <w:r w:rsidRPr="00864307">
              <w:rPr>
                <w:lang w:val="en-US" w:eastAsia="zh-CN" w:bidi="bn-IN"/>
              </w:rPr>
              <w:t xml:space="preserve">DOCTYPE: </w:t>
            </w:r>
            <w:proofErr w:type="spellStart"/>
            <w:r w:rsidRPr="00864307">
              <w:rPr>
                <w:lang w:val="en-US" w:eastAsia="zh-CN" w:bidi="bn-IN"/>
              </w:rPr>
              <w:t>ar</w:t>
            </w:r>
            <w:proofErr w:type="spellEnd"/>
            <w:r w:rsidRPr="00864307">
              <w:rPr>
                <w:lang w:val="en-US" w:eastAsia="zh-CN" w:bidi="bn-IN"/>
              </w:rPr>
              <w:t>; LANGUAGE: English; OA: all; PUBYEAR: 2015–2025</w:t>
            </w:r>
          </w:p>
        </w:tc>
        <w:tc>
          <w:tcPr>
            <w:tcW w:w="0" w:type="auto"/>
            <w:vAlign w:val="center"/>
            <w:hideMark/>
          </w:tcPr>
          <w:p w14:paraId="7BC709EE" w14:textId="77777777" w:rsidR="00864307" w:rsidRPr="00864307" w:rsidRDefault="00864307" w:rsidP="00864307">
            <w:pPr>
              <w:jc w:val="center"/>
              <w:rPr>
                <w:lang w:val="en-US" w:eastAsia="zh-CN" w:bidi="bn-IN"/>
              </w:rPr>
            </w:pPr>
            <w:r w:rsidRPr="00864307">
              <w:rPr>
                <w:lang w:val="en-US" w:eastAsia="zh-CN" w:bidi="bn-IN"/>
              </w:rPr>
              <w:t>219</w:t>
            </w:r>
          </w:p>
        </w:tc>
      </w:tr>
      <w:tr w:rsidR="00864307" w:rsidRPr="00864307" w14:paraId="3681BF1F" w14:textId="77777777" w:rsidTr="00864307">
        <w:tc>
          <w:tcPr>
            <w:tcW w:w="0" w:type="auto"/>
            <w:vAlign w:val="center"/>
            <w:hideMark/>
          </w:tcPr>
          <w:p w14:paraId="0C37A74D" w14:textId="77777777" w:rsidR="00864307" w:rsidRPr="00864307" w:rsidRDefault="00864307" w:rsidP="00864307">
            <w:pPr>
              <w:jc w:val="center"/>
              <w:rPr>
                <w:lang w:val="en-US" w:eastAsia="zh-CN" w:bidi="bn-IN"/>
              </w:rPr>
            </w:pPr>
            <w:r w:rsidRPr="00864307">
              <w:rPr>
                <w:lang w:val="en-US" w:eastAsia="zh-CN" w:bidi="bn-IN"/>
              </w:rPr>
              <w:t>2</w:t>
            </w:r>
          </w:p>
        </w:tc>
        <w:tc>
          <w:tcPr>
            <w:tcW w:w="9852" w:type="dxa"/>
            <w:hideMark/>
          </w:tcPr>
          <w:p w14:paraId="4E19FAA8" w14:textId="0773218E" w:rsidR="00864307" w:rsidRPr="00864307" w:rsidRDefault="00864307" w:rsidP="00864307">
            <w:pPr>
              <w:rPr>
                <w:lang w:val="en-US" w:eastAsia="zh-CN" w:bidi="bn-IN"/>
              </w:rPr>
            </w:pPr>
            <w:r w:rsidRPr="00864307">
              <w:rPr>
                <w:lang w:val="en-US" w:eastAsia="zh-CN" w:bidi="bn-IN"/>
              </w:rPr>
              <w:t xml:space="preserve">TITLE-ABS-KEY </w:t>
            </w:r>
            <w:r>
              <w:rPr>
                <w:lang w:val="en-US" w:eastAsia="zh-CN" w:bidi="bn-IN"/>
              </w:rPr>
              <w:t>((</w:t>
            </w:r>
            <w:r w:rsidRPr="00864307">
              <w:rPr>
                <w:lang w:val="en-US" w:eastAsia="zh-CN" w:bidi="bn-IN"/>
              </w:rPr>
              <w:t>environmental OR social OR governance OR ESG</w:t>
            </w:r>
            <w:r>
              <w:rPr>
                <w:lang w:val="en-US" w:eastAsia="zh-CN" w:bidi="bn-IN"/>
              </w:rPr>
              <w:t>)</w:t>
            </w:r>
            <w:r w:rsidRPr="00864307">
              <w:rPr>
                <w:lang w:val="en-US" w:eastAsia="zh-CN" w:bidi="bn-IN"/>
              </w:rPr>
              <w:t xml:space="preserve"> AND ("traditional automotive company" OR "legacy automaker" OR "internal combustion engine" OR ICE</w:t>
            </w:r>
            <w:r>
              <w:rPr>
                <w:lang w:val="en-US" w:eastAsia="zh-CN" w:bidi="bn-IN"/>
              </w:rPr>
              <w:t>)</w:t>
            </w:r>
            <w:r w:rsidRPr="00864307">
              <w:rPr>
                <w:lang w:val="en-US" w:eastAsia="zh-CN" w:bidi="bn-IN"/>
              </w:rPr>
              <w:t xml:space="preserve"> AND ("electric vehicle company" OR EV OR "battery electric vehicle" OR BEV OR NEV OR "new energy vehicle"</w:t>
            </w:r>
            <w:r>
              <w:rPr>
                <w:lang w:val="en-US" w:eastAsia="zh-CN" w:bidi="bn-IN"/>
              </w:rPr>
              <w:t>)</w:t>
            </w:r>
            <w:r w:rsidRPr="00864307">
              <w:rPr>
                <w:lang w:val="en-US" w:eastAsia="zh-CN" w:bidi="bn-IN"/>
              </w:rPr>
              <w:t xml:space="preserve"> AND (driver* OR barrier* OR adopt* OR implement* OR effect* OR impact* OR </w:t>
            </w:r>
            <w:proofErr w:type="spellStart"/>
            <w:r w:rsidRPr="00864307">
              <w:rPr>
                <w:lang w:val="en-US" w:eastAsia="zh-CN" w:bidi="bn-IN"/>
              </w:rPr>
              <w:t>influenc</w:t>
            </w:r>
            <w:proofErr w:type="spellEnd"/>
            <w:r w:rsidRPr="00864307">
              <w:rPr>
                <w:lang w:val="en-US" w:eastAsia="zh-CN" w:bidi="bn-IN"/>
              </w:rPr>
              <w:t>* OR "success factor*"</w:t>
            </w:r>
            <w:r>
              <w:rPr>
                <w:lang w:val="en-US" w:eastAsia="zh-CN" w:bidi="bn-IN"/>
              </w:rPr>
              <w:t>))</w:t>
            </w:r>
          </w:p>
        </w:tc>
        <w:tc>
          <w:tcPr>
            <w:tcW w:w="1970" w:type="dxa"/>
            <w:vMerge/>
            <w:vAlign w:val="center"/>
            <w:hideMark/>
          </w:tcPr>
          <w:p w14:paraId="55B1D606" w14:textId="64C89348" w:rsidR="00864307" w:rsidRPr="00864307" w:rsidRDefault="00864307" w:rsidP="00864307">
            <w:pPr>
              <w:jc w:val="left"/>
              <w:rPr>
                <w:lang w:val="en-US" w:eastAsia="zh-CN" w:bidi="bn-IN"/>
              </w:rPr>
            </w:pPr>
          </w:p>
        </w:tc>
        <w:tc>
          <w:tcPr>
            <w:tcW w:w="0" w:type="auto"/>
            <w:vAlign w:val="center"/>
            <w:hideMark/>
          </w:tcPr>
          <w:p w14:paraId="226C799A" w14:textId="77777777" w:rsidR="00864307" w:rsidRPr="00864307" w:rsidRDefault="00864307" w:rsidP="00864307">
            <w:pPr>
              <w:jc w:val="center"/>
              <w:rPr>
                <w:lang w:val="en-US" w:eastAsia="zh-CN" w:bidi="bn-IN"/>
              </w:rPr>
            </w:pPr>
            <w:r w:rsidRPr="00864307">
              <w:rPr>
                <w:lang w:val="en-US" w:eastAsia="zh-CN" w:bidi="bn-IN"/>
              </w:rPr>
              <w:t>184</w:t>
            </w:r>
          </w:p>
        </w:tc>
      </w:tr>
      <w:tr w:rsidR="00864307" w:rsidRPr="00864307" w14:paraId="45A01D9F" w14:textId="77777777" w:rsidTr="00864307">
        <w:tc>
          <w:tcPr>
            <w:tcW w:w="0" w:type="auto"/>
            <w:vAlign w:val="center"/>
            <w:hideMark/>
          </w:tcPr>
          <w:p w14:paraId="2A8DC841" w14:textId="77777777" w:rsidR="00864307" w:rsidRPr="00864307" w:rsidRDefault="00864307" w:rsidP="00864307">
            <w:pPr>
              <w:jc w:val="center"/>
              <w:rPr>
                <w:lang w:val="en-US" w:eastAsia="zh-CN" w:bidi="bn-IN"/>
              </w:rPr>
            </w:pPr>
            <w:r w:rsidRPr="00864307">
              <w:rPr>
                <w:lang w:val="en-US" w:eastAsia="zh-CN" w:bidi="bn-IN"/>
              </w:rPr>
              <w:t>3</w:t>
            </w:r>
          </w:p>
        </w:tc>
        <w:tc>
          <w:tcPr>
            <w:tcW w:w="9852" w:type="dxa"/>
            <w:hideMark/>
          </w:tcPr>
          <w:p w14:paraId="1C481DBD" w14:textId="127D7D3C" w:rsidR="00864307" w:rsidRPr="00864307" w:rsidRDefault="00864307" w:rsidP="00864307">
            <w:pPr>
              <w:rPr>
                <w:lang w:val="en-US" w:eastAsia="zh-CN" w:bidi="bn-IN"/>
              </w:rPr>
            </w:pPr>
            <w:r w:rsidRPr="00864307">
              <w:rPr>
                <w:lang w:val="en-US" w:eastAsia="zh-CN" w:bidi="bn-IN"/>
              </w:rPr>
              <w:t xml:space="preserve">TITLE-ABS-KEY </w:t>
            </w:r>
            <w:r>
              <w:rPr>
                <w:lang w:val="en-US" w:eastAsia="zh-CN" w:bidi="bn-IN"/>
              </w:rPr>
              <w:t>((</w:t>
            </w:r>
            <w:r w:rsidRPr="00864307">
              <w:rPr>
                <w:lang w:val="en-US" w:eastAsia="zh-CN" w:bidi="bn-IN"/>
              </w:rPr>
              <w:t>"environmental social governance" OR ESG OR "corporate social responsibility" OR CSR</w:t>
            </w:r>
            <w:r>
              <w:rPr>
                <w:lang w:val="en-US" w:eastAsia="zh-CN" w:bidi="bn-IN"/>
              </w:rPr>
              <w:t>)</w:t>
            </w:r>
            <w:r w:rsidRPr="00864307">
              <w:rPr>
                <w:lang w:val="en-US" w:eastAsia="zh-CN" w:bidi="bn-IN"/>
              </w:rPr>
              <w:t xml:space="preserve"> AND ( automotive OR automobile* OR "auto industry" OR "motor vehicle*" OR car* OR "vehicle manufacturer*" OR EV OR "electric vehicle*" OR BEV OR "battery electric vehicle*" OR NEV OR "new energy vehicle" OR "internal combustion engine"</w:t>
            </w:r>
            <w:r>
              <w:rPr>
                <w:lang w:val="en-US" w:eastAsia="zh-CN" w:bidi="bn-IN"/>
              </w:rPr>
              <w:t>)</w:t>
            </w:r>
            <w:r w:rsidRPr="00864307">
              <w:rPr>
                <w:lang w:val="en-US" w:eastAsia="zh-CN" w:bidi="bn-IN"/>
              </w:rPr>
              <w:t xml:space="preserve"> AND ( "financial performance" OR "firm performance" OR profitability OR revenue OR "financial outcome*" OR "economic performance" OR "stock performance"</w:t>
            </w:r>
            <w:r>
              <w:rPr>
                <w:lang w:val="en-US" w:eastAsia="zh-CN" w:bidi="bn-IN"/>
              </w:rPr>
              <w:t>))</w:t>
            </w:r>
          </w:p>
        </w:tc>
        <w:tc>
          <w:tcPr>
            <w:tcW w:w="1970" w:type="dxa"/>
            <w:vMerge/>
            <w:vAlign w:val="center"/>
            <w:hideMark/>
          </w:tcPr>
          <w:p w14:paraId="15A99103" w14:textId="49547891" w:rsidR="00864307" w:rsidRPr="00864307" w:rsidRDefault="00864307" w:rsidP="00864307">
            <w:pPr>
              <w:jc w:val="left"/>
              <w:rPr>
                <w:lang w:val="en-US" w:eastAsia="zh-CN" w:bidi="bn-IN"/>
              </w:rPr>
            </w:pPr>
          </w:p>
        </w:tc>
        <w:tc>
          <w:tcPr>
            <w:tcW w:w="0" w:type="auto"/>
            <w:vAlign w:val="center"/>
            <w:hideMark/>
          </w:tcPr>
          <w:p w14:paraId="252CE028" w14:textId="77777777" w:rsidR="00864307" w:rsidRPr="00864307" w:rsidRDefault="00864307" w:rsidP="00864307">
            <w:pPr>
              <w:jc w:val="center"/>
              <w:rPr>
                <w:lang w:val="en-US" w:eastAsia="zh-CN" w:bidi="bn-IN"/>
              </w:rPr>
            </w:pPr>
            <w:r w:rsidRPr="00864307">
              <w:rPr>
                <w:lang w:val="en-US" w:eastAsia="zh-CN" w:bidi="bn-IN"/>
              </w:rPr>
              <w:t>271</w:t>
            </w:r>
          </w:p>
        </w:tc>
      </w:tr>
    </w:tbl>
    <w:p w14:paraId="289ED446" w14:textId="4FC93A04" w:rsidR="00864307" w:rsidRPr="00A01166" w:rsidRDefault="00A01166" w:rsidP="00A01166">
      <w:pPr>
        <w:pStyle w:val="Heading2"/>
        <w:rPr>
          <w:lang w:bidi="bn-IN"/>
        </w:rPr>
      </w:pPr>
      <w:bookmarkStart w:id="80" w:name="_Toc217953888"/>
      <w:r>
        <w:rPr>
          <w:lang w:val="en-US" w:eastAsia="zh-CN" w:bidi="bn-IN"/>
        </w:rPr>
        <w:lastRenderedPageBreak/>
        <w:t xml:space="preserve">Appendix 2: </w:t>
      </w:r>
      <w:r w:rsidRPr="00A01166">
        <w:rPr>
          <w:lang w:bidi="bn-IN"/>
        </w:rPr>
        <w:t>Quality Assessment of Included Studies Using CASP</w:t>
      </w:r>
      <w:bookmarkEnd w:id="80"/>
    </w:p>
    <w:tbl>
      <w:tblPr>
        <w:tblStyle w:val="PlainTable1"/>
        <w:tblW w:w="13755" w:type="dxa"/>
        <w:tblLook w:val="04A0" w:firstRow="1" w:lastRow="0" w:firstColumn="1" w:lastColumn="0" w:noHBand="0" w:noVBand="1"/>
      </w:tblPr>
      <w:tblGrid>
        <w:gridCol w:w="2875"/>
        <w:gridCol w:w="966"/>
        <w:gridCol w:w="1720"/>
        <w:gridCol w:w="2016"/>
        <w:gridCol w:w="2448"/>
        <w:gridCol w:w="1316"/>
        <w:gridCol w:w="1415"/>
        <w:gridCol w:w="999"/>
      </w:tblGrid>
      <w:tr w:rsidR="00A01166" w:rsidRPr="00A01166" w14:paraId="2E190F73" w14:textId="77777777" w:rsidTr="00B83B3F">
        <w:trPr>
          <w:cnfStyle w:val="100000000000" w:firstRow="1" w:lastRow="0" w:firstColumn="0" w:lastColumn="0" w:oddVBand="0" w:evenVBand="0" w:oddHBand="0" w:evenHBand="0" w:firstRowFirstColumn="0" w:firstRowLastColumn="0" w:lastRowFirstColumn="0" w:lastRowLastColumn="0"/>
          <w:cantSplit/>
          <w:trHeight w:val="244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C360FFD" w14:textId="77777777" w:rsidR="00A01166" w:rsidRPr="00A01166" w:rsidRDefault="00A01166" w:rsidP="00A01166">
            <w:pPr>
              <w:jc w:val="center"/>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Author(s) and Year</w:t>
            </w:r>
          </w:p>
        </w:tc>
        <w:tc>
          <w:tcPr>
            <w:tcW w:w="966" w:type="dxa"/>
            <w:noWrap/>
            <w:textDirection w:val="btLr"/>
            <w:vAlign w:val="center"/>
            <w:hideMark/>
          </w:tcPr>
          <w:p w14:paraId="11100A9F" w14:textId="77777777" w:rsidR="00A01166" w:rsidRPr="00A01166" w:rsidRDefault="00A01166" w:rsidP="00A01166">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Clear Aim?</w:t>
            </w:r>
          </w:p>
        </w:tc>
        <w:tc>
          <w:tcPr>
            <w:tcW w:w="1720" w:type="dxa"/>
            <w:noWrap/>
            <w:textDirection w:val="btLr"/>
            <w:vAlign w:val="center"/>
            <w:hideMark/>
          </w:tcPr>
          <w:p w14:paraId="2F742199" w14:textId="77777777" w:rsidR="00A01166" w:rsidRPr="00A01166" w:rsidRDefault="00A01166" w:rsidP="00A01166">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Appropriate Methodology?</w:t>
            </w:r>
          </w:p>
        </w:tc>
        <w:tc>
          <w:tcPr>
            <w:tcW w:w="2016" w:type="dxa"/>
            <w:noWrap/>
            <w:textDirection w:val="btLr"/>
            <w:vAlign w:val="center"/>
            <w:hideMark/>
          </w:tcPr>
          <w:p w14:paraId="1539A807" w14:textId="77777777" w:rsidR="00A01166" w:rsidRPr="00A01166" w:rsidRDefault="00A01166" w:rsidP="00A01166">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Research Design Appropriate?</w:t>
            </w:r>
          </w:p>
        </w:tc>
        <w:tc>
          <w:tcPr>
            <w:tcW w:w="2448" w:type="dxa"/>
            <w:noWrap/>
            <w:textDirection w:val="btLr"/>
            <w:vAlign w:val="center"/>
            <w:hideMark/>
          </w:tcPr>
          <w:p w14:paraId="5FEFC5EB" w14:textId="77777777" w:rsidR="00A01166" w:rsidRPr="00A01166" w:rsidRDefault="00A01166" w:rsidP="00A01166">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Sampling/ Data Collection Appropriate?</w:t>
            </w:r>
          </w:p>
        </w:tc>
        <w:tc>
          <w:tcPr>
            <w:tcW w:w="1316" w:type="dxa"/>
            <w:noWrap/>
            <w:textDirection w:val="btLr"/>
            <w:vAlign w:val="center"/>
            <w:hideMark/>
          </w:tcPr>
          <w:p w14:paraId="0C88BD1D" w14:textId="77777777" w:rsidR="00A01166" w:rsidRPr="00A01166" w:rsidRDefault="00A01166" w:rsidP="00A01166">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Data Analysis Rigorous?</w:t>
            </w:r>
          </w:p>
        </w:tc>
        <w:tc>
          <w:tcPr>
            <w:tcW w:w="1415" w:type="dxa"/>
            <w:noWrap/>
            <w:textDirection w:val="btLr"/>
            <w:vAlign w:val="center"/>
            <w:hideMark/>
          </w:tcPr>
          <w:p w14:paraId="74CBB4DC" w14:textId="77777777" w:rsidR="00A01166" w:rsidRPr="00A01166" w:rsidRDefault="00A01166" w:rsidP="00A01166">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Findings Clearly Presented?</w:t>
            </w:r>
          </w:p>
        </w:tc>
        <w:tc>
          <w:tcPr>
            <w:tcW w:w="999" w:type="dxa"/>
            <w:noWrap/>
            <w:vAlign w:val="center"/>
            <w:hideMark/>
          </w:tcPr>
          <w:p w14:paraId="45E64605" w14:textId="77777777" w:rsidR="00A01166" w:rsidRPr="00A01166" w:rsidRDefault="00A01166" w:rsidP="00A01166">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Quality</w:t>
            </w:r>
          </w:p>
        </w:tc>
      </w:tr>
      <w:tr w:rsidR="00A01166" w:rsidRPr="00A01166" w14:paraId="1865E327"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2727C42" w14:textId="77777777"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Aaldering</w:t>
            </w:r>
            <w:proofErr w:type="spellEnd"/>
            <w:r w:rsidRPr="00A01166">
              <w:rPr>
                <w:rFonts w:eastAsia="Times New Roman"/>
                <w:b w:val="0"/>
                <w:bCs w:val="0"/>
                <w:color w:val="000000" w:themeColor="text1"/>
                <w:sz w:val="22"/>
                <w:lang w:val="en-US" w:eastAsia="zh-CN" w:bidi="bn-IN"/>
              </w:rPr>
              <w:t>, Leker &amp; Song (2019)</w:t>
            </w:r>
          </w:p>
        </w:tc>
        <w:tc>
          <w:tcPr>
            <w:tcW w:w="966" w:type="dxa"/>
            <w:noWrap/>
            <w:vAlign w:val="center"/>
            <w:hideMark/>
          </w:tcPr>
          <w:p w14:paraId="4D159C69"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511E36F8"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F2FA53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31E299C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5D3357B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5B8E631"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7163B00D"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38DE25D9"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7C80F89" w14:textId="77777777"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Arhinful</w:t>
            </w:r>
            <w:proofErr w:type="spellEnd"/>
            <w:r w:rsidRPr="00A01166">
              <w:rPr>
                <w:rFonts w:eastAsia="Times New Roman"/>
                <w:b w:val="0"/>
                <w:bCs w:val="0"/>
                <w:color w:val="000000" w:themeColor="text1"/>
                <w:sz w:val="22"/>
                <w:lang w:val="en-US" w:eastAsia="zh-CN" w:bidi="bn-IN"/>
              </w:rPr>
              <w:t>, Mensah &amp; Owusu-Sarfo (2024)</w:t>
            </w:r>
          </w:p>
        </w:tc>
        <w:tc>
          <w:tcPr>
            <w:tcW w:w="966" w:type="dxa"/>
            <w:noWrap/>
            <w:vAlign w:val="center"/>
            <w:hideMark/>
          </w:tcPr>
          <w:p w14:paraId="7108AF5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753C969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06B13C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16E26DD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079BD16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7FBE2F0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E1EA649"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4965A978"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3D5EBBD1" w14:textId="42F13779" w:rsidR="00A01166" w:rsidRPr="00A01166" w:rsidRDefault="00B83B3F" w:rsidP="00A01166">
            <w:pPr>
              <w:jc w:val="left"/>
              <w:rPr>
                <w:rFonts w:eastAsia="Times New Roman"/>
                <w:b w:val="0"/>
                <w:bCs w:val="0"/>
                <w:color w:val="000000" w:themeColor="text1"/>
                <w:sz w:val="22"/>
                <w:lang w:val="en-US" w:eastAsia="zh-CN" w:bidi="bn-IN"/>
              </w:rPr>
            </w:pPr>
            <w:r w:rsidRPr="00B83B3F">
              <w:rPr>
                <w:rFonts w:eastAsia="Times New Roman"/>
                <w:b w:val="0"/>
                <w:bCs w:val="0"/>
                <w:color w:val="000000"/>
                <w:sz w:val="22"/>
                <w:lang w:val="en-US" w:eastAsia="zh-CN" w:bidi="bn-IN"/>
              </w:rPr>
              <w:t>Ahmad, Khalil and Rehman (2023)</w:t>
            </w:r>
          </w:p>
        </w:tc>
        <w:tc>
          <w:tcPr>
            <w:tcW w:w="966" w:type="dxa"/>
            <w:noWrap/>
            <w:vAlign w:val="center"/>
            <w:hideMark/>
          </w:tcPr>
          <w:p w14:paraId="76580D6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B07F9E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6C0AA439"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F4B1D5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2FB1452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EB7E6E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022FD8C"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638D94B7"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C23309E"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Asghar, Patni &amp; Menon (2025)</w:t>
            </w:r>
          </w:p>
        </w:tc>
        <w:tc>
          <w:tcPr>
            <w:tcW w:w="966" w:type="dxa"/>
            <w:noWrap/>
            <w:vAlign w:val="center"/>
            <w:hideMark/>
          </w:tcPr>
          <w:p w14:paraId="4D0CF6F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056A315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5F40D3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0EAB76F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63005505"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ECA98D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5D56BC95"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3BCD285D"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498F2299"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Boretti (2019)</w:t>
            </w:r>
          </w:p>
        </w:tc>
        <w:tc>
          <w:tcPr>
            <w:tcW w:w="966" w:type="dxa"/>
            <w:noWrap/>
            <w:vAlign w:val="center"/>
            <w:hideMark/>
          </w:tcPr>
          <w:p w14:paraId="132F139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100E35D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C3400E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42134D3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7985689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0E0ADC4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51B22F4B"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3EFB927C"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489242A3" w14:textId="744C00AC"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Boroujerdi</w:t>
            </w:r>
            <w:proofErr w:type="spellEnd"/>
            <w:r w:rsidRPr="00A01166">
              <w:rPr>
                <w:rFonts w:eastAsia="Times New Roman"/>
                <w:b w:val="0"/>
                <w:bCs w:val="0"/>
                <w:color w:val="000000" w:themeColor="text1"/>
                <w:sz w:val="22"/>
                <w:lang w:val="en-US" w:eastAsia="zh-CN" w:bidi="bn-IN"/>
              </w:rPr>
              <w:t xml:space="preserve">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(2025)</w:t>
            </w:r>
          </w:p>
        </w:tc>
        <w:tc>
          <w:tcPr>
            <w:tcW w:w="966" w:type="dxa"/>
            <w:noWrap/>
            <w:vAlign w:val="center"/>
            <w:hideMark/>
          </w:tcPr>
          <w:p w14:paraId="2E1352A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3657095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40F2B2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14F8108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0B9EC0D8"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6458E1F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40E226E9"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07218586"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42F70B8" w14:textId="24E88423"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lastRenderedPageBreak/>
              <w:t xml:space="preserve">Catacutan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(2024)</w:t>
            </w:r>
          </w:p>
        </w:tc>
        <w:tc>
          <w:tcPr>
            <w:tcW w:w="966" w:type="dxa"/>
            <w:noWrap/>
            <w:vAlign w:val="center"/>
            <w:hideMark/>
          </w:tcPr>
          <w:p w14:paraId="3B041C3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7BBF80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7126C9E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781DA1C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23D51682"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415" w:type="dxa"/>
            <w:noWrap/>
            <w:vAlign w:val="center"/>
            <w:hideMark/>
          </w:tcPr>
          <w:p w14:paraId="40CD356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1B863810"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2CD7158A"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2C0C12A3"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Chandrasekaran (2022)</w:t>
            </w:r>
          </w:p>
        </w:tc>
        <w:tc>
          <w:tcPr>
            <w:tcW w:w="966" w:type="dxa"/>
            <w:noWrap/>
            <w:vAlign w:val="center"/>
            <w:hideMark/>
          </w:tcPr>
          <w:p w14:paraId="6633D07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CD0D8C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2319B7B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2CAABF5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2D7AC20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5973199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2FAA2195"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2F022E16"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26222C1"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Chen (2024)</w:t>
            </w:r>
          </w:p>
        </w:tc>
        <w:tc>
          <w:tcPr>
            <w:tcW w:w="966" w:type="dxa"/>
            <w:noWrap/>
            <w:vAlign w:val="center"/>
            <w:hideMark/>
          </w:tcPr>
          <w:p w14:paraId="19DC14D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B193874"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1978FA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2E6E1D5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51690E4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4656173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FC68C53"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297DEE7D"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1AEC50F"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Choi &amp; Cho (2025)</w:t>
            </w:r>
          </w:p>
        </w:tc>
        <w:tc>
          <w:tcPr>
            <w:tcW w:w="966" w:type="dxa"/>
            <w:noWrap/>
            <w:vAlign w:val="center"/>
            <w:hideMark/>
          </w:tcPr>
          <w:p w14:paraId="28CA735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79B8A95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C45C81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C1B32C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1A784DF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452F93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4E302EBD"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22382322"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F33057A" w14:textId="77777777"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Chomachaei</w:t>
            </w:r>
            <w:proofErr w:type="spellEnd"/>
            <w:r w:rsidRPr="00A01166">
              <w:rPr>
                <w:rFonts w:eastAsia="Times New Roman"/>
                <w:b w:val="0"/>
                <w:bCs w:val="0"/>
                <w:color w:val="000000" w:themeColor="text1"/>
                <w:sz w:val="22"/>
                <w:lang w:val="en-US" w:eastAsia="zh-CN" w:bidi="bn-IN"/>
              </w:rPr>
              <w:t xml:space="preserve"> &amp; </w:t>
            </w:r>
            <w:proofErr w:type="spellStart"/>
            <w:r w:rsidRPr="00A01166">
              <w:rPr>
                <w:rFonts w:eastAsia="Times New Roman"/>
                <w:b w:val="0"/>
                <w:bCs w:val="0"/>
                <w:color w:val="000000" w:themeColor="text1"/>
                <w:sz w:val="22"/>
                <w:lang w:val="en-US" w:eastAsia="zh-CN" w:bidi="bn-IN"/>
              </w:rPr>
              <w:t>Golmohammadi</w:t>
            </w:r>
            <w:proofErr w:type="spellEnd"/>
            <w:r w:rsidRPr="00A01166">
              <w:rPr>
                <w:rFonts w:eastAsia="Times New Roman"/>
                <w:b w:val="0"/>
                <w:bCs w:val="0"/>
                <w:color w:val="000000" w:themeColor="text1"/>
                <w:sz w:val="22"/>
                <w:lang w:val="en-US" w:eastAsia="zh-CN" w:bidi="bn-IN"/>
              </w:rPr>
              <w:t xml:space="preserve"> (2023)</w:t>
            </w:r>
          </w:p>
        </w:tc>
        <w:tc>
          <w:tcPr>
            <w:tcW w:w="966" w:type="dxa"/>
            <w:noWrap/>
            <w:vAlign w:val="center"/>
            <w:hideMark/>
          </w:tcPr>
          <w:p w14:paraId="436611E1"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3DC8C88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AC2543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C267688"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1A9E3F7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43F555A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5E4B673"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0D9BA03D"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EA8A285"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Dincă, </w:t>
            </w:r>
            <w:proofErr w:type="spellStart"/>
            <w:r w:rsidRPr="00A01166">
              <w:rPr>
                <w:rFonts w:eastAsia="Times New Roman"/>
                <w:b w:val="0"/>
                <w:bCs w:val="0"/>
                <w:color w:val="000000" w:themeColor="text1"/>
                <w:sz w:val="22"/>
                <w:lang w:val="en-US" w:eastAsia="zh-CN" w:bidi="bn-IN"/>
              </w:rPr>
              <w:t>Vezeteu</w:t>
            </w:r>
            <w:proofErr w:type="spellEnd"/>
            <w:r w:rsidRPr="00A01166">
              <w:rPr>
                <w:rFonts w:eastAsia="Times New Roman"/>
                <w:b w:val="0"/>
                <w:bCs w:val="0"/>
                <w:color w:val="000000" w:themeColor="text1"/>
                <w:sz w:val="22"/>
                <w:lang w:val="en-US" w:eastAsia="zh-CN" w:bidi="bn-IN"/>
              </w:rPr>
              <w:t xml:space="preserve"> &amp; Dincă (2022)</w:t>
            </w:r>
          </w:p>
        </w:tc>
        <w:tc>
          <w:tcPr>
            <w:tcW w:w="966" w:type="dxa"/>
            <w:noWrap/>
            <w:vAlign w:val="center"/>
            <w:hideMark/>
          </w:tcPr>
          <w:p w14:paraId="066FB9FD"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073EC115"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D81EF8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4CCE46D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208150B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C01904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03090F46"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0421590F"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265EF34B"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Dolan, Wallington &amp; Anderson (2024)</w:t>
            </w:r>
          </w:p>
        </w:tc>
        <w:tc>
          <w:tcPr>
            <w:tcW w:w="966" w:type="dxa"/>
            <w:noWrap/>
            <w:vAlign w:val="center"/>
            <w:hideMark/>
          </w:tcPr>
          <w:p w14:paraId="23A8586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0C53CD7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5FF3A7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2B72729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60A4089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0FEB5A7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52FB0CA8"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70280E14"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E6247A1" w14:textId="3ED5A5F1"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Fu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(2023)</w:t>
            </w:r>
          </w:p>
        </w:tc>
        <w:tc>
          <w:tcPr>
            <w:tcW w:w="966" w:type="dxa"/>
            <w:noWrap/>
            <w:vAlign w:val="center"/>
            <w:hideMark/>
          </w:tcPr>
          <w:p w14:paraId="6B62A14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41D25765"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D6F8A7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7B20E49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37EDF5A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EF6EE0D"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22173A66"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30FF623B"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4BB109DB"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Fulton (2020)</w:t>
            </w:r>
          </w:p>
        </w:tc>
        <w:tc>
          <w:tcPr>
            <w:tcW w:w="966" w:type="dxa"/>
            <w:noWrap/>
            <w:vAlign w:val="center"/>
            <w:hideMark/>
          </w:tcPr>
          <w:p w14:paraId="61D3E24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189DE30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7C1BD78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327B779"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35B6729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357490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699452B"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1A630AE7"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0684295" w14:textId="6B3C003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Gan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(2021)</w:t>
            </w:r>
          </w:p>
        </w:tc>
        <w:tc>
          <w:tcPr>
            <w:tcW w:w="966" w:type="dxa"/>
            <w:noWrap/>
            <w:vAlign w:val="center"/>
            <w:hideMark/>
          </w:tcPr>
          <w:p w14:paraId="4ACF1D1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069C598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7230C73"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6A1560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066EBBA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6122302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779E9911"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100E6016"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64A5FEC8" w14:textId="141625B0"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Gao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(2025)</w:t>
            </w:r>
          </w:p>
        </w:tc>
        <w:tc>
          <w:tcPr>
            <w:tcW w:w="966" w:type="dxa"/>
            <w:noWrap/>
            <w:vAlign w:val="center"/>
            <w:hideMark/>
          </w:tcPr>
          <w:p w14:paraId="4F2C27B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BFC178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120836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175D873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7A1A2F49"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5994F49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4277FC14"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3A9D0ACA"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288F726"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Glova &amp; Panko (2025)</w:t>
            </w:r>
          </w:p>
        </w:tc>
        <w:tc>
          <w:tcPr>
            <w:tcW w:w="966" w:type="dxa"/>
            <w:noWrap/>
            <w:vAlign w:val="center"/>
            <w:hideMark/>
          </w:tcPr>
          <w:p w14:paraId="2B7E276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1BA4F8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38A590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D85E04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43F98D8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57B78BE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77FBDB1"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62A8CB59"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35B3B8E8" w14:textId="004497A1"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lastRenderedPageBreak/>
              <w:t xml:space="preserve">Golebiewski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(2025)</w:t>
            </w:r>
          </w:p>
        </w:tc>
        <w:tc>
          <w:tcPr>
            <w:tcW w:w="966" w:type="dxa"/>
            <w:noWrap/>
            <w:vAlign w:val="center"/>
            <w:hideMark/>
          </w:tcPr>
          <w:p w14:paraId="4AC967B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B9D6DC4"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188C33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06B59B4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0012B02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67FCE5A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C03A39E"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623849B3"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08E055B" w14:textId="7298BBA0"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Guha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(2018)</w:t>
            </w:r>
          </w:p>
        </w:tc>
        <w:tc>
          <w:tcPr>
            <w:tcW w:w="966" w:type="dxa"/>
            <w:noWrap/>
            <w:vAlign w:val="center"/>
            <w:hideMark/>
          </w:tcPr>
          <w:p w14:paraId="6370166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5E17420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D4E0EF1"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76A0170D"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76A1565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2679405D"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14A6E8A9"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1028DA38"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24703B9C" w14:textId="3159BE68"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Guzmán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(2022)</w:t>
            </w:r>
          </w:p>
        </w:tc>
        <w:tc>
          <w:tcPr>
            <w:tcW w:w="966" w:type="dxa"/>
            <w:noWrap/>
            <w:vAlign w:val="center"/>
            <w:hideMark/>
          </w:tcPr>
          <w:p w14:paraId="00AB928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51205FF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620E5F4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C6AC05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0662ED9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C41244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0A1985A6"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0C780B2C"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A485091"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Ha (2019)</w:t>
            </w:r>
          </w:p>
        </w:tc>
        <w:tc>
          <w:tcPr>
            <w:tcW w:w="966" w:type="dxa"/>
            <w:noWrap/>
            <w:vAlign w:val="center"/>
            <w:hideMark/>
          </w:tcPr>
          <w:p w14:paraId="13478353"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3985C6E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C2CEEF3"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42D7C85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6B2E09F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60426BA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F28D4C9"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319289B7"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74515D0A" w14:textId="77777777"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Helfaya</w:t>
            </w:r>
            <w:proofErr w:type="spellEnd"/>
            <w:r w:rsidRPr="00A01166">
              <w:rPr>
                <w:rFonts w:eastAsia="Times New Roman"/>
                <w:b w:val="0"/>
                <w:bCs w:val="0"/>
                <w:color w:val="000000" w:themeColor="text1"/>
                <w:sz w:val="22"/>
                <w:lang w:val="en-US" w:eastAsia="zh-CN" w:bidi="bn-IN"/>
              </w:rPr>
              <w:t xml:space="preserve"> &amp; Bui (2025)</w:t>
            </w:r>
          </w:p>
        </w:tc>
        <w:tc>
          <w:tcPr>
            <w:tcW w:w="966" w:type="dxa"/>
            <w:noWrap/>
            <w:vAlign w:val="center"/>
            <w:hideMark/>
          </w:tcPr>
          <w:p w14:paraId="706B427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5DE1B68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7255202"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2DC7EA3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6970675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839530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A329532"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43BE202E"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DB9F032"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Joshi, Sharma &amp; Baral (2022)</w:t>
            </w:r>
          </w:p>
        </w:tc>
        <w:tc>
          <w:tcPr>
            <w:tcW w:w="966" w:type="dxa"/>
            <w:noWrap/>
            <w:vAlign w:val="center"/>
            <w:hideMark/>
          </w:tcPr>
          <w:p w14:paraId="4140894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3DF3DD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6541AC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394FF11"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660A0BC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2A730B5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1A86E2F9"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53563F88"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6FE5679D"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Keegan, </w:t>
            </w:r>
            <w:proofErr w:type="spellStart"/>
            <w:r w:rsidRPr="00A01166">
              <w:rPr>
                <w:rFonts w:eastAsia="Times New Roman"/>
                <w:b w:val="0"/>
                <w:bCs w:val="0"/>
                <w:color w:val="000000" w:themeColor="text1"/>
                <w:sz w:val="22"/>
                <w:lang w:val="en-US" w:eastAsia="zh-CN" w:bidi="bn-IN"/>
              </w:rPr>
              <w:t>Nelendran</w:t>
            </w:r>
            <w:proofErr w:type="spellEnd"/>
            <w:r w:rsidRPr="00A01166">
              <w:rPr>
                <w:rFonts w:eastAsia="Times New Roman"/>
                <w:b w:val="0"/>
                <w:bCs w:val="0"/>
                <w:color w:val="000000" w:themeColor="text1"/>
                <w:sz w:val="22"/>
                <w:lang w:val="en-US" w:eastAsia="zh-CN" w:bidi="bn-IN"/>
              </w:rPr>
              <w:t xml:space="preserve"> &amp; Oluwafemi (2024)</w:t>
            </w:r>
          </w:p>
        </w:tc>
        <w:tc>
          <w:tcPr>
            <w:tcW w:w="966" w:type="dxa"/>
            <w:noWrap/>
            <w:vAlign w:val="center"/>
            <w:hideMark/>
          </w:tcPr>
          <w:p w14:paraId="4EC4E93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7334EF6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0D204C2"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240D7081"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32A1B92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014951D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74D610FA"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3AA720F9"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2ED01B66" w14:textId="6FA0C714"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Khan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(2024)</w:t>
            </w:r>
          </w:p>
        </w:tc>
        <w:tc>
          <w:tcPr>
            <w:tcW w:w="966" w:type="dxa"/>
            <w:noWrap/>
            <w:vAlign w:val="center"/>
            <w:hideMark/>
          </w:tcPr>
          <w:p w14:paraId="00B7ED7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B1E177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C782321"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7E86C9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5A9B871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B9994A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DE9BA90"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475BFC7C"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38A8B145" w14:textId="1E352EB2"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Kim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(2016)</w:t>
            </w:r>
          </w:p>
        </w:tc>
        <w:tc>
          <w:tcPr>
            <w:tcW w:w="966" w:type="dxa"/>
            <w:noWrap/>
            <w:vAlign w:val="center"/>
            <w:hideMark/>
          </w:tcPr>
          <w:p w14:paraId="3AA5827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7A8B571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E97EB5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352D0DA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1C71825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49A2A9D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005B3DBC"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0FD1811C"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2EF1FAD0"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Kim, </w:t>
            </w:r>
            <w:proofErr w:type="spellStart"/>
            <w:r w:rsidRPr="00A01166">
              <w:rPr>
                <w:rFonts w:eastAsia="Times New Roman"/>
                <w:b w:val="0"/>
                <w:bCs w:val="0"/>
                <w:color w:val="000000" w:themeColor="text1"/>
                <w:sz w:val="22"/>
                <w:lang w:val="en-US" w:eastAsia="zh-CN" w:bidi="bn-IN"/>
              </w:rPr>
              <w:t>Im</w:t>
            </w:r>
            <w:proofErr w:type="spellEnd"/>
            <w:r w:rsidRPr="00A01166">
              <w:rPr>
                <w:rFonts w:eastAsia="Times New Roman"/>
                <w:b w:val="0"/>
                <w:bCs w:val="0"/>
                <w:color w:val="000000" w:themeColor="text1"/>
                <w:sz w:val="22"/>
                <w:lang w:val="en-US" w:eastAsia="zh-CN" w:bidi="bn-IN"/>
              </w:rPr>
              <w:t xml:space="preserve"> &amp; Gim (2025)</w:t>
            </w:r>
          </w:p>
        </w:tc>
        <w:tc>
          <w:tcPr>
            <w:tcW w:w="966" w:type="dxa"/>
            <w:noWrap/>
            <w:vAlign w:val="center"/>
            <w:hideMark/>
          </w:tcPr>
          <w:p w14:paraId="142FD6A8"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0A4A9D63"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6B8494D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84EC695"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6125313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6ADF260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0DC3138B"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12946777"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7352B8D4"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Komiyama &amp; Fujii (2015)</w:t>
            </w:r>
          </w:p>
        </w:tc>
        <w:tc>
          <w:tcPr>
            <w:tcW w:w="966" w:type="dxa"/>
            <w:noWrap/>
            <w:vAlign w:val="center"/>
            <w:hideMark/>
          </w:tcPr>
          <w:p w14:paraId="47899CE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0555BF9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5A48E2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4EE36C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51B8242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204F6D98"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222C2501"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058194F8"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6251FA60" w14:textId="1DDE4EAD"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Kour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(2020)</w:t>
            </w:r>
          </w:p>
        </w:tc>
        <w:tc>
          <w:tcPr>
            <w:tcW w:w="966" w:type="dxa"/>
            <w:noWrap/>
            <w:vAlign w:val="center"/>
            <w:hideMark/>
          </w:tcPr>
          <w:p w14:paraId="7DFF0CE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3C9F574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7E34855"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755AB80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3453960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05AF532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215B305"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4FB5C3E9"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73CB2E0" w14:textId="78AC63B3"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Liu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(2018)</w:t>
            </w:r>
          </w:p>
        </w:tc>
        <w:tc>
          <w:tcPr>
            <w:tcW w:w="966" w:type="dxa"/>
            <w:noWrap/>
            <w:vAlign w:val="center"/>
            <w:hideMark/>
          </w:tcPr>
          <w:p w14:paraId="4EA731D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7F2FBF3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65C8D24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4384B34"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5EAA006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ADF3D1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2136D5D3"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475125A6"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B29ADB2" w14:textId="44867D3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lastRenderedPageBreak/>
              <w:t xml:space="preserve">Lu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(2025)</w:t>
            </w:r>
          </w:p>
        </w:tc>
        <w:tc>
          <w:tcPr>
            <w:tcW w:w="966" w:type="dxa"/>
            <w:noWrap/>
            <w:vAlign w:val="center"/>
            <w:hideMark/>
          </w:tcPr>
          <w:p w14:paraId="58F9364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BA4B0A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281A464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130791AD"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246C58F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6B9CC6C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7882A717"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074FA86D"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F1E3ABB" w14:textId="6BA5868A"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Nuryakin</w:t>
            </w:r>
            <w:proofErr w:type="spellEnd"/>
            <w:r w:rsidRPr="00A01166">
              <w:rPr>
                <w:rFonts w:eastAsia="Times New Roman"/>
                <w:b w:val="0"/>
                <w:bCs w:val="0"/>
                <w:color w:val="000000" w:themeColor="text1"/>
                <w:sz w:val="22"/>
                <w:lang w:val="en-US" w:eastAsia="zh-CN" w:bidi="bn-IN"/>
              </w:rPr>
              <w:t xml:space="preserve">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(2019)</w:t>
            </w:r>
          </w:p>
        </w:tc>
        <w:tc>
          <w:tcPr>
            <w:tcW w:w="966" w:type="dxa"/>
            <w:noWrap/>
            <w:vAlign w:val="center"/>
            <w:hideMark/>
          </w:tcPr>
          <w:p w14:paraId="15BFE13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7D2FC72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2CF9258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D2067A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0F356EC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0FE86F24"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2FC6230"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4A80BC50"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5FD2109" w14:textId="278172D6"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Olabi</w:t>
            </w:r>
            <w:proofErr w:type="spellEnd"/>
            <w:r w:rsidRPr="00A01166">
              <w:rPr>
                <w:rFonts w:eastAsia="Times New Roman"/>
                <w:b w:val="0"/>
                <w:bCs w:val="0"/>
                <w:color w:val="000000" w:themeColor="text1"/>
                <w:sz w:val="22"/>
                <w:lang w:val="en-US" w:eastAsia="zh-CN" w:bidi="bn-IN"/>
              </w:rPr>
              <w:t xml:space="preserve">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(2022)</w:t>
            </w:r>
          </w:p>
        </w:tc>
        <w:tc>
          <w:tcPr>
            <w:tcW w:w="966" w:type="dxa"/>
            <w:noWrap/>
            <w:vAlign w:val="center"/>
            <w:hideMark/>
          </w:tcPr>
          <w:p w14:paraId="2AE91C08"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4BE51681"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2E9D242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D8115C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3C2E62A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5A8C040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48825196"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11573C00"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47C51437"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Pillay, Brent &amp; </w:t>
            </w:r>
            <w:proofErr w:type="spellStart"/>
            <w:r w:rsidRPr="00A01166">
              <w:rPr>
                <w:rFonts w:eastAsia="Times New Roman"/>
                <w:b w:val="0"/>
                <w:bCs w:val="0"/>
                <w:color w:val="000000" w:themeColor="text1"/>
                <w:sz w:val="22"/>
                <w:lang w:val="en-US" w:eastAsia="zh-CN" w:bidi="bn-IN"/>
              </w:rPr>
              <w:t>Musango</w:t>
            </w:r>
            <w:proofErr w:type="spellEnd"/>
            <w:r w:rsidRPr="00A01166">
              <w:rPr>
                <w:rFonts w:eastAsia="Times New Roman"/>
                <w:b w:val="0"/>
                <w:bCs w:val="0"/>
                <w:color w:val="000000" w:themeColor="text1"/>
                <w:sz w:val="22"/>
                <w:lang w:val="en-US" w:eastAsia="zh-CN" w:bidi="bn-IN"/>
              </w:rPr>
              <w:t xml:space="preserve"> (2019)</w:t>
            </w:r>
          </w:p>
        </w:tc>
        <w:tc>
          <w:tcPr>
            <w:tcW w:w="966" w:type="dxa"/>
            <w:noWrap/>
            <w:vAlign w:val="center"/>
            <w:hideMark/>
          </w:tcPr>
          <w:p w14:paraId="6EA562E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59D16CA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242FA72"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E8EB9D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747C191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57DB52C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1404A5BF"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461DD1AB"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5AA57489"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Pipitone, </w:t>
            </w:r>
            <w:proofErr w:type="spellStart"/>
            <w:r w:rsidRPr="00A01166">
              <w:rPr>
                <w:rFonts w:eastAsia="Times New Roman"/>
                <w:b w:val="0"/>
                <w:bCs w:val="0"/>
                <w:color w:val="000000" w:themeColor="text1"/>
                <w:sz w:val="22"/>
                <w:lang w:val="en-US" w:eastAsia="zh-CN" w:bidi="bn-IN"/>
              </w:rPr>
              <w:t>Caltabellotta</w:t>
            </w:r>
            <w:proofErr w:type="spellEnd"/>
            <w:r w:rsidRPr="00A01166">
              <w:rPr>
                <w:rFonts w:eastAsia="Times New Roman"/>
                <w:b w:val="0"/>
                <w:bCs w:val="0"/>
                <w:color w:val="000000" w:themeColor="text1"/>
                <w:sz w:val="22"/>
                <w:lang w:val="en-US" w:eastAsia="zh-CN" w:bidi="bn-IN"/>
              </w:rPr>
              <w:t xml:space="preserve"> &amp; Occhipinti (2021)</w:t>
            </w:r>
          </w:p>
        </w:tc>
        <w:tc>
          <w:tcPr>
            <w:tcW w:w="966" w:type="dxa"/>
            <w:noWrap/>
            <w:vAlign w:val="center"/>
            <w:hideMark/>
          </w:tcPr>
          <w:p w14:paraId="18748FE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4AC051A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F084B61"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0C40A36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26CA689D"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E1C049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53E9A9A4"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538227FD"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10165D7" w14:textId="77777777"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Raugei</w:t>
            </w:r>
            <w:proofErr w:type="spellEnd"/>
            <w:r w:rsidRPr="00A01166">
              <w:rPr>
                <w:rFonts w:eastAsia="Times New Roman"/>
                <w:b w:val="0"/>
                <w:bCs w:val="0"/>
                <w:color w:val="000000" w:themeColor="text1"/>
                <w:sz w:val="22"/>
                <w:lang w:val="en-US" w:eastAsia="zh-CN" w:bidi="bn-IN"/>
              </w:rPr>
              <w:t>, Hutchinson &amp; Morrey (2018)</w:t>
            </w:r>
          </w:p>
        </w:tc>
        <w:tc>
          <w:tcPr>
            <w:tcW w:w="966" w:type="dxa"/>
            <w:noWrap/>
            <w:vAlign w:val="center"/>
            <w:hideMark/>
          </w:tcPr>
          <w:p w14:paraId="2DAC9EF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525BCDA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26EDC6D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0AF2F53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25B4F14E"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299A0006"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13FFB2FC"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4851C51E"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434508D3" w14:textId="491A6730"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Schlürscheid</w:t>
            </w:r>
            <w:proofErr w:type="spellEnd"/>
            <w:r w:rsidRPr="00A01166">
              <w:rPr>
                <w:rFonts w:eastAsia="Times New Roman"/>
                <w:b w:val="0"/>
                <w:bCs w:val="0"/>
                <w:color w:val="000000" w:themeColor="text1"/>
                <w:sz w:val="22"/>
                <w:lang w:val="en-US" w:eastAsia="zh-CN" w:bidi="bn-IN"/>
              </w:rPr>
              <w:t xml:space="preserve">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(2024)</w:t>
            </w:r>
          </w:p>
        </w:tc>
        <w:tc>
          <w:tcPr>
            <w:tcW w:w="966" w:type="dxa"/>
            <w:noWrap/>
            <w:vAlign w:val="center"/>
            <w:hideMark/>
          </w:tcPr>
          <w:p w14:paraId="4A70606B"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542FB393"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508EBE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024F3DDD"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3504F03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97F8EC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4D942B66"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4CAC51EF"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403DA4E" w14:textId="29905EE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Seixas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(2015)</w:t>
            </w:r>
          </w:p>
        </w:tc>
        <w:tc>
          <w:tcPr>
            <w:tcW w:w="966" w:type="dxa"/>
            <w:noWrap/>
            <w:vAlign w:val="center"/>
            <w:hideMark/>
          </w:tcPr>
          <w:p w14:paraId="22DAA3F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38D165C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43AEA8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7343DEF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0DCE4E41"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E9CCBE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204686C1"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31DB32FB"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9D02408" w14:textId="77777777"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t>Sisani</w:t>
            </w:r>
            <w:proofErr w:type="spellEnd"/>
            <w:r w:rsidRPr="00A01166">
              <w:rPr>
                <w:rFonts w:eastAsia="Times New Roman"/>
                <w:b w:val="0"/>
                <w:bCs w:val="0"/>
                <w:color w:val="000000" w:themeColor="text1"/>
                <w:sz w:val="22"/>
                <w:lang w:val="en-US" w:eastAsia="zh-CN" w:bidi="bn-IN"/>
              </w:rPr>
              <w:t>, Di Maria &amp; Cesari (2022)</w:t>
            </w:r>
          </w:p>
        </w:tc>
        <w:tc>
          <w:tcPr>
            <w:tcW w:w="966" w:type="dxa"/>
            <w:noWrap/>
            <w:vAlign w:val="center"/>
            <w:hideMark/>
          </w:tcPr>
          <w:p w14:paraId="1102F118"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38E7E35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3083361"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CA7D65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2DD7D4F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4C115155"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4F6A08AA"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69236BB5"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413F9D20"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Sun &amp; Ju (2023)</w:t>
            </w:r>
          </w:p>
        </w:tc>
        <w:tc>
          <w:tcPr>
            <w:tcW w:w="966" w:type="dxa"/>
            <w:noWrap/>
            <w:vAlign w:val="center"/>
            <w:hideMark/>
          </w:tcPr>
          <w:p w14:paraId="407BBB94"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5D7E64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26A9C62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A246F68"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42D2D86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2DC599CD"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10AA1CE6"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7AFB66F0"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EE7FBE3"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Thorat, Kumar &amp; Sandhu (2024)</w:t>
            </w:r>
          </w:p>
        </w:tc>
        <w:tc>
          <w:tcPr>
            <w:tcW w:w="966" w:type="dxa"/>
            <w:noWrap/>
            <w:vAlign w:val="center"/>
            <w:hideMark/>
          </w:tcPr>
          <w:p w14:paraId="74B6F3F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9BAA6B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789AC61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4AD899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708432C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1A9DF795"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92FD497"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0B2E5BD0"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9A90D56" w14:textId="604AD33A" w:rsidR="00A01166" w:rsidRPr="00A01166" w:rsidRDefault="00A01166" w:rsidP="00A01166">
            <w:pPr>
              <w:jc w:val="left"/>
              <w:rPr>
                <w:rFonts w:eastAsia="Times New Roman"/>
                <w:b w:val="0"/>
                <w:bCs w:val="0"/>
                <w:color w:val="000000" w:themeColor="text1"/>
                <w:sz w:val="22"/>
                <w:lang w:val="en-US" w:eastAsia="zh-CN" w:bidi="bn-IN"/>
              </w:rPr>
            </w:pPr>
            <w:proofErr w:type="spellStart"/>
            <w:r w:rsidRPr="00A01166">
              <w:rPr>
                <w:rFonts w:eastAsia="Times New Roman"/>
                <w:b w:val="0"/>
                <w:bCs w:val="0"/>
                <w:color w:val="000000" w:themeColor="text1"/>
                <w:sz w:val="22"/>
                <w:lang w:val="en-US" w:eastAsia="zh-CN" w:bidi="bn-IN"/>
              </w:rPr>
              <w:lastRenderedPageBreak/>
              <w:t>Tillu</w:t>
            </w:r>
            <w:proofErr w:type="spellEnd"/>
            <w:r w:rsidRPr="00A01166">
              <w:rPr>
                <w:rFonts w:eastAsia="Times New Roman"/>
                <w:b w:val="0"/>
                <w:bCs w:val="0"/>
                <w:color w:val="000000" w:themeColor="text1"/>
                <w:sz w:val="22"/>
                <w:lang w:val="en-US" w:eastAsia="zh-CN" w:bidi="bn-IN"/>
              </w:rPr>
              <w:t xml:space="preserve">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(2024)</w:t>
            </w:r>
          </w:p>
        </w:tc>
        <w:tc>
          <w:tcPr>
            <w:tcW w:w="966" w:type="dxa"/>
            <w:noWrap/>
            <w:vAlign w:val="center"/>
            <w:hideMark/>
          </w:tcPr>
          <w:p w14:paraId="0571515F"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74B54A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FFC15F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14E26EA8"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4DBBEE09"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DA7A24A"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309D49C"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1C202CB7"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0C84E6B3" w14:textId="6A3C26DB"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Veza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(2023)</w:t>
            </w:r>
          </w:p>
        </w:tc>
        <w:tc>
          <w:tcPr>
            <w:tcW w:w="966" w:type="dxa"/>
            <w:noWrap/>
            <w:vAlign w:val="center"/>
            <w:hideMark/>
          </w:tcPr>
          <w:p w14:paraId="619313F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2724B7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5C4FDEC"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014E38B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30E20F6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6B76D81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494CA343"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0C51D163"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9602720" w14:textId="72CF3100"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Vijaya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(2024)</w:t>
            </w:r>
          </w:p>
        </w:tc>
        <w:tc>
          <w:tcPr>
            <w:tcW w:w="966" w:type="dxa"/>
            <w:noWrap/>
            <w:vAlign w:val="center"/>
            <w:hideMark/>
          </w:tcPr>
          <w:p w14:paraId="18C9A469"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0AB502F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D3EDD99"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4FC80EB2"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48E8B3E1"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2249AA3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7F12B90B"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5DA4FECE"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39DA7624" w14:textId="07043D16"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Yu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(2025)</w:t>
            </w:r>
          </w:p>
        </w:tc>
        <w:tc>
          <w:tcPr>
            <w:tcW w:w="966" w:type="dxa"/>
            <w:noWrap/>
            <w:vAlign w:val="center"/>
            <w:hideMark/>
          </w:tcPr>
          <w:p w14:paraId="0CF31F3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6025108"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01EB9300"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45731A7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6BCB8BF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7AC67FA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2C1C8848"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09ED0485"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DD01E13" w14:textId="78DFD5D6"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 xml:space="preserve">Zeng </w:t>
            </w:r>
            <w:r w:rsidR="00642FAE" w:rsidRPr="00642FAE">
              <w:rPr>
                <w:rFonts w:eastAsia="Times New Roman"/>
                <w:b w:val="0"/>
                <w:bCs w:val="0"/>
                <w:i/>
                <w:iCs/>
                <w:color w:val="000000" w:themeColor="text1"/>
                <w:sz w:val="22"/>
                <w:lang w:val="en-US" w:eastAsia="zh-CN" w:bidi="bn-IN"/>
              </w:rPr>
              <w:t>et al</w:t>
            </w:r>
            <w:r w:rsidRPr="00A01166">
              <w:rPr>
                <w:rFonts w:eastAsia="Times New Roman"/>
                <w:b w:val="0"/>
                <w:bCs w:val="0"/>
                <w:color w:val="000000" w:themeColor="text1"/>
                <w:sz w:val="22"/>
                <w:lang w:val="en-US" w:eastAsia="zh-CN" w:bidi="bn-IN"/>
              </w:rPr>
              <w:t>. (2020)</w:t>
            </w:r>
          </w:p>
        </w:tc>
        <w:tc>
          <w:tcPr>
            <w:tcW w:w="966" w:type="dxa"/>
            <w:noWrap/>
            <w:vAlign w:val="center"/>
            <w:hideMark/>
          </w:tcPr>
          <w:p w14:paraId="541E6E5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2E7B8BE5"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54B2A1F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63FB548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3BE748F7"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32E6F7DC"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1BF7B60"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3910768B"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64D31258"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Zhao (2025)</w:t>
            </w:r>
          </w:p>
        </w:tc>
        <w:tc>
          <w:tcPr>
            <w:tcW w:w="966" w:type="dxa"/>
            <w:noWrap/>
            <w:vAlign w:val="center"/>
            <w:hideMark/>
          </w:tcPr>
          <w:p w14:paraId="1073A45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3F75814A"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19EDD73E"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4671374"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No</w:t>
            </w:r>
          </w:p>
        </w:tc>
        <w:tc>
          <w:tcPr>
            <w:tcW w:w="1316" w:type="dxa"/>
            <w:noWrap/>
            <w:vAlign w:val="center"/>
            <w:hideMark/>
          </w:tcPr>
          <w:p w14:paraId="1162303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7EE191F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2EA98999"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Medium</w:t>
            </w:r>
          </w:p>
        </w:tc>
      </w:tr>
      <w:tr w:rsidR="00A01166" w:rsidRPr="00A01166" w14:paraId="6422A1F5" w14:textId="77777777" w:rsidTr="00B83B3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47A082AB"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Zhao, Han, Zhou &amp; Xia (2025)</w:t>
            </w:r>
          </w:p>
        </w:tc>
        <w:tc>
          <w:tcPr>
            <w:tcW w:w="966" w:type="dxa"/>
            <w:noWrap/>
            <w:vAlign w:val="center"/>
            <w:hideMark/>
          </w:tcPr>
          <w:p w14:paraId="73C1C198"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6B2CDE8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3360BF2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2190F463"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50FC3190"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7606329B" w14:textId="77777777" w:rsidR="00A01166" w:rsidRPr="00A01166" w:rsidRDefault="00A01166" w:rsidP="00A0116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66D06795" w14:textId="77777777" w:rsidR="00A01166" w:rsidRPr="00A01166" w:rsidRDefault="00A01166" w:rsidP="00B83B3F">
            <w:pPr>
              <w:jc w:val="left"/>
              <w:cnfStyle w:val="000000100000" w:firstRow="0" w:lastRow="0" w:firstColumn="0" w:lastColumn="0" w:oddVBand="0" w:evenVBand="0" w:oddHBand="1"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r w:rsidR="00A01166" w:rsidRPr="00A01166" w14:paraId="71861ED1" w14:textId="77777777" w:rsidTr="00B83B3F">
        <w:trPr>
          <w:trHeight w:val="288"/>
        </w:trPr>
        <w:tc>
          <w:tcPr>
            <w:cnfStyle w:val="001000000000" w:firstRow="0" w:lastRow="0" w:firstColumn="1" w:lastColumn="0" w:oddVBand="0" w:evenVBand="0" w:oddHBand="0" w:evenHBand="0" w:firstRowFirstColumn="0" w:firstRowLastColumn="0" w:lastRowFirstColumn="0" w:lastRowLastColumn="0"/>
            <w:tcW w:w="2875" w:type="dxa"/>
            <w:noWrap/>
            <w:vAlign w:val="center"/>
            <w:hideMark/>
          </w:tcPr>
          <w:p w14:paraId="1FAC2440" w14:textId="77777777" w:rsidR="00A01166" w:rsidRPr="00A01166" w:rsidRDefault="00A01166" w:rsidP="00A01166">
            <w:pPr>
              <w:jc w:val="left"/>
              <w:rPr>
                <w:rFonts w:eastAsia="Times New Roman"/>
                <w:b w:val="0"/>
                <w:bCs w:val="0"/>
                <w:color w:val="000000" w:themeColor="text1"/>
                <w:sz w:val="22"/>
                <w:lang w:val="en-US" w:eastAsia="zh-CN" w:bidi="bn-IN"/>
              </w:rPr>
            </w:pPr>
            <w:r w:rsidRPr="00A01166">
              <w:rPr>
                <w:rFonts w:eastAsia="Times New Roman"/>
                <w:b w:val="0"/>
                <w:bCs w:val="0"/>
                <w:color w:val="000000" w:themeColor="text1"/>
                <w:sz w:val="22"/>
                <w:lang w:val="en-US" w:eastAsia="zh-CN" w:bidi="bn-IN"/>
              </w:rPr>
              <w:t>Zhao, Zhang &amp; Li (2024)</w:t>
            </w:r>
          </w:p>
        </w:tc>
        <w:tc>
          <w:tcPr>
            <w:tcW w:w="966" w:type="dxa"/>
            <w:noWrap/>
            <w:vAlign w:val="center"/>
            <w:hideMark/>
          </w:tcPr>
          <w:p w14:paraId="29F76279"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720" w:type="dxa"/>
            <w:noWrap/>
            <w:vAlign w:val="center"/>
            <w:hideMark/>
          </w:tcPr>
          <w:p w14:paraId="128990C7"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016" w:type="dxa"/>
            <w:noWrap/>
            <w:vAlign w:val="center"/>
            <w:hideMark/>
          </w:tcPr>
          <w:p w14:paraId="4283ED72"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2448" w:type="dxa"/>
            <w:noWrap/>
            <w:vAlign w:val="center"/>
            <w:hideMark/>
          </w:tcPr>
          <w:p w14:paraId="5A390F5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316" w:type="dxa"/>
            <w:noWrap/>
            <w:vAlign w:val="center"/>
            <w:hideMark/>
          </w:tcPr>
          <w:p w14:paraId="5A0F8AFF"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1415" w:type="dxa"/>
            <w:noWrap/>
            <w:vAlign w:val="center"/>
            <w:hideMark/>
          </w:tcPr>
          <w:p w14:paraId="21545086" w14:textId="77777777" w:rsidR="00A01166" w:rsidRPr="00A01166" w:rsidRDefault="00A01166" w:rsidP="00A0116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Yes</w:t>
            </w:r>
          </w:p>
        </w:tc>
        <w:tc>
          <w:tcPr>
            <w:tcW w:w="999" w:type="dxa"/>
            <w:noWrap/>
            <w:vAlign w:val="center"/>
            <w:hideMark/>
          </w:tcPr>
          <w:p w14:paraId="3AA1F022" w14:textId="77777777" w:rsidR="00A01166" w:rsidRPr="00A01166" w:rsidRDefault="00A01166" w:rsidP="00B83B3F">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themeColor="text1"/>
                <w:sz w:val="22"/>
                <w:lang w:val="en-US" w:eastAsia="zh-CN" w:bidi="bn-IN"/>
              </w:rPr>
            </w:pPr>
            <w:r w:rsidRPr="00A01166">
              <w:rPr>
                <w:rFonts w:eastAsia="Times New Roman"/>
                <w:color w:val="000000" w:themeColor="text1"/>
                <w:sz w:val="22"/>
                <w:lang w:val="en-US" w:eastAsia="zh-CN" w:bidi="bn-IN"/>
              </w:rPr>
              <w:t>High</w:t>
            </w:r>
          </w:p>
        </w:tc>
      </w:tr>
    </w:tbl>
    <w:p w14:paraId="3CE5C74D" w14:textId="77777777" w:rsidR="00A01166" w:rsidRPr="00864307" w:rsidRDefault="00A01166" w:rsidP="00864307">
      <w:pPr>
        <w:rPr>
          <w:lang w:val="en-US" w:eastAsia="zh-CN" w:bidi="bn-IN"/>
        </w:rPr>
      </w:pPr>
    </w:p>
    <w:sectPr w:rsidR="00A01166" w:rsidRPr="00864307" w:rsidSect="00864307">
      <w:pgSz w:w="16838" w:h="11906" w:orient="landscape"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2F08A" w14:textId="77777777" w:rsidR="001618AF" w:rsidRDefault="001618AF" w:rsidP="00177CC9">
      <w:pPr>
        <w:spacing w:after="0" w:line="240" w:lineRule="auto"/>
      </w:pPr>
      <w:r>
        <w:separator/>
      </w:r>
    </w:p>
  </w:endnote>
  <w:endnote w:type="continuationSeparator" w:id="0">
    <w:p w14:paraId="118778DD" w14:textId="77777777" w:rsidR="001618AF" w:rsidRDefault="001618AF" w:rsidP="00177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7608753"/>
      <w:docPartObj>
        <w:docPartGallery w:val="Page Numbers (Bottom of Page)"/>
        <w:docPartUnique/>
      </w:docPartObj>
    </w:sdtPr>
    <w:sdtEndPr>
      <w:rPr>
        <w:noProof/>
      </w:rPr>
    </w:sdtEndPr>
    <w:sdtContent>
      <w:p w14:paraId="4C98A0DB" w14:textId="3D76251F" w:rsidR="008C5097" w:rsidRDefault="008C50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21E42" w14:textId="77777777" w:rsidR="008C5097" w:rsidRDefault="008C50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023236"/>
      <w:docPartObj>
        <w:docPartGallery w:val="Page Numbers (Bottom of Page)"/>
        <w:docPartUnique/>
      </w:docPartObj>
    </w:sdtPr>
    <w:sdtEndPr>
      <w:rPr>
        <w:noProof/>
      </w:rPr>
    </w:sdtEndPr>
    <w:sdtContent>
      <w:p w14:paraId="3C40D14A" w14:textId="58705E6C" w:rsidR="00864307" w:rsidRDefault="008643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5424E" w14:textId="77777777" w:rsidR="00864307" w:rsidRDefault="00864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749D7" w14:textId="77777777" w:rsidR="001618AF" w:rsidRDefault="001618AF" w:rsidP="00177CC9">
      <w:pPr>
        <w:spacing w:after="0" w:line="240" w:lineRule="auto"/>
      </w:pPr>
      <w:r>
        <w:separator/>
      </w:r>
    </w:p>
  </w:footnote>
  <w:footnote w:type="continuationSeparator" w:id="0">
    <w:p w14:paraId="7E43C53E" w14:textId="77777777" w:rsidR="001618AF" w:rsidRDefault="001618AF" w:rsidP="00177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F3D86"/>
    <w:multiLevelType w:val="hybridMultilevel"/>
    <w:tmpl w:val="A35C7D1E"/>
    <w:lvl w:ilvl="0" w:tplc="0409001B">
      <w:start w:val="1"/>
      <w:numFmt w:val="lowerRoman"/>
      <w:lvlText w:val="%1."/>
      <w:lvlJc w:val="righ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06BC10FF"/>
    <w:multiLevelType w:val="hybridMultilevel"/>
    <w:tmpl w:val="2B468D3E"/>
    <w:lvl w:ilvl="0" w:tplc="0409001B">
      <w:start w:val="1"/>
      <w:numFmt w:val="lowerRoman"/>
      <w:lvlText w:val="%1."/>
      <w:lvlJc w:val="right"/>
      <w:pPr>
        <w:ind w:left="1152" w:hanging="360"/>
      </w:pPr>
    </w:lvl>
    <w:lvl w:ilvl="1" w:tplc="FFFFFFFF">
      <w:start w:val="1"/>
      <w:numFmt w:val="bullet"/>
      <w:lvlText w:val="o"/>
      <w:lvlJc w:val="left"/>
      <w:pPr>
        <w:ind w:left="1872" w:hanging="360"/>
      </w:pPr>
      <w:rPr>
        <w:rFonts w:ascii="Courier New" w:hAnsi="Courier New" w:cs="Courier New" w:hint="default"/>
      </w:rPr>
    </w:lvl>
    <w:lvl w:ilvl="2" w:tplc="FFFFFFFF">
      <w:start w:val="1"/>
      <w:numFmt w:val="bullet"/>
      <w:lvlText w:val=""/>
      <w:lvlJc w:val="left"/>
      <w:pPr>
        <w:ind w:left="2592" w:hanging="360"/>
      </w:pPr>
      <w:rPr>
        <w:rFonts w:ascii="Wingdings" w:hAnsi="Wingdings" w:hint="default"/>
      </w:rPr>
    </w:lvl>
    <w:lvl w:ilvl="3" w:tplc="FFFFFFFF">
      <w:start w:val="1"/>
      <w:numFmt w:val="bullet"/>
      <w:lvlText w:val=""/>
      <w:lvlJc w:val="left"/>
      <w:pPr>
        <w:ind w:left="3312" w:hanging="360"/>
      </w:pPr>
      <w:rPr>
        <w:rFonts w:ascii="Symbol" w:hAnsi="Symbol" w:hint="default"/>
      </w:rPr>
    </w:lvl>
    <w:lvl w:ilvl="4" w:tplc="FFFFFFFF">
      <w:start w:val="1"/>
      <w:numFmt w:val="bullet"/>
      <w:lvlText w:val="o"/>
      <w:lvlJc w:val="left"/>
      <w:pPr>
        <w:ind w:left="4032" w:hanging="360"/>
      </w:pPr>
      <w:rPr>
        <w:rFonts w:ascii="Courier New" w:hAnsi="Courier New" w:cs="Courier New" w:hint="default"/>
      </w:rPr>
    </w:lvl>
    <w:lvl w:ilvl="5" w:tplc="FFFFFFFF">
      <w:start w:val="1"/>
      <w:numFmt w:val="bullet"/>
      <w:lvlText w:val=""/>
      <w:lvlJc w:val="left"/>
      <w:pPr>
        <w:ind w:left="4752" w:hanging="360"/>
      </w:pPr>
      <w:rPr>
        <w:rFonts w:ascii="Wingdings" w:hAnsi="Wingdings" w:hint="default"/>
      </w:rPr>
    </w:lvl>
    <w:lvl w:ilvl="6" w:tplc="FFFFFFFF">
      <w:start w:val="1"/>
      <w:numFmt w:val="bullet"/>
      <w:lvlText w:val=""/>
      <w:lvlJc w:val="left"/>
      <w:pPr>
        <w:ind w:left="5472" w:hanging="360"/>
      </w:pPr>
      <w:rPr>
        <w:rFonts w:ascii="Symbol" w:hAnsi="Symbol" w:hint="default"/>
      </w:rPr>
    </w:lvl>
    <w:lvl w:ilvl="7" w:tplc="FFFFFFFF">
      <w:start w:val="1"/>
      <w:numFmt w:val="bullet"/>
      <w:lvlText w:val="o"/>
      <w:lvlJc w:val="left"/>
      <w:pPr>
        <w:ind w:left="6192" w:hanging="360"/>
      </w:pPr>
      <w:rPr>
        <w:rFonts w:ascii="Courier New" w:hAnsi="Courier New" w:cs="Courier New" w:hint="default"/>
      </w:rPr>
    </w:lvl>
    <w:lvl w:ilvl="8" w:tplc="FFFFFFFF">
      <w:start w:val="1"/>
      <w:numFmt w:val="bullet"/>
      <w:lvlText w:val=""/>
      <w:lvlJc w:val="left"/>
      <w:pPr>
        <w:ind w:left="6912" w:hanging="360"/>
      </w:pPr>
      <w:rPr>
        <w:rFonts w:ascii="Wingdings" w:hAnsi="Wingdings" w:hint="default"/>
      </w:rPr>
    </w:lvl>
  </w:abstractNum>
  <w:abstractNum w:abstractNumId="2" w15:restartNumberingAfterBreak="0">
    <w:nsid w:val="078E00C0"/>
    <w:multiLevelType w:val="hybridMultilevel"/>
    <w:tmpl w:val="ED404D92"/>
    <w:lvl w:ilvl="0" w:tplc="A7A03B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2775B"/>
    <w:multiLevelType w:val="multilevel"/>
    <w:tmpl w:val="F1A28A74"/>
    <w:lvl w:ilvl="0">
      <w:start w:val="1"/>
      <w:numFmt w:val="decimal"/>
      <w:pStyle w:val="Heading1"/>
      <w:lvlText w:val="%1"/>
      <w:lvlJc w:val="left"/>
      <w:pPr>
        <w:ind w:left="432" w:hanging="432"/>
      </w:pPr>
      <w:rPr>
        <w:color w:val="FFFFFF" w:themeColor="background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092F14"/>
    <w:multiLevelType w:val="multilevel"/>
    <w:tmpl w:val="A38E1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A875F4"/>
    <w:multiLevelType w:val="hybridMultilevel"/>
    <w:tmpl w:val="A162D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1A3DDA"/>
    <w:multiLevelType w:val="hybridMultilevel"/>
    <w:tmpl w:val="35D6B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0C1FAA"/>
    <w:multiLevelType w:val="hybridMultilevel"/>
    <w:tmpl w:val="B0F077C8"/>
    <w:lvl w:ilvl="0" w:tplc="0409000F">
      <w:start w:val="1"/>
      <w:numFmt w:val="decimal"/>
      <w:lvlText w:val="%1."/>
      <w:lvlJc w:val="left"/>
      <w:pPr>
        <w:ind w:left="1152" w:hanging="360"/>
      </w:pPr>
    </w:lvl>
    <w:lvl w:ilvl="1" w:tplc="FFFFFFFF">
      <w:start w:val="1"/>
      <w:numFmt w:val="bullet"/>
      <w:lvlText w:val="o"/>
      <w:lvlJc w:val="left"/>
      <w:pPr>
        <w:ind w:left="1872" w:hanging="360"/>
      </w:pPr>
      <w:rPr>
        <w:rFonts w:ascii="Courier New" w:hAnsi="Courier New" w:cs="Courier New" w:hint="default"/>
      </w:rPr>
    </w:lvl>
    <w:lvl w:ilvl="2" w:tplc="FFFFFFFF">
      <w:start w:val="1"/>
      <w:numFmt w:val="bullet"/>
      <w:lvlText w:val=""/>
      <w:lvlJc w:val="left"/>
      <w:pPr>
        <w:ind w:left="2592" w:hanging="360"/>
      </w:pPr>
      <w:rPr>
        <w:rFonts w:ascii="Wingdings" w:hAnsi="Wingdings" w:hint="default"/>
      </w:rPr>
    </w:lvl>
    <w:lvl w:ilvl="3" w:tplc="FFFFFFFF">
      <w:start w:val="1"/>
      <w:numFmt w:val="bullet"/>
      <w:lvlText w:val=""/>
      <w:lvlJc w:val="left"/>
      <w:pPr>
        <w:ind w:left="3312" w:hanging="360"/>
      </w:pPr>
      <w:rPr>
        <w:rFonts w:ascii="Symbol" w:hAnsi="Symbol" w:hint="default"/>
      </w:rPr>
    </w:lvl>
    <w:lvl w:ilvl="4" w:tplc="FFFFFFFF">
      <w:start w:val="1"/>
      <w:numFmt w:val="bullet"/>
      <w:lvlText w:val="o"/>
      <w:lvlJc w:val="left"/>
      <w:pPr>
        <w:ind w:left="4032" w:hanging="360"/>
      </w:pPr>
      <w:rPr>
        <w:rFonts w:ascii="Courier New" w:hAnsi="Courier New" w:cs="Courier New" w:hint="default"/>
      </w:rPr>
    </w:lvl>
    <w:lvl w:ilvl="5" w:tplc="FFFFFFFF">
      <w:start w:val="1"/>
      <w:numFmt w:val="bullet"/>
      <w:lvlText w:val=""/>
      <w:lvlJc w:val="left"/>
      <w:pPr>
        <w:ind w:left="4752" w:hanging="360"/>
      </w:pPr>
      <w:rPr>
        <w:rFonts w:ascii="Wingdings" w:hAnsi="Wingdings" w:hint="default"/>
      </w:rPr>
    </w:lvl>
    <w:lvl w:ilvl="6" w:tplc="FFFFFFFF">
      <w:start w:val="1"/>
      <w:numFmt w:val="bullet"/>
      <w:lvlText w:val=""/>
      <w:lvlJc w:val="left"/>
      <w:pPr>
        <w:ind w:left="5472" w:hanging="360"/>
      </w:pPr>
      <w:rPr>
        <w:rFonts w:ascii="Symbol" w:hAnsi="Symbol" w:hint="default"/>
      </w:rPr>
    </w:lvl>
    <w:lvl w:ilvl="7" w:tplc="FFFFFFFF">
      <w:start w:val="1"/>
      <w:numFmt w:val="bullet"/>
      <w:lvlText w:val="o"/>
      <w:lvlJc w:val="left"/>
      <w:pPr>
        <w:ind w:left="6192" w:hanging="360"/>
      </w:pPr>
      <w:rPr>
        <w:rFonts w:ascii="Courier New" w:hAnsi="Courier New" w:cs="Courier New" w:hint="default"/>
      </w:rPr>
    </w:lvl>
    <w:lvl w:ilvl="8" w:tplc="FFFFFFFF">
      <w:start w:val="1"/>
      <w:numFmt w:val="bullet"/>
      <w:lvlText w:val=""/>
      <w:lvlJc w:val="left"/>
      <w:pPr>
        <w:ind w:left="6912" w:hanging="360"/>
      </w:pPr>
      <w:rPr>
        <w:rFonts w:ascii="Wingdings" w:hAnsi="Wingdings" w:hint="default"/>
      </w:rPr>
    </w:lvl>
  </w:abstractNum>
  <w:abstractNum w:abstractNumId="10" w15:restartNumberingAfterBreak="0">
    <w:nsid w:val="6C7E5C44"/>
    <w:multiLevelType w:val="multilevel"/>
    <w:tmpl w:val="ABDC8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B534BA"/>
    <w:multiLevelType w:val="hybridMultilevel"/>
    <w:tmpl w:val="0CF6AAC4"/>
    <w:lvl w:ilvl="0" w:tplc="0409000F">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563174743">
    <w:abstractNumId w:val="2"/>
  </w:num>
  <w:num w:numId="2" w16cid:durableId="1814640174">
    <w:abstractNumId w:val="5"/>
  </w:num>
  <w:num w:numId="3" w16cid:durableId="1484155584">
    <w:abstractNumId w:val="4"/>
  </w:num>
  <w:num w:numId="4" w16cid:durableId="1237128198">
    <w:abstractNumId w:val="8"/>
  </w:num>
  <w:num w:numId="5" w16cid:durableId="1871068900">
    <w:abstractNumId w:val="3"/>
  </w:num>
  <w:num w:numId="6" w16cid:durableId="1959723349">
    <w:abstractNumId w:val="3"/>
  </w:num>
  <w:num w:numId="7" w16cid:durableId="1457990053">
    <w:abstractNumId w:val="3"/>
  </w:num>
  <w:num w:numId="8" w16cid:durableId="1520967555">
    <w:abstractNumId w:val="3"/>
  </w:num>
  <w:num w:numId="9" w16cid:durableId="174811159">
    <w:abstractNumId w:val="3"/>
  </w:num>
  <w:num w:numId="10" w16cid:durableId="2030988137">
    <w:abstractNumId w:val="3"/>
  </w:num>
  <w:num w:numId="11" w16cid:durableId="2082284854">
    <w:abstractNumId w:val="3"/>
  </w:num>
  <w:num w:numId="12" w16cid:durableId="971785175">
    <w:abstractNumId w:val="3"/>
  </w:num>
  <w:num w:numId="13" w16cid:durableId="1270505543">
    <w:abstractNumId w:val="3"/>
  </w:num>
  <w:num w:numId="14" w16cid:durableId="1748116825">
    <w:abstractNumId w:val="3"/>
  </w:num>
  <w:num w:numId="15" w16cid:durableId="1339892382">
    <w:abstractNumId w:val="9"/>
    <w:lvlOverride w:ilvl="0">
      <w:startOverride w:val="1"/>
    </w:lvlOverride>
    <w:lvlOverride w:ilvl="1"/>
    <w:lvlOverride w:ilvl="2"/>
    <w:lvlOverride w:ilvl="3"/>
    <w:lvlOverride w:ilvl="4"/>
    <w:lvlOverride w:ilvl="5"/>
    <w:lvlOverride w:ilvl="6"/>
    <w:lvlOverride w:ilvl="7"/>
    <w:lvlOverride w:ilvl="8"/>
  </w:num>
  <w:num w:numId="16" w16cid:durableId="76311205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232234372">
    <w:abstractNumId w:val="9"/>
  </w:num>
  <w:num w:numId="18" w16cid:durableId="1949963556">
    <w:abstractNumId w:val="11"/>
  </w:num>
  <w:num w:numId="19" w16cid:durableId="1857033715">
    <w:abstractNumId w:val="0"/>
  </w:num>
  <w:num w:numId="20" w16cid:durableId="841041537">
    <w:abstractNumId w:val="1"/>
  </w:num>
  <w:num w:numId="21" w16cid:durableId="1145656680">
    <w:abstractNumId w:val="7"/>
  </w:num>
  <w:num w:numId="22" w16cid:durableId="1299336773">
    <w:abstractNumId w:val="10"/>
  </w:num>
  <w:num w:numId="23" w16cid:durableId="4346401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EB6"/>
    <w:rsid w:val="00006562"/>
    <w:rsid w:val="0000695C"/>
    <w:rsid w:val="00023C1D"/>
    <w:rsid w:val="000245C4"/>
    <w:rsid w:val="00025DE6"/>
    <w:rsid w:val="00026AA8"/>
    <w:rsid w:val="000327D9"/>
    <w:rsid w:val="000336AF"/>
    <w:rsid w:val="00044EBD"/>
    <w:rsid w:val="00045FFD"/>
    <w:rsid w:val="0005635E"/>
    <w:rsid w:val="0007105C"/>
    <w:rsid w:val="00073282"/>
    <w:rsid w:val="00075149"/>
    <w:rsid w:val="000934FE"/>
    <w:rsid w:val="000A1170"/>
    <w:rsid w:val="000A55E2"/>
    <w:rsid w:val="000C3A4F"/>
    <w:rsid w:val="000D7BDD"/>
    <w:rsid w:val="000E34B1"/>
    <w:rsid w:val="000E67B0"/>
    <w:rsid w:val="000F7960"/>
    <w:rsid w:val="000F7BA6"/>
    <w:rsid w:val="00110437"/>
    <w:rsid w:val="0011433A"/>
    <w:rsid w:val="00114BA2"/>
    <w:rsid w:val="00116FF3"/>
    <w:rsid w:val="001205E3"/>
    <w:rsid w:val="00123928"/>
    <w:rsid w:val="00124D19"/>
    <w:rsid w:val="001263B3"/>
    <w:rsid w:val="00131052"/>
    <w:rsid w:val="00131195"/>
    <w:rsid w:val="00134673"/>
    <w:rsid w:val="0013528E"/>
    <w:rsid w:val="00136A7C"/>
    <w:rsid w:val="001447EC"/>
    <w:rsid w:val="00144F55"/>
    <w:rsid w:val="00146BF1"/>
    <w:rsid w:val="00150228"/>
    <w:rsid w:val="001552EF"/>
    <w:rsid w:val="001557CE"/>
    <w:rsid w:val="001575A8"/>
    <w:rsid w:val="00160182"/>
    <w:rsid w:val="001618AF"/>
    <w:rsid w:val="00162D5E"/>
    <w:rsid w:val="00173913"/>
    <w:rsid w:val="00173CA7"/>
    <w:rsid w:val="00177CC9"/>
    <w:rsid w:val="001810E8"/>
    <w:rsid w:val="0018464E"/>
    <w:rsid w:val="0018485B"/>
    <w:rsid w:val="0018489B"/>
    <w:rsid w:val="00184F98"/>
    <w:rsid w:val="00190813"/>
    <w:rsid w:val="00196F7D"/>
    <w:rsid w:val="001A2274"/>
    <w:rsid w:val="001B056D"/>
    <w:rsid w:val="001B0F28"/>
    <w:rsid w:val="001B1D02"/>
    <w:rsid w:val="001E4CD8"/>
    <w:rsid w:val="001F7590"/>
    <w:rsid w:val="0020193B"/>
    <w:rsid w:val="00201F8E"/>
    <w:rsid w:val="002033FB"/>
    <w:rsid w:val="00215254"/>
    <w:rsid w:val="00220990"/>
    <w:rsid w:val="00221349"/>
    <w:rsid w:val="00221B94"/>
    <w:rsid w:val="00222CDA"/>
    <w:rsid w:val="002267A7"/>
    <w:rsid w:val="0023531B"/>
    <w:rsid w:val="002417E8"/>
    <w:rsid w:val="00253B08"/>
    <w:rsid w:val="00257E8E"/>
    <w:rsid w:val="00270A2E"/>
    <w:rsid w:val="00274CCD"/>
    <w:rsid w:val="0027595A"/>
    <w:rsid w:val="00281D09"/>
    <w:rsid w:val="00297961"/>
    <w:rsid w:val="002A140E"/>
    <w:rsid w:val="002A2A73"/>
    <w:rsid w:val="002A5B23"/>
    <w:rsid w:val="002A741A"/>
    <w:rsid w:val="002B420F"/>
    <w:rsid w:val="002C44B0"/>
    <w:rsid w:val="002D3337"/>
    <w:rsid w:val="002D4F29"/>
    <w:rsid w:val="002D7DA5"/>
    <w:rsid w:val="002E13D7"/>
    <w:rsid w:val="002E5DC2"/>
    <w:rsid w:val="002E6C92"/>
    <w:rsid w:val="002E7258"/>
    <w:rsid w:val="002F3D87"/>
    <w:rsid w:val="002F65AD"/>
    <w:rsid w:val="002F765A"/>
    <w:rsid w:val="00303EAD"/>
    <w:rsid w:val="00316906"/>
    <w:rsid w:val="00331060"/>
    <w:rsid w:val="00333A4C"/>
    <w:rsid w:val="003344CF"/>
    <w:rsid w:val="003358E7"/>
    <w:rsid w:val="003379CD"/>
    <w:rsid w:val="00346D5C"/>
    <w:rsid w:val="00356DF5"/>
    <w:rsid w:val="0036206F"/>
    <w:rsid w:val="00365D07"/>
    <w:rsid w:val="0036662F"/>
    <w:rsid w:val="00367681"/>
    <w:rsid w:val="00375400"/>
    <w:rsid w:val="00376456"/>
    <w:rsid w:val="00391EB6"/>
    <w:rsid w:val="00392399"/>
    <w:rsid w:val="003945BC"/>
    <w:rsid w:val="00394687"/>
    <w:rsid w:val="003A1846"/>
    <w:rsid w:val="003C08E6"/>
    <w:rsid w:val="003D121E"/>
    <w:rsid w:val="003D367C"/>
    <w:rsid w:val="003E07D0"/>
    <w:rsid w:val="003E52DE"/>
    <w:rsid w:val="003E714E"/>
    <w:rsid w:val="003F2E67"/>
    <w:rsid w:val="00416852"/>
    <w:rsid w:val="00420B3B"/>
    <w:rsid w:val="0042410A"/>
    <w:rsid w:val="00425D9D"/>
    <w:rsid w:val="00427090"/>
    <w:rsid w:val="00430A11"/>
    <w:rsid w:val="00431C43"/>
    <w:rsid w:val="004356A4"/>
    <w:rsid w:val="004434E6"/>
    <w:rsid w:val="004656C4"/>
    <w:rsid w:val="004724F8"/>
    <w:rsid w:val="00481E3B"/>
    <w:rsid w:val="004967D8"/>
    <w:rsid w:val="004A1753"/>
    <w:rsid w:val="004A2B2B"/>
    <w:rsid w:val="004A42C5"/>
    <w:rsid w:val="004B0E8E"/>
    <w:rsid w:val="004B32A2"/>
    <w:rsid w:val="004B38F7"/>
    <w:rsid w:val="004C0955"/>
    <w:rsid w:val="004C26D6"/>
    <w:rsid w:val="004C498E"/>
    <w:rsid w:val="004C4DB6"/>
    <w:rsid w:val="004C5F89"/>
    <w:rsid w:val="004C7E07"/>
    <w:rsid w:val="004D518A"/>
    <w:rsid w:val="004D55B6"/>
    <w:rsid w:val="004E1E89"/>
    <w:rsid w:val="004E1F0F"/>
    <w:rsid w:val="004E2DCA"/>
    <w:rsid w:val="004F1254"/>
    <w:rsid w:val="00505BFF"/>
    <w:rsid w:val="00507E0D"/>
    <w:rsid w:val="005124A1"/>
    <w:rsid w:val="005124F4"/>
    <w:rsid w:val="00515587"/>
    <w:rsid w:val="005413D5"/>
    <w:rsid w:val="00542821"/>
    <w:rsid w:val="00573080"/>
    <w:rsid w:val="00573D28"/>
    <w:rsid w:val="00575EFC"/>
    <w:rsid w:val="00576B56"/>
    <w:rsid w:val="00582568"/>
    <w:rsid w:val="00586DF9"/>
    <w:rsid w:val="00587916"/>
    <w:rsid w:val="005B0BEF"/>
    <w:rsid w:val="005B7853"/>
    <w:rsid w:val="005B7E0A"/>
    <w:rsid w:val="005C5F43"/>
    <w:rsid w:val="005C6A89"/>
    <w:rsid w:val="005C6AAA"/>
    <w:rsid w:val="005C79DD"/>
    <w:rsid w:val="005D2AE4"/>
    <w:rsid w:val="005E358F"/>
    <w:rsid w:val="005E4203"/>
    <w:rsid w:val="005F3D73"/>
    <w:rsid w:val="005F5508"/>
    <w:rsid w:val="00600127"/>
    <w:rsid w:val="0060189B"/>
    <w:rsid w:val="00613033"/>
    <w:rsid w:val="00613767"/>
    <w:rsid w:val="00616036"/>
    <w:rsid w:val="00625F21"/>
    <w:rsid w:val="00632EC9"/>
    <w:rsid w:val="00642FAE"/>
    <w:rsid w:val="00642FB6"/>
    <w:rsid w:val="00644DD1"/>
    <w:rsid w:val="006471DD"/>
    <w:rsid w:val="006514D2"/>
    <w:rsid w:val="006651AC"/>
    <w:rsid w:val="006950FB"/>
    <w:rsid w:val="006B0A27"/>
    <w:rsid w:val="006B3DF2"/>
    <w:rsid w:val="006B3F18"/>
    <w:rsid w:val="006C2E8F"/>
    <w:rsid w:val="006C65F5"/>
    <w:rsid w:val="006F3C1C"/>
    <w:rsid w:val="006F3C8C"/>
    <w:rsid w:val="006F6CEE"/>
    <w:rsid w:val="0070287A"/>
    <w:rsid w:val="00702AB6"/>
    <w:rsid w:val="0071021E"/>
    <w:rsid w:val="00710716"/>
    <w:rsid w:val="007204EC"/>
    <w:rsid w:val="00721358"/>
    <w:rsid w:val="0072303F"/>
    <w:rsid w:val="007344A1"/>
    <w:rsid w:val="0073623E"/>
    <w:rsid w:val="007400C9"/>
    <w:rsid w:val="00750EE3"/>
    <w:rsid w:val="00763434"/>
    <w:rsid w:val="00764D6C"/>
    <w:rsid w:val="00766A16"/>
    <w:rsid w:val="00774DDD"/>
    <w:rsid w:val="00777B7D"/>
    <w:rsid w:val="00783B53"/>
    <w:rsid w:val="00784DDC"/>
    <w:rsid w:val="00786750"/>
    <w:rsid w:val="00787BE5"/>
    <w:rsid w:val="00790A99"/>
    <w:rsid w:val="0079224E"/>
    <w:rsid w:val="007954FE"/>
    <w:rsid w:val="007B1503"/>
    <w:rsid w:val="007C1595"/>
    <w:rsid w:val="007C2BE7"/>
    <w:rsid w:val="007C525D"/>
    <w:rsid w:val="007C5573"/>
    <w:rsid w:val="007C5DD6"/>
    <w:rsid w:val="007E0A19"/>
    <w:rsid w:val="007E43CB"/>
    <w:rsid w:val="007E64DB"/>
    <w:rsid w:val="007F790A"/>
    <w:rsid w:val="008000E0"/>
    <w:rsid w:val="00800F72"/>
    <w:rsid w:val="0080206B"/>
    <w:rsid w:val="00810FAB"/>
    <w:rsid w:val="00817118"/>
    <w:rsid w:val="00825156"/>
    <w:rsid w:val="008269FA"/>
    <w:rsid w:val="00826C4D"/>
    <w:rsid w:val="00833F2A"/>
    <w:rsid w:val="00836D99"/>
    <w:rsid w:val="00842E62"/>
    <w:rsid w:val="0084454D"/>
    <w:rsid w:val="00852E01"/>
    <w:rsid w:val="00853372"/>
    <w:rsid w:val="00864307"/>
    <w:rsid w:val="00864325"/>
    <w:rsid w:val="00865F87"/>
    <w:rsid w:val="008720EE"/>
    <w:rsid w:val="00886CA0"/>
    <w:rsid w:val="00886DBA"/>
    <w:rsid w:val="00895FD5"/>
    <w:rsid w:val="008B6088"/>
    <w:rsid w:val="008B716E"/>
    <w:rsid w:val="008B75B9"/>
    <w:rsid w:val="008B7779"/>
    <w:rsid w:val="008C5097"/>
    <w:rsid w:val="008C6233"/>
    <w:rsid w:val="008E5B2C"/>
    <w:rsid w:val="008F01BE"/>
    <w:rsid w:val="008F1273"/>
    <w:rsid w:val="008F78FC"/>
    <w:rsid w:val="008F7FBF"/>
    <w:rsid w:val="00903D96"/>
    <w:rsid w:val="00903E37"/>
    <w:rsid w:val="00913E1C"/>
    <w:rsid w:val="00917756"/>
    <w:rsid w:val="00917E8A"/>
    <w:rsid w:val="00920740"/>
    <w:rsid w:val="00921E6C"/>
    <w:rsid w:val="00924AC3"/>
    <w:rsid w:val="009314FB"/>
    <w:rsid w:val="0093397D"/>
    <w:rsid w:val="00934FB7"/>
    <w:rsid w:val="00935F51"/>
    <w:rsid w:val="009400C6"/>
    <w:rsid w:val="009437CA"/>
    <w:rsid w:val="00945344"/>
    <w:rsid w:val="00953689"/>
    <w:rsid w:val="00957D2C"/>
    <w:rsid w:val="00972F0F"/>
    <w:rsid w:val="0097548D"/>
    <w:rsid w:val="00981A13"/>
    <w:rsid w:val="00983A75"/>
    <w:rsid w:val="009865E1"/>
    <w:rsid w:val="00990C76"/>
    <w:rsid w:val="00991B44"/>
    <w:rsid w:val="009A01FF"/>
    <w:rsid w:val="009A3886"/>
    <w:rsid w:val="009B0640"/>
    <w:rsid w:val="009B22E1"/>
    <w:rsid w:val="009B2427"/>
    <w:rsid w:val="009B28C1"/>
    <w:rsid w:val="009C3E60"/>
    <w:rsid w:val="009D14F8"/>
    <w:rsid w:val="009D3348"/>
    <w:rsid w:val="009D347F"/>
    <w:rsid w:val="009E302C"/>
    <w:rsid w:val="009E6AA3"/>
    <w:rsid w:val="009F474D"/>
    <w:rsid w:val="00A01166"/>
    <w:rsid w:val="00A0131F"/>
    <w:rsid w:val="00A06D84"/>
    <w:rsid w:val="00A135B1"/>
    <w:rsid w:val="00A15DA7"/>
    <w:rsid w:val="00A248A7"/>
    <w:rsid w:val="00A31AA9"/>
    <w:rsid w:val="00A361D7"/>
    <w:rsid w:val="00A36771"/>
    <w:rsid w:val="00A40718"/>
    <w:rsid w:val="00A57D1B"/>
    <w:rsid w:val="00A85E77"/>
    <w:rsid w:val="00A90D95"/>
    <w:rsid w:val="00A93049"/>
    <w:rsid w:val="00A94E97"/>
    <w:rsid w:val="00AA4D7F"/>
    <w:rsid w:val="00AA53DC"/>
    <w:rsid w:val="00AA5CDC"/>
    <w:rsid w:val="00AB1546"/>
    <w:rsid w:val="00AD7BAC"/>
    <w:rsid w:val="00AE5923"/>
    <w:rsid w:val="00AF097C"/>
    <w:rsid w:val="00AF2194"/>
    <w:rsid w:val="00AF27AD"/>
    <w:rsid w:val="00AF32C6"/>
    <w:rsid w:val="00B02494"/>
    <w:rsid w:val="00B069E4"/>
    <w:rsid w:val="00B14817"/>
    <w:rsid w:val="00B15BE6"/>
    <w:rsid w:val="00B20E80"/>
    <w:rsid w:val="00B267C5"/>
    <w:rsid w:val="00B3099C"/>
    <w:rsid w:val="00B36A79"/>
    <w:rsid w:val="00B37A65"/>
    <w:rsid w:val="00B40521"/>
    <w:rsid w:val="00B43AF1"/>
    <w:rsid w:val="00B4409F"/>
    <w:rsid w:val="00B45F51"/>
    <w:rsid w:val="00B46FF9"/>
    <w:rsid w:val="00B50265"/>
    <w:rsid w:val="00B55361"/>
    <w:rsid w:val="00B564FB"/>
    <w:rsid w:val="00B67FB8"/>
    <w:rsid w:val="00B716BD"/>
    <w:rsid w:val="00B83B3F"/>
    <w:rsid w:val="00B84E2B"/>
    <w:rsid w:val="00B85D20"/>
    <w:rsid w:val="00B8670E"/>
    <w:rsid w:val="00B87834"/>
    <w:rsid w:val="00B9447F"/>
    <w:rsid w:val="00B95016"/>
    <w:rsid w:val="00B95693"/>
    <w:rsid w:val="00BA23F4"/>
    <w:rsid w:val="00BA2416"/>
    <w:rsid w:val="00BA25E8"/>
    <w:rsid w:val="00BA79C7"/>
    <w:rsid w:val="00BB0BAA"/>
    <w:rsid w:val="00BC1D7B"/>
    <w:rsid w:val="00BD0912"/>
    <w:rsid w:val="00BE04DD"/>
    <w:rsid w:val="00BE0886"/>
    <w:rsid w:val="00BE7CC6"/>
    <w:rsid w:val="00BF4FD7"/>
    <w:rsid w:val="00BF52C5"/>
    <w:rsid w:val="00BF5946"/>
    <w:rsid w:val="00C06EEA"/>
    <w:rsid w:val="00C1168F"/>
    <w:rsid w:val="00C1191D"/>
    <w:rsid w:val="00C23EB3"/>
    <w:rsid w:val="00C23EC2"/>
    <w:rsid w:val="00C2426C"/>
    <w:rsid w:val="00C352FF"/>
    <w:rsid w:val="00C5312A"/>
    <w:rsid w:val="00C61BF8"/>
    <w:rsid w:val="00C76992"/>
    <w:rsid w:val="00C77B6C"/>
    <w:rsid w:val="00C807F6"/>
    <w:rsid w:val="00C838E4"/>
    <w:rsid w:val="00C9153F"/>
    <w:rsid w:val="00C91D10"/>
    <w:rsid w:val="00C94426"/>
    <w:rsid w:val="00C955B0"/>
    <w:rsid w:val="00CA377E"/>
    <w:rsid w:val="00CA64EF"/>
    <w:rsid w:val="00CB5157"/>
    <w:rsid w:val="00CC43B9"/>
    <w:rsid w:val="00CD2430"/>
    <w:rsid w:val="00CE049F"/>
    <w:rsid w:val="00CE25E7"/>
    <w:rsid w:val="00CE30FD"/>
    <w:rsid w:val="00CE5E89"/>
    <w:rsid w:val="00CE653C"/>
    <w:rsid w:val="00CE6882"/>
    <w:rsid w:val="00CF065A"/>
    <w:rsid w:val="00CF103F"/>
    <w:rsid w:val="00D023C5"/>
    <w:rsid w:val="00D02E6D"/>
    <w:rsid w:val="00D06C43"/>
    <w:rsid w:val="00D07F91"/>
    <w:rsid w:val="00D235D8"/>
    <w:rsid w:val="00D2412E"/>
    <w:rsid w:val="00D25F17"/>
    <w:rsid w:val="00D320CB"/>
    <w:rsid w:val="00D47D05"/>
    <w:rsid w:val="00D52EDC"/>
    <w:rsid w:val="00D53504"/>
    <w:rsid w:val="00D57F09"/>
    <w:rsid w:val="00D61CE6"/>
    <w:rsid w:val="00D620EE"/>
    <w:rsid w:val="00D6276F"/>
    <w:rsid w:val="00D643DA"/>
    <w:rsid w:val="00D64501"/>
    <w:rsid w:val="00D65A48"/>
    <w:rsid w:val="00D66FDF"/>
    <w:rsid w:val="00D72408"/>
    <w:rsid w:val="00D72C59"/>
    <w:rsid w:val="00D776D1"/>
    <w:rsid w:val="00D80451"/>
    <w:rsid w:val="00D8328F"/>
    <w:rsid w:val="00D854E9"/>
    <w:rsid w:val="00D864CA"/>
    <w:rsid w:val="00D86557"/>
    <w:rsid w:val="00D870C0"/>
    <w:rsid w:val="00DA3799"/>
    <w:rsid w:val="00DA6645"/>
    <w:rsid w:val="00DB11F2"/>
    <w:rsid w:val="00DB7E38"/>
    <w:rsid w:val="00DC0142"/>
    <w:rsid w:val="00DD1231"/>
    <w:rsid w:val="00DE049A"/>
    <w:rsid w:val="00DE087B"/>
    <w:rsid w:val="00DE38FA"/>
    <w:rsid w:val="00DE4530"/>
    <w:rsid w:val="00DF19BC"/>
    <w:rsid w:val="00DF5153"/>
    <w:rsid w:val="00E10932"/>
    <w:rsid w:val="00E12FAC"/>
    <w:rsid w:val="00E35615"/>
    <w:rsid w:val="00E51032"/>
    <w:rsid w:val="00E578B4"/>
    <w:rsid w:val="00E62D38"/>
    <w:rsid w:val="00E66708"/>
    <w:rsid w:val="00E6722A"/>
    <w:rsid w:val="00E72D74"/>
    <w:rsid w:val="00E83E7F"/>
    <w:rsid w:val="00E8587F"/>
    <w:rsid w:val="00EA5B5B"/>
    <w:rsid w:val="00EB59EF"/>
    <w:rsid w:val="00ED05FE"/>
    <w:rsid w:val="00ED5F34"/>
    <w:rsid w:val="00EF1B95"/>
    <w:rsid w:val="00EF4A9F"/>
    <w:rsid w:val="00F01025"/>
    <w:rsid w:val="00F10401"/>
    <w:rsid w:val="00F10EA3"/>
    <w:rsid w:val="00F145C9"/>
    <w:rsid w:val="00F16CAD"/>
    <w:rsid w:val="00F21071"/>
    <w:rsid w:val="00F22389"/>
    <w:rsid w:val="00F22F35"/>
    <w:rsid w:val="00F26110"/>
    <w:rsid w:val="00F279CD"/>
    <w:rsid w:val="00F312F1"/>
    <w:rsid w:val="00F34DBE"/>
    <w:rsid w:val="00F35082"/>
    <w:rsid w:val="00F51EF3"/>
    <w:rsid w:val="00F527C8"/>
    <w:rsid w:val="00F721FC"/>
    <w:rsid w:val="00F76F9B"/>
    <w:rsid w:val="00F83B24"/>
    <w:rsid w:val="00F87FEA"/>
    <w:rsid w:val="00F97B39"/>
    <w:rsid w:val="00F97E6E"/>
    <w:rsid w:val="00FA2B67"/>
    <w:rsid w:val="00FA47D4"/>
    <w:rsid w:val="00FA4D12"/>
    <w:rsid w:val="00FA5583"/>
    <w:rsid w:val="00FB3D87"/>
    <w:rsid w:val="00FC1EA2"/>
    <w:rsid w:val="00FC44CB"/>
    <w:rsid w:val="00FC6F6A"/>
    <w:rsid w:val="00FE29C3"/>
    <w:rsid w:val="00FF20B6"/>
    <w:rsid w:val="00FF254F"/>
    <w:rsid w:val="00FF39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BD9B2"/>
  <w15:chartTrackingRefBased/>
  <w15:docId w15:val="{9D54C2D9-8B37-4085-B1D2-C29ABCA3F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FF9"/>
    <w:pPr>
      <w:spacing w:before="120" w:after="120" w:line="360" w:lineRule="auto"/>
      <w:jc w:val="both"/>
    </w:pPr>
    <w:rPr>
      <w:rFonts w:asciiTheme="minorBidi" w:hAnsiTheme="minorBidi"/>
      <w:sz w:val="24"/>
    </w:rPr>
  </w:style>
  <w:style w:type="paragraph" w:styleId="Heading1">
    <w:name w:val="heading 1"/>
    <w:basedOn w:val="Normal"/>
    <w:next w:val="Normal"/>
    <w:link w:val="Heading1Char"/>
    <w:uiPriority w:val="9"/>
    <w:qFormat/>
    <w:rsid w:val="008C5097"/>
    <w:pPr>
      <w:keepNext/>
      <w:keepLines/>
      <w:numPr>
        <w:numId w:val="14"/>
      </w:numPr>
      <w:pBdr>
        <w:bottom w:val="single" w:sz="4" w:space="1" w:color="595959" w:themeColor="text1" w:themeTint="A6"/>
      </w:pBdr>
      <w:jc w:val="center"/>
      <w:outlineLvl w:val="0"/>
    </w:pPr>
    <w:rPr>
      <w:rFonts w:ascii="Arial" w:eastAsiaTheme="majorEastAsia" w:hAnsi="Arial"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8C5097"/>
    <w:pPr>
      <w:keepNext/>
      <w:keepLines/>
      <w:numPr>
        <w:ilvl w:val="1"/>
        <w:numId w:val="14"/>
      </w:numPr>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unhideWhenUsed/>
    <w:qFormat/>
    <w:rsid w:val="00B267C5"/>
    <w:pPr>
      <w:keepNext/>
      <w:keepLines/>
      <w:numPr>
        <w:ilvl w:val="2"/>
        <w:numId w:val="14"/>
      </w:numPr>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800F72"/>
    <w:pPr>
      <w:keepNext/>
      <w:keepLines/>
      <w:numPr>
        <w:ilvl w:val="3"/>
        <w:numId w:val="14"/>
      </w:numPr>
      <w:spacing w:before="200" w:after="0"/>
      <w:outlineLvl w:val="3"/>
    </w:pPr>
    <w:rPr>
      <w:rFonts w:eastAsiaTheme="majorEastAsia" w:cstheme="majorBidi"/>
      <w:b/>
      <w:bCs/>
      <w:i/>
      <w:iCs/>
      <w:color w:val="000000" w:themeColor="text1"/>
    </w:rPr>
  </w:style>
  <w:style w:type="paragraph" w:styleId="Heading5">
    <w:name w:val="heading 5"/>
    <w:basedOn w:val="Normal"/>
    <w:next w:val="Normal"/>
    <w:link w:val="Heading5Char"/>
    <w:uiPriority w:val="9"/>
    <w:semiHidden/>
    <w:unhideWhenUsed/>
    <w:qFormat/>
    <w:rsid w:val="008C5097"/>
    <w:pPr>
      <w:keepNext/>
      <w:keepLines/>
      <w:numPr>
        <w:ilvl w:val="4"/>
        <w:numId w:val="14"/>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8C5097"/>
    <w:pPr>
      <w:keepNext/>
      <w:keepLines/>
      <w:numPr>
        <w:ilvl w:val="5"/>
        <w:numId w:val="14"/>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C5097"/>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C5097"/>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C5097"/>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1EB6"/>
    <w:pPr>
      <w:ind w:left="720"/>
      <w:contextualSpacing/>
    </w:pPr>
  </w:style>
  <w:style w:type="paragraph" w:customStyle="1" w:styleId="paragraph">
    <w:name w:val="paragraph"/>
    <w:basedOn w:val="Normal"/>
    <w:rsid w:val="003C08E6"/>
    <w:pPr>
      <w:spacing w:before="100" w:beforeAutospacing="1" w:after="100" w:afterAutospacing="1" w:line="240" w:lineRule="auto"/>
    </w:pPr>
    <w:rPr>
      <w:rFonts w:ascii="Times New Roman" w:eastAsia="Times New Roman" w:hAnsi="Times New Roman" w:cs="Times New Roman"/>
      <w:szCs w:val="24"/>
      <w:lang w:eastAsia="zh-CN"/>
    </w:rPr>
  </w:style>
  <w:style w:type="character" w:customStyle="1" w:styleId="normaltextrun">
    <w:name w:val="normaltextrun"/>
    <w:basedOn w:val="DefaultParagraphFont"/>
    <w:rsid w:val="003C08E6"/>
  </w:style>
  <w:style w:type="character" w:customStyle="1" w:styleId="eop">
    <w:name w:val="eop"/>
    <w:basedOn w:val="DefaultParagraphFont"/>
    <w:rsid w:val="003C08E6"/>
  </w:style>
  <w:style w:type="paragraph" w:styleId="Header">
    <w:name w:val="header"/>
    <w:basedOn w:val="Normal"/>
    <w:link w:val="HeaderChar"/>
    <w:uiPriority w:val="99"/>
    <w:unhideWhenUsed/>
    <w:rsid w:val="00177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CC9"/>
  </w:style>
  <w:style w:type="paragraph" w:styleId="Footer">
    <w:name w:val="footer"/>
    <w:basedOn w:val="Normal"/>
    <w:link w:val="FooterChar"/>
    <w:uiPriority w:val="99"/>
    <w:unhideWhenUsed/>
    <w:rsid w:val="00177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CC9"/>
  </w:style>
  <w:style w:type="character" w:customStyle="1" w:styleId="Heading1Char">
    <w:name w:val="Heading 1 Char"/>
    <w:basedOn w:val="DefaultParagraphFont"/>
    <w:link w:val="Heading1"/>
    <w:uiPriority w:val="9"/>
    <w:rsid w:val="008C5097"/>
    <w:rPr>
      <w:rFonts w:ascii="Arial" w:eastAsiaTheme="majorEastAsia" w:hAnsi="Arial" w:cstheme="majorBidi"/>
      <w:b/>
      <w:bCs/>
      <w:smallCaps/>
      <w:color w:val="000000" w:themeColor="text1"/>
      <w:sz w:val="32"/>
      <w:szCs w:val="36"/>
    </w:rPr>
  </w:style>
  <w:style w:type="character" w:customStyle="1" w:styleId="Heading2Char">
    <w:name w:val="Heading 2 Char"/>
    <w:basedOn w:val="DefaultParagraphFont"/>
    <w:link w:val="Heading2"/>
    <w:uiPriority w:val="9"/>
    <w:rsid w:val="008C5097"/>
    <w:rPr>
      <w:rFonts w:asciiTheme="minorBidi" w:eastAsiaTheme="majorEastAsia" w:hAnsiTheme="minorBidi" w:cstheme="majorBidi"/>
      <w:b/>
      <w:bCs/>
      <w:color w:val="000000" w:themeColor="text1"/>
      <w:sz w:val="28"/>
      <w:szCs w:val="28"/>
    </w:rPr>
  </w:style>
  <w:style w:type="character" w:customStyle="1" w:styleId="Heading3Char">
    <w:name w:val="Heading 3 Char"/>
    <w:basedOn w:val="DefaultParagraphFont"/>
    <w:link w:val="Heading3"/>
    <w:uiPriority w:val="9"/>
    <w:rsid w:val="00B267C5"/>
    <w:rPr>
      <w:rFonts w:asciiTheme="minorBidi" w:eastAsiaTheme="majorEastAsia" w:hAnsiTheme="minorBidi" w:cstheme="majorBidi"/>
      <w:b/>
      <w:bCs/>
      <w:color w:val="000000" w:themeColor="text1"/>
      <w:sz w:val="24"/>
    </w:rPr>
  </w:style>
  <w:style w:type="character" w:customStyle="1" w:styleId="Heading4Char">
    <w:name w:val="Heading 4 Char"/>
    <w:basedOn w:val="DefaultParagraphFont"/>
    <w:link w:val="Heading4"/>
    <w:uiPriority w:val="9"/>
    <w:rsid w:val="00800F72"/>
    <w:rPr>
      <w:rFonts w:asciiTheme="minorBidi" w:eastAsiaTheme="majorEastAsia" w:hAnsiTheme="minorBidi" w:cstheme="majorBidi"/>
      <w:b/>
      <w:bCs/>
      <w:i/>
      <w:iCs/>
      <w:color w:val="000000" w:themeColor="text1"/>
      <w:sz w:val="24"/>
    </w:rPr>
  </w:style>
  <w:style w:type="character" w:customStyle="1" w:styleId="Heading5Char">
    <w:name w:val="Heading 5 Char"/>
    <w:basedOn w:val="DefaultParagraphFont"/>
    <w:link w:val="Heading5"/>
    <w:uiPriority w:val="9"/>
    <w:semiHidden/>
    <w:rsid w:val="008C5097"/>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C5097"/>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C509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C509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C509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8C509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C509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C509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C509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C5097"/>
    <w:rPr>
      <w:color w:val="5A5A5A" w:themeColor="text1" w:themeTint="A5"/>
      <w:spacing w:val="10"/>
    </w:rPr>
  </w:style>
  <w:style w:type="character" w:styleId="Strong">
    <w:name w:val="Strong"/>
    <w:basedOn w:val="DefaultParagraphFont"/>
    <w:uiPriority w:val="22"/>
    <w:qFormat/>
    <w:rsid w:val="008C5097"/>
    <w:rPr>
      <w:b/>
      <w:bCs/>
      <w:color w:val="000000" w:themeColor="text1"/>
    </w:rPr>
  </w:style>
  <w:style w:type="character" w:styleId="Emphasis">
    <w:name w:val="Emphasis"/>
    <w:basedOn w:val="DefaultParagraphFont"/>
    <w:uiPriority w:val="20"/>
    <w:qFormat/>
    <w:rsid w:val="008C5097"/>
    <w:rPr>
      <w:i/>
      <w:iCs/>
      <w:color w:val="auto"/>
    </w:rPr>
  </w:style>
  <w:style w:type="paragraph" w:styleId="NoSpacing">
    <w:name w:val="No Spacing"/>
    <w:uiPriority w:val="1"/>
    <w:qFormat/>
    <w:rsid w:val="00F21071"/>
    <w:pPr>
      <w:spacing w:after="0" w:line="360" w:lineRule="auto"/>
      <w:jc w:val="center"/>
    </w:pPr>
    <w:rPr>
      <w:rFonts w:asciiTheme="minorBidi" w:hAnsiTheme="minorBidi"/>
      <w:i/>
      <w:color w:val="1F4E79" w:themeColor="accent1" w:themeShade="80"/>
      <w:sz w:val="18"/>
    </w:rPr>
  </w:style>
  <w:style w:type="paragraph" w:styleId="Quote">
    <w:name w:val="Quote"/>
    <w:basedOn w:val="Normal"/>
    <w:next w:val="Normal"/>
    <w:link w:val="QuoteChar"/>
    <w:uiPriority w:val="29"/>
    <w:qFormat/>
    <w:rsid w:val="008C5097"/>
    <w:pPr>
      <w:spacing w:before="160"/>
      <w:ind w:left="720" w:right="720"/>
    </w:pPr>
    <w:rPr>
      <w:i/>
      <w:iCs/>
      <w:color w:val="000000" w:themeColor="text1"/>
    </w:rPr>
  </w:style>
  <w:style w:type="character" w:customStyle="1" w:styleId="QuoteChar">
    <w:name w:val="Quote Char"/>
    <w:basedOn w:val="DefaultParagraphFont"/>
    <w:link w:val="Quote"/>
    <w:uiPriority w:val="29"/>
    <w:rsid w:val="008C5097"/>
    <w:rPr>
      <w:i/>
      <w:iCs/>
      <w:color w:val="000000" w:themeColor="text1"/>
    </w:rPr>
  </w:style>
  <w:style w:type="paragraph" w:styleId="IntenseQuote">
    <w:name w:val="Intense Quote"/>
    <w:basedOn w:val="Normal"/>
    <w:next w:val="Normal"/>
    <w:link w:val="IntenseQuoteChar"/>
    <w:uiPriority w:val="30"/>
    <w:qFormat/>
    <w:rsid w:val="008C509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C5097"/>
    <w:rPr>
      <w:color w:val="000000" w:themeColor="text1"/>
      <w:shd w:val="clear" w:color="auto" w:fill="F2F2F2" w:themeFill="background1" w:themeFillShade="F2"/>
    </w:rPr>
  </w:style>
  <w:style w:type="character" w:styleId="SubtleEmphasis">
    <w:name w:val="Subtle Emphasis"/>
    <w:basedOn w:val="DefaultParagraphFont"/>
    <w:uiPriority w:val="19"/>
    <w:qFormat/>
    <w:rsid w:val="008C5097"/>
    <w:rPr>
      <w:i/>
      <w:iCs/>
      <w:color w:val="404040" w:themeColor="text1" w:themeTint="BF"/>
    </w:rPr>
  </w:style>
  <w:style w:type="character" w:styleId="IntenseEmphasis">
    <w:name w:val="Intense Emphasis"/>
    <w:basedOn w:val="DefaultParagraphFont"/>
    <w:uiPriority w:val="21"/>
    <w:qFormat/>
    <w:rsid w:val="008C5097"/>
    <w:rPr>
      <w:b/>
      <w:bCs/>
      <w:i/>
      <w:iCs/>
      <w:caps/>
    </w:rPr>
  </w:style>
  <w:style w:type="character" w:styleId="SubtleReference">
    <w:name w:val="Subtle Reference"/>
    <w:basedOn w:val="DefaultParagraphFont"/>
    <w:uiPriority w:val="31"/>
    <w:qFormat/>
    <w:rsid w:val="008C509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C5097"/>
    <w:rPr>
      <w:b/>
      <w:bCs/>
      <w:smallCaps/>
      <w:u w:val="single"/>
    </w:rPr>
  </w:style>
  <w:style w:type="character" w:styleId="BookTitle">
    <w:name w:val="Book Title"/>
    <w:basedOn w:val="DefaultParagraphFont"/>
    <w:uiPriority w:val="33"/>
    <w:qFormat/>
    <w:rsid w:val="008C5097"/>
    <w:rPr>
      <w:b w:val="0"/>
      <w:bCs w:val="0"/>
      <w:smallCaps/>
      <w:spacing w:val="5"/>
    </w:rPr>
  </w:style>
  <w:style w:type="paragraph" w:styleId="TOCHeading">
    <w:name w:val="TOC Heading"/>
    <w:basedOn w:val="Heading1"/>
    <w:next w:val="Normal"/>
    <w:uiPriority w:val="39"/>
    <w:unhideWhenUsed/>
    <w:qFormat/>
    <w:rsid w:val="008C5097"/>
    <w:pPr>
      <w:outlineLvl w:val="9"/>
    </w:pPr>
  </w:style>
  <w:style w:type="paragraph" w:styleId="TOC2">
    <w:name w:val="toc 2"/>
    <w:basedOn w:val="Normal"/>
    <w:next w:val="Normal"/>
    <w:autoRedefine/>
    <w:uiPriority w:val="39"/>
    <w:unhideWhenUsed/>
    <w:rsid w:val="008C5097"/>
    <w:pPr>
      <w:spacing w:after="100"/>
      <w:ind w:left="220"/>
    </w:pPr>
    <w:rPr>
      <w:rFonts w:cs="Times New Roman"/>
      <w:lang w:val="en-US"/>
    </w:rPr>
  </w:style>
  <w:style w:type="paragraph" w:styleId="TOC1">
    <w:name w:val="toc 1"/>
    <w:basedOn w:val="Normal"/>
    <w:next w:val="Normal"/>
    <w:autoRedefine/>
    <w:uiPriority w:val="39"/>
    <w:unhideWhenUsed/>
    <w:rsid w:val="008C5097"/>
    <w:pPr>
      <w:spacing w:after="100"/>
    </w:pPr>
    <w:rPr>
      <w:rFonts w:cs="Times New Roman"/>
      <w:lang w:val="en-US"/>
    </w:rPr>
  </w:style>
  <w:style w:type="paragraph" w:styleId="TOC3">
    <w:name w:val="toc 3"/>
    <w:basedOn w:val="Normal"/>
    <w:next w:val="Normal"/>
    <w:autoRedefine/>
    <w:uiPriority w:val="39"/>
    <w:unhideWhenUsed/>
    <w:rsid w:val="008C5097"/>
    <w:pPr>
      <w:spacing w:after="100"/>
      <w:ind w:left="440"/>
    </w:pPr>
    <w:rPr>
      <w:rFonts w:cs="Times New Roman"/>
      <w:lang w:val="en-US"/>
    </w:rPr>
  </w:style>
  <w:style w:type="character" w:styleId="Hyperlink">
    <w:name w:val="Hyperlink"/>
    <w:basedOn w:val="DefaultParagraphFont"/>
    <w:uiPriority w:val="99"/>
    <w:unhideWhenUsed/>
    <w:rsid w:val="008C5097"/>
    <w:rPr>
      <w:color w:val="0563C1" w:themeColor="hyperlink"/>
      <w:u w:val="single"/>
    </w:rPr>
  </w:style>
  <w:style w:type="paragraph" w:styleId="NormalWeb">
    <w:name w:val="Normal (Web)"/>
    <w:basedOn w:val="Normal"/>
    <w:uiPriority w:val="99"/>
    <w:unhideWhenUsed/>
    <w:rsid w:val="00E578B4"/>
    <w:pPr>
      <w:spacing w:before="100" w:beforeAutospacing="1" w:after="100" w:afterAutospacing="1" w:line="240" w:lineRule="auto"/>
      <w:jc w:val="left"/>
    </w:pPr>
    <w:rPr>
      <w:rFonts w:ascii="Times New Roman" w:eastAsia="Times New Roman" w:hAnsi="Times New Roman" w:cs="Times New Roman"/>
      <w:szCs w:val="24"/>
      <w:lang w:val="en-US" w:eastAsia="zh-CN" w:bidi="bn-IN"/>
    </w:rPr>
  </w:style>
  <w:style w:type="character" w:styleId="UnresolvedMention">
    <w:name w:val="Unresolved Mention"/>
    <w:basedOn w:val="DefaultParagraphFont"/>
    <w:uiPriority w:val="99"/>
    <w:semiHidden/>
    <w:unhideWhenUsed/>
    <w:rsid w:val="00E578B4"/>
    <w:rPr>
      <w:color w:val="605E5C"/>
      <w:shd w:val="clear" w:color="auto" w:fill="E1DFDD"/>
    </w:rPr>
  </w:style>
  <w:style w:type="table" w:styleId="TableGridLight">
    <w:name w:val="Grid Table Light"/>
    <w:basedOn w:val="TableNormal"/>
    <w:uiPriority w:val="40"/>
    <w:rsid w:val="000A55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D34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4656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F2107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7769908">
      <w:bodyDiv w:val="1"/>
      <w:marLeft w:val="0"/>
      <w:marRight w:val="0"/>
      <w:marTop w:val="0"/>
      <w:marBottom w:val="0"/>
      <w:divBdr>
        <w:top w:val="none" w:sz="0" w:space="0" w:color="auto"/>
        <w:left w:val="none" w:sz="0" w:space="0" w:color="auto"/>
        <w:bottom w:val="none" w:sz="0" w:space="0" w:color="auto"/>
        <w:right w:val="none" w:sz="0" w:space="0" w:color="auto"/>
      </w:divBdr>
      <w:divsChild>
        <w:div w:id="194930276">
          <w:marLeft w:val="0"/>
          <w:marRight w:val="0"/>
          <w:marTop w:val="0"/>
          <w:marBottom w:val="0"/>
          <w:divBdr>
            <w:top w:val="none" w:sz="0" w:space="0" w:color="auto"/>
            <w:left w:val="none" w:sz="0" w:space="0" w:color="auto"/>
            <w:bottom w:val="none" w:sz="0" w:space="0" w:color="auto"/>
            <w:right w:val="none" w:sz="0" w:space="0" w:color="auto"/>
          </w:divBdr>
        </w:div>
        <w:div w:id="731152085">
          <w:marLeft w:val="0"/>
          <w:marRight w:val="0"/>
          <w:marTop w:val="0"/>
          <w:marBottom w:val="0"/>
          <w:divBdr>
            <w:top w:val="none" w:sz="0" w:space="0" w:color="auto"/>
            <w:left w:val="none" w:sz="0" w:space="0" w:color="auto"/>
            <w:bottom w:val="none" w:sz="0" w:space="0" w:color="auto"/>
            <w:right w:val="none" w:sz="0" w:space="0" w:color="auto"/>
          </w:divBdr>
        </w:div>
        <w:div w:id="1554343219">
          <w:marLeft w:val="0"/>
          <w:marRight w:val="0"/>
          <w:marTop w:val="0"/>
          <w:marBottom w:val="0"/>
          <w:divBdr>
            <w:top w:val="none" w:sz="0" w:space="0" w:color="auto"/>
            <w:left w:val="none" w:sz="0" w:space="0" w:color="auto"/>
            <w:bottom w:val="none" w:sz="0" w:space="0" w:color="auto"/>
            <w:right w:val="none" w:sz="0" w:space="0" w:color="auto"/>
          </w:divBdr>
        </w:div>
        <w:div w:id="1970818316">
          <w:marLeft w:val="0"/>
          <w:marRight w:val="0"/>
          <w:marTop w:val="0"/>
          <w:marBottom w:val="0"/>
          <w:divBdr>
            <w:top w:val="none" w:sz="0" w:space="0" w:color="auto"/>
            <w:left w:val="none" w:sz="0" w:space="0" w:color="auto"/>
            <w:bottom w:val="none" w:sz="0" w:space="0" w:color="auto"/>
            <w:right w:val="none" w:sz="0" w:space="0" w:color="auto"/>
          </w:divBdr>
        </w:div>
        <w:div w:id="170698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ijlm-02-2023-0067" TargetMode="External"/><Relationship Id="rId21" Type="http://schemas.openxmlformats.org/officeDocument/2006/relationships/hyperlink" Target="https://doi.org/10.1186/s40991-016-0004-6" TargetMode="External"/><Relationship Id="rId34" Type="http://schemas.openxmlformats.org/officeDocument/2006/relationships/hyperlink" Target="https://doi.org/10.1109/itec.2018.8450105" TargetMode="External"/><Relationship Id="rId42" Type="http://schemas.openxmlformats.org/officeDocument/2006/relationships/hyperlink" Target="https://doi.org/10.32479/ijefi.10462" TargetMode="External"/><Relationship Id="rId47" Type="http://schemas.openxmlformats.org/officeDocument/2006/relationships/hyperlink" Target="https://doi.org/10.3390/su131910992" TargetMode="External"/><Relationship Id="rId50" Type="http://schemas.openxmlformats.org/officeDocument/2006/relationships/hyperlink" Target="https://doi.org/10.1007/978-3-658-27602-7_3" TargetMode="External"/><Relationship Id="rId55" Type="http://schemas.openxmlformats.org/officeDocument/2006/relationships/hyperlink" Target="https://www.uwtsd.ac.uk/research/research-integrity-and-ethics" TargetMode="External"/><Relationship Id="rId63" Type="http://schemas.openxmlformats.org/officeDocument/2006/relationships/hyperlink" Target="https://doi.org/10.3390/en1722556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2.xml"/><Relationship Id="rId29" Type="http://schemas.openxmlformats.org/officeDocument/2006/relationships/hyperlink" Target="https://doi.org/10.3389/fenvs.2022.1059906" TargetMode="External"/><Relationship Id="rId11" Type="http://schemas.openxmlformats.org/officeDocument/2006/relationships/image" Target="media/image4.png"/><Relationship Id="rId24" Type="http://schemas.openxmlformats.org/officeDocument/2006/relationships/hyperlink" Target="https://doi.org/10.54097/7ck76113" TargetMode="External"/><Relationship Id="rId32" Type="http://schemas.openxmlformats.org/officeDocument/2006/relationships/hyperlink" Target="https://doi.org/10.3390/ijfs13020082" TargetMode="External"/><Relationship Id="rId37" Type="http://schemas.openxmlformats.org/officeDocument/2006/relationships/hyperlink" Target="https://doi.org/10.1051/e3sconf/201911802010" TargetMode="External"/><Relationship Id="rId40" Type="http://schemas.openxmlformats.org/officeDocument/2006/relationships/hyperlink" Target="https://doi.org/10.3390/su17198733" TargetMode="External"/><Relationship Id="rId45" Type="http://schemas.openxmlformats.org/officeDocument/2006/relationships/hyperlink" Target="https://doi.org/10.1136/bmj.n71" TargetMode="External"/><Relationship Id="rId53" Type="http://schemas.openxmlformats.org/officeDocument/2006/relationships/hyperlink" Target="https://www.undp.org/sdg-accelerator/background-goals" TargetMode="External"/><Relationship Id="rId58" Type="http://schemas.openxmlformats.org/officeDocument/2006/relationships/hyperlink" Target="https://www.volkswagenag.com/en/sustainability.html"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016/j.resconrec.2020.105210" TargetMode="External"/><Relationship Id="rId19" Type="http://schemas.openxmlformats.org/officeDocument/2006/relationships/hyperlink" Target="https://doi.org/10.3390/app13106016" TargetMode="External"/><Relationship Id="rId14" Type="http://schemas.openxmlformats.org/officeDocument/2006/relationships/image" Target="media/image7.png"/><Relationship Id="rId22" Type="http://schemas.openxmlformats.org/officeDocument/2006/relationships/hyperlink" Target="https://doi.org/10.55927/ijba.v4i5.11444" TargetMode="External"/><Relationship Id="rId27" Type="http://schemas.openxmlformats.org/officeDocument/2006/relationships/hyperlink" Target="https://doi.org/10.1007/978-3-031-52734-0_3" TargetMode="External"/><Relationship Id="rId30" Type="http://schemas.openxmlformats.org/officeDocument/2006/relationships/hyperlink" Target="https://doi.org/10.20294/jgbt.2023.19.3.1" TargetMode="External"/><Relationship Id="rId35" Type="http://schemas.openxmlformats.org/officeDocument/2006/relationships/hyperlink" Target="https://www.rhtlawasia.com/wp-content/uploads/2021/03/ESG-Part-I-The-Evolution-of-ESG-from-CSR.pdf" TargetMode="External"/><Relationship Id="rId43" Type="http://schemas.openxmlformats.org/officeDocument/2006/relationships/hyperlink" Target="https://doi.org/10.1016/j.omega.2024.103247" TargetMode="External"/><Relationship Id="rId48" Type="http://schemas.openxmlformats.org/officeDocument/2006/relationships/hyperlink" Target="https://doi.org/10.3389/frma.2023.1268045" TargetMode="External"/><Relationship Id="rId56" Type="http://schemas.openxmlformats.org/officeDocument/2006/relationships/hyperlink" Target="https://doi.org/10.1016/j.aej.2023.10.020" TargetMode="External"/><Relationship Id="rId64" Type="http://schemas.openxmlformats.org/officeDocument/2006/relationships/hyperlink" Target="https://doi.org/10.1016/j.jclepro.2024.144591" TargetMode="External"/><Relationship Id="rId8" Type="http://schemas.openxmlformats.org/officeDocument/2006/relationships/image" Target="media/image1.jpeg"/><Relationship Id="rId51" Type="http://schemas.openxmlformats.org/officeDocument/2006/relationships/hyperlink" Target="https://doi.org/10.4271/2024-28-0137" TargetMode="Externa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hyperlink" Target="https://doi.org/10.1186/s13643-023-02322-1" TargetMode="External"/><Relationship Id="rId25" Type="http://schemas.openxmlformats.org/officeDocument/2006/relationships/hyperlink" Target="https://doi.org/10.3390/su17073224" TargetMode="External"/><Relationship Id="rId33" Type="http://schemas.openxmlformats.org/officeDocument/2006/relationships/hyperlink" Target="https://corpgov.law.harvard.edu/2022/06/17/esg-global-study-2022/" TargetMode="External"/><Relationship Id="rId38" Type="http://schemas.openxmlformats.org/officeDocument/2006/relationships/hyperlink" Target="https://doi.org/10.1016/j.jik.2025.100660" TargetMode="External"/><Relationship Id="rId46" Type="http://schemas.openxmlformats.org/officeDocument/2006/relationships/hyperlink" Target="https://doi.org/10.1186/s13643-021-01626-4" TargetMode="External"/><Relationship Id="rId59" Type="http://schemas.openxmlformats.org/officeDocument/2006/relationships/hyperlink" Target="https://doi.org/10.1111/j.1756-5391.2011.01122.x" TargetMode="External"/><Relationship Id="rId20" Type="http://schemas.openxmlformats.org/officeDocument/2006/relationships/hyperlink" Target="https://doi.org/10.1016/j.apmrv.2024.11.001" TargetMode="External"/><Relationship Id="rId41" Type="http://schemas.openxmlformats.org/officeDocument/2006/relationships/hyperlink" Target="https://doi.org/10.1002/eej.22546" TargetMode="External"/><Relationship Id="rId54" Type="http://schemas.openxmlformats.org/officeDocument/2006/relationships/hyperlink" Target="https://www.un.org/sustainabledevelopment/blog/2015/12/sustainable-development-goals-kick-off-with-start-of-new-year/" TargetMode="External"/><Relationship Id="rId62" Type="http://schemas.openxmlformats.org/officeDocument/2006/relationships/hyperlink" Target="https://doi.org/10.3390/engproc202509203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doi.org/10.3390/su142215440" TargetMode="External"/><Relationship Id="rId28" Type="http://schemas.openxmlformats.org/officeDocument/2006/relationships/hyperlink" Target="https://doi.org/10.1007/978-3-031-52734-0_3" TargetMode="External"/><Relationship Id="rId36" Type="http://schemas.openxmlformats.org/officeDocument/2006/relationships/hyperlink" Target="https://doi.org/10.1016/j.techfore.2024.123833" TargetMode="External"/><Relationship Id="rId49" Type="http://schemas.openxmlformats.org/officeDocument/2006/relationships/hyperlink" Target="https://new.siemens.com/global/en/company/sustainability/sustainability-figures.html" TargetMode="External"/><Relationship Id="rId57" Type="http://schemas.openxmlformats.org/officeDocument/2006/relationships/hyperlink" Target="https://doi.org/10.1016/j.cesys.2024.100248" TargetMode="External"/><Relationship Id="rId10" Type="http://schemas.openxmlformats.org/officeDocument/2006/relationships/image" Target="media/image3.png"/><Relationship Id="rId31" Type="http://schemas.openxmlformats.org/officeDocument/2006/relationships/hyperlink" Target="https://doi.org/10.1016/j.ijpe.2025.109798" TargetMode="External"/><Relationship Id="rId44" Type="http://schemas.openxmlformats.org/officeDocument/2006/relationships/hyperlink" Target="https://doi.org/10.1109/icevt48285.2019.8993989" TargetMode="External"/><Relationship Id="rId52" Type="http://schemas.openxmlformats.org/officeDocument/2006/relationships/hyperlink" Target="https://doi.org/10.1016/j.cesys.2024.100210" TargetMode="External"/><Relationship Id="rId60" Type="http://schemas.openxmlformats.org/officeDocument/2006/relationships/hyperlink" Target="https://doi.org/10.3390/wevj16060314"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bbejournal.com/index.php/BBE/article/view/449" TargetMode="External"/><Relationship Id="rId39" Type="http://schemas.openxmlformats.org/officeDocument/2006/relationships/hyperlink" Target="https://doi.org/10.1007/s43621-024-00743-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980C2-16C8-437E-AC5C-E762836F7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82</Pages>
  <Words>22519</Words>
  <Characters>128361</Characters>
  <DocSecurity>0</DocSecurity>
  <Lines>1069</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2025-11-25T10:55:00Z</dcterms:created>
  <dcterms:modified xsi:type="dcterms:W3CDTF">2025-12-29T21:48:00Z</dcterms:modified>
</cp:coreProperties>
</file>