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32E9F" w14:textId="77777777" w:rsidR="007819FD" w:rsidRPr="00CB0399" w:rsidRDefault="007819FD" w:rsidP="007819FD">
      <w:pPr>
        <w:pStyle w:val="NoSpacing"/>
        <w:jc w:val="center"/>
        <w:rPr>
          <w:sz w:val="32"/>
          <w:szCs w:val="32"/>
          <w:u w:val="single"/>
        </w:rPr>
      </w:pPr>
      <w:r w:rsidRPr="00CB0399">
        <w:rPr>
          <w:sz w:val="32"/>
          <w:szCs w:val="32"/>
          <w:u w:val="single"/>
        </w:rPr>
        <w:t>The Saints’ Cult of Kentigern,</w:t>
      </w:r>
    </w:p>
    <w:p w14:paraId="07904D0D" w14:textId="77777777" w:rsidR="007819FD" w:rsidRPr="00CB0399" w:rsidRDefault="007819FD" w:rsidP="007819FD">
      <w:pPr>
        <w:pStyle w:val="NoSpacing"/>
        <w:jc w:val="center"/>
        <w:rPr>
          <w:sz w:val="32"/>
          <w:szCs w:val="32"/>
          <w:u w:val="single"/>
        </w:rPr>
      </w:pPr>
      <w:r w:rsidRPr="00CB0399">
        <w:rPr>
          <w:sz w:val="32"/>
          <w:szCs w:val="32"/>
          <w:u w:val="single"/>
        </w:rPr>
        <w:t>Its Origins Development.</w:t>
      </w:r>
    </w:p>
    <w:p w14:paraId="45E8A38B" w14:textId="77777777" w:rsidR="007819FD" w:rsidRPr="00482653" w:rsidRDefault="007819FD" w:rsidP="007819FD">
      <w:pPr>
        <w:pStyle w:val="NoSpacing"/>
        <w:jc w:val="right"/>
        <w:rPr>
          <w:sz w:val="16"/>
          <w:szCs w:val="16"/>
        </w:rPr>
      </w:pPr>
      <w:proofErr w:type="spellStart"/>
      <w:r w:rsidRPr="00482653">
        <w:rPr>
          <w:sz w:val="16"/>
          <w:szCs w:val="16"/>
        </w:rPr>
        <w:t>D.Tierney</w:t>
      </w:r>
      <w:proofErr w:type="spellEnd"/>
    </w:p>
    <w:p w14:paraId="08D6F1B4" w14:textId="77777777" w:rsidR="007819FD" w:rsidRPr="00482653" w:rsidRDefault="007819FD" w:rsidP="007819FD">
      <w:pPr>
        <w:pStyle w:val="NoSpacing"/>
        <w:jc w:val="right"/>
        <w:rPr>
          <w:sz w:val="16"/>
          <w:szCs w:val="16"/>
        </w:rPr>
      </w:pPr>
      <w:r w:rsidRPr="00482653">
        <w:rPr>
          <w:sz w:val="16"/>
          <w:szCs w:val="16"/>
        </w:rPr>
        <w:t>Level 5</w:t>
      </w:r>
    </w:p>
    <w:p w14:paraId="39033093" w14:textId="69E91A92" w:rsidR="007819FD" w:rsidRDefault="007819FD" w:rsidP="007819FD">
      <w:pPr>
        <w:pStyle w:val="NoSpacing"/>
        <w:jc w:val="right"/>
        <w:rPr>
          <w:sz w:val="16"/>
          <w:szCs w:val="16"/>
        </w:rPr>
      </w:pPr>
      <w:r w:rsidRPr="00482653">
        <w:rPr>
          <w:sz w:val="16"/>
          <w:szCs w:val="16"/>
        </w:rPr>
        <w:t>1</w:t>
      </w:r>
      <w:r w:rsidR="004A35FB">
        <w:rPr>
          <w:sz w:val="16"/>
          <w:szCs w:val="16"/>
        </w:rPr>
        <w:t>6/10</w:t>
      </w:r>
      <w:r w:rsidRPr="00482653">
        <w:rPr>
          <w:sz w:val="16"/>
          <w:szCs w:val="16"/>
        </w:rPr>
        <w:t>/</w:t>
      </w:r>
      <w:r w:rsidR="004A35FB">
        <w:rPr>
          <w:sz w:val="16"/>
          <w:szCs w:val="16"/>
        </w:rPr>
        <w:t>2022</w:t>
      </w:r>
    </w:p>
    <w:p w14:paraId="4A6B5B5B" w14:textId="77777777" w:rsidR="007819FD" w:rsidRDefault="007819FD" w:rsidP="007819FD">
      <w:pPr>
        <w:pStyle w:val="NoSpacing"/>
        <w:jc w:val="right"/>
        <w:rPr>
          <w:sz w:val="16"/>
          <w:szCs w:val="16"/>
        </w:rPr>
      </w:pPr>
    </w:p>
    <w:p w14:paraId="139C97BD" w14:textId="77777777" w:rsidR="007819FD" w:rsidRDefault="007819FD" w:rsidP="007819FD">
      <w:pPr>
        <w:pStyle w:val="NoSpacing"/>
        <w:jc w:val="right"/>
        <w:rPr>
          <w:sz w:val="16"/>
          <w:szCs w:val="16"/>
        </w:rPr>
      </w:pPr>
    </w:p>
    <w:p w14:paraId="7975F3CA" w14:textId="557A7A19" w:rsidR="007819FD" w:rsidRDefault="007819FD" w:rsidP="007819FD">
      <w:pPr>
        <w:ind w:firstLine="720"/>
      </w:pPr>
      <w:r w:rsidRPr="00482653">
        <w:t>Saint Kentigern is a Brythonic era saint from a time when the dissolution of the Western Roman Empire was still fresh in the annals of history</w:t>
      </w:r>
      <w:r>
        <w:t>.</w:t>
      </w:r>
      <w:r w:rsidRPr="00482653">
        <w:t xml:space="preserve"> </w:t>
      </w:r>
      <w:r>
        <w:t>T</w:t>
      </w:r>
      <w:r w:rsidRPr="00482653">
        <w:t>he creation of his cult and its development is a curious insight into the 12th century romanticisation of the era of the Celtic saints</w:t>
      </w:r>
      <w:r>
        <w:t>,</w:t>
      </w:r>
      <w:r w:rsidRPr="00482653">
        <w:t xml:space="preserve"> </w:t>
      </w:r>
      <w:r>
        <w:t>as at</w:t>
      </w:r>
      <w:r w:rsidRPr="00482653">
        <w:t xml:space="preserve"> this time Christianity had not taken a </w:t>
      </w:r>
      <w:r>
        <w:t>foot</w:t>
      </w:r>
      <w:r w:rsidRPr="00482653">
        <w:t xml:space="preserve">hold </w:t>
      </w:r>
      <w:r w:rsidR="00092046">
        <w:t>on so</w:t>
      </w:r>
      <w:r w:rsidR="00F35673">
        <w:t>me of</w:t>
      </w:r>
      <w:r w:rsidRPr="00482653">
        <w:t xml:space="preserve"> the more remote places of the isles</w:t>
      </w:r>
      <w:r>
        <w:t>.</w:t>
      </w:r>
      <w:r w:rsidRPr="00482653">
        <w:t xml:space="preserve"> </w:t>
      </w:r>
      <w:r>
        <w:t>W</w:t>
      </w:r>
      <w:r w:rsidRPr="00482653">
        <w:t xml:space="preserve">e find in the </w:t>
      </w:r>
      <w:r>
        <w:t>sources available</w:t>
      </w:r>
      <w:r w:rsidRPr="00482653">
        <w:t xml:space="preserve"> the persecution of Christians in the kingdom of Strathclyde and the surrounding areas</w:t>
      </w:r>
      <w:r>
        <w:t xml:space="preserve"> which would most likely be relevant to the isle as a median</w:t>
      </w:r>
      <w:r w:rsidRPr="00482653">
        <w:t xml:space="preserve">. In this essay I will be looking at the development of the saints’ cult that formed in Glasgow concerning our </w:t>
      </w:r>
      <w:r w:rsidR="00862F4E">
        <w:t>S</w:t>
      </w:r>
      <w:r w:rsidRPr="00482653">
        <w:t xml:space="preserve">aint Kentigern. He is the Patron </w:t>
      </w:r>
      <w:r w:rsidR="00862F4E">
        <w:t>s</w:t>
      </w:r>
      <w:r w:rsidRPr="00482653">
        <w:t>aint o</w:t>
      </w:r>
      <w:r>
        <w:t>f</w:t>
      </w:r>
      <w:r w:rsidRPr="00482653">
        <w:t xml:space="preserve"> Glasgow along with his mother </w:t>
      </w:r>
      <w:r>
        <w:t xml:space="preserve">Saint </w:t>
      </w:r>
      <w:r w:rsidRPr="00482653">
        <w:t>Teneu. Although the vita and the story of miracles surrounding Kentigern are solidified in text, we must remember that the first of these texts was written 600 years or so after the events occurred</w:t>
      </w:r>
      <w:r>
        <w:t>.</w:t>
      </w:r>
      <w:r w:rsidRPr="00482653">
        <w:t xml:space="preserve"> J. Davies writes ‘we have no sure knowledge of him from his own time’</w:t>
      </w:r>
      <w:r>
        <w:t xml:space="preserve"> a</w:t>
      </w:r>
      <w:r w:rsidRPr="00482653">
        <w:t>nd in a similar fashion to most vita written about Celtic era saints we must look at these texts with scrutiny and not take them as gospel</w:t>
      </w:r>
      <w:r>
        <w:t>,</w:t>
      </w:r>
      <w:r w:rsidRPr="00482653">
        <w:t xml:space="preserve"> </w:t>
      </w:r>
      <w:r>
        <w:t>t</w:t>
      </w:r>
      <w:r w:rsidRPr="00482653">
        <w:t>hey are a product of their time.</w:t>
      </w:r>
      <w:r>
        <w:rPr>
          <w:rStyle w:val="FootnoteReference"/>
        </w:rPr>
        <w:footnoteReference w:id="1"/>
      </w:r>
      <w:r w:rsidRPr="00482653">
        <w:t xml:space="preserve"> </w:t>
      </w:r>
      <w:r>
        <w:t>Kentigern himself</w:t>
      </w:r>
      <w:r w:rsidRPr="00482653">
        <w:t xml:space="preserve"> is even said to die at the age of 185 years</w:t>
      </w:r>
      <w:r>
        <w:t>, which is clearly an exaggeration of the writer</w:t>
      </w:r>
      <w:r w:rsidRPr="00482653">
        <w:t>.</w:t>
      </w:r>
      <w:r>
        <w:rPr>
          <w:rStyle w:val="FootnoteReference"/>
        </w:rPr>
        <w:footnoteReference w:id="2"/>
      </w:r>
    </w:p>
    <w:p w14:paraId="3D168D2F" w14:textId="1438CA43" w:rsidR="007819FD" w:rsidRDefault="007819FD" w:rsidP="007819FD">
      <w:r>
        <w:tab/>
        <w:t xml:space="preserve">In this essay I will firstly talk about the consensus of the hagiographers, who they </w:t>
      </w:r>
      <w:r w:rsidR="00770549">
        <w:t xml:space="preserve">were </w:t>
      </w:r>
      <w:r>
        <w:t xml:space="preserve">and what put them into a position to create these </w:t>
      </w:r>
      <w:r>
        <w:rPr>
          <w:i/>
          <w:iCs/>
        </w:rPr>
        <w:t>vitae.</w:t>
      </w:r>
      <w:r>
        <w:t xml:space="preserve"> Secondly, I will discuss the two main sources in chronological order, I will indicate what part of the sources to be important to developing the saints’ cult within these sources. I will look at the saints mentioned within these the </w:t>
      </w:r>
      <w:r>
        <w:rPr>
          <w:i/>
          <w:iCs/>
        </w:rPr>
        <w:t>vitae</w:t>
      </w:r>
      <w:r>
        <w:t>, then I will talk about the origins of the saints’ cults in question, looking at given theories about the origins of the stories and political motivations to create a cult such as this as well as the key sites associated with the cult. Then I will conclude my findings with my own opinions.</w:t>
      </w:r>
    </w:p>
    <w:p w14:paraId="25332735" w14:textId="77777777" w:rsidR="007819FD" w:rsidRDefault="007819FD" w:rsidP="007819FD">
      <w:pPr>
        <w:ind w:firstLine="720"/>
      </w:pPr>
      <w:r>
        <w:t>The sources that follow are the main exhibits of the life and consciousness of Kentigern, they are all important to the development of the saints’ cult, although we can find no direct writings before the 11</w:t>
      </w:r>
      <w:r w:rsidRPr="00B34C42">
        <w:rPr>
          <w:vertAlign w:val="superscript"/>
        </w:rPr>
        <w:t>th</w:t>
      </w:r>
      <w:r>
        <w:t xml:space="preserve"> century. These were written during an age of spiritual enlightenment and were written by the literary elite, as Johnston states in her works concerning the hagiography of Ireland and the identity of the female saint, they were rarely the product of popular devotion. Although Johnston was using this to refer to Irish hagiographers the sentiment is still valid and applies here.</w:t>
      </w:r>
      <w:r>
        <w:rPr>
          <w:rStyle w:val="FootnoteReference"/>
        </w:rPr>
        <w:footnoteReference w:id="3"/>
      </w:r>
      <w:r>
        <w:t xml:space="preserve"> J. Davies writes that the Age of saints was conditioned by the twelfth century.</w:t>
      </w:r>
      <w:r>
        <w:rPr>
          <w:rStyle w:val="FootnoteReference"/>
        </w:rPr>
        <w:footnoteReference w:id="4"/>
      </w:r>
    </w:p>
    <w:p w14:paraId="3673DBA5" w14:textId="77777777" w:rsidR="007819FD" w:rsidRDefault="007819FD" w:rsidP="007819FD">
      <w:pPr>
        <w:ind w:firstLine="720"/>
      </w:pPr>
      <w:r>
        <w:t xml:space="preserve">The first source we find is a fragmentary </w:t>
      </w:r>
      <w:r>
        <w:rPr>
          <w:i/>
          <w:iCs/>
        </w:rPr>
        <w:t xml:space="preserve">Vita, </w:t>
      </w:r>
      <w:r>
        <w:t>there is only the introduction and the first eight chapters that survive to this day to discern the story from.</w:t>
      </w:r>
      <w:r w:rsidRPr="00396F36">
        <w:t xml:space="preserve"> </w:t>
      </w:r>
      <w:r>
        <w:t>In this case we find that it is an anonymous writer that constructed this lost</w:t>
      </w:r>
      <w:r>
        <w:rPr>
          <w:i/>
          <w:iCs/>
        </w:rPr>
        <w:t xml:space="preserve"> Vita</w:t>
      </w:r>
      <w:r>
        <w:t xml:space="preserve">, while we don’t know who wrote it, we do know it was composed at the request of Herbert, bishop of Glasgow. It was created in a fashion to emulate the work of </w:t>
      </w:r>
      <w:proofErr w:type="spellStart"/>
      <w:r>
        <w:t>Symeon</w:t>
      </w:r>
      <w:proofErr w:type="spellEnd"/>
      <w:r>
        <w:t xml:space="preserve"> of Durham’s Life of St Cuthbert and the speculated gains of writing a </w:t>
      </w:r>
      <w:r>
        <w:rPr>
          <w:i/>
          <w:iCs/>
        </w:rPr>
        <w:t>vita</w:t>
      </w:r>
      <w:r>
        <w:t xml:space="preserve">. The writer himself states that he is ‘a cleric of St </w:t>
      </w:r>
      <w:proofErr w:type="spellStart"/>
      <w:r>
        <w:t>Kentigerns</w:t>
      </w:r>
      <w:proofErr w:type="spellEnd"/>
      <w:r>
        <w:t xml:space="preserve">’, this </w:t>
      </w:r>
      <w:r>
        <w:rPr>
          <w:i/>
          <w:iCs/>
        </w:rPr>
        <w:t xml:space="preserve">vita </w:t>
      </w:r>
      <w:r>
        <w:t xml:space="preserve">is commonly known as the </w:t>
      </w:r>
      <w:r>
        <w:lastRenderedPageBreak/>
        <w:t xml:space="preserve">Herbertian </w:t>
      </w:r>
      <w:r>
        <w:rPr>
          <w:i/>
          <w:iCs/>
        </w:rPr>
        <w:t>Vita</w:t>
      </w:r>
      <w:r>
        <w:t>.</w:t>
      </w:r>
      <w:r>
        <w:rPr>
          <w:rStyle w:val="FootnoteReference"/>
        </w:rPr>
        <w:footnoteReference w:id="5"/>
      </w:r>
      <w:r>
        <w:t xml:space="preserve"> </w:t>
      </w:r>
      <w:r w:rsidRPr="00091AF5">
        <w:t xml:space="preserve">The political writings in this case are clear, making a vita would likely draw some amount of fame and pilgrimage to the bishopric of Glasgow increasing revenue and creating more devoted followers to the </w:t>
      </w:r>
      <w:r>
        <w:t>s</w:t>
      </w:r>
      <w:r w:rsidRPr="00091AF5">
        <w:t>aints</w:t>
      </w:r>
      <w:r>
        <w:t>’</w:t>
      </w:r>
      <w:r w:rsidRPr="00091AF5">
        <w:t xml:space="preserve"> cult of Kentigern</w:t>
      </w:r>
      <w:r>
        <w:t>, he himself states that Scotland neglects the veneration of patron saints when compared to other areas</w:t>
      </w:r>
      <w:r w:rsidRPr="00091AF5">
        <w:t>.</w:t>
      </w:r>
      <w:r>
        <w:rPr>
          <w:rStyle w:val="FootnoteReference"/>
        </w:rPr>
        <w:footnoteReference w:id="6"/>
      </w:r>
      <w:r>
        <w:t xml:space="preserve"> In some cases we find similarities with the writing of this </w:t>
      </w:r>
      <w:r>
        <w:rPr>
          <w:i/>
          <w:iCs/>
        </w:rPr>
        <w:t xml:space="preserve">vita </w:t>
      </w:r>
      <w:r>
        <w:t xml:space="preserve">the writings of the </w:t>
      </w:r>
      <w:r>
        <w:rPr>
          <w:i/>
          <w:iCs/>
        </w:rPr>
        <w:t xml:space="preserve">vita </w:t>
      </w:r>
      <w:r>
        <w:t>of Saint Serf, J. Davies speculates in his writings on the cult of saint Kentigern that they could’ve been written by the same hagiographer, but there is no solid proof, only likeness in motivation.</w:t>
      </w:r>
      <w:r>
        <w:rPr>
          <w:rStyle w:val="FootnoteReference"/>
        </w:rPr>
        <w:footnoteReference w:id="7"/>
      </w:r>
      <w:r>
        <w:t xml:space="preserve"> </w:t>
      </w:r>
      <w:r w:rsidRPr="00927084">
        <w:t xml:space="preserve">When looking at what survives we find some interesting quirks to this work that we wouldn’t find in </w:t>
      </w:r>
      <w:r>
        <w:t xml:space="preserve">many </w:t>
      </w:r>
      <w:r w:rsidRPr="00927084">
        <w:t xml:space="preserve">other </w:t>
      </w:r>
      <w:r w:rsidRPr="00E56161">
        <w:rPr>
          <w:i/>
          <w:iCs/>
        </w:rPr>
        <w:t>vitae</w:t>
      </w:r>
      <w:r w:rsidRPr="00927084">
        <w:t xml:space="preserve"> of this time, and to a degree any time </w:t>
      </w:r>
      <w:r>
        <w:t>after</w:t>
      </w:r>
      <w:r w:rsidRPr="00927084">
        <w:t>. In an overview the writer gives us information about the sources of the vita, he explains that his sources are as follows,</w:t>
      </w:r>
    </w:p>
    <w:p w14:paraId="15BE160C" w14:textId="77777777" w:rsidR="007819FD" w:rsidRPr="000E720B" w:rsidRDefault="007819FD" w:rsidP="007819FD">
      <w:pPr>
        <w:ind w:firstLine="720"/>
        <w:jc w:val="center"/>
        <w:rPr>
          <w:i/>
          <w:iCs/>
        </w:rPr>
      </w:pPr>
      <w:r w:rsidRPr="000E720B">
        <w:rPr>
          <w:i/>
          <w:iCs/>
        </w:rPr>
        <w:t>‘From the material found in a little volume (</w:t>
      </w:r>
      <w:proofErr w:type="gramStart"/>
      <w:r w:rsidRPr="000E720B">
        <w:rPr>
          <w:i/>
          <w:iCs/>
        </w:rPr>
        <w:t>or,</w:t>
      </w:r>
      <w:proofErr w:type="gramEnd"/>
      <w:r w:rsidRPr="000E720B">
        <w:rPr>
          <w:i/>
          <w:iCs/>
        </w:rPr>
        <w:t xml:space="preserve"> ‘little volumes’) of his miracles, and from what was told orally by trustworthy people’.</w:t>
      </w:r>
      <w:r w:rsidRPr="000E720B">
        <w:rPr>
          <w:rStyle w:val="FootnoteReference"/>
          <w:i/>
          <w:iCs/>
        </w:rPr>
        <w:footnoteReference w:id="8"/>
      </w:r>
    </w:p>
    <w:p w14:paraId="38607A50" w14:textId="77777777" w:rsidR="007819FD" w:rsidRDefault="007819FD" w:rsidP="007819FD">
      <w:pPr>
        <w:ind w:firstLine="720"/>
      </w:pPr>
      <w:r>
        <w:t xml:space="preserve">So, this passage coincides with the request of the bishop of Glasgow, we can tell for certain that this original </w:t>
      </w:r>
      <w:r>
        <w:rPr>
          <w:i/>
          <w:iCs/>
        </w:rPr>
        <w:t>vita</w:t>
      </w:r>
      <w:r>
        <w:t xml:space="preserve"> was most likely written in 1147-64 from sources available at that time, the oral sources also suggest that these stories may had been handed down through families or communities as well as told by clergy. This suggests that this saints’ cult was built on the foundations of a character named Kentigern, and not a fabrication for purely monetary or political means.</w:t>
      </w:r>
      <w:r>
        <w:rPr>
          <w:rStyle w:val="FootnoteReference"/>
        </w:rPr>
        <w:footnoteReference w:id="9"/>
      </w:r>
      <w:r>
        <w:t xml:space="preserve"> Jackson writes that this </w:t>
      </w:r>
      <w:r>
        <w:rPr>
          <w:i/>
          <w:iCs/>
        </w:rPr>
        <w:t>vita</w:t>
      </w:r>
      <w:r>
        <w:t xml:space="preserve"> was probably in use for around thirty years or so before being superseded by the next </w:t>
      </w:r>
      <w:r>
        <w:rPr>
          <w:i/>
          <w:iCs/>
        </w:rPr>
        <w:t xml:space="preserve">vita </w:t>
      </w:r>
      <w:r>
        <w:t>that was a rewriting of the original. The truly interesting part of these original writings is that in the case of Christendom as a whole, some of the statements may have been considered blasphemous at the time.</w:t>
      </w:r>
      <w:r>
        <w:rPr>
          <w:rStyle w:val="FootnoteReference"/>
        </w:rPr>
        <w:footnoteReference w:id="10"/>
      </w:r>
      <w:r w:rsidRPr="00FE4FBB">
        <w:t xml:space="preserve"> </w:t>
      </w:r>
      <w:r>
        <w:t xml:space="preserve">Most notably Jocelyn of Furness writes in relevance to the first </w:t>
      </w:r>
      <w:r>
        <w:rPr>
          <w:i/>
          <w:iCs/>
        </w:rPr>
        <w:t xml:space="preserve">vita </w:t>
      </w:r>
      <w:r>
        <w:t xml:space="preserve">as follows, </w:t>
      </w:r>
    </w:p>
    <w:p w14:paraId="6841327D" w14:textId="77777777" w:rsidR="007819FD" w:rsidRPr="00AF5271" w:rsidRDefault="007819FD" w:rsidP="007819FD">
      <w:pPr>
        <w:ind w:firstLine="720"/>
        <w:jc w:val="center"/>
        <w:rPr>
          <w:i/>
          <w:iCs/>
        </w:rPr>
      </w:pPr>
      <w:r w:rsidRPr="00AF5271">
        <w:rPr>
          <w:i/>
          <w:iCs/>
        </w:rPr>
        <w:t>‘</w:t>
      </w:r>
      <w:proofErr w:type="gramStart"/>
      <w:r w:rsidRPr="00AF5271">
        <w:rPr>
          <w:i/>
          <w:iCs/>
        </w:rPr>
        <w:t>since</w:t>
      </w:r>
      <w:proofErr w:type="gramEnd"/>
      <w:r w:rsidRPr="00AF5271">
        <w:rPr>
          <w:i/>
          <w:iCs/>
        </w:rPr>
        <w:t xml:space="preserve"> the stupid and foolish people, who lived in the diocese of S. Kentigern, go as far as to assert that he was conceived and born of a virgin’.</w:t>
      </w:r>
      <w:r w:rsidRPr="00AF5271">
        <w:rPr>
          <w:rStyle w:val="FootnoteReference"/>
          <w:i/>
          <w:iCs/>
        </w:rPr>
        <w:footnoteReference w:id="11"/>
      </w:r>
    </w:p>
    <w:p w14:paraId="283AE70A" w14:textId="77777777" w:rsidR="007819FD" w:rsidRDefault="007819FD" w:rsidP="007819FD">
      <w:pPr>
        <w:ind w:firstLine="720"/>
      </w:pPr>
      <w:r>
        <w:t>This statement confirms that within folklore, local tradition, and the manuscript there would have been a belief that a virgin birth may have happened outside the birth tale of Christ, Jackson tells us that the Herbertian writer simply embraced it although tried to make ‘Scientific Physiological explanation’ for the virgin birth.</w:t>
      </w:r>
      <w:r>
        <w:rPr>
          <w:rStyle w:val="FootnoteReference"/>
        </w:rPr>
        <w:footnoteReference w:id="12"/>
      </w:r>
    </w:p>
    <w:p w14:paraId="76BE273F" w14:textId="77777777" w:rsidR="007819FD" w:rsidRDefault="007819FD" w:rsidP="007819FD">
      <w:pPr>
        <w:ind w:firstLine="720"/>
      </w:pPr>
      <w:r>
        <w:t xml:space="preserve">This </w:t>
      </w:r>
      <w:r>
        <w:rPr>
          <w:i/>
          <w:iCs/>
        </w:rPr>
        <w:t xml:space="preserve">vita </w:t>
      </w:r>
      <w:r>
        <w:t xml:space="preserve">was rewritten due to the need to obscure barbarous language, and it may seem that the virgin birth aspect had a part in the need to rewrite such a </w:t>
      </w:r>
      <w:r>
        <w:rPr>
          <w:i/>
          <w:iCs/>
        </w:rPr>
        <w:t>Vita</w:t>
      </w:r>
      <w:r>
        <w:t xml:space="preserve"> when it was written with such a close date to the original.</w:t>
      </w:r>
      <w:r>
        <w:rPr>
          <w:rStyle w:val="FootnoteReference"/>
        </w:rPr>
        <w:footnoteReference w:id="13"/>
      </w:r>
      <w:r>
        <w:t xml:space="preserve"> The existence of this Manuscript that has been almost entirely lost could point to a greater issue with the original manuscript, but as it’s something that’s lost we cannot say for sure. This would not benefit the saints’ cult of Kentigern in Glasgow, its formation may have been challenged by the Roman church as Insular if they deemed it necessary. Davies suggests that there is evidence in the North of Britain that points towards the cult of Saint Kentigern existing in Glasgow and the surrounding areas before the twelfth century, and the cult was relaunched and promoted.</w:t>
      </w:r>
      <w:r>
        <w:rPr>
          <w:rStyle w:val="FootnoteReference"/>
        </w:rPr>
        <w:footnoteReference w:id="14"/>
      </w:r>
      <w:r>
        <w:t xml:space="preserve"> Jackson notes that the knowledge of the landscape of Lothian is </w:t>
      </w:r>
      <w:r>
        <w:lastRenderedPageBreak/>
        <w:t>remarkable and points towards local sources from someone who is a native.</w:t>
      </w:r>
      <w:r>
        <w:rPr>
          <w:rStyle w:val="FootnoteReference"/>
        </w:rPr>
        <w:footnoteReference w:id="15"/>
      </w:r>
      <w:r>
        <w:t xml:space="preserve"> Although we find some strong discrepancies within the fact that the Herbertian makes St. Serf the disciple of </w:t>
      </w:r>
      <w:proofErr w:type="spellStart"/>
      <w:r>
        <w:t>Palladius</w:t>
      </w:r>
      <w:proofErr w:type="spellEnd"/>
      <w:r>
        <w:t>, which would put him a century before Kentigern’s time, it would seem his sources seem local in nature.</w:t>
      </w:r>
      <w:r>
        <w:rPr>
          <w:rStyle w:val="FootnoteReference"/>
        </w:rPr>
        <w:footnoteReference w:id="16"/>
      </w:r>
    </w:p>
    <w:p w14:paraId="77F49A10" w14:textId="46660791" w:rsidR="007819FD" w:rsidRDefault="007819FD" w:rsidP="007819FD">
      <w:pPr>
        <w:ind w:firstLine="720"/>
      </w:pPr>
      <w:r>
        <w:t>The second source is that of the 12</w:t>
      </w:r>
      <w:r w:rsidRPr="00CF21ED">
        <w:rPr>
          <w:vertAlign w:val="superscript"/>
        </w:rPr>
        <w:t>th</w:t>
      </w:r>
      <w:r>
        <w:t xml:space="preserve"> century manuscript of Jocelyn of Furness, this source had the main influence on the saints’ cult with the retelling of the original </w:t>
      </w:r>
      <w:r>
        <w:rPr>
          <w:i/>
          <w:iCs/>
        </w:rPr>
        <w:t xml:space="preserve">vita </w:t>
      </w:r>
      <w:r>
        <w:t>that it followed. Unlike the first source, this one se</w:t>
      </w:r>
      <w:r w:rsidR="00E57E12">
        <w:t>e</w:t>
      </w:r>
      <w:r>
        <w:t xml:space="preserve">ms to be entirely intact. This is a retelling of the first </w:t>
      </w:r>
      <w:r>
        <w:rPr>
          <w:i/>
          <w:iCs/>
        </w:rPr>
        <w:t>vita</w:t>
      </w:r>
      <w:r>
        <w:t xml:space="preserve"> but written in grammatically correct Latin. Another source stated to be used is named by </w:t>
      </w:r>
      <w:r w:rsidRPr="005F7CA2">
        <w:rPr>
          <w:i/>
          <w:iCs/>
        </w:rPr>
        <w:t>‘a little volume’</w:t>
      </w:r>
      <w:r w:rsidRPr="003D077B">
        <w:t xml:space="preserve"> </w:t>
      </w:r>
      <w:r>
        <w:t xml:space="preserve">which was written in </w:t>
      </w:r>
      <w:proofErr w:type="spellStart"/>
      <w:r>
        <w:t>Scottic</w:t>
      </w:r>
      <w:proofErr w:type="spellEnd"/>
      <w:r>
        <w:t>.</w:t>
      </w:r>
      <w:r>
        <w:rPr>
          <w:rStyle w:val="FootnoteReference"/>
        </w:rPr>
        <w:footnoteReference w:id="17"/>
      </w:r>
      <w:r>
        <w:t xml:space="preserve"> Jackson states that Jocelyn himself was not Gaelic, but a foreigner to the land due to the importance of naming places that Jocelyn misses in his writing, the Celtic tradition of putting importance on place names hold dearly to their hearts while storytelling.</w:t>
      </w:r>
      <w:r>
        <w:rPr>
          <w:rStyle w:val="FootnoteReference"/>
        </w:rPr>
        <w:footnoteReference w:id="18"/>
      </w:r>
      <w:r>
        <w:t xml:space="preserve"> The political aims are similar from the last one from the excerpt that we are given, but the main change to the Herbertian text that survived is that Saint Kentigern was not born from a virgin mother. The author of this manuscript doubles his effort to make that known to the reader. The </w:t>
      </w:r>
      <w:r>
        <w:rPr>
          <w:i/>
          <w:iCs/>
        </w:rPr>
        <w:t>vita</w:t>
      </w:r>
      <w:r>
        <w:t xml:space="preserve"> points in the direction that Kentigern was concepted possibly by force while unknowing to her, he writes the following, </w:t>
      </w:r>
    </w:p>
    <w:p w14:paraId="7DC75384" w14:textId="77777777" w:rsidR="007819FD" w:rsidRDefault="007819FD" w:rsidP="007819FD">
      <w:pPr>
        <w:ind w:firstLine="720"/>
        <w:jc w:val="center"/>
        <w:rPr>
          <w:i/>
          <w:iCs/>
        </w:rPr>
      </w:pPr>
      <w:r w:rsidRPr="00097A21">
        <w:rPr>
          <w:i/>
          <w:iCs/>
        </w:rPr>
        <w:t>‘It is certain moreover that many have drunk the potion of oblivion, which physicists call Letargion’</w:t>
      </w:r>
      <w:r>
        <w:rPr>
          <w:i/>
          <w:iCs/>
        </w:rPr>
        <w:t>,</w:t>
      </w:r>
      <w:r w:rsidRPr="00097A21">
        <w:rPr>
          <w:i/>
          <w:iCs/>
        </w:rPr>
        <w:t xml:space="preserve"> ‘we have known also that by the sleight of hand of soothsayers, </w:t>
      </w:r>
      <w:proofErr w:type="gramStart"/>
      <w:r w:rsidRPr="00097A21">
        <w:rPr>
          <w:i/>
          <w:iCs/>
        </w:rPr>
        <w:t>maidens</w:t>
      </w:r>
      <w:proofErr w:type="gramEnd"/>
      <w:r w:rsidRPr="00097A21">
        <w:rPr>
          <w:i/>
          <w:iCs/>
        </w:rPr>
        <w:t xml:space="preserve"> chastity has been stormed’.</w:t>
      </w:r>
      <w:r w:rsidRPr="00097A21">
        <w:rPr>
          <w:rStyle w:val="FootnoteReference"/>
          <w:i/>
          <w:iCs/>
        </w:rPr>
        <w:footnoteReference w:id="19"/>
      </w:r>
    </w:p>
    <w:p w14:paraId="62DBEAF5" w14:textId="502B32E7" w:rsidR="007819FD" w:rsidRPr="00097A21" w:rsidRDefault="007819FD" w:rsidP="007819FD">
      <w:pPr>
        <w:ind w:firstLine="720"/>
        <w:rPr>
          <w:i/>
          <w:iCs/>
        </w:rPr>
      </w:pPr>
      <w:r>
        <w:t xml:space="preserve">He is very careful with the words here as Teneu is also a saint, so he does not want to offend by insulting her, but you can tell he is </w:t>
      </w:r>
      <w:r w:rsidR="00E35727">
        <w:t>fabricating theories</w:t>
      </w:r>
      <w:r>
        <w:t xml:space="preserve"> to discredit the virgin birth, Jackson even writes that Jocelyn </w:t>
      </w:r>
      <w:r w:rsidRPr="007B73F4">
        <w:rPr>
          <w:i/>
          <w:iCs/>
        </w:rPr>
        <w:t>‘tries to gloss it over’.</w:t>
      </w:r>
      <w:r w:rsidRPr="007B73F4">
        <w:rPr>
          <w:rStyle w:val="FootnoteReference"/>
          <w:i/>
          <w:iCs/>
        </w:rPr>
        <w:footnoteReference w:id="20"/>
      </w:r>
      <w:r w:rsidRPr="0085706B">
        <w:t xml:space="preserve"> </w:t>
      </w:r>
      <w:r>
        <w:t xml:space="preserve">Jackson also notes that he views Jocelyn as ‘a bit of a prude’. Rev. </w:t>
      </w:r>
      <w:proofErr w:type="spellStart"/>
      <w:r>
        <w:t>Mgr</w:t>
      </w:r>
      <w:proofErr w:type="spellEnd"/>
      <w:r>
        <w:t xml:space="preserve"> McRoberts go as far to say, ‘Jocelyn is more interested in miracles than in historical accuracy’.</w:t>
      </w:r>
      <w:r>
        <w:rPr>
          <w:rStyle w:val="FootnoteReference"/>
        </w:rPr>
        <w:footnoteReference w:id="21"/>
      </w:r>
    </w:p>
    <w:p w14:paraId="29D1AA86" w14:textId="77777777" w:rsidR="007819FD" w:rsidRDefault="007819FD" w:rsidP="007819FD">
      <w:pPr>
        <w:ind w:firstLine="720"/>
      </w:pPr>
      <w:r w:rsidRPr="00DC1BC6">
        <w:t xml:space="preserve">Kentigern was a saint who </w:t>
      </w:r>
      <w:r>
        <w:t>has performed many miraculous deeds</w:t>
      </w:r>
      <w:r w:rsidRPr="00DC1BC6">
        <w:t xml:space="preserve">, while he has many added to his repertoire in this </w:t>
      </w:r>
      <w:r>
        <w:rPr>
          <w:i/>
          <w:iCs/>
        </w:rPr>
        <w:t>vita</w:t>
      </w:r>
      <w:r w:rsidRPr="00DC1BC6">
        <w:t>, he is</w:t>
      </w:r>
      <w:r>
        <w:t xml:space="preserve"> commonly</w:t>
      </w:r>
      <w:r w:rsidRPr="00DC1BC6">
        <w:t xml:space="preserve"> known for three that appear in this text and one that is </w:t>
      </w:r>
      <w:r>
        <w:t>may only be hinted inside</w:t>
      </w:r>
      <w:r w:rsidRPr="00DC1BC6">
        <w:t xml:space="preserve"> the source. </w:t>
      </w:r>
      <w:r>
        <w:t>W</w:t>
      </w:r>
      <w:r w:rsidRPr="00DC1BC6">
        <w:t>e find three chapters in this writing that directly reference these</w:t>
      </w:r>
      <w:r>
        <w:t>,</w:t>
      </w:r>
      <w:r w:rsidRPr="00DC1BC6">
        <w:t xml:space="preserve"> </w:t>
      </w:r>
      <w:r>
        <w:t>they</w:t>
      </w:r>
      <w:r w:rsidRPr="00DC1BC6">
        <w:t xml:space="preserve"> are most important to the cults</w:t>
      </w:r>
      <w:r>
        <w:t>’</w:t>
      </w:r>
      <w:r w:rsidRPr="00DC1BC6">
        <w:t xml:space="preserve"> development. The bird, the tree, and the fish. These are common mot</w:t>
      </w:r>
      <w:r>
        <w:t>ifs for Kentigern,</w:t>
      </w:r>
      <w:r w:rsidRPr="00DC1BC6">
        <w:t xml:space="preserve"> we </w:t>
      </w:r>
      <w:r>
        <w:t>see these in depictions of Kentigern</w:t>
      </w:r>
      <w:r w:rsidRPr="00DC1BC6">
        <w:t xml:space="preserve"> as well as on the coat of arms of the city of Glasgow. The fourth miracle is something that seems to be only hinted in this </w:t>
      </w:r>
      <w:r w:rsidRPr="00D608DE">
        <w:rPr>
          <w:i/>
          <w:iCs/>
        </w:rPr>
        <w:t>vita</w:t>
      </w:r>
      <w:r w:rsidRPr="00DC1BC6">
        <w:t xml:space="preserve"> when Jocelyn talks about the ‘gifts’ he brought back from Rome</w:t>
      </w:r>
      <w:r>
        <w:t>, some have thought</w:t>
      </w:r>
      <w:r w:rsidRPr="00DC1BC6">
        <w:t xml:space="preserve"> </w:t>
      </w:r>
      <w:r>
        <w:t>t</w:t>
      </w:r>
      <w:r w:rsidRPr="00DC1BC6">
        <w:t>his could point to his elusive bell as it</w:t>
      </w:r>
      <w:r>
        <w:t xml:space="preserve"> has been</w:t>
      </w:r>
      <w:r w:rsidRPr="00DC1BC6">
        <w:t xml:space="preserve"> </w:t>
      </w:r>
      <w:r>
        <w:t>speculated</w:t>
      </w:r>
      <w:r w:rsidRPr="00DC1BC6">
        <w:t xml:space="preserve"> to be a gift from Rome</w:t>
      </w:r>
      <w:r>
        <w:t>.</w:t>
      </w:r>
      <w:r>
        <w:rPr>
          <w:rStyle w:val="FootnoteReference"/>
        </w:rPr>
        <w:footnoteReference w:id="22"/>
      </w:r>
    </w:p>
    <w:p w14:paraId="6B879145" w14:textId="77777777" w:rsidR="007819FD" w:rsidRDefault="007819FD" w:rsidP="007819FD">
      <w:pPr>
        <w:ind w:firstLine="720"/>
      </w:pPr>
      <w:r>
        <w:t xml:space="preserve">Kentigern although seems to have many other miracles of note in these writings, one I find to be of note here is the miracle of raising the dead cook to cater for the bishop Saint Serf during his tutelage. It seems odd that this isn’t one of his main miracles in the cult of Kentigern as this is a clearly strong motif of the resurrection of Lazarus, the cook even lived for seven long years after the </w:t>
      </w:r>
      <w:r>
        <w:lastRenderedPageBreak/>
        <w:t>resurrection before succumbing to death once again. The power over life and death is surely a virtue that would only bolster the cult of Kentigern.</w:t>
      </w:r>
      <w:r>
        <w:rPr>
          <w:rStyle w:val="FootnoteReference"/>
        </w:rPr>
        <w:footnoteReference w:id="23"/>
      </w:r>
    </w:p>
    <w:p w14:paraId="4ADD05EB" w14:textId="77777777" w:rsidR="007819FD" w:rsidRDefault="007819FD" w:rsidP="007819FD">
      <w:pPr>
        <w:ind w:firstLine="720"/>
      </w:pPr>
      <w:r>
        <w:t>Another chapter of note is the meeting between Kentigern and the Cambrian king Rederech, in short, he hands Kentigern the dominion and princedom over all his kingdom. He declares himself Kentigern’s subject in a reference to Constantine and Saint Silvester, and it is said the prince was always subject to the bishop. The power was transferred to his own city of Glasgow.</w:t>
      </w:r>
      <w:r>
        <w:rPr>
          <w:rStyle w:val="FootnoteReference"/>
        </w:rPr>
        <w:footnoteReference w:id="24"/>
      </w:r>
      <w:r>
        <w:t xml:space="preserve"> This has a strong taste of political motivation bishop of Saint Asaph who is Kentigern has claim over the lands of Cambria and he transferred it over to the diocese of Glasgow.</w:t>
      </w:r>
    </w:p>
    <w:p w14:paraId="5E220C16" w14:textId="77777777" w:rsidR="007819FD" w:rsidRDefault="007819FD" w:rsidP="007819FD">
      <w:pPr>
        <w:ind w:firstLine="720"/>
      </w:pPr>
      <w:r>
        <w:t>We find another source that comes before the first two, written in the southern west Welsh kingdom of Dyfed, ‘</w:t>
      </w:r>
      <w:r w:rsidRPr="004C2D00">
        <w:rPr>
          <w:i/>
          <w:iCs/>
        </w:rPr>
        <w:t xml:space="preserve">Annales </w:t>
      </w:r>
      <w:proofErr w:type="spellStart"/>
      <w:r w:rsidRPr="004C2D00">
        <w:rPr>
          <w:i/>
          <w:iCs/>
        </w:rPr>
        <w:t>Cambriae</w:t>
      </w:r>
      <w:proofErr w:type="spellEnd"/>
      <w:r>
        <w:rPr>
          <w:i/>
          <w:iCs/>
        </w:rPr>
        <w:t>’</w:t>
      </w:r>
      <w:r>
        <w:t xml:space="preserve"> and while it is only an entry in an annal it shows us the possible death date of Kentigern, this was written nearly 200 years after his death making it appear around the last decade of the eight century, this is an important factor, this proves that Kentigern was most likely a real man.</w:t>
      </w:r>
      <w:r>
        <w:rPr>
          <w:rStyle w:val="FootnoteReference"/>
        </w:rPr>
        <w:footnoteReference w:id="25"/>
      </w:r>
      <w:r>
        <w:t xml:space="preserve"> This information lets us assume that the cult of Kentigern was a possibility before the promotion by the Herbertian and the Jocelyn </w:t>
      </w:r>
      <w:r>
        <w:rPr>
          <w:i/>
          <w:iCs/>
        </w:rPr>
        <w:t xml:space="preserve">vitae. </w:t>
      </w:r>
      <w:r>
        <w:t xml:space="preserve">He was clearly a developed enough figure in the Christian life and would clarify why the Herbertian author asked the local people he trusted while gathering information.            </w:t>
      </w:r>
    </w:p>
    <w:p w14:paraId="6D697290" w14:textId="6A7C4695" w:rsidR="007819FD" w:rsidRDefault="007819FD" w:rsidP="007819FD">
      <w:pPr>
        <w:ind w:firstLine="720"/>
      </w:pPr>
      <w:r>
        <w:t xml:space="preserve">  We find other sources that are relevant to Kentigern, but at the time they are written the cult was already well established and they build from the previous sources mentioned</w:t>
      </w:r>
      <w:r w:rsidR="00FF5F51">
        <w:t>.</w:t>
      </w:r>
      <w:r>
        <w:t xml:space="preserve"> </w:t>
      </w:r>
      <w:r w:rsidR="00FF5F51">
        <w:t>F</w:t>
      </w:r>
      <w:r>
        <w:t xml:space="preserve">or this </w:t>
      </w:r>
      <w:r w:rsidR="005D08BB">
        <w:t>reason,</w:t>
      </w:r>
      <w:r>
        <w:t xml:space="preserve"> I will not include them here</w:t>
      </w:r>
      <w:r w:rsidR="005D08BB">
        <w:t>. I</w:t>
      </w:r>
      <w:r>
        <w:t>t is a common theory that one of these sources have a different point of reference and Alexander Boyle goes into detail about his findings into the matter.</w:t>
      </w:r>
      <w:r>
        <w:rPr>
          <w:rStyle w:val="FootnoteReference"/>
        </w:rPr>
        <w:footnoteReference w:id="26"/>
      </w:r>
      <w:r>
        <w:t xml:space="preserve">   </w:t>
      </w:r>
    </w:p>
    <w:p w14:paraId="1C38D9F8" w14:textId="048B66FA" w:rsidR="007819FD" w:rsidRDefault="007819FD" w:rsidP="007819FD">
      <w:pPr>
        <w:ind w:firstLine="720"/>
      </w:pPr>
      <w:r>
        <w:t xml:space="preserve">The name dropping of other saints in the </w:t>
      </w:r>
      <w:r>
        <w:rPr>
          <w:i/>
          <w:iCs/>
        </w:rPr>
        <w:t>vita</w:t>
      </w:r>
      <w:r>
        <w:t xml:space="preserve"> composed by Jocelyn happens somewhat rarely compared to other </w:t>
      </w:r>
      <w:r>
        <w:rPr>
          <w:i/>
          <w:iCs/>
        </w:rPr>
        <w:t>Vitae,</w:t>
      </w:r>
      <w:r>
        <w:t xml:space="preserve"> but nonetheless it still happens.</w:t>
      </w:r>
      <w:r>
        <w:rPr>
          <w:i/>
          <w:iCs/>
        </w:rPr>
        <w:t xml:space="preserve"> </w:t>
      </w:r>
      <w:r>
        <w:t xml:space="preserve">It is usually a popular tactic to bring a common ground between those who are written and those who are venerated within Christendom. They borrow fame of someone somewhat more well-known at the time and add it to their own repertoire. We find that five main saints other than Kentigern are mentioned within this </w:t>
      </w:r>
      <w:r>
        <w:rPr>
          <w:i/>
          <w:iCs/>
        </w:rPr>
        <w:t>vita</w:t>
      </w:r>
      <w:r>
        <w:t xml:space="preserve"> Saint Teneu, Saint Serf, Saint David, Saint Colombo, and Saint Asaph. To write that another saint accepted the holiness of Kentigern is a clear design intended to build a repertoire for the </w:t>
      </w:r>
      <w:r>
        <w:rPr>
          <w:i/>
          <w:iCs/>
        </w:rPr>
        <w:t>vita</w:t>
      </w:r>
      <w:r>
        <w:t xml:space="preserve"> to solidify its sanctity, for who better than another saint to use as a reference to increase importance and power. Saint David and Saint Columbo were monumental saints to draw legitimacy from. The meeting of Kentigern and David the first time in the vita is a clear indicator of this,</w:t>
      </w:r>
    </w:p>
    <w:p w14:paraId="4C0ED184" w14:textId="77777777" w:rsidR="007819FD" w:rsidRDefault="007819FD" w:rsidP="007819FD">
      <w:pPr>
        <w:ind w:firstLine="720"/>
        <w:jc w:val="center"/>
      </w:pPr>
      <w:r w:rsidRPr="00826C89">
        <w:rPr>
          <w:i/>
          <w:iCs/>
        </w:rPr>
        <w:t>‘With eyes overflowing with tears, and mutually embracing, he received Kentigern as an angel of the lord, dear to god, and retaining him for a certain time in his immediate vicinity, always honoured him to a wonderful extent.’</w:t>
      </w:r>
      <w:r>
        <w:rPr>
          <w:rStyle w:val="FootnoteReference"/>
          <w:i/>
          <w:iCs/>
        </w:rPr>
        <w:footnoteReference w:id="27"/>
      </w:r>
    </w:p>
    <w:p w14:paraId="6F88874C" w14:textId="77777777" w:rsidR="007819FD" w:rsidRPr="00D247AF" w:rsidRDefault="007819FD" w:rsidP="007819FD">
      <w:pPr>
        <w:ind w:firstLine="720"/>
      </w:pPr>
      <w:r>
        <w:t>Kentigern along with David founded the church of Saint Asaph, they followed a white boar until it was patting the ground. They took that as a sign from God to construct the church there. In this life we see that Saint Asaph was written as the Protégé of Kentigern who handed the church to him. This further creates links with other saints’ cults and builds renown just by being affiliated.</w:t>
      </w:r>
      <w:r>
        <w:rPr>
          <w:rStyle w:val="FootnoteReference"/>
        </w:rPr>
        <w:footnoteReference w:id="28"/>
      </w:r>
    </w:p>
    <w:p w14:paraId="63BB6059" w14:textId="631A0DA1" w:rsidR="007819FD" w:rsidRDefault="007819FD" w:rsidP="007819FD">
      <w:pPr>
        <w:ind w:firstLine="720"/>
      </w:pPr>
      <w:r>
        <w:lastRenderedPageBreak/>
        <w:t xml:space="preserve">Saint Serf is another interesting saint who reportedly had slain a dragon with a pastoral staff, he is also supposedly the founder of the town that Teneu was brought to, Culross. </w:t>
      </w:r>
      <w:r w:rsidR="00F50094">
        <w:t>W</w:t>
      </w:r>
      <w:r>
        <w:t xml:space="preserve">e find </w:t>
      </w:r>
      <w:r w:rsidR="00F50094">
        <w:t xml:space="preserve">here </w:t>
      </w:r>
      <w:r w:rsidR="00EF429A">
        <w:t xml:space="preserve">that </w:t>
      </w:r>
      <w:r>
        <w:t>Kentigern performed many miracles while under his tutelage. Another saint is there to witness Kentigern’s greatness, while also being a mentor links him to another holy character in another Christian cult, once again this is a tactic to increase his legitimacy. He even goes as far to give Kentigern the pet-name he is also known for, Mungo, which we know is in the language of his country.</w:t>
      </w:r>
      <w:r>
        <w:rPr>
          <w:rStyle w:val="FootnoteReference"/>
        </w:rPr>
        <w:footnoteReference w:id="29"/>
      </w:r>
      <w:r>
        <w:t xml:space="preserve"> Which as Jackson writes is a translation of an earlier version of the Welsh ‘</w:t>
      </w:r>
      <w:proofErr w:type="spellStart"/>
      <w:r>
        <w:t>Fy</w:t>
      </w:r>
      <w:proofErr w:type="spellEnd"/>
      <w:r>
        <w:t xml:space="preserve"> </w:t>
      </w:r>
      <w:proofErr w:type="spellStart"/>
      <w:r>
        <w:t>nghu</w:t>
      </w:r>
      <w:proofErr w:type="spellEnd"/>
      <w:r>
        <w:t xml:space="preserve">’, Or my dear one in the language that Saint </w:t>
      </w:r>
      <w:r w:rsidR="00992C4F">
        <w:t>S</w:t>
      </w:r>
      <w:r>
        <w:t>erf considers of his country.</w:t>
      </w:r>
      <w:r>
        <w:rPr>
          <w:rStyle w:val="FootnoteReference"/>
        </w:rPr>
        <w:footnoteReference w:id="30"/>
      </w:r>
    </w:p>
    <w:p w14:paraId="266C2C59" w14:textId="651EF713" w:rsidR="007819FD" w:rsidRDefault="007819FD" w:rsidP="007819FD">
      <w:pPr>
        <w:ind w:firstLine="720"/>
      </w:pPr>
      <w:r w:rsidRPr="00D27B8A">
        <w:t xml:space="preserve">Saint Teneu is his mother, </w:t>
      </w:r>
      <w:r w:rsidR="00FD307A">
        <w:t xml:space="preserve">and her miracles include </w:t>
      </w:r>
      <w:r w:rsidR="004973D3">
        <w:t xml:space="preserve">surviving </w:t>
      </w:r>
      <w:r w:rsidR="00FD307A">
        <w:t>a</w:t>
      </w:r>
      <w:r w:rsidR="004973D3">
        <w:t xml:space="preserve">n execution by being thrown off a tall cliff </w:t>
      </w:r>
      <w:r w:rsidRPr="00D27B8A">
        <w:t>and</w:t>
      </w:r>
      <w:r>
        <w:t xml:space="preserve"> finding land with a boat without an oar. It seems that the Herbertian life expands on this matter, even speaking about the local legend that as she was pulled downstream to the mouth of the river, the fish followed, and the once bountiful ‘River Stench’ had been made barren. There mention of Kentigern’s ‘Father’ in the Herbertian life and the many Celtic motifs we find in there. Jocelyn seems that these details were not important to the cult itself and were worth leaving out </w:t>
      </w:r>
      <w:r>
        <w:rPr>
          <w:rStyle w:val="FootnoteReference"/>
        </w:rPr>
        <w:footnoteReference w:id="31"/>
      </w:r>
    </w:p>
    <w:p w14:paraId="1EEE0908" w14:textId="2F6E6023" w:rsidR="007819FD" w:rsidRDefault="007819FD" w:rsidP="007819FD">
      <w:pPr>
        <w:ind w:firstLine="720"/>
      </w:pPr>
      <w:r>
        <w:t xml:space="preserve">Saint Columba is mentioned in one chapter of the texts, while it is short it follows the same fashion previously found to build comradery between saints to artificially build renown. They meet each other, embrace each other, witness a crown of light on Kentigern’s head and </w:t>
      </w:r>
      <w:r w:rsidR="005A4E83">
        <w:t>the texts end there</w:t>
      </w:r>
      <w:r>
        <w:t xml:space="preserve">. At this point we are aware of the reason why he is featured in this </w:t>
      </w:r>
      <w:r>
        <w:rPr>
          <w:i/>
          <w:iCs/>
        </w:rPr>
        <w:t>vita</w:t>
      </w:r>
      <w:r>
        <w:t>, if only for a chapter.</w:t>
      </w:r>
    </w:p>
    <w:p w14:paraId="70CB895C" w14:textId="051AC80D" w:rsidR="007819FD" w:rsidRDefault="007819FD" w:rsidP="00802BE8">
      <w:pPr>
        <w:ind w:firstLine="720"/>
      </w:pPr>
      <w:r>
        <w:t xml:space="preserve">There are three main sites that are associated with these </w:t>
      </w:r>
      <w:r>
        <w:rPr>
          <w:i/>
          <w:iCs/>
        </w:rPr>
        <w:t>vitae,</w:t>
      </w:r>
      <w:r>
        <w:t xml:space="preserve"> Culross, Glasgow, and Saint Asaph. There are also two other sites along the path that Kentigern supposedly took to meet Saint David from Glasgow, that being Crosthwaite and Bromfield. In Culross, the patron saint is Serf, but there was a chapel dedicated to Kentigern there suggested by Jackson. This may have induced the tale of the relationship between Serf and Kentigern, were neighbours and these saints were two chief saints of bordering districts.</w:t>
      </w:r>
      <w:r>
        <w:rPr>
          <w:rStyle w:val="FootnoteReference"/>
        </w:rPr>
        <w:footnoteReference w:id="32"/>
      </w:r>
      <w:r>
        <w:t xml:space="preserve"> Kentigern was the founder of Glasgow, the city still holds many depictions of him, as well as Kentigern having a place in its coat of arms, the cathedral there contains the supposed tomb of Kentigern and well as the burial place of Saint Teneu, we also find a 19</w:t>
      </w:r>
      <w:r w:rsidRPr="004A4414">
        <w:rPr>
          <w:vertAlign w:val="superscript"/>
        </w:rPr>
        <w:t>th</w:t>
      </w:r>
      <w:r>
        <w:t xml:space="preserve"> century church there build in dedication to Saint Mungo.</w:t>
      </w:r>
      <w:r w:rsidR="009E63A2">
        <w:t xml:space="preserve"> At saint Asaph Parish Church we find they accept the founding of the church by Kentigern to be reputed and not entirely fact and it seems that they pay their respects to the cult in that manner.</w:t>
      </w:r>
      <w:r w:rsidR="009E63A2">
        <w:rPr>
          <w:rStyle w:val="FootnoteReference"/>
        </w:rPr>
        <w:footnoteReference w:id="33"/>
      </w:r>
      <w:r w:rsidR="009E63A2">
        <w:t xml:space="preserve"> </w:t>
      </w:r>
      <w:r>
        <w:t xml:space="preserve"> In Crosthwaite we find yet another church which is built on a church that had been believed to be built in 553AD under the direction of Kentigern on his journey to meet Saint David in Wales.</w:t>
      </w:r>
      <w:r>
        <w:rPr>
          <w:rStyle w:val="FootnoteReference"/>
        </w:rPr>
        <w:footnoteReference w:id="34"/>
      </w:r>
      <w:r>
        <w:t xml:space="preserve"> This church stands to this day and still honours its tradition to the cult of Saint Kentigern. Herbert Williams the bishop in 1953 said, </w:t>
      </w:r>
    </w:p>
    <w:p w14:paraId="4B61828F" w14:textId="77777777" w:rsidR="007819FD" w:rsidRPr="00667C26" w:rsidRDefault="007819FD" w:rsidP="007819FD">
      <w:pPr>
        <w:ind w:firstLine="720"/>
        <w:jc w:val="center"/>
      </w:pPr>
      <w:r w:rsidRPr="00383169">
        <w:rPr>
          <w:i/>
          <w:iCs/>
        </w:rPr>
        <w:t>‘I am so glad that this book should appear in the year of the 1400</w:t>
      </w:r>
      <w:r w:rsidRPr="00383169">
        <w:rPr>
          <w:i/>
          <w:iCs/>
          <w:vertAlign w:val="superscript"/>
        </w:rPr>
        <w:t>th</w:t>
      </w:r>
      <w:r w:rsidRPr="00383169">
        <w:rPr>
          <w:i/>
          <w:iCs/>
        </w:rPr>
        <w:t xml:space="preserve"> anniversary of St. </w:t>
      </w:r>
      <w:proofErr w:type="spellStart"/>
      <w:r w:rsidRPr="00383169">
        <w:rPr>
          <w:i/>
          <w:iCs/>
        </w:rPr>
        <w:t>Kentigerns</w:t>
      </w:r>
      <w:proofErr w:type="spellEnd"/>
      <w:r w:rsidRPr="00383169">
        <w:rPr>
          <w:i/>
          <w:iCs/>
        </w:rPr>
        <w:t xml:space="preserve"> Arrival. May many read it!’</w:t>
      </w:r>
      <w:r>
        <w:rPr>
          <w:rStyle w:val="FootnoteReference"/>
          <w:i/>
          <w:iCs/>
        </w:rPr>
        <w:footnoteReference w:id="35"/>
      </w:r>
    </w:p>
    <w:p w14:paraId="76DA96C4" w14:textId="0B2184FF" w:rsidR="007819FD" w:rsidRDefault="007819FD" w:rsidP="007819FD">
      <w:pPr>
        <w:ind w:firstLine="720"/>
      </w:pPr>
      <w:r>
        <w:t xml:space="preserve">Lastly the site at Bromfield is a unique one that still stands, as well as an Old stone cross that resides within a church dedicated to Kentigern we also find a holy well, said to be Kentigern own with an inscription that says </w:t>
      </w:r>
      <w:r>
        <w:rPr>
          <w:i/>
          <w:iCs/>
        </w:rPr>
        <w:t>‘with joy you will draw water from the wells of salvation’</w:t>
      </w:r>
      <w:r>
        <w:t xml:space="preserve">, there does not seem to be any hard evidence that this is in fact the holy well of Kentigern, but there is always a </w:t>
      </w:r>
      <w:r>
        <w:lastRenderedPageBreak/>
        <w:t>possibility, perhaps it was recorded through oral traditions rather than literary texts. The church itself claims to may have been there in the 3</w:t>
      </w:r>
      <w:r w:rsidRPr="005925D8">
        <w:rPr>
          <w:vertAlign w:val="superscript"/>
        </w:rPr>
        <w:t>rd</w:t>
      </w:r>
      <w:r>
        <w:t xml:space="preserve"> century and rebuilt in the time of Kentigern 670 AD.</w:t>
      </w:r>
      <w:r>
        <w:rPr>
          <w:rStyle w:val="FootnoteReference"/>
        </w:rPr>
        <w:footnoteReference w:id="36"/>
      </w:r>
    </w:p>
    <w:p w14:paraId="13085B80" w14:textId="56CCCC74" w:rsidR="007819FD" w:rsidRDefault="007819FD" w:rsidP="007819FD">
      <w:pPr>
        <w:ind w:firstLine="720"/>
      </w:pPr>
      <w:r>
        <w:t>In conclusion we can say that the cult of Kentigern was a successful one that still stands to this day</w:t>
      </w:r>
      <w:r w:rsidR="009E63A2">
        <w:t>,</w:t>
      </w:r>
      <w:r>
        <w:t xml:space="preserve"> Kentigern himself was most likely a real person who had a local legend </w:t>
      </w:r>
      <w:r w:rsidR="009E63A2">
        <w:t>in myth and folklore, he is also recognised as an important figure during the age of saints. The path he travelled into Wales bears the mark of Kentigern as the cult spread into the south of its</w:t>
      </w:r>
      <w:r w:rsidR="00120920">
        <w:t xml:space="preserve"> diocese of Glasgow that we can witness to this very day. The work that Jocelyn took to review the Herbertian </w:t>
      </w:r>
      <w:r w:rsidR="00120920">
        <w:rPr>
          <w:i/>
          <w:iCs/>
        </w:rPr>
        <w:t>vita</w:t>
      </w:r>
      <w:r w:rsidR="00120920">
        <w:t xml:space="preserve"> was a monumental undertaking, and it seems that this work succeeded in creating the cult that still stands. Although there are many arguments about the legitimacy of Kentigern as an actual person, I think that the romanticisation of the age of the saints is a creative and somewhat beautiful one, even if such a cult was constructed with nefarious mean in mind. Davies even says that Kentigern is a later recreation of an earlier artefact, and I agree with this statement as there is some reasonable evidence to support it.</w:t>
      </w:r>
      <w:r w:rsidR="00120920">
        <w:rPr>
          <w:rStyle w:val="FootnoteReference"/>
        </w:rPr>
        <w:footnoteReference w:id="37"/>
      </w:r>
    </w:p>
    <w:p w14:paraId="0DD25241" w14:textId="16D03A05" w:rsidR="00120920" w:rsidRDefault="00120920" w:rsidP="007819FD">
      <w:pPr>
        <w:ind w:firstLine="720"/>
      </w:pPr>
      <w:r>
        <w:t xml:space="preserve">Using other </w:t>
      </w:r>
      <w:r w:rsidR="0086460F">
        <w:t>well-known</w:t>
      </w:r>
      <w:r>
        <w:t xml:space="preserve"> saints to legitimise the cult is a tactic that is used often, the way Jocelyn writes these events makes it painstakingly </w:t>
      </w:r>
      <w:r w:rsidR="0086460F">
        <w:t>obvious,</w:t>
      </w:r>
      <w:r>
        <w:t xml:space="preserve"> but this was the fashion with the writing of the </w:t>
      </w:r>
      <w:r>
        <w:rPr>
          <w:i/>
          <w:iCs/>
        </w:rPr>
        <w:t>vitae</w:t>
      </w:r>
      <w:r>
        <w:t xml:space="preserve"> at the time, this recognition would surely lead to an uptick in funds available for the medieval city of Glasgow</w:t>
      </w:r>
      <w:r w:rsidR="0086460F">
        <w:t xml:space="preserve"> increasing commerce and attracting pilgrims. There is even speculation on evangelical missions to the west islands, such as Orkney, Iceland, and Norway.</w:t>
      </w:r>
      <w:r w:rsidR="0086460F">
        <w:rPr>
          <w:rStyle w:val="FootnoteReference"/>
        </w:rPr>
        <w:footnoteReference w:id="38"/>
      </w:r>
      <w:r w:rsidR="0086460F">
        <w:t xml:space="preserve"> Although there is no hard evidence of this it shows the lengths that the original </w:t>
      </w:r>
      <w:r w:rsidR="0086460F">
        <w:rPr>
          <w:i/>
          <w:iCs/>
        </w:rPr>
        <w:t>vita</w:t>
      </w:r>
      <w:r w:rsidR="0086460F">
        <w:t xml:space="preserve"> had on the cult. Even on the coat of arms in Glasgow can we still see the remnants of a time when the cult was at its peak, to be put on a plinth with the likes of other legendary Celtic era saints, with the likes of David, Columbo, Cuthbert and Patrick. To question the Cults integrity before Jocelyn of Furness composed the </w:t>
      </w:r>
      <w:r w:rsidR="0086460F">
        <w:rPr>
          <w:i/>
          <w:iCs/>
        </w:rPr>
        <w:t xml:space="preserve">vita </w:t>
      </w:r>
      <w:r w:rsidR="0086460F">
        <w:t>is fair,</w:t>
      </w:r>
      <w:r w:rsidR="0086460F">
        <w:rPr>
          <w:i/>
          <w:iCs/>
        </w:rPr>
        <w:t xml:space="preserve"> </w:t>
      </w:r>
      <w:r w:rsidR="0086460F" w:rsidRPr="0086460F">
        <w:t xml:space="preserve">but in his writings Jocelyn of Furness has </w:t>
      </w:r>
      <w:r w:rsidR="0086460F">
        <w:t xml:space="preserve">eternalised it. </w:t>
      </w:r>
    </w:p>
    <w:p w14:paraId="60210AA1" w14:textId="6EA1A012" w:rsidR="0086460F" w:rsidRDefault="0086460F" w:rsidP="007819FD">
      <w:pPr>
        <w:ind w:firstLine="720"/>
      </w:pPr>
    </w:p>
    <w:p w14:paraId="538EFD5C" w14:textId="4BD28853" w:rsidR="0086460F" w:rsidRPr="002A06A5" w:rsidRDefault="0086460F" w:rsidP="0086460F">
      <w:pPr>
        <w:ind w:firstLine="720"/>
        <w:jc w:val="center"/>
        <w:rPr>
          <w:i/>
          <w:iCs/>
        </w:rPr>
      </w:pPr>
      <w:r w:rsidRPr="002A06A5">
        <w:rPr>
          <w:i/>
          <w:iCs/>
        </w:rPr>
        <w:t>‘Here is the bird that never flew</w:t>
      </w:r>
      <w:r>
        <w:rPr>
          <w:i/>
          <w:iCs/>
        </w:rPr>
        <w:t>,</w:t>
      </w:r>
    </w:p>
    <w:p w14:paraId="2F9A9361" w14:textId="66C4A494" w:rsidR="0086460F" w:rsidRPr="002A06A5" w:rsidRDefault="0086460F" w:rsidP="0086460F">
      <w:pPr>
        <w:ind w:firstLine="720"/>
        <w:jc w:val="center"/>
        <w:rPr>
          <w:i/>
          <w:iCs/>
        </w:rPr>
      </w:pPr>
      <w:r w:rsidRPr="002A06A5">
        <w:rPr>
          <w:i/>
          <w:iCs/>
        </w:rPr>
        <w:t>Here is the tree that never grew</w:t>
      </w:r>
      <w:r>
        <w:rPr>
          <w:i/>
          <w:iCs/>
        </w:rPr>
        <w:t>,</w:t>
      </w:r>
    </w:p>
    <w:p w14:paraId="5814CBB9" w14:textId="20EAA619" w:rsidR="0086460F" w:rsidRPr="002A06A5" w:rsidRDefault="0086460F" w:rsidP="0086460F">
      <w:pPr>
        <w:ind w:firstLine="720"/>
        <w:jc w:val="center"/>
        <w:rPr>
          <w:i/>
          <w:iCs/>
        </w:rPr>
      </w:pPr>
      <w:r w:rsidRPr="002A06A5">
        <w:rPr>
          <w:i/>
          <w:iCs/>
        </w:rPr>
        <w:t>Here is the bell that never rang</w:t>
      </w:r>
      <w:r>
        <w:rPr>
          <w:i/>
          <w:iCs/>
        </w:rPr>
        <w:t>,</w:t>
      </w:r>
    </w:p>
    <w:p w14:paraId="30D87018" w14:textId="64F2C8DF" w:rsidR="0086460F" w:rsidRDefault="0086460F" w:rsidP="0086460F">
      <w:pPr>
        <w:ind w:firstLine="720"/>
        <w:jc w:val="center"/>
        <w:rPr>
          <w:i/>
          <w:iCs/>
        </w:rPr>
      </w:pPr>
      <w:r w:rsidRPr="002A06A5">
        <w:rPr>
          <w:i/>
          <w:iCs/>
        </w:rPr>
        <w:t>Here is the fish that never swam</w:t>
      </w:r>
      <w:r>
        <w:rPr>
          <w:i/>
          <w:iCs/>
        </w:rPr>
        <w:t>.’</w:t>
      </w:r>
    </w:p>
    <w:p w14:paraId="4986CDB9" w14:textId="77777777" w:rsidR="0086460F" w:rsidRPr="0086460F" w:rsidRDefault="0086460F" w:rsidP="007819FD">
      <w:pPr>
        <w:ind w:firstLine="720"/>
      </w:pPr>
    </w:p>
    <w:p w14:paraId="0447130F" w14:textId="64B15B5B" w:rsidR="00147F04" w:rsidRDefault="00147F04"/>
    <w:p w14:paraId="030AAFF1" w14:textId="4C0C6A05" w:rsidR="009E63A2" w:rsidRDefault="009E63A2"/>
    <w:p w14:paraId="134C27E0" w14:textId="6BA26FA0" w:rsidR="009E63A2" w:rsidRDefault="009E63A2"/>
    <w:p w14:paraId="79DBF24A" w14:textId="08C65D1C" w:rsidR="00414531" w:rsidRDefault="00414531" w:rsidP="00CB0399"/>
    <w:p w14:paraId="3CEEAAAD" w14:textId="77777777" w:rsidR="00CB0399" w:rsidRDefault="00CB0399" w:rsidP="00CB0399">
      <w:pPr>
        <w:rPr>
          <w:u w:val="single"/>
        </w:rPr>
      </w:pPr>
    </w:p>
    <w:p w14:paraId="18131E96" w14:textId="77777777" w:rsidR="004A35FB" w:rsidRDefault="004A35FB" w:rsidP="00414531">
      <w:pPr>
        <w:ind w:firstLine="720"/>
        <w:jc w:val="center"/>
        <w:rPr>
          <w:sz w:val="40"/>
          <w:szCs w:val="40"/>
          <w:u w:val="single"/>
        </w:rPr>
      </w:pPr>
    </w:p>
    <w:p w14:paraId="6E319E2B" w14:textId="136EADED" w:rsidR="009E63A2" w:rsidRPr="00414531" w:rsidRDefault="009E63A2" w:rsidP="00414531">
      <w:pPr>
        <w:ind w:firstLine="720"/>
        <w:jc w:val="center"/>
        <w:rPr>
          <w:sz w:val="40"/>
          <w:szCs w:val="40"/>
          <w:u w:val="single"/>
        </w:rPr>
      </w:pPr>
      <w:r w:rsidRPr="00414531">
        <w:rPr>
          <w:sz w:val="40"/>
          <w:szCs w:val="40"/>
          <w:u w:val="single"/>
        </w:rPr>
        <w:lastRenderedPageBreak/>
        <w:t>Bibliography.</w:t>
      </w:r>
    </w:p>
    <w:p w14:paraId="008DB702" w14:textId="052203D0" w:rsidR="009E63A2" w:rsidRPr="00414531" w:rsidRDefault="009E63A2" w:rsidP="009E63A2">
      <w:pPr>
        <w:ind w:firstLine="720"/>
        <w:rPr>
          <w:rFonts w:cstheme="minorHAnsi"/>
          <w:sz w:val="28"/>
          <w:szCs w:val="28"/>
          <w:u w:val="single"/>
        </w:rPr>
      </w:pPr>
      <w:r w:rsidRPr="00414531">
        <w:rPr>
          <w:rFonts w:cstheme="minorHAnsi"/>
          <w:sz w:val="28"/>
          <w:szCs w:val="28"/>
          <w:u w:val="single"/>
        </w:rPr>
        <w:t>Main Sources</w:t>
      </w:r>
      <w:r w:rsidR="0086460F" w:rsidRPr="00414531">
        <w:rPr>
          <w:rFonts w:cstheme="minorHAnsi"/>
          <w:sz w:val="28"/>
          <w:szCs w:val="28"/>
          <w:u w:val="single"/>
        </w:rPr>
        <w:t>.</w:t>
      </w:r>
    </w:p>
    <w:p w14:paraId="27900015" w14:textId="77777777" w:rsidR="0086460F" w:rsidRPr="00414531" w:rsidRDefault="0086460F" w:rsidP="00414531">
      <w:pPr>
        <w:rPr>
          <w:rFonts w:cstheme="minorHAnsi"/>
          <w:color w:val="000000"/>
          <w:sz w:val="20"/>
          <w:szCs w:val="20"/>
        </w:rPr>
      </w:pPr>
      <w:r w:rsidRPr="00414531">
        <w:rPr>
          <w:rFonts w:cstheme="minorHAnsi"/>
          <w:color w:val="000000"/>
          <w:sz w:val="20"/>
          <w:szCs w:val="20"/>
        </w:rPr>
        <w:t xml:space="preserve">Chadwick, Nora, and others, </w:t>
      </w:r>
      <w:r w:rsidRPr="00414531">
        <w:rPr>
          <w:rFonts w:cstheme="minorHAnsi"/>
          <w:i/>
          <w:iCs/>
          <w:color w:val="000000"/>
          <w:sz w:val="20"/>
          <w:szCs w:val="20"/>
        </w:rPr>
        <w:t xml:space="preserve">The Sources </w:t>
      </w:r>
      <w:proofErr w:type="gramStart"/>
      <w:r w:rsidRPr="00414531">
        <w:rPr>
          <w:rFonts w:cstheme="minorHAnsi"/>
          <w:i/>
          <w:iCs/>
          <w:color w:val="000000"/>
          <w:sz w:val="20"/>
          <w:szCs w:val="20"/>
        </w:rPr>
        <w:t>For</w:t>
      </w:r>
      <w:proofErr w:type="gramEnd"/>
      <w:r w:rsidRPr="00414531">
        <w:rPr>
          <w:rFonts w:cstheme="minorHAnsi"/>
          <w:i/>
          <w:iCs/>
          <w:color w:val="000000"/>
          <w:sz w:val="20"/>
          <w:szCs w:val="20"/>
        </w:rPr>
        <w:t xml:space="preserve"> The Life Of Saint Kentigern,</w:t>
      </w:r>
      <w:r w:rsidRPr="00414531">
        <w:rPr>
          <w:rFonts w:cstheme="minorHAnsi"/>
          <w:color w:val="000000"/>
          <w:sz w:val="20"/>
          <w:szCs w:val="20"/>
        </w:rPr>
        <w:t> </w:t>
      </w:r>
      <w:r w:rsidRPr="00414531">
        <w:rPr>
          <w:rFonts w:cstheme="minorHAnsi"/>
          <w:i/>
          <w:iCs/>
          <w:color w:val="000000"/>
          <w:sz w:val="20"/>
          <w:szCs w:val="20"/>
        </w:rPr>
        <w:t>Studies in the early British church</w:t>
      </w:r>
      <w:r w:rsidRPr="00414531">
        <w:rPr>
          <w:rFonts w:cstheme="minorHAnsi"/>
          <w:color w:val="000000"/>
          <w:sz w:val="20"/>
          <w:szCs w:val="20"/>
        </w:rPr>
        <w:t xml:space="preserve"> (Cambridge: University Press, 1958), 374 pp. </w:t>
      </w:r>
    </w:p>
    <w:p w14:paraId="57B2840B" w14:textId="77777777" w:rsidR="009E63A2" w:rsidRPr="00414531" w:rsidRDefault="009E63A2" w:rsidP="009E63A2">
      <w:pPr>
        <w:rPr>
          <w:rFonts w:cstheme="minorHAnsi"/>
          <w:sz w:val="20"/>
          <w:szCs w:val="20"/>
        </w:rPr>
      </w:pPr>
      <w:r w:rsidRPr="00414531">
        <w:rPr>
          <w:rFonts w:cstheme="minorHAnsi"/>
          <w:color w:val="000000"/>
          <w:sz w:val="20"/>
          <w:szCs w:val="20"/>
        </w:rPr>
        <w:t xml:space="preserve">Jocelyn Of Furness, </w:t>
      </w:r>
      <w:r w:rsidRPr="00414531">
        <w:rPr>
          <w:rFonts w:cstheme="minorHAnsi"/>
          <w:i/>
          <w:iCs/>
          <w:color w:val="000000"/>
          <w:sz w:val="20"/>
          <w:szCs w:val="20"/>
        </w:rPr>
        <w:t xml:space="preserve">Life </w:t>
      </w:r>
      <w:proofErr w:type="gramStart"/>
      <w:r w:rsidRPr="00414531">
        <w:rPr>
          <w:rFonts w:cstheme="minorHAnsi"/>
          <w:i/>
          <w:iCs/>
          <w:color w:val="000000"/>
          <w:sz w:val="20"/>
          <w:szCs w:val="20"/>
        </w:rPr>
        <w:t>Of</w:t>
      </w:r>
      <w:proofErr w:type="gramEnd"/>
      <w:r w:rsidRPr="00414531">
        <w:rPr>
          <w:rFonts w:cstheme="minorHAnsi"/>
          <w:i/>
          <w:iCs/>
          <w:color w:val="000000"/>
          <w:sz w:val="20"/>
          <w:szCs w:val="20"/>
        </w:rPr>
        <w:t xml:space="preserve"> Saint Kentigern</w:t>
      </w:r>
      <w:r w:rsidRPr="00414531">
        <w:rPr>
          <w:rFonts w:cstheme="minorHAnsi"/>
          <w:color w:val="000000"/>
          <w:sz w:val="20"/>
          <w:szCs w:val="20"/>
        </w:rPr>
        <w:t>, </w:t>
      </w:r>
      <w:r w:rsidRPr="00414531">
        <w:rPr>
          <w:rFonts w:cstheme="minorHAnsi"/>
          <w:i/>
          <w:iCs/>
          <w:color w:val="000000"/>
          <w:sz w:val="20"/>
          <w:szCs w:val="20"/>
        </w:rPr>
        <w:t xml:space="preserve">Two Celtic saints: The life of Saint </w:t>
      </w:r>
      <w:proofErr w:type="spellStart"/>
      <w:r w:rsidRPr="00414531">
        <w:rPr>
          <w:rFonts w:cstheme="minorHAnsi"/>
          <w:i/>
          <w:iCs/>
          <w:color w:val="000000"/>
          <w:sz w:val="20"/>
          <w:szCs w:val="20"/>
        </w:rPr>
        <w:t>Ninian</w:t>
      </w:r>
      <w:proofErr w:type="spellEnd"/>
      <w:r w:rsidRPr="00414531">
        <w:rPr>
          <w:rFonts w:cstheme="minorHAnsi"/>
          <w:i/>
          <w:iCs/>
          <w:color w:val="000000"/>
          <w:sz w:val="20"/>
          <w:szCs w:val="20"/>
        </w:rPr>
        <w:t xml:space="preserve"> and Kentigern</w:t>
      </w:r>
      <w:r w:rsidRPr="00414531">
        <w:rPr>
          <w:rFonts w:cstheme="minorHAnsi"/>
          <w:color w:val="000000"/>
          <w:sz w:val="20"/>
          <w:szCs w:val="20"/>
        </w:rPr>
        <w:t> (</w:t>
      </w:r>
      <w:proofErr w:type="spellStart"/>
      <w:r w:rsidRPr="00414531">
        <w:rPr>
          <w:rFonts w:cstheme="minorHAnsi"/>
          <w:color w:val="000000"/>
          <w:sz w:val="20"/>
          <w:szCs w:val="20"/>
        </w:rPr>
        <w:t>Felinfach</w:t>
      </w:r>
      <w:proofErr w:type="spellEnd"/>
      <w:r w:rsidRPr="00414531">
        <w:rPr>
          <w:rFonts w:cstheme="minorHAnsi"/>
          <w:color w:val="000000"/>
          <w:sz w:val="20"/>
          <w:szCs w:val="20"/>
        </w:rPr>
        <w:t xml:space="preserve">: </w:t>
      </w:r>
      <w:proofErr w:type="spellStart"/>
      <w:r w:rsidRPr="00414531">
        <w:rPr>
          <w:rFonts w:cstheme="minorHAnsi"/>
          <w:color w:val="000000"/>
          <w:sz w:val="20"/>
          <w:szCs w:val="20"/>
        </w:rPr>
        <w:t>Llanerch</w:t>
      </w:r>
      <w:proofErr w:type="spellEnd"/>
      <w:r w:rsidRPr="00414531">
        <w:rPr>
          <w:rFonts w:cstheme="minorHAnsi"/>
          <w:color w:val="000000"/>
          <w:sz w:val="20"/>
          <w:szCs w:val="20"/>
        </w:rPr>
        <w:t xml:space="preserve"> Enterprises, 1989), 119 pp.</w:t>
      </w:r>
    </w:p>
    <w:p w14:paraId="3A2D8744" w14:textId="77777777" w:rsidR="009E63A2" w:rsidRDefault="009E63A2" w:rsidP="009E63A2">
      <w:pPr>
        <w:ind w:firstLine="720"/>
        <w:rPr>
          <w:rFonts w:ascii="Open Sans" w:hAnsi="Open Sans" w:cs="Open Sans"/>
          <w:color w:val="000000"/>
          <w:sz w:val="21"/>
          <w:szCs w:val="21"/>
        </w:rPr>
      </w:pPr>
    </w:p>
    <w:p w14:paraId="7FAB07C0" w14:textId="78B64FD8" w:rsidR="009E63A2" w:rsidRPr="00414531" w:rsidRDefault="009E63A2" w:rsidP="009E63A2">
      <w:pPr>
        <w:ind w:firstLine="720"/>
        <w:rPr>
          <w:rFonts w:cstheme="minorHAnsi"/>
          <w:color w:val="000000"/>
          <w:sz w:val="28"/>
          <w:szCs w:val="28"/>
          <w:u w:val="single"/>
        </w:rPr>
      </w:pPr>
      <w:r w:rsidRPr="00414531">
        <w:rPr>
          <w:rFonts w:cstheme="minorHAnsi"/>
          <w:color w:val="000000"/>
          <w:sz w:val="28"/>
          <w:szCs w:val="28"/>
          <w:u w:val="single"/>
        </w:rPr>
        <w:t>Secondary sources</w:t>
      </w:r>
      <w:r w:rsidR="0086460F" w:rsidRPr="00414531">
        <w:rPr>
          <w:rFonts w:cstheme="minorHAnsi"/>
          <w:color w:val="000000"/>
          <w:sz w:val="28"/>
          <w:szCs w:val="28"/>
          <w:u w:val="single"/>
        </w:rPr>
        <w:t>.</w:t>
      </w:r>
    </w:p>
    <w:p w14:paraId="5F555EF6" w14:textId="77777777" w:rsidR="009E63A2" w:rsidRPr="00414531" w:rsidRDefault="009E63A2" w:rsidP="00414531">
      <w:pPr>
        <w:rPr>
          <w:rFonts w:cstheme="minorHAnsi"/>
          <w:color w:val="000000"/>
          <w:sz w:val="20"/>
          <w:szCs w:val="20"/>
        </w:rPr>
      </w:pPr>
      <w:r w:rsidRPr="00414531">
        <w:rPr>
          <w:rFonts w:cstheme="minorHAnsi"/>
          <w:color w:val="000000"/>
          <w:sz w:val="20"/>
          <w:szCs w:val="20"/>
        </w:rPr>
        <w:t>Atherton, Mark, </w:t>
      </w:r>
      <w:proofErr w:type="gramStart"/>
      <w:r w:rsidRPr="00414531">
        <w:rPr>
          <w:rFonts w:cstheme="minorHAnsi"/>
          <w:i/>
          <w:iCs/>
          <w:color w:val="000000"/>
          <w:sz w:val="20"/>
          <w:szCs w:val="20"/>
        </w:rPr>
        <w:t>Celts</w:t>
      </w:r>
      <w:proofErr w:type="gramEnd"/>
      <w:r w:rsidRPr="00414531">
        <w:rPr>
          <w:rFonts w:cstheme="minorHAnsi"/>
          <w:i/>
          <w:iCs/>
          <w:color w:val="000000"/>
          <w:sz w:val="20"/>
          <w:szCs w:val="20"/>
        </w:rPr>
        <w:t xml:space="preserve"> and Christians: New Approaches to the Religious Traditions of Britain and Ireland (University of Wales Press - Religion, Culture, and Society)</w:t>
      </w:r>
      <w:r w:rsidRPr="00414531">
        <w:rPr>
          <w:rFonts w:cstheme="minorHAnsi"/>
          <w:color w:val="000000"/>
          <w:sz w:val="20"/>
          <w:szCs w:val="20"/>
        </w:rPr>
        <w:t> (Dinefwr: University of Wales Press, 2002), 211 pp.</w:t>
      </w:r>
    </w:p>
    <w:p w14:paraId="6928FA47" w14:textId="77777777" w:rsidR="009E63A2" w:rsidRPr="00414531" w:rsidRDefault="009E63A2" w:rsidP="00414531">
      <w:pPr>
        <w:rPr>
          <w:rFonts w:cstheme="minorHAnsi"/>
          <w:b/>
          <w:bCs/>
          <w:sz w:val="20"/>
          <w:szCs w:val="20"/>
        </w:rPr>
      </w:pPr>
      <w:r w:rsidRPr="00414531">
        <w:rPr>
          <w:rFonts w:cstheme="minorHAnsi"/>
          <w:color w:val="000000"/>
          <w:sz w:val="20"/>
          <w:szCs w:val="20"/>
        </w:rPr>
        <w:t xml:space="preserve">Boardman, Steve, </w:t>
      </w:r>
      <w:proofErr w:type="spellStart"/>
      <w:r w:rsidRPr="00414531">
        <w:rPr>
          <w:rFonts w:cstheme="minorHAnsi"/>
          <w:color w:val="000000"/>
          <w:sz w:val="20"/>
          <w:szCs w:val="20"/>
        </w:rPr>
        <w:t>Eila</w:t>
      </w:r>
      <w:proofErr w:type="spellEnd"/>
      <w:r w:rsidRPr="00414531">
        <w:rPr>
          <w:rFonts w:cstheme="minorHAnsi"/>
          <w:color w:val="000000"/>
          <w:sz w:val="20"/>
          <w:szCs w:val="20"/>
        </w:rPr>
        <w:t xml:space="preserve"> Williamson and John Reuben Davies, </w:t>
      </w:r>
      <w:r w:rsidRPr="00414531">
        <w:rPr>
          <w:rFonts w:cstheme="minorHAnsi"/>
          <w:i/>
          <w:iCs/>
          <w:color w:val="000000"/>
          <w:sz w:val="20"/>
          <w:szCs w:val="20"/>
        </w:rPr>
        <w:t>Saints' Cults in the Celtic World</w:t>
      </w:r>
      <w:r w:rsidRPr="00414531">
        <w:rPr>
          <w:rFonts w:cstheme="minorHAnsi"/>
          <w:color w:val="000000"/>
          <w:sz w:val="20"/>
          <w:szCs w:val="20"/>
        </w:rPr>
        <w:t> (Woodbridge: Boydell &amp; Brewer, Incorporated, 2013), 240 pp.</w:t>
      </w:r>
    </w:p>
    <w:p w14:paraId="6FE3566E" w14:textId="77777777" w:rsidR="0086460F" w:rsidRPr="00414531" w:rsidRDefault="0086460F" w:rsidP="00414531">
      <w:pPr>
        <w:rPr>
          <w:rFonts w:cstheme="minorHAnsi"/>
          <w:sz w:val="20"/>
          <w:szCs w:val="20"/>
        </w:rPr>
      </w:pPr>
      <w:r w:rsidRPr="00414531">
        <w:rPr>
          <w:rFonts w:cstheme="minorHAnsi"/>
          <w:color w:val="000000"/>
          <w:sz w:val="20"/>
          <w:szCs w:val="20"/>
        </w:rPr>
        <w:t>Boyle, Alexander, ‘ST. SERVANUS AND THE MANUSCRIPT TRADITION OF THE LIFE OF ST. KENTIGERN’, </w:t>
      </w:r>
      <w:r w:rsidRPr="00414531">
        <w:rPr>
          <w:rFonts w:cstheme="minorHAnsi"/>
          <w:i/>
          <w:iCs/>
          <w:color w:val="000000"/>
          <w:sz w:val="20"/>
          <w:szCs w:val="20"/>
        </w:rPr>
        <w:t>Innes Review</w:t>
      </w:r>
      <w:r w:rsidRPr="00414531">
        <w:rPr>
          <w:rFonts w:cstheme="minorHAnsi"/>
          <w:color w:val="000000"/>
          <w:sz w:val="20"/>
          <w:szCs w:val="20"/>
        </w:rPr>
        <w:t>, 21.1 (June 1970), 37–45</w:t>
      </w:r>
    </w:p>
    <w:p w14:paraId="641659BF" w14:textId="77777777" w:rsidR="009E63A2" w:rsidRPr="00414531" w:rsidRDefault="009E63A2" w:rsidP="00414531">
      <w:pPr>
        <w:rPr>
          <w:rFonts w:cstheme="minorHAnsi"/>
          <w:sz w:val="20"/>
          <w:szCs w:val="20"/>
        </w:rPr>
      </w:pPr>
      <w:r w:rsidRPr="00414531">
        <w:rPr>
          <w:rFonts w:cstheme="minorHAnsi"/>
          <w:color w:val="000000"/>
          <w:sz w:val="20"/>
          <w:szCs w:val="20"/>
        </w:rPr>
        <w:t>Curran, Bob, </w:t>
      </w:r>
      <w:r w:rsidRPr="00414531">
        <w:rPr>
          <w:rFonts w:cstheme="minorHAnsi"/>
          <w:i/>
          <w:iCs/>
          <w:color w:val="000000"/>
          <w:sz w:val="20"/>
          <w:szCs w:val="20"/>
        </w:rPr>
        <w:t>Celtic saints</w:t>
      </w:r>
      <w:r w:rsidRPr="00414531">
        <w:rPr>
          <w:rFonts w:cstheme="minorHAnsi"/>
          <w:color w:val="000000"/>
          <w:sz w:val="20"/>
          <w:szCs w:val="20"/>
        </w:rPr>
        <w:t> (Cardiff: St David's Press, 2007), 121 pp.</w:t>
      </w:r>
    </w:p>
    <w:p w14:paraId="4DA78CC4" w14:textId="77777777" w:rsidR="0086460F" w:rsidRPr="00414531" w:rsidRDefault="0086460F" w:rsidP="00414531">
      <w:pPr>
        <w:rPr>
          <w:rFonts w:cstheme="minorHAnsi"/>
          <w:sz w:val="20"/>
          <w:szCs w:val="20"/>
        </w:rPr>
      </w:pPr>
      <w:proofErr w:type="spellStart"/>
      <w:r w:rsidRPr="00414531">
        <w:rPr>
          <w:rFonts w:cstheme="minorHAnsi"/>
          <w:sz w:val="20"/>
          <w:szCs w:val="20"/>
        </w:rPr>
        <w:t>Eeles</w:t>
      </w:r>
      <w:proofErr w:type="spellEnd"/>
      <w:r w:rsidRPr="00414531">
        <w:rPr>
          <w:rFonts w:cstheme="minorHAnsi"/>
          <w:sz w:val="20"/>
          <w:szCs w:val="20"/>
        </w:rPr>
        <w:t xml:space="preserve">, Francis, The parish Church of St. Kentigern Crosthwaite, (Carlisle: Charles </w:t>
      </w:r>
      <w:proofErr w:type="spellStart"/>
      <w:r w:rsidRPr="00414531">
        <w:rPr>
          <w:rFonts w:cstheme="minorHAnsi"/>
          <w:sz w:val="20"/>
          <w:szCs w:val="20"/>
        </w:rPr>
        <w:t>Thurnam</w:t>
      </w:r>
      <w:proofErr w:type="spellEnd"/>
      <w:r w:rsidRPr="00414531">
        <w:rPr>
          <w:rFonts w:cstheme="minorHAnsi"/>
          <w:sz w:val="20"/>
          <w:szCs w:val="20"/>
        </w:rPr>
        <w:t xml:space="preserve"> and sons Ltd., 1953), 79 pp.</w:t>
      </w:r>
    </w:p>
    <w:p w14:paraId="46552753" w14:textId="77777777" w:rsidR="0086460F" w:rsidRPr="00414531" w:rsidRDefault="0086460F" w:rsidP="00414531">
      <w:pPr>
        <w:rPr>
          <w:rFonts w:cstheme="minorHAnsi"/>
          <w:sz w:val="20"/>
          <w:szCs w:val="20"/>
        </w:rPr>
      </w:pPr>
      <w:proofErr w:type="spellStart"/>
      <w:r w:rsidRPr="00414531">
        <w:rPr>
          <w:rFonts w:cstheme="minorHAnsi"/>
          <w:sz w:val="20"/>
          <w:szCs w:val="20"/>
        </w:rPr>
        <w:t>Manders</w:t>
      </w:r>
      <w:proofErr w:type="spellEnd"/>
      <w:r w:rsidRPr="00414531">
        <w:rPr>
          <w:rFonts w:cstheme="minorHAnsi"/>
          <w:sz w:val="20"/>
          <w:szCs w:val="20"/>
        </w:rPr>
        <w:t>, Henry, The History of the Church of Crosthwaite, Cumberland (London: J.B. Nichols, 1853), 146 pp.</w:t>
      </w:r>
    </w:p>
    <w:p w14:paraId="487DDA10" w14:textId="77777777" w:rsidR="009E63A2" w:rsidRPr="00414531" w:rsidRDefault="009E63A2" w:rsidP="00414531">
      <w:pPr>
        <w:rPr>
          <w:rFonts w:cstheme="minorHAnsi"/>
          <w:color w:val="000000"/>
          <w:sz w:val="20"/>
          <w:szCs w:val="20"/>
        </w:rPr>
      </w:pPr>
      <w:r w:rsidRPr="00414531">
        <w:rPr>
          <w:rFonts w:cstheme="minorHAnsi"/>
          <w:color w:val="000000"/>
          <w:sz w:val="20"/>
          <w:szCs w:val="20"/>
        </w:rPr>
        <w:t xml:space="preserve">McRoberts, </w:t>
      </w:r>
      <w:proofErr w:type="spellStart"/>
      <w:r w:rsidRPr="00414531">
        <w:rPr>
          <w:rFonts w:cstheme="minorHAnsi"/>
          <w:color w:val="000000"/>
          <w:sz w:val="20"/>
          <w:szCs w:val="20"/>
        </w:rPr>
        <w:t>Mgr</w:t>
      </w:r>
      <w:proofErr w:type="spellEnd"/>
      <w:r w:rsidRPr="00414531">
        <w:rPr>
          <w:rFonts w:cstheme="minorHAnsi"/>
          <w:color w:val="000000"/>
          <w:sz w:val="20"/>
          <w:szCs w:val="20"/>
        </w:rPr>
        <w:t xml:space="preserve"> David, ‘THE DEATH OF ST KENTIGERN OF GLASGOW’, </w:t>
      </w:r>
      <w:r w:rsidRPr="00414531">
        <w:rPr>
          <w:rFonts w:cstheme="minorHAnsi"/>
          <w:i/>
          <w:iCs/>
          <w:color w:val="000000"/>
          <w:sz w:val="20"/>
          <w:szCs w:val="20"/>
        </w:rPr>
        <w:t>Innes Review</w:t>
      </w:r>
      <w:r w:rsidRPr="00414531">
        <w:rPr>
          <w:rFonts w:cstheme="minorHAnsi"/>
          <w:color w:val="000000"/>
          <w:sz w:val="20"/>
          <w:szCs w:val="20"/>
        </w:rPr>
        <w:t xml:space="preserve">, 24.1 (June 1973), 43–50 </w:t>
      </w:r>
    </w:p>
    <w:p w14:paraId="2D1B0FD3" w14:textId="5B5C22F7" w:rsidR="0086460F" w:rsidRPr="00414531" w:rsidRDefault="0086460F" w:rsidP="009E63A2">
      <w:pPr>
        <w:ind w:firstLine="720"/>
        <w:rPr>
          <w:rFonts w:cstheme="minorHAnsi"/>
          <w:color w:val="000000"/>
          <w:sz w:val="28"/>
          <w:szCs w:val="28"/>
          <w:u w:val="single"/>
        </w:rPr>
      </w:pPr>
      <w:r w:rsidRPr="00414531">
        <w:rPr>
          <w:rFonts w:cstheme="minorHAnsi"/>
          <w:color w:val="000000"/>
          <w:sz w:val="28"/>
          <w:szCs w:val="28"/>
          <w:u w:val="single"/>
        </w:rPr>
        <w:t>Web Sources.</w:t>
      </w:r>
    </w:p>
    <w:p w14:paraId="5887EE59" w14:textId="5A5FED2F" w:rsidR="009E63A2" w:rsidRPr="00414531" w:rsidRDefault="009E63A2" w:rsidP="00414531">
      <w:pPr>
        <w:rPr>
          <w:rFonts w:cstheme="minorHAnsi"/>
          <w:color w:val="000000"/>
          <w:sz w:val="20"/>
          <w:szCs w:val="20"/>
        </w:rPr>
      </w:pPr>
      <w:r w:rsidRPr="00414531">
        <w:rPr>
          <w:rFonts w:cstheme="minorHAnsi"/>
          <w:color w:val="000000"/>
          <w:sz w:val="20"/>
          <w:szCs w:val="20"/>
        </w:rPr>
        <w:t>‘St Mungo’, </w:t>
      </w:r>
      <w:r w:rsidRPr="00414531">
        <w:rPr>
          <w:rFonts w:cstheme="minorHAnsi"/>
          <w:i/>
          <w:iCs/>
          <w:color w:val="000000"/>
          <w:sz w:val="20"/>
          <w:szCs w:val="20"/>
        </w:rPr>
        <w:t>Solway Plain Churches</w:t>
      </w:r>
      <w:r w:rsidRPr="00414531">
        <w:rPr>
          <w:rFonts w:cstheme="minorHAnsi"/>
          <w:color w:val="000000"/>
          <w:sz w:val="20"/>
          <w:szCs w:val="20"/>
        </w:rPr>
        <w:t> &lt;</w:t>
      </w:r>
      <w:hyperlink r:id="rId6" w:tgtFrame="_blank" w:history="1">
        <w:r w:rsidRPr="00414531">
          <w:rPr>
            <w:rStyle w:val="Hyperlink"/>
            <w:rFonts w:cstheme="minorHAnsi"/>
            <w:color w:val="000000"/>
            <w:sz w:val="20"/>
            <w:szCs w:val="20"/>
          </w:rPr>
          <w:t>https://www.solwayplainchurches.org.uk/churches/bromfield.html</w:t>
        </w:r>
      </w:hyperlink>
      <w:r w:rsidRPr="00414531">
        <w:rPr>
          <w:rFonts w:cstheme="minorHAnsi"/>
          <w:color w:val="000000"/>
          <w:sz w:val="20"/>
          <w:szCs w:val="20"/>
        </w:rPr>
        <w:t>&gt; [accessed 16 October 2022]</w:t>
      </w:r>
    </w:p>
    <w:p w14:paraId="6CAD1AD3" w14:textId="099D3532" w:rsidR="009E63A2" w:rsidRPr="00414531" w:rsidRDefault="009E63A2" w:rsidP="00414531">
      <w:pPr>
        <w:rPr>
          <w:rFonts w:cstheme="minorHAnsi"/>
          <w:sz w:val="20"/>
          <w:szCs w:val="20"/>
        </w:rPr>
      </w:pPr>
      <w:r w:rsidRPr="00414531">
        <w:rPr>
          <w:rFonts w:cstheme="minorHAnsi"/>
          <w:color w:val="000000"/>
          <w:sz w:val="20"/>
          <w:szCs w:val="20"/>
        </w:rPr>
        <w:t>‘History - St Asaph Parish Church’, </w:t>
      </w:r>
      <w:r w:rsidRPr="00414531">
        <w:rPr>
          <w:rFonts w:cstheme="minorHAnsi"/>
          <w:i/>
          <w:iCs/>
          <w:color w:val="000000"/>
          <w:sz w:val="20"/>
          <w:szCs w:val="20"/>
        </w:rPr>
        <w:t>St Asaph Parish Church</w:t>
      </w:r>
      <w:r w:rsidRPr="00414531">
        <w:rPr>
          <w:rFonts w:cstheme="minorHAnsi"/>
          <w:color w:val="000000"/>
          <w:sz w:val="20"/>
          <w:szCs w:val="20"/>
        </w:rPr>
        <w:t> &lt;</w:t>
      </w:r>
      <w:hyperlink r:id="rId7" w:tgtFrame="_blank" w:history="1">
        <w:r w:rsidRPr="00414531">
          <w:rPr>
            <w:rStyle w:val="Hyperlink"/>
            <w:rFonts w:cstheme="minorHAnsi"/>
            <w:color w:val="000000"/>
            <w:sz w:val="20"/>
            <w:szCs w:val="20"/>
          </w:rPr>
          <w:t>https://stasaphparishchurch.org.uk/history/</w:t>
        </w:r>
      </w:hyperlink>
      <w:r w:rsidRPr="00414531">
        <w:rPr>
          <w:rFonts w:cstheme="minorHAnsi"/>
          <w:color w:val="000000"/>
          <w:sz w:val="20"/>
          <w:szCs w:val="20"/>
        </w:rPr>
        <w:t>&gt; [accessed 16 October 2022]</w:t>
      </w:r>
    </w:p>
    <w:p w14:paraId="1AAFBC54" w14:textId="77777777" w:rsidR="009E63A2" w:rsidRPr="00414531" w:rsidRDefault="009E63A2">
      <w:pPr>
        <w:rPr>
          <w:sz w:val="20"/>
          <w:szCs w:val="20"/>
        </w:rPr>
      </w:pPr>
    </w:p>
    <w:sectPr w:rsidR="009E63A2" w:rsidRPr="00414531" w:rsidSect="00C33C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EBAE3" w14:textId="77777777" w:rsidR="001E2653" w:rsidRDefault="001E2653" w:rsidP="007819FD">
      <w:pPr>
        <w:spacing w:after="0" w:line="240" w:lineRule="auto"/>
      </w:pPr>
      <w:r>
        <w:separator/>
      </w:r>
    </w:p>
  </w:endnote>
  <w:endnote w:type="continuationSeparator" w:id="0">
    <w:p w14:paraId="039F7EDF" w14:textId="77777777" w:rsidR="001E2653" w:rsidRDefault="001E2653" w:rsidP="00781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1FFB9" w14:textId="77777777" w:rsidR="001E2653" w:rsidRDefault="001E2653" w:rsidP="007819FD">
      <w:pPr>
        <w:spacing w:after="0" w:line="240" w:lineRule="auto"/>
      </w:pPr>
      <w:r>
        <w:separator/>
      </w:r>
    </w:p>
  </w:footnote>
  <w:footnote w:type="continuationSeparator" w:id="0">
    <w:p w14:paraId="1356C6F4" w14:textId="77777777" w:rsidR="001E2653" w:rsidRDefault="001E2653" w:rsidP="007819FD">
      <w:pPr>
        <w:spacing w:after="0" w:line="240" w:lineRule="auto"/>
      </w:pPr>
      <w:r>
        <w:continuationSeparator/>
      </w:r>
    </w:p>
  </w:footnote>
  <w:footnote w:id="1">
    <w:p w14:paraId="3AD6CFD8" w14:textId="77777777" w:rsidR="007819FD" w:rsidRDefault="007819FD" w:rsidP="007819FD">
      <w:pPr>
        <w:pStyle w:val="FootnoteText"/>
      </w:pPr>
      <w:r>
        <w:rPr>
          <w:rStyle w:val="FootnoteReference"/>
        </w:rPr>
        <w:footnoteRef/>
      </w:r>
      <w:r>
        <w:t xml:space="preserve"> </w:t>
      </w:r>
      <w:r w:rsidRPr="00624B18">
        <w:rPr>
          <w:sz w:val="16"/>
          <w:szCs w:val="16"/>
        </w:rPr>
        <w:t xml:space="preserve">Steve Boardman, </w:t>
      </w:r>
      <w:proofErr w:type="spellStart"/>
      <w:r w:rsidRPr="00624B18">
        <w:rPr>
          <w:sz w:val="16"/>
          <w:szCs w:val="16"/>
        </w:rPr>
        <w:t>Eila</w:t>
      </w:r>
      <w:proofErr w:type="spellEnd"/>
      <w:r w:rsidRPr="00624B18">
        <w:rPr>
          <w:sz w:val="16"/>
          <w:szCs w:val="16"/>
        </w:rPr>
        <w:t xml:space="preserve"> Williamson and John Reuben Davies, </w:t>
      </w:r>
      <w:r w:rsidRPr="00624B18">
        <w:rPr>
          <w:i/>
          <w:iCs/>
          <w:sz w:val="16"/>
          <w:szCs w:val="16"/>
        </w:rPr>
        <w:t>Saints' Cults in the Celtic World</w:t>
      </w:r>
      <w:r w:rsidRPr="00624B18">
        <w:rPr>
          <w:sz w:val="16"/>
          <w:szCs w:val="16"/>
        </w:rPr>
        <w:t> (Woodbridge: Boydell &amp; Brewer, Incorporated, 2013</w:t>
      </w:r>
      <w:r w:rsidRPr="004A35FB">
        <w:rPr>
          <w:rFonts w:cstheme="minorHAnsi"/>
          <w:sz w:val="16"/>
          <w:szCs w:val="16"/>
        </w:rPr>
        <w:t>), </w:t>
      </w:r>
      <w:r w:rsidRPr="004A35FB">
        <w:rPr>
          <w:rStyle w:val="page-number-substitute"/>
          <w:rFonts w:cstheme="minorHAnsi"/>
          <w:color w:val="000000"/>
          <w:sz w:val="16"/>
          <w:szCs w:val="16"/>
        </w:rPr>
        <w:t>p. 66.</w:t>
      </w:r>
    </w:p>
  </w:footnote>
  <w:footnote w:id="2">
    <w:p w14:paraId="5DF06802" w14:textId="77777777" w:rsidR="007819FD" w:rsidRDefault="007819FD" w:rsidP="007819FD">
      <w:pPr>
        <w:pStyle w:val="FootnoteText"/>
      </w:pPr>
      <w:r>
        <w:rPr>
          <w:rStyle w:val="FootnoteReference"/>
        </w:rPr>
        <w:footnoteRef/>
      </w:r>
      <w:r>
        <w:t xml:space="preserve"> </w:t>
      </w:r>
      <w:r w:rsidRPr="00624B18">
        <w:rPr>
          <w:sz w:val="16"/>
          <w:szCs w:val="16"/>
        </w:rPr>
        <w:t xml:space="preserve">Jocelyn Of Furness, </w:t>
      </w:r>
      <w:r w:rsidRPr="00624B18">
        <w:rPr>
          <w:i/>
          <w:iCs/>
          <w:sz w:val="16"/>
          <w:szCs w:val="16"/>
        </w:rPr>
        <w:t xml:space="preserve">Life </w:t>
      </w:r>
      <w:proofErr w:type="gramStart"/>
      <w:r w:rsidRPr="00624B18">
        <w:rPr>
          <w:i/>
          <w:iCs/>
          <w:sz w:val="16"/>
          <w:szCs w:val="16"/>
        </w:rPr>
        <w:t>Of</w:t>
      </w:r>
      <w:proofErr w:type="gramEnd"/>
      <w:r w:rsidRPr="00624B18">
        <w:rPr>
          <w:i/>
          <w:iCs/>
          <w:sz w:val="16"/>
          <w:szCs w:val="16"/>
        </w:rPr>
        <w:t xml:space="preserve"> Saint Kentigern</w:t>
      </w:r>
      <w:r w:rsidRPr="00624B18">
        <w:rPr>
          <w:sz w:val="16"/>
          <w:szCs w:val="16"/>
        </w:rPr>
        <w:t>, </w:t>
      </w:r>
      <w:r w:rsidRPr="00624B18">
        <w:rPr>
          <w:i/>
          <w:iCs/>
          <w:sz w:val="16"/>
          <w:szCs w:val="16"/>
        </w:rPr>
        <w:t xml:space="preserve">Two Celtic saints: The life of Saint </w:t>
      </w:r>
      <w:proofErr w:type="spellStart"/>
      <w:r w:rsidRPr="00624B18">
        <w:rPr>
          <w:i/>
          <w:iCs/>
          <w:sz w:val="16"/>
          <w:szCs w:val="16"/>
        </w:rPr>
        <w:t>Ninian</w:t>
      </w:r>
      <w:proofErr w:type="spellEnd"/>
      <w:r w:rsidRPr="00624B18">
        <w:rPr>
          <w:i/>
          <w:iCs/>
          <w:sz w:val="16"/>
          <w:szCs w:val="16"/>
        </w:rPr>
        <w:t xml:space="preserve"> and Kentigern</w:t>
      </w:r>
      <w:r w:rsidRPr="00624B18">
        <w:rPr>
          <w:sz w:val="16"/>
          <w:szCs w:val="16"/>
        </w:rPr>
        <w:t> (</w:t>
      </w:r>
      <w:proofErr w:type="spellStart"/>
      <w:r w:rsidRPr="00624B18">
        <w:rPr>
          <w:sz w:val="16"/>
          <w:szCs w:val="16"/>
        </w:rPr>
        <w:t>Felinfach</w:t>
      </w:r>
      <w:proofErr w:type="spellEnd"/>
      <w:r w:rsidRPr="00624B18">
        <w:rPr>
          <w:sz w:val="16"/>
          <w:szCs w:val="16"/>
        </w:rPr>
        <w:t xml:space="preserve">: </w:t>
      </w:r>
      <w:proofErr w:type="spellStart"/>
      <w:r w:rsidRPr="00624B18">
        <w:rPr>
          <w:sz w:val="16"/>
          <w:szCs w:val="16"/>
        </w:rPr>
        <w:t>Llanerch</w:t>
      </w:r>
      <w:proofErr w:type="spellEnd"/>
      <w:r w:rsidRPr="00624B18">
        <w:rPr>
          <w:sz w:val="16"/>
          <w:szCs w:val="16"/>
        </w:rPr>
        <w:t xml:space="preserve"> Enterprises, 1989</w:t>
      </w:r>
      <w:r w:rsidRPr="004A35FB">
        <w:rPr>
          <w:rFonts w:cstheme="minorHAnsi"/>
          <w:sz w:val="16"/>
          <w:szCs w:val="16"/>
        </w:rPr>
        <w:t>), </w:t>
      </w:r>
      <w:r w:rsidRPr="004A35FB">
        <w:rPr>
          <w:rStyle w:val="page-number-substitute"/>
          <w:rFonts w:cstheme="minorHAnsi"/>
          <w:color w:val="000000"/>
          <w:sz w:val="16"/>
          <w:szCs w:val="16"/>
        </w:rPr>
        <w:t>p. 116.</w:t>
      </w:r>
    </w:p>
  </w:footnote>
  <w:footnote w:id="3">
    <w:p w14:paraId="6AD30D0F" w14:textId="77777777" w:rsidR="007819FD" w:rsidRPr="002528C4" w:rsidRDefault="007819FD" w:rsidP="007819FD">
      <w:pPr>
        <w:pStyle w:val="NoSpacing"/>
        <w:rPr>
          <w:sz w:val="16"/>
          <w:szCs w:val="16"/>
        </w:rPr>
      </w:pPr>
      <w:r w:rsidRPr="002528C4">
        <w:rPr>
          <w:rStyle w:val="FootnoteReference"/>
          <w:sz w:val="16"/>
          <w:szCs w:val="16"/>
        </w:rPr>
        <w:footnoteRef/>
      </w:r>
      <w:r w:rsidRPr="002528C4">
        <w:rPr>
          <w:sz w:val="16"/>
          <w:szCs w:val="16"/>
        </w:rPr>
        <w:t>.</w:t>
      </w:r>
      <w:r w:rsidRPr="00267C38">
        <w:rPr>
          <w:sz w:val="16"/>
          <w:szCs w:val="16"/>
        </w:rPr>
        <w:t xml:space="preserve"> </w:t>
      </w:r>
      <w:r w:rsidRPr="002528C4">
        <w:rPr>
          <w:sz w:val="16"/>
          <w:szCs w:val="16"/>
        </w:rPr>
        <w:t>Mark Atherton, </w:t>
      </w:r>
      <w:proofErr w:type="gramStart"/>
      <w:r w:rsidRPr="002528C4">
        <w:rPr>
          <w:i/>
          <w:iCs/>
          <w:sz w:val="16"/>
          <w:szCs w:val="16"/>
        </w:rPr>
        <w:t>Celts</w:t>
      </w:r>
      <w:proofErr w:type="gramEnd"/>
      <w:r w:rsidRPr="002528C4">
        <w:rPr>
          <w:i/>
          <w:iCs/>
          <w:sz w:val="16"/>
          <w:szCs w:val="16"/>
        </w:rPr>
        <w:t xml:space="preserve"> and Christians: New Approaches to the Religious Traditions of Britain and Ireland (University of Wales Press - Religion, Culture, and Society)</w:t>
      </w:r>
      <w:r w:rsidRPr="002528C4">
        <w:rPr>
          <w:sz w:val="16"/>
          <w:szCs w:val="16"/>
        </w:rPr>
        <w:t> (Dinefwr: University of Wales Press, 2002), </w:t>
      </w:r>
      <w:r w:rsidRPr="004A35FB">
        <w:rPr>
          <w:rStyle w:val="page-number-substitute"/>
          <w:rFonts w:cstheme="minorHAnsi"/>
          <w:color w:val="000000"/>
          <w:sz w:val="16"/>
          <w:szCs w:val="16"/>
        </w:rPr>
        <w:t>p. 60</w:t>
      </w:r>
      <w:r w:rsidRPr="004A35FB">
        <w:rPr>
          <w:rFonts w:cstheme="minorHAnsi"/>
          <w:sz w:val="16"/>
          <w:szCs w:val="16"/>
        </w:rPr>
        <w:t>.</w:t>
      </w:r>
    </w:p>
  </w:footnote>
  <w:footnote w:id="4">
    <w:p w14:paraId="3DA8EDB6" w14:textId="77777777" w:rsidR="007819FD" w:rsidRPr="002528C4" w:rsidRDefault="007819FD" w:rsidP="007819FD">
      <w:pPr>
        <w:pStyle w:val="NoSpacing"/>
        <w:rPr>
          <w:sz w:val="16"/>
          <w:szCs w:val="16"/>
        </w:rPr>
      </w:pPr>
      <w:r w:rsidRPr="002528C4">
        <w:rPr>
          <w:rStyle w:val="FootnoteReference"/>
          <w:sz w:val="16"/>
          <w:szCs w:val="16"/>
        </w:rPr>
        <w:footnoteRef/>
      </w:r>
      <w:r w:rsidRPr="002528C4">
        <w:rPr>
          <w:sz w:val="16"/>
          <w:szCs w:val="16"/>
        </w:rPr>
        <w:t xml:space="preserve"> Boardman, Williamson and Davies</w:t>
      </w:r>
      <w:r w:rsidRPr="004A35FB">
        <w:rPr>
          <w:rFonts w:cstheme="minorHAnsi"/>
          <w:sz w:val="16"/>
          <w:szCs w:val="16"/>
        </w:rPr>
        <w:t>, </w:t>
      </w:r>
      <w:r w:rsidRPr="004A35FB">
        <w:rPr>
          <w:rStyle w:val="page-number-substitute"/>
          <w:rFonts w:cstheme="minorHAnsi"/>
          <w:color w:val="000000"/>
          <w:sz w:val="16"/>
          <w:szCs w:val="16"/>
        </w:rPr>
        <w:t>p. 90.</w:t>
      </w:r>
    </w:p>
  </w:footnote>
  <w:footnote w:id="5">
    <w:p w14:paraId="14B4434D" w14:textId="77777777" w:rsidR="007819FD" w:rsidRPr="004A35FB" w:rsidRDefault="007819FD" w:rsidP="007819FD">
      <w:pPr>
        <w:pStyle w:val="NoSpacing"/>
        <w:rPr>
          <w:rFonts w:cstheme="minorHAnsi"/>
          <w:sz w:val="16"/>
          <w:szCs w:val="16"/>
        </w:rPr>
      </w:pPr>
      <w:r w:rsidRPr="004A35FB">
        <w:rPr>
          <w:rStyle w:val="FootnoteReference"/>
          <w:rFonts w:cstheme="minorHAnsi"/>
          <w:sz w:val="16"/>
          <w:szCs w:val="16"/>
        </w:rPr>
        <w:footnoteRef/>
      </w:r>
      <w:r w:rsidRPr="004A35FB">
        <w:rPr>
          <w:rFonts w:cstheme="minorHAnsi"/>
          <w:sz w:val="16"/>
          <w:szCs w:val="16"/>
        </w:rPr>
        <w:t>Nora Chadwick and others, </w:t>
      </w:r>
      <w:r w:rsidRPr="004A35FB">
        <w:rPr>
          <w:rFonts w:cstheme="minorHAnsi"/>
          <w:i/>
          <w:iCs/>
          <w:sz w:val="16"/>
          <w:szCs w:val="16"/>
        </w:rPr>
        <w:t>Studies in the early British church</w:t>
      </w:r>
      <w:r w:rsidRPr="004A35FB">
        <w:rPr>
          <w:rFonts w:cstheme="minorHAnsi"/>
          <w:sz w:val="16"/>
          <w:szCs w:val="16"/>
        </w:rPr>
        <w:t> (Cambridge: University Press, 1958), </w:t>
      </w:r>
      <w:r w:rsidRPr="004A35FB">
        <w:rPr>
          <w:rStyle w:val="page-number-substitute"/>
          <w:rFonts w:cstheme="minorHAnsi"/>
          <w:color w:val="000000"/>
          <w:sz w:val="16"/>
          <w:szCs w:val="16"/>
        </w:rPr>
        <w:t>p. 273</w:t>
      </w:r>
      <w:r w:rsidRPr="004A35FB">
        <w:rPr>
          <w:rFonts w:cstheme="minorHAnsi"/>
          <w:sz w:val="16"/>
          <w:szCs w:val="16"/>
        </w:rPr>
        <w:t>.</w:t>
      </w:r>
    </w:p>
  </w:footnote>
  <w:footnote w:id="6">
    <w:p w14:paraId="62868ED4" w14:textId="77777777" w:rsidR="007819FD" w:rsidRPr="004A35FB" w:rsidRDefault="007819FD" w:rsidP="007819FD">
      <w:pPr>
        <w:pStyle w:val="NoSpacing"/>
        <w:rPr>
          <w:rFonts w:cstheme="minorHAnsi"/>
          <w:sz w:val="16"/>
          <w:szCs w:val="16"/>
        </w:rPr>
      </w:pPr>
      <w:r w:rsidRPr="004A35FB">
        <w:rPr>
          <w:rStyle w:val="FootnoteReference"/>
          <w:rFonts w:cstheme="minorHAnsi"/>
          <w:sz w:val="16"/>
          <w:szCs w:val="16"/>
        </w:rPr>
        <w:footnoteRef/>
      </w:r>
      <w:r w:rsidRPr="004A35FB">
        <w:rPr>
          <w:rFonts w:cstheme="minorHAnsi"/>
          <w:sz w:val="16"/>
          <w:szCs w:val="16"/>
        </w:rPr>
        <w:t xml:space="preserve"> Chadwick and others, </w:t>
      </w:r>
      <w:r w:rsidRPr="004A35FB">
        <w:rPr>
          <w:rStyle w:val="page-number-substitute"/>
          <w:rFonts w:cstheme="minorHAnsi"/>
          <w:color w:val="000000"/>
          <w:sz w:val="16"/>
          <w:szCs w:val="16"/>
        </w:rPr>
        <w:t>p. 273</w:t>
      </w:r>
      <w:r w:rsidRPr="004A35FB">
        <w:rPr>
          <w:rFonts w:cstheme="minorHAnsi"/>
          <w:sz w:val="16"/>
          <w:szCs w:val="16"/>
        </w:rPr>
        <w:t>.</w:t>
      </w:r>
    </w:p>
  </w:footnote>
  <w:footnote w:id="7">
    <w:p w14:paraId="5F223B26" w14:textId="77777777" w:rsidR="007819FD" w:rsidRPr="004A35FB" w:rsidRDefault="007819FD" w:rsidP="007819FD">
      <w:pPr>
        <w:pStyle w:val="NoSpacing"/>
        <w:rPr>
          <w:rFonts w:cstheme="minorHAnsi"/>
          <w:sz w:val="16"/>
          <w:szCs w:val="16"/>
        </w:rPr>
      </w:pPr>
      <w:r w:rsidRPr="004A35FB">
        <w:rPr>
          <w:rStyle w:val="FootnoteReference"/>
          <w:rFonts w:cstheme="minorHAnsi"/>
          <w:sz w:val="16"/>
          <w:szCs w:val="16"/>
        </w:rPr>
        <w:footnoteRef/>
      </w:r>
      <w:r w:rsidRPr="004A35FB">
        <w:rPr>
          <w:rFonts w:cstheme="minorHAnsi"/>
          <w:sz w:val="16"/>
          <w:szCs w:val="16"/>
        </w:rPr>
        <w:t xml:space="preserve"> Boardman, Williamson and Davies, </w:t>
      </w:r>
      <w:r w:rsidRPr="004A35FB">
        <w:rPr>
          <w:rStyle w:val="page-number-substitute"/>
          <w:rFonts w:cstheme="minorHAnsi"/>
          <w:color w:val="000000"/>
          <w:sz w:val="16"/>
          <w:szCs w:val="16"/>
        </w:rPr>
        <w:t>p. 80</w:t>
      </w:r>
      <w:r w:rsidRPr="004A35FB">
        <w:rPr>
          <w:rFonts w:cstheme="minorHAnsi"/>
          <w:sz w:val="16"/>
          <w:szCs w:val="16"/>
        </w:rPr>
        <w:t>.</w:t>
      </w:r>
    </w:p>
  </w:footnote>
  <w:footnote w:id="8">
    <w:p w14:paraId="3F43FC5E" w14:textId="77777777" w:rsidR="007819FD" w:rsidRPr="004A35FB" w:rsidRDefault="007819FD" w:rsidP="007819FD">
      <w:pPr>
        <w:pStyle w:val="NoSpacing"/>
        <w:rPr>
          <w:rFonts w:cstheme="minorHAnsi"/>
          <w:sz w:val="16"/>
          <w:szCs w:val="16"/>
        </w:rPr>
      </w:pPr>
      <w:r w:rsidRPr="004A35FB">
        <w:rPr>
          <w:rStyle w:val="FootnoteReference"/>
          <w:rFonts w:cstheme="minorHAnsi"/>
          <w:sz w:val="16"/>
          <w:szCs w:val="16"/>
        </w:rPr>
        <w:footnoteRef/>
      </w:r>
      <w:r w:rsidRPr="004A35FB">
        <w:rPr>
          <w:rFonts w:cstheme="minorHAnsi"/>
          <w:sz w:val="16"/>
          <w:szCs w:val="16"/>
        </w:rPr>
        <w:t xml:space="preserve"> Chadwick and others, p273-274</w:t>
      </w:r>
    </w:p>
  </w:footnote>
  <w:footnote w:id="9">
    <w:p w14:paraId="2E357AA4" w14:textId="77777777" w:rsidR="007819FD" w:rsidRPr="004A35FB" w:rsidRDefault="007819FD" w:rsidP="007819FD">
      <w:pPr>
        <w:pStyle w:val="NoSpacing"/>
        <w:rPr>
          <w:rFonts w:cstheme="minorHAnsi"/>
          <w:sz w:val="16"/>
          <w:szCs w:val="16"/>
        </w:rPr>
      </w:pPr>
      <w:r w:rsidRPr="004A35FB">
        <w:rPr>
          <w:rStyle w:val="FootnoteReference"/>
          <w:rFonts w:cstheme="minorHAnsi"/>
          <w:sz w:val="16"/>
          <w:szCs w:val="16"/>
        </w:rPr>
        <w:footnoteRef/>
      </w:r>
      <w:r w:rsidRPr="004A35FB">
        <w:rPr>
          <w:rFonts w:cstheme="minorHAnsi"/>
          <w:sz w:val="16"/>
          <w:szCs w:val="16"/>
        </w:rPr>
        <w:t xml:space="preserve"> Chadwick and others, p. 274</w:t>
      </w:r>
    </w:p>
  </w:footnote>
  <w:footnote w:id="10">
    <w:p w14:paraId="54AEACE9" w14:textId="77777777" w:rsidR="007819FD" w:rsidRPr="004A35FB" w:rsidRDefault="007819FD" w:rsidP="007819FD">
      <w:pPr>
        <w:pStyle w:val="NoSpacing"/>
        <w:rPr>
          <w:rFonts w:cstheme="minorHAnsi"/>
          <w:sz w:val="16"/>
          <w:szCs w:val="16"/>
        </w:rPr>
      </w:pPr>
      <w:r w:rsidRPr="004A35FB">
        <w:rPr>
          <w:rStyle w:val="FootnoteReference"/>
          <w:rFonts w:cstheme="minorHAnsi"/>
          <w:sz w:val="16"/>
          <w:szCs w:val="16"/>
        </w:rPr>
        <w:footnoteRef/>
      </w:r>
      <w:r w:rsidRPr="004A35FB">
        <w:rPr>
          <w:rFonts w:cstheme="minorHAnsi"/>
          <w:sz w:val="16"/>
          <w:szCs w:val="16"/>
        </w:rPr>
        <w:t xml:space="preserve"> Chadwick and others, p.288</w:t>
      </w:r>
    </w:p>
  </w:footnote>
  <w:footnote w:id="11">
    <w:p w14:paraId="4C2C3D7C" w14:textId="77777777" w:rsidR="007819FD" w:rsidRPr="004A35FB" w:rsidRDefault="007819FD" w:rsidP="007819FD">
      <w:pPr>
        <w:pStyle w:val="NoSpacing"/>
        <w:rPr>
          <w:rFonts w:cstheme="minorHAnsi"/>
        </w:rPr>
      </w:pPr>
      <w:r w:rsidRPr="004A35FB">
        <w:rPr>
          <w:rStyle w:val="FootnoteReference"/>
          <w:rFonts w:cstheme="minorHAnsi"/>
          <w:sz w:val="16"/>
          <w:szCs w:val="16"/>
        </w:rPr>
        <w:footnoteRef/>
      </w:r>
      <w:r w:rsidRPr="004A35FB">
        <w:rPr>
          <w:rFonts w:cstheme="minorHAnsi"/>
          <w:sz w:val="16"/>
          <w:szCs w:val="16"/>
        </w:rPr>
        <w:t xml:space="preserve"> Jocelyn of Furness, </w:t>
      </w:r>
      <w:r w:rsidRPr="004A35FB">
        <w:rPr>
          <w:rStyle w:val="page-number-substitute"/>
          <w:rFonts w:cstheme="minorHAnsi"/>
          <w:color w:val="000000"/>
          <w:sz w:val="16"/>
          <w:szCs w:val="16"/>
        </w:rPr>
        <w:t>p. 35</w:t>
      </w:r>
    </w:p>
  </w:footnote>
  <w:footnote w:id="12">
    <w:p w14:paraId="583FABE4" w14:textId="77777777" w:rsidR="007819FD" w:rsidRPr="004A35FB" w:rsidRDefault="007819FD" w:rsidP="007819FD">
      <w:pPr>
        <w:pStyle w:val="NoSpacing"/>
        <w:rPr>
          <w:rFonts w:cstheme="minorHAnsi"/>
          <w:sz w:val="16"/>
          <w:szCs w:val="16"/>
        </w:rPr>
      </w:pPr>
      <w:r w:rsidRPr="004A35FB">
        <w:rPr>
          <w:rStyle w:val="FootnoteReference"/>
          <w:rFonts w:cstheme="minorHAnsi"/>
          <w:sz w:val="16"/>
          <w:szCs w:val="16"/>
        </w:rPr>
        <w:footnoteRef/>
      </w:r>
      <w:r w:rsidRPr="004A35FB">
        <w:rPr>
          <w:rFonts w:cstheme="minorHAnsi"/>
          <w:sz w:val="16"/>
          <w:szCs w:val="16"/>
        </w:rPr>
        <w:t xml:space="preserve"> Chadwick and others, </w:t>
      </w:r>
      <w:r w:rsidRPr="004A35FB">
        <w:rPr>
          <w:rStyle w:val="page-number-substitute"/>
          <w:rFonts w:cstheme="minorHAnsi"/>
          <w:color w:val="000000"/>
          <w:sz w:val="16"/>
          <w:szCs w:val="16"/>
        </w:rPr>
        <w:t>p. 275</w:t>
      </w:r>
      <w:r w:rsidRPr="004A35FB">
        <w:rPr>
          <w:rFonts w:cstheme="minorHAnsi"/>
          <w:sz w:val="16"/>
          <w:szCs w:val="16"/>
        </w:rPr>
        <w:t>.</w:t>
      </w:r>
    </w:p>
  </w:footnote>
  <w:footnote w:id="13">
    <w:p w14:paraId="1DB22E9C" w14:textId="77777777" w:rsidR="007819FD" w:rsidRPr="004A35FB" w:rsidRDefault="007819FD" w:rsidP="007819FD">
      <w:pPr>
        <w:pStyle w:val="FootnoteText"/>
        <w:rPr>
          <w:rFonts w:cstheme="minorHAnsi"/>
        </w:rPr>
      </w:pPr>
      <w:r w:rsidRPr="004A35FB">
        <w:rPr>
          <w:rStyle w:val="FootnoteReference"/>
          <w:rFonts w:cstheme="minorHAnsi"/>
        </w:rPr>
        <w:footnoteRef/>
      </w:r>
      <w:r w:rsidRPr="004A35FB">
        <w:rPr>
          <w:rFonts w:cstheme="minorHAnsi"/>
        </w:rPr>
        <w:t xml:space="preserve"> </w:t>
      </w:r>
      <w:r w:rsidRPr="004A35FB">
        <w:rPr>
          <w:rFonts w:cstheme="minorHAnsi"/>
          <w:sz w:val="16"/>
          <w:szCs w:val="16"/>
        </w:rPr>
        <w:t>Chadwick and others, </w:t>
      </w:r>
      <w:r w:rsidRPr="004A35FB">
        <w:rPr>
          <w:rStyle w:val="page-number-substitute"/>
          <w:rFonts w:cstheme="minorHAnsi"/>
          <w:color w:val="000000"/>
          <w:sz w:val="16"/>
          <w:szCs w:val="16"/>
        </w:rPr>
        <w:t>p. 274-275.</w:t>
      </w:r>
    </w:p>
  </w:footnote>
  <w:footnote w:id="14">
    <w:p w14:paraId="57B2D5E9" w14:textId="77777777" w:rsidR="007819FD" w:rsidRPr="002528C4" w:rsidRDefault="007819FD" w:rsidP="007819FD">
      <w:pPr>
        <w:pStyle w:val="NoSpacing"/>
        <w:rPr>
          <w:sz w:val="16"/>
          <w:szCs w:val="16"/>
        </w:rPr>
      </w:pPr>
      <w:r w:rsidRPr="004A35FB">
        <w:rPr>
          <w:rStyle w:val="FootnoteReference"/>
          <w:rFonts w:cstheme="minorHAnsi"/>
          <w:sz w:val="16"/>
          <w:szCs w:val="16"/>
        </w:rPr>
        <w:footnoteRef/>
      </w:r>
      <w:r w:rsidRPr="004A35FB">
        <w:rPr>
          <w:rFonts w:cstheme="minorHAnsi"/>
          <w:sz w:val="16"/>
          <w:szCs w:val="16"/>
        </w:rPr>
        <w:t xml:space="preserve"> Boardman, Williamson and Davies, </w:t>
      </w:r>
      <w:r w:rsidRPr="004A35FB">
        <w:rPr>
          <w:rStyle w:val="page-number-substitute"/>
          <w:rFonts w:cstheme="minorHAnsi"/>
          <w:color w:val="000000"/>
          <w:sz w:val="16"/>
          <w:szCs w:val="16"/>
        </w:rPr>
        <w:t>p. 88.</w:t>
      </w:r>
    </w:p>
  </w:footnote>
  <w:footnote w:id="15">
    <w:p w14:paraId="02C5312D" w14:textId="77777777" w:rsidR="007819FD" w:rsidRPr="004A35FB" w:rsidRDefault="007819FD" w:rsidP="007819FD">
      <w:pPr>
        <w:pStyle w:val="NoSpacing"/>
        <w:rPr>
          <w:rFonts w:cstheme="minorHAnsi"/>
          <w:sz w:val="16"/>
          <w:szCs w:val="16"/>
        </w:rPr>
      </w:pPr>
      <w:r w:rsidRPr="004A35FB">
        <w:rPr>
          <w:rStyle w:val="FootnoteReference"/>
          <w:rFonts w:cstheme="minorHAnsi"/>
          <w:sz w:val="16"/>
          <w:szCs w:val="16"/>
        </w:rPr>
        <w:footnoteRef/>
      </w:r>
      <w:r w:rsidRPr="004A35FB">
        <w:rPr>
          <w:rFonts w:cstheme="minorHAnsi"/>
          <w:sz w:val="16"/>
          <w:szCs w:val="16"/>
        </w:rPr>
        <w:t xml:space="preserve"> Chadwick and others, </w:t>
      </w:r>
      <w:r w:rsidRPr="004A35FB">
        <w:rPr>
          <w:rStyle w:val="page-number-substitute"/>
          <w:rFonts w:cstheme="minorHAnsi"/>
          <w:color w:val="000000"/>
          <w:sz w:val="16"/>
          <w:szCs w:val="16"/>
        </w:rPr>
        <w:t>p. 288</w:t>
      </w:r>
      <w:r w:rsidRPr="004A35FB">
        <w:rPr>
          <w:rFonts w:cstheme="minorHAnsi"/>
          <w:sz w:val="16"/>
          <w:szCs w:val="16"/>
        </w:rPr>
        <w:t>.</w:t>
      </w:r>
    </w:p>
  </w:footnote>
  <w:footnote w:id="16">
    <w:p w14:paraId="61FC438B" w14:textId="77777777" w:rsidR="007819FD" w:rsidRPr="004A35FB" w:rsidRDefault="007819FD" w:rsidP="007819FD">
      <w:pPr>
        <w:pStyle w:val="NoSpacing"/>
        <w:rPr>
          <w:rFonts w:cstheme="minorHAnsi"/>
          <w:sz w:val="16"/>
          <w:szCs w:val="16"/>
        </w:rPr>
      </w:pPr>
      <w:r w:rsidRPr="004A35FB">
        <w:rPr>
          <w:rStyle w:val="FootnoteReference"/>
          <w:rFonts w:cstheme="minorHAnsi"/>
          <w:sz w:val="16"/>
          <w:szCs w:val="16"/>
        </w:rPr>
        <w:footnoteRef/>
      </w:r>
      <w:r w:rsidRPr="004A35FB">
        <w:rPr>
          <w:rFonts w:cstheme="minorHAnsi"/>
          <w:sz w:val="16"/>
          <w:szCs w:val="16"/>
        </w:rPr>
        <w:t xml:space="preserve"> Chadwick and others, </w:t>
      </w:r>
      <w:r w:rsidRPr="004A35FB">
        <w:rPr>
          <w:rStyle w:val="page-number-substitute"/>
          <w:rFonts w:cstheme="minorHAnsi"/>
          <w:color w:val="000000"/>
          <w:sz w:val="16"/>
          <w:szCs w:val="16"/>
        </w:rPr>
        <w:t>p. 296</w:t>
      </w:r>
      <w:r w:rsidRPr="004A35FB">
        <w:rPr>
          <w:rFonts w:cstheme="minorHAnsi"/>
          <w:sz w:val="16"/>
          <w:szCs w:val="16"/>
        </w:rPr>
        <w:t>.</w:t>
      </w:r>
    </w:p>
  </w:footnote>
  <w:footnote w:id="17">
    <w:p w14:paraId="25B80E2E" w14:textId="77777777" w:rsidR="007819FD" w:rsidRPr="004A35FB" w:rsidRDefault="007819FD" w:rsidP="007819FD">
      <w:pPr>
        <w:pStyle w:val="NoSpacing"/>
        <w:rPr>
          <w:rFonts w:cstheme="minorHAnsi"/>
          <w:sz w:val="16"/>
          <w:szCs w:val="16"/>
        </w:rPr>
      </w:pPr>
      <w:r w:rsidRPr="004A35FB">
        <w:rPr>
          <w:rStyle w:val="FootnoteReference"/>
          <w:rFonts w:cstheme="minorHAnsi"/>
          <w:sz w:val="16"/>
          <w:szCs w:val="16"/>
        </w:rPr>
        <w:footnoteRef/>
      </w:r>
      <w:r w:rsidRPr="004A35FB">
        <w:rPr>
          <w:rFonts w:cstheme="minorHAnsi"/>
          <w:sz w:val="16"/>
          <w:szCs w:val="16"/>
        </w:rPr>
        <w:t xml:space="preserve"> Chadwick and others, </w:t>
      </w:r>
      <w:r w:rsidRPr="004A35FB">
        <w:rPr>
          <w:rStyle w:val="page-number-substitute"/>
          <w:rFonts w:cstheme="minorHAnsi"/>
          <w:color w:val="000000"/>
          <w:sz w:val="16"/>
          <w:szCs w:val="16"/>
        </w:rPr>
        <w:t>p. 281</w:t>
      </w:r>
      <w:r w:rsidRPr="004A35FB">
        <w:rPr>
          <w:rFonts w:cstheme="minorHAnsi"/>
          <w:sz w:val="16"/>
          <w:szCs w:val="16"/>
        </w:rPr>
        <w:t>.</w:t>
      </w:r>
    </w:p>
  </w:footnote>
  <w:footnote w:id="18">
    <w:p w14:paraId="2104CDA9" w14:textId="77777777" w:rsidR="007819FD" w:rsidRPr="004A35FB" w:rsidRDefault="007819FD" w:rsidP="007819FD">
      <w:pPr>
        <w:pStyle w:val="NoSpacing"/>
        <w:rPr>
          <w:rFonts w:cstheme="minorHAnsi"/>
          <w:sz w:val="16"/>
          <w:szCs w:val="16"/>
        </w:rPr>
      </w:pPr>
      <w:r w:rsidRPr="004A35FB">
        <w:rPr>
          <w:rStyle w:val="FootnoteReference"/>
          <w:rFonts w:cstheme="minorHAnsi"/>
          <w:sz w:val="16"/>
          <w:szCs w:val="16"/>
        </w:rPr>
        <w:footnoteRef/>
      </w:r>
      <w:r w:rsidRPr="004A35FB">
        <w:rPr>
          <w:rFonts w:cstheme="minorHAnsi"/>
          <w:sz w:val="16"/>
          <w:szCs w:val="16"/>
        </w:rPr>
        <w:t xml:space="preserve"> Chadwick and others, </w:t>
      </w:r>
      <w:r w:rsidRPr="004A35FB">
        <w:rPr>
          <w:rStyle w:val="page-number-substitute"/>
          <w:rFonts w:cstheme="minorHAnsi"/>
          <w:color w:val="000000"/>
          <w:sz w:val="16"/>
          <w:szCs w:val="16"/>
        </w:rPr>
        <w:t>p. 291</w:t>
      </w:r>
      <w:r w:rsidRPr="004A35FB">
        <w:rPr>
          <w:rFonts w:cstheme="minorHAnsi"/>
          <w:sz w:val="16"/>
          <w:szCs w:val="16"/>
        </w:rPr>
        <w:t>.</w:t>
      </w:r>
    </w:p>
  </w:footnote>
  <w:footnote w:id="19">
    <w:p w14:paraId="505282CB" w14:textId="77777777" w:rsidR="007819FD" w:rsidRPr="004A35FB" w:rsidRDefault="007819FD" w:rsidP="007819FD">
      <w:pPr>
        <w:pStyle w:val="NoSpacing"/>
        <w:rPr>
          <w:rFonts w:cstheme="minorHAnsi"/>
          <w:sz w:val="16"/>
          <w:szCs w:val="16"/>
        </w:rPr>
      </w:pPr>
      <w:r w:rsidRPr="004A35FB">
        <w:rPr>
          <w:rStyle w:val="FootnoteReference"/>
          <w:rFonts w:cstheme="minorHAnsi"/>
          <w:sz w:val="16"/>
          <w:szCs w:val="16"/>
        </w:rPr>
        <w:footnoteRef/>
      </w:r>
      <w:r w:rsidRPr="004A35FB">
        <w:rPr>
          <w:rFonts w:cstheme="minorHAnsi"/>
          <w:sz w:val="16"/>
          <w:szCs w:val="16"/>
        </w:rPr>
        <w:t xml:space="preserve"> Jocelyn of Furness, </w:t>
      </w:r>
      <w:r w:rsidRPr="004A35FB">
        <w:rPr>
          <w:rStyle w:val="page-number-substitute"/>
          <w:rFonts w:cstheme="minorHAnsi"/>
          <w:color w:val="000000"/>
          <w:sz w:val="16"/>
          <w:szCs w:val="16"/>
        </w:rPr>
        <w:t>p. 35.</w:t>
      </w:r>
    </w:p>
  </w:footnote>
  <w:footnote w:id="20">
    <w:p w14:paraId="08707AA5" w14:textId="77777777" w:rsidR="007819FD" w:rsidRPr="004A35FB" w:rsidRDefault="007819FD" w:rsidP="007819FD">
      <w:pPr>
        <w:pStyle w:val="NoSpacing"/>
        <w:rPr>
          <w:rFonts w:cstheme="minorHAnsi"/>
        </w:rPr>
      </w:pPr>
      <w:r w:rsidRPr="004A35FB">
        <w:rPr>
          <w:rStyle w:val="FootnoteReference"/>
          <w:rFonts w:cstheme="minorHAnsi"/>
          <w:sz w:val="16"/>
          <w:szCs w:val="16"/>
        </w:rPr>
        <w:footnoteRef/>
      </w:r>
      <w:r w:rsidRPr="004A35FB">
        <w:rPr>
          <w:rFonts w:cstheme="minorHAnsi"/>
          <w:sz w:val="16"/>
          <w:szCs w:val="16"/>
        </w:rPr>
        <w:t xml:space="preserve"> Chadwick and others, </w:t>
      </w:r>
      <w:r w:rsidRPr="004A35FB">
        <w:rPr>
          <w:rStyle w:val="page-number-substitute"/>
          <w:rFonts w:cstheme="minorHAnsi"/>
          <w:color w:val="000000"/>
          <w:sz w:val="16"/>
          <w:szCs w:val="16"/>
        </w:rPr>
        <w:t>p. 281</w:t>
      </w:r>
      <w:r w:rsidRPr="004A35FB">
        <w:rPr>
          <w:rFonts w:cstheme="minorHAnsi"/>
          <w:sz w:val="16"/>
          <w:szCs w:val="16"/>
        </w:rPr>
        <w:t>.</w:t>
      </w:r>
    </w:p>
  </w:footnote>
  <w:footnote w:id="21">
    <w:p w14:paraId="5E1DB7B3" w14:textId="77777777" w:rsidR="007819FD" w:rsidRPr="004A35FB" w:rsidRDefault="007819FD" w:rsidP="007819FD">
      <w:pPr>
        <w:pStyle w:val="NoSpacing"/>
        <w:rPr>
          <w:rFonts w:cstheme="minorHAnsi"/>
          <w:color w:val="000000"/>
          <w:sz w:val="21"/>
          <w:szCs w:val="21"/>
        </w:rPr>
      </w:pPr>
      <w:r w:rsidRPr="004A35FB">
        <w:rPr>
          <w:rStyle w:val="FootnoteReference"/>
          <w:rFonts w:cstheme="minorHAnsi"/>
          <w:sz w:val="16"/>
          <w:szCs w:val="16"/>
        </w:rPr>
        <w:footnoteRef/>
      </w:r>
      <w:r w:rsidRPr="004A35FB">
        <w:rPr>
          <w:rFonts w:cstheme="minorHAnsi"/>
        </w:rPr>
        <w:t xml:space="preserve"> </w:t>
      </w:r>
      <w:proofErr w:type="spellStart"/>
      <w:r w:rsidRPr="004A35FB">
        <w:rPr>
          <w:rFonts w:cstheme="minorHAnsi"/>
          <w:sz w:val="16"/>
          <w:szCs w:val="16"/>
        </w:rPr>
        <w:t>Mgr</w:t>
      </w:r>
      <w:proofErr w:type="spellEnd"/>
      <w:r w:rsidRPr="004A35FB">
        <w:rPr>
          <w:rFonts w:cstheme="minorHAnsi"/>
          <w:sz w:val="16"/>
          <w:szCs w:val="16"/>
        </w:rPr>
        <w:t xml:space="preserve"> David McRoberts, ‘THE DEATH OF ST KENTIGERN OF GLASGOW’, Innes Review, 24.1 (June 1973), 43–50 (p. 43)</w:t>
      </w:r>
    </w:p>
  </w:footnote>
  <w:footnote w:id="22">
    <w:p w14:paraId="351D2ADD" w14:textId="77777777" w:rsidR="007819FD" w:rsidRDefault="007819FD" w:rsidP="007819FD">
      <w:pPr>
        <w:pStyle w:val="FootnoteText"/>
      </w:pPr>
      <w:r w:rsidRPr="004A35FB">
        <w:rPr>
          <w:rStyle w:val="FootnoteReference"/>
          <w:rFonts w:cstheme="minorHAnsi"/>
          <w:sz w:val="16"/>
          <w:szCs w:val="16"/>
        </w:rPr>
        <w:footnoteRef/>
      </w:r>
      <w:r w:rsidRPr="004A35FB">
        <w:rPr>
          <w:rFonts w:cstheme="minorHAnsi"/>
        </w:rPr>
        <w:t xml:space="preserve"> </w:t>
      </w:r>
      <w:r w:rsidRPr="004A35FB">
        <w:rPr>
          <w:rFonts w:cstheme="minorHAnsi"/>
          <w:sz w:val="16"/>
          <w:szCs w:val="16"/>
        </w:rPr>
        <w:t xml:space="preserve">Jocelyn of </w:t>
      </w:r>
      <w:r w:rsidRPr="004A35FB">
        <w:rPr>
          <w:rFonts w:cstheme="minorHAnsi"/>
          <w:color w:val="000000"/>
          <w:sz w:val="16"/>
          <w:szCs w:val="16"/>
        </w:rPr>
        <w:t>Furness, </w:t>
      </w:r>
      <w:r w:rsidRPr="004A35FB">
        <w:rPr>
          <w:rStyle w:val="page-number-substitute"/>
          <w:rFonts w:cstheme="minorHAnsi"/>
          <w:color w:val="000000"/>
          <w:sz w:val="16"/>
          <w:szCs w:val="16"/>
        </w:rPr>
        <w:t>p. 85.</w:t>
      </w:r>
      <w:r>
        <w:rPr>
          <w:rStyle w:val="page-number-substitute"/>
          <w:rFonts w:ascii="Open Sans" w:hAnsi="Open Sans" w:cs="Open Sans"/>
          <w:color w:val="000000"/>
          <w:sz w:val="21"/>
          <w:szCs w:val="21"/>
        </w:rPr>
        <w:t xml:space="preserve"> </w:t>
      </w:r>
    </w:p>
  </w:footnote>
  <w:footnote w:id="23">
    <w:p w14:paraId="3B023C26" w14:textId="77777777" w:rsidR="007819FD" w:rsidRPr="004A35FB" w:rsidRDefault="007819FD" w:rsidP="007819FD">
      <w:pPr>
        <w:pStyle w:val="NoSpacing"/>
        <w:rPr>
          <w:rFonts w:cstheme="minorHAnsi"/>
          <w:sz w:val="16"/>
          <w:szCs w:val="16"/>
        </w:rPr>
      </w:pPr>
      <w:r w:rsidRPr="004A35FB">
        <w:rPr>
          <w:rStyle w:val="FootnoteReference"/>
          <w:rFonts w:cstheme="minorHAnsi"/>
          <w:sz w:val="16"/>
          <w:szCs w:val="16"/>
        </w:rPr>
        <w:footnoteRef/>
      </w:r>
      <w:r w:rsidRPr="004A35FB">
        <w:rPr>
          <w:rFonts w:cstheme="minorHAnsi"/>
          <w:sz w:val="16"/>
          <w:szCs w:val="16"/>
        </w:rPr>
        <w:t xml:space="preserve"> Jocelyn of Furness, </w:t>
      </w:r>
      <w:r w:rsidRPr="004A35FB">
        <w:rPr>
          <w:rStyle w:val="page-number-substitute"/>
          <w:rFonts w:cstheme="minorHAnsi"/>
          <w:color w:val="000000"/>
          <w:sz w:val="16"/>
          <w:szCs w:val="16"/>
        </w:rPr>
        <w:t>p. 47.</w:t>
      </w:r>
    </w:p>
  </w:footnote>
  <w:footnote w:id="24">
    <w:p w14:paraId="5FCA4BCE" w14:textId="77777777" w:rsidR="007819FD" w:rsidRPr="004A35FB" w:rsidRDefault="007819FD" w:rsidP="007819FD">
      <w:pPr>
        <w:pStyle w:val="FootnoteText"/>
        <w:rPr>
          <w:rFonts w:cstheme="minorHAnsi"/>
          <w:sz w:val="16"/>
          <w:szCs w:val="16"/>
        </w:rPr>
      </w:pPr>
      <w:r w:rsidRPr="004A35FB">
        <w:rPr>
          <w:rStyle w:val="FootnoteReference"/>
          <w:rFonts w:cstheme="minorHAnsi"/>
          <w:sz w:val="16"/>
          <w:szCs w:val="16"/>
        </w:rPr>
        <w:footnoteRef/>
      </w:r>
      <w:r w:rsidRPr="004A35FB">
        <w:rPr>
          <w:rFonts w:cstheme="minorHAnsi"/>
          <w:sz w:val="16"/>
          <w:szCs w:val="16"/>
        </w:rPr>
        <w:t xml:space="preserve"> Jocelyn of Furness, </w:t>
      </w:r>
      <w:r w:rsidRPr="004A35FB">
        <w:rPr>
          <w:rStyle w:val="page-number-substitute"/>
          <w:rFonts w:cstheme="minorHAnsi"/>
          <w:color w:val="000000"/>
          <w:sz w:val="16"/>
          <w:szCs w:val="16"/>
        </w:rPr>
        <w:t>p. 94.</w:t>
      </w:r>
    </w:p>
  </w:footnote>
  <w:footnote w:id="25">
    <w:p w14:paraId="67B3DEAA" w14:textId="77777777" w:rsidR="007819FD" w:rsidRPr="004A35FB" w:rsidRDefault="007819FD" w:rsidP="007819FD">
      <w:pPr>
        <w:pStyle w:val="FootnoteText"/>
        <w:rPr>
          <w:rFonts w:cstheme="minorHAnsi"/>
          <w:sz w:val="16"/>
          <w:szCs w:val="16"/>
        </w:rPr>
      </w:pPr>
      <w:r w:rsidRPr="004A35FB">
        <w:rPr>
          <w:rStyle w:val="FootnoteReference"/>
          <w:rFonts w:cstheme="minorHAnsi"/>
          <w:sz w:val="16"/>
          <w:szCs w:val="16"/>
        </w:rPr>
        <w:footnoteRef/>
      </w:r>
      <w:r w:rsidRPr="004A35FB">
        <w:rPr>
          <w:rFonts w:cstheme="minorHAnsi"/>
          <w:sz w:val="16"/>
          <w:szCs w:val="16"/>
        </w:rPr>
        <w:t xml:space="preserve"> Boardman, Williamson and Davies, </w:t>
      </w:r>
      <w:r w:rsidRPr="004A35FB">
        <w:rPr>
          <w:rStyle w:val="page-number-substitute"/>
          <w:rFonts w:cstheme="minorHAnsi"/>
          <w:color w:val="000000"/>
          <w:sz w:val="16"/>
          <w:szCs w:val="16"/>
        </w:rPr>
        <w:t>pp.68-69.</w:t>
      </w:r>
    </w:p>
  </w:footnote>
  <w:footnote w:id="26">
    <w:p w14:paraId="1231E216" w14:textId="77777777" w:rsidR="007819FD" w:rsidRPr="004A35FB" w:rsidRDefault="007819FD" w:rsidP="007819FD">
      <w:pPr>
        <w:pStyle w:val="NoSpacing"/>
        <w:rPr>
          <w:rFonts w:cstheme="minorHAnsi"/>
          <w:sz w:val="16"/>
          <w:szCs w:val="16"/>
        </w:rPr>
      </w:pPr>
      <w:r w:rsidRPr="004A35FB">
        <w:rPr>
          <w:rStyle w:val="FootnoteReference"/>
          <w:rFonts w:cstheme="minorHAnsi"/>
          <w:sz w:val="16"/>
          <w:szCs w:val="16"/>
        </w:rPr>
        <w:footnoteRef/>
      </w:r>
      <w:r w:rsidRPr="004A35FB">
        <w:rPr>
          <w:rFonts w:cstheme="minorHAnsi"/>
          <w:sz w:val="16"/>
          <w:szCs w:val="16"/>
        </w:rPr>
        <w:t xml:space="preserve"> Alexander Boyle, ‘ST. SERVANUS AND THE MANUSCRIPT TRADITION OF THE LIFE OF ST. KENTIGERN’, Innes Review, 21.1 (June 1970), 37–45 (pp.37-45) </w:t>
      </w:r>
    </w:p>
  </w:footnote>
  <w:footnote w:id="27">
    <w:p w14:paraId="6ECAFB0B" w14:textId="77777777" w:rsidR="007819FD" w:rsidRPr="004A35FB" w:rsidRDefault="007819FD" w:rsidP="007819FD">
      <w:pPr>
        <w:pStyle w:val="NoSpacing"/>
        <w:rPr>
          <w:rFonts w:cstheme="minorHAnsi"/>
          <w:sz w:val="16"/>
          <w:szCs w:val="16"/>
        </w:rPr>
      </w:pPr>
      <w:r w:rsidRPr="004A35FB">
        <w:rPr>
          <w:rStyle w:val="FootnoteReference"/>
          <w:rFonts w:cstheme="minorHAnsi"/>
          <w:sz w:val="16"/>
          <w:szCs w:val="16"/>
        </w:rPr>
        <w:footnoteRef/>
      </w:r>
      <w:r w:rsidRPr="004A35FB">
        <w:rPr>
          <w:rFonts w:cstheme="minorHAnsi"/>
          <w:sz w:val="16"/>
          <w:szCs w:val="16"/>
        </w:rPr>
        <w:t xml:space="preserve"> Jocelyn of Furness, </w:t>
      </w:r>
      <w:r w:rsidRPr="004A35FB">
        <w:rPr>
          <w:rStyle w:val="page-number-substitute"/>
          <w:rFonts w:cstheme="minorHAnsi"/>
          <w:color w:val="000000"/>
          <w:sz w:val="16"/>
          <w:szCs w:val="16"/>
        </w:rPr>
        <w:t>p. 74.</w:t>
      </w:r>
    </w:p>
  </w:footnote>
  <w:footnote w:id="28">
    <w:p w14:paraId="7C0DD3B2" w14:textId="77777777" w:rsidR="007819FD" w:rsidRDefault="007819FD" w:rsidP="007819FD">
      <w:pPr>
        <w:pStyle w:val="NoSpacing"/>
      </w:pPr>
      <w:r w:rsidRPr="004A35FB">
        <w:rPr>
          <w:rStyle w:val="FootnoteReference"/>
          <w:rFonts w:cstheme="minorHAnsi"/>
          <w:sz w:val="16"/>
          <w:szCs w:val="16"/>
        </w:rPr>
        <w:footnoteRef/>
      </w:r>
      <w:r w:rsidRPr="004A35FB">
        <w:rPr>
          <w:rFonts w:cstheme="minorHAnsi"/>
          <w:sz w:val="16"/>
          <w:szCs w:val="16"/>
        </w:rPr>
        <w:t xml:space="preserve"> Jocelyn of Furness, </w:t>
      </w:r>
      <w:r w:rsidRPr="004A35FB">
        <w:rPr>
          <w:rStyle w:val="page-number-substitute"/>
          <w:rFonts w:cstheme="minorHAnsi"/>
          <w:color w:val="000000"/>
          <w:sz w:val="16"/>
          <w:szCs w:val="16"/>
        </w:rPr>
        <w:t>p. 80.</w:t>
      </w:r>
    </w:p>
  </w:footnote>
  <w:footnote w:id="29">
    <w:p w14:paraId="397F59DD" w14:textId="77777777" w:rsidR="007819FD" w:rsidRPr="004A35FB" w:rsidRDefault="007819FD" w:rsidP="007819FD">
      <w:pPr>
        <w:pStyle w:val="NoSpacing"/>
        <w:rPr>
          <w:rFonts w:cstheme="minorHAnsi"/>
          <w:sz w:val="16"/>
          <w:szCs w:val="16"/>
        </w:rPr>
      </w:pPr>
      <w:r w:rsidRPr="004A35FB">
        <w:rPr>
          <w:rStyle w:val="FootnoteReference"/>
          <w:rFonts w:cstheme="minorHAnsi"/>
          <w:sz w:val="16"/>
          <w:szCs w:val="16"/>
        </w:rPr>
        <w:footnoteRef/>
      </w:r>
      <w:r w:rsidRPr="004A35FB">
        <w:rPr>
          <w:rFonts w:cstheme="minorHAnsi"/>
          <w:sz w:val="16"/>
          <w:szCs w:val="16"/>
        </w:rPr>
        <w:t xml:space="preserve"> Jocelyn of Furness, </w:t>
      </w:r>
      <w:r w:rsidRPr="004A35FB">
        <w:rPr>
          <w:rStyle w:val="page-number-substitute"/>
          <w:rFonts w:cstheme="minorHAnsi"/>
          <w:color w:val="000000"/>
          <w:sz w:val="16"/>
          <w:szCs w:val="16"/>
        </w:rPr>
        <w:t>p. 41.</w:t>
      </w:r>
    </w:p>
  </w:footnote>
  <w:footnote w:id="30">
    <w:p w14:paraId="65A7330C" w14:textId="77777777" w:rsidR="007819FD" w:rsidRPr="004A35FB" w:rsidRDefault="007819FD" w:rsidP="007819FD">
      <w:pPr>
        <w:pStyle w:val="NoSpacing"/>
        <w:rPr>
          <w:rFonts w:cstheme="minorHAnsi"/>
          <w:sz w:val="16"/>
          <w:szCs w:val="16"/>
        </w:rPr>
      </w:pPr>
      <w:r w:rsidRPr="004A35FB">
        <w:rPr>
          <w:rStyle w:val="FootnoteReference"/>
          <w:rFonts w:cstheme="minorHAnsi"/>
          <w:sz w:val="16"/>
          <w:szCs w:val="16"/>
        </w:rPr>
        <w:footnoteRef/>
      </w:r>
      <w:r w:rsidRPr="004A35FB">
        <w:rPr>
          <w:rFonts w:cstheme="minorHAnsi"/>
          <w:sz w:val="16"/>
          <w:szCs w:val="16"/>
        </w:rPr>
        <w:t xml:space="preserve"> Chadwick and others, </w:t>
      </w:r>
      <w:r w:rsidRPr="004A35FB">
        <w:rPr>
          <w:rStyle w:val="page-number-substitute"/>
          <w:rFonts w:cstheme="minorHAnsi"/>
          <w:color w:val="000000"/>
          <w:sz w:val="16"/>
          <w:szCs w:val="16"/>
        </w:rPr>
        <w:t>pp. 300-301</w:t>
      </w:r>
      <w:r w:rsidRPr="004A35FB">
        <w:rPr>
          <w:rFonts w:cstheme="minorHAnsi"/>
          <w:sz w:val="16"/>
          <w:szCs w:val="16"/>
        </w:rPr>
        <w:t>.</w:t>
      </w:r>
    </w:p>
  </w:footnote>
  <w:footnote w:id="31">
    <w:p w14:paraId="5A5E434D" w14:textId="77777777" w:rsidR="007819FD" w:rsidRPr="004A35FB" w:rsidRDefault="007819FD" w:rsidP="007819FD">
      <w:pPr>
        <w:pStyle w:val="NoSpacing"/>
        <w:rPr>
          <w:rFonts w:cstheme="minorHAnsi"/>
          <w:sz w:val="16"/>
          <w:szCs w:val="16"/>
        </w:rPr>
      </w:pPr>
      <w:r w:rsidRPr="004A35FB">
        <w:rPr>
          <w:rStyle w:val="FootnoteReference"/>
          <w:rFonts w:cstheme="minorHAnsi"/>
          <w:sz w:val="16"/>
          <w:szCs w:val="16"/>
        </w:rPr>
        <w:footnoteRef/>
      </w:r>
      <w:r w:rsidRPr="004A35FB">
        <w:rPr>
          <w:rFonts w:cstheme="minorHAnsi"/>
          <w:sz w:val="16"/>
          <w:szCs w:val="16"/>
        </w:rPr>
        <w:t xml:space="preserve"> Chadwick and others, </w:t>
      </w:r>
      <w:r w:rsidRPr="004A35FB">
        <w:rPr>
          <w:rStyle w:val="page-number-substitute"/>
          <w:rFonts w:cstheme="minorHAnsi"/>
          <w:color w:val="000000"/>
          <w:sz w:val="16"/>
          <w:szCs w:val="16"/>
        </w:rPr>
        <w:t>pp. 294-295</w:t>
      </w:r>
      <w:r w:rsidRPr="004A35FB">
        <w:rPr>
          <w:rFonts w:cstheme="minorHAnsi"/>
          <w:sz w:val="16"/>
          <w:szCs w:val="16"/>
        </w:rPr>
        <w:t>.</w:t>
      </w:r>
    </w:p>
  </w:footnote>
  <w:footnote w:id="32">
    <w:p w14:paraId="1F4D616A" w14:textId="77777777" w:rsidR="007819FD" w:rsidRPr="004A35FB" w:rsidRDefault="007819FD" w:rsidP="007819FD">
      <w:pPr>
        <w:pStyle w:val="FootnoteText"/>
        <w:rPr>
          <w:rFonts w:cstheme="minorHAnsi"/>
          <w:sz w:val="16"/>
          <w:szCs w:val="16"/>
        </w:rPr>
      </w:pPr>
      <w:r w:rsidRPr="004A35FB">
        <w:rPr>
          <w:rStyle w:val="FootnoteReference"/>
          <w:rFonts w:cstheme="minorHAnsi"/>
          <w:sz w:val="16"/>
          <w:szCs w:val="16"/>
        </w:rPr>
        <w:footnoteRef/>
      </w:r>
      <w:r w:rsidRPr="004A35FB">
        <w:rPr>
          <w:rFonts w:cstheme="minorHAnsi"/>
          <w:sz w:val="16"/>
          <w:szCs w:val="16"/>
        </w:rPr>
        <w:t xml:space="preserve"> Chadwick and others, </w:t>
      </w:r>
      <w:r w:rsidRPr="004A35FB">
        <w:rPr>
          <w:rStyle w:val="page-number-substitute"/>
          <w:rFonts w:cstheme="minorHAnsi"/>
          <w:color w:val="000000"/>
          <w:sz w:val="16"/>
          <w:szCs w:val="16"/>
        </w:rPr>
        <w:t>p. 296</w:t>
      </w:r>
      <w:r w:rsidRPr="004A35FB">
        <w:rPr>
          <w:rFonts w:cstheme="minorHAnsi"/>
          <w:sz w:val="16"/>
          <w:szCs w:val="16"/>
        </w:rPr>
        <w:t>.</w:t>
      </w:r>
    </w:p>
  </w:footnote>
  <w:footnote w:id="33">
    <w:p w14:paraId="6F793BB0" w14:textId="3CCA52CB" w:rsidR="009E63A2" w:rsidRPr="004A35FB" w:rsidRDefault="009E63A2">
      <w:pPr>
        <w:pStyle w:val="FootnoteText"/>
        <w:rPr>
          <w:rFonts w:cstheme="minorHAnsi"/>
          <w:sz w:val="16"/>
          <w:szCs w:val="16"/>
        </w:rPr>
      </w:pPr>
      <w:r w:rsidRPr="004A35FB">
        <w:rPr>
          <w:rStyle w:val="FootnoteReference"/>
          <w:rFonts w:cstheme="minorHAnsi"/>
          <w:sz w:val="16"/>
          <w:szCs w:val="16"/>
        </w:rPr>
        <w:footnoteRef/>
      </w:r>
      <w:r w:rsidRPr="004A35FB">
        <w:rPr>
          <w:rFonts w:cstheme="minorHAnsi"/>
          <w:sz w:val="16"/>
          <w:szCs w:val="16"/>
        </w:rPr>
        <w:t xml:space="preserve"> </w:t>
      </w:r>
      <w:r w:rsidRPr="004A35FB">
        <w:rPr>
          <w:rFonts w:cstheme="minorHAnsi"/>
          <w:color w:val="000000"/>
          <w:sz w:val="16"/>
          <w:szCs w:val="16"/>
        </w:rPr>
        <w:t>‘History - St Asaph Parish Church’, </w:t>
      </w:r>
      <w:r w:rsidRPr="004A35FB">
        <w:rPr>
          <w:rFonts w:cstheme="minorHAnsi"/>
          <w:i/>
          <w:iCs/>
          <w:color w:val="000000"/>
          <w:sz w:val="16"/>
          <w:szCs w:val="16"/>
        </w:rPr>
        <w:t>St Asaph Parish Church</w:t>
      </w:r>
      <w:r w:rsidRPr="004A35FB">
        <w:rPr>
          <w:rFonts w:cstheme="minorHAnsi"/>
          <w:color w:val="000000"/>
          <w:sz w:val="16"/>
          <w:szCs w:val="16"/>
        </w:rPr>
        <w:t> &lt;</w:t>
      </w:r>
      <w:hyperlink r:id="rId1" w:tgtFrame="_blank" w:history="1">
        <w:r w:rsidRPr="004A35FB">
          <w:rPr>
            <w:rStyle w:val="Hyperlink"/>
            <w:rFonts w:cstheme="minorHAnsi"/>
            <w:color w:val="000000"/>
            <w:sz w:val="16"/>
            <w:szCs w:val="16"/>
          </w:rPr>
          <w:t>https://stasaphparishchurch.org.uk/history/</w:t>
        </w:r>
      </w:hyperlink>
      <w:r w:rsidRPr="004A35FB">
        <w:rPr>
          <w:rFonts w:cstheme="minorHAnsi"/>
          <w:color w:val="000000"/>
          <w:sz w:val="16"/>
          <w:szCs w:val="16"/>
        </w:rPr>
        <w:t>&gt; [accessed 16 October 2022].</w:t>
      </w:r>
    </w:p>
  </w:footnote>
  <w:footnote w:id="34">
    <w:p w14:paraId="769EE82F" w14:textId="77777777" w:rsidR="007819FD" w:rsidRPr="004A35FB" w:rsidRDefault="007819FD" w:rsidP="007819FD">
      <w:pPr>
        <w:pStyle w:val="FootnoteText"/>
        <w:rPr>
          <w:rFonts w:cstheme="minorHAnsi"/>
          <w:sz w:val="16"/>
          <w:szCs w:val="16"/>
        </w:rPr>
      </w:pPr>
      <w:r w:rsidRPr="004A35FB">
        <w:rPr>
          <w:rStyle w:val="FootnoteReference"/>
          <w:rFonts w:cstheme="minorHAnsi"/>
          <w:sz w:val="16"/>
          <w:szCs w:val="16"/>
        </w:rPr>
        <w:footnoteRef/>
      </w:r>
      <w:r w:rsidRPr="004A35FB">
        <w:rPr>
          <w:rFonts w:cstheme="minorHAnsi"/>
          <w:sz w:val="16"/>
          <w:szCs w:val="16"/>
        </w:rPr>
        <w:t xml:space="preserve"> </w:t>
      </w:r>
      <w:r w:rsidRPr="004A35FB">
        <w:rPr>
          <w:rFonts w:cstheme="minorHAnsi"/>
          <w:color w:val="000000"/>
          <w:sz w:val="16"/>
          <w:szCs w:val="16"/>
        </w:rPr>
        <w:t xml:space="preserve">Henry </w:t>
      </w:r>
      <w:proofErr w:type="spellStart"/>
      <w:r w:rsidRPr="004A35FB">
        <w:rPr>
          <w:rFonts w:cstheme="minorHAnsi"/>
          <w:color w:val="000000"/>
          <w:sz w:val="16"/>
          <w:szCs w:val="16"/>
        </w:rPr>
        <w:t>Manders</w:t>
      </w:r>
      <w:proofErr w:type="spellEnd"/>
      <w:r w:rsidRPr="004A35FB">
        <w:rPr>
          <w:rFonts w:cstheme="minorHAnsi"/>
          <w:color w:val="000000"/>
          <w:sz w:val="16"/>
          <w:szCs w:val="16"/>
        </w:rPr>
        <w:t>, </w:t>
      </w:r>
      <w:r w:rsidRPr="004A35FB">
        <w:rPr>
          <w:rFonts w:cstheme="minorHAnsi"/>
          <w:i/>
          <w:iCs/>
          <w:color w:val="000000"/>
          <w:sz w:val="16"/>
          <w:szCs w:val="16"/>
        </w:rPr>
        <w:t>The History of the Church of Crosthwaite, Cumberland</w:t>
      </w:r>
      <w:r w:rsidRPr="004A35FB">
        <w:rPr>
          <w:rFonts w:cstheme="minorHAnsi"/>
          <w:color w:val="000000"/>
          <w:sz w:val="16"/>
          <w:szCs w:val="16"/>
        </w:rPr>
        <w:t> (London: J.B. Nichols, 1853), </w:t>
      </w:r>
      <w:r w:rsidRPr="004A35FB">
        <w:rPr>
          <w:rStyle w:val="page-number-substitute"/>
          <w:rFonts w:cstheme="minorHAnsi"/>
          <w:color w:val="000000"/>
          <w:sz w:val="16"/>
          <w:szCs w:val="16"/>
        </w:rPr>
        <w:t>p. 5-7</w:t>
      </w:r>
      <w:r w:rsidRPr="004A35FB">
        <w:rPr>
          <w:rFonts w:cstheme="minorHAnsi"/>
          <w:color w:val="000000"/>
          <w:sz w:val="16"/>
          <w:szCs w:val="16"/>
        </w:rPr>
        <w:t xml:space="preserve">., Francis </w:t>
      </w:r>
      <w:proofErr w:type="spellStart"/>
      <w:r w:rsidRPr="004A35FB">
        <w:rPr>
          <w:rFonts w:cstheme="minorHAnsi"/>
          <w:color w:val="000000"/>
          <w:sz w:val="16"/>
          <w:szCs w:val="16"/>
        </w:rPr>
        <w:t>Eeles</w:t>
      </w:r>
      <w:proofErr w:type="spellEnd"/>
      <w:r w:rsidRPr="004A35FB">
        <w:rPr>
          <w:rFonts w:cstheme="minorHAnsi"/>
          <w:color w:val="000000"/>
          <w:sz w:val="16"/>
          <w:szCs w:val="16"/>
        </w:rPr>
        <w:t xml:space="preserve">, </w:t>
      </w:r>
      <w:r w:rsidRPr="004A35FB">
        <w:rPr>
          <w:rFonts w:cstheme="minorHAnsi"/>
          <w:i/>
          <w:iCs/>
          <w:color w:val="000000"/>
          <w:sz w:val="16"/>
          <w:szCs w:val="16"/>
        </w:rPr>
        <w:t>The Parish Church of St. Kentigern Crosthwaite</w:t>
      </w:r>
      <w:r w:rsidRPr="004A35FB">
        <w:rPr>
          <w:rFonts w:cstheme="minorHAnsi"/>
          <w:color w:val="000000"/>
          <w:sz w:val="16"/>
          <w:szCs w:val="16"/>
        </w:rPr>
        <w:t xml:space="preserve"> (Carlisle: Charles </w:t>
      </w:r>
      <w:proofErr w:type="spellStart"/>
      <w:r w:rsidRPr="004A35FB">
        <w:rPr>
          <w:rFonts w:cstheme="minorHAnsi"/>
          <w:color w:val="000000"/>
          <w:sz w:val="16"/>
          <w:szCs w:val="16"/>
        </w:rPr>
        <w:t>Thurnam</w:t>
      </w:r>
      <w:proofErr w:type="spellEnd"/>
      <w:r w:rsidRPr="004A35FB">
        <w:rPr>
          <w:rFonts w:cstheme="minorHAnsi"/>
          <w:color w:val="000000"/>
          <w:sz w:val="16"/>
          <w:szCs w:val="16"/>
        </w:rPr>
        <w:t xml:space="preserve"> and sons Ltd., 1953), pp. 68-69.</w:t>
      </w:r>
    </w:p>
  </w:footnote>
  <w:footnote w:id="35">
    <w:p w14:paraId="493E5A9F" w14:textId="77777777" w:rsidR="007819FD" w:rsidRDefault="007819FD" w:rsidP="007819FD">
      <w:pPr>
        <w:pStyle w:val="FootnoteText"/>
      </w:pPr>
      <w:r w:rsidRPr="004A35FB">
        <w:rPr>
          <w:rStyle w:val="FootnoteReference"/>
          <w:rFonts w:cstheme="minorHAnsi"/>
          <w:sz w:val="16"/>
          <w:szCs w:val="16"/>
        </w:rPr>
        <w:footnoteRef/>
      </w:r>
      <w:r w:rsidRPr="004A35FB">
        <w:rPr>
          <w:rFonts w:cstheme="minorHAnsi"/>
          <w:sz w:val="16"/>
          <w:szCs w:val="16"/>
        </w:rPr>
        <w:t xml:space="preserve"> Francis </w:t>
      </w:r>
      <w:proofErr w:type="spellStart"/>
      <w:r w:rsidRPr="004A35FB">
        <w:rPr>
          <w:rFonts w:cstheme="minorHAnsi"/>
          <w:sz w:val="16"/>
          <w:szCs w:val="16"/>
        </w:rPr>
        <w:t>Eeles</w:t>
      </w:r>
      <w:proofErr w:type="spellEnd"/>
      <w:r w:rsidRPr="004A35FB">
        <w:rPr>
          <w:rFonts w:cstheme="minorHAnsi"/>
          <w:sz w:val="16"/>
          <w:szCs w:val="16"/>
        </w:rPr>
        <w:t>, p. iv.</w:t>
      </w:r>
    </w:p>
  </w:footnote>
  <w:footnote w:id="36">
    <w:p w14:paraId="78274FDD" w14:textId="77777777" w:rsidR="007819FD" w:rsidRPr="004A35FB" w:rsidRDefault="007819FD" w:rsidP="007819FD">
      <w:pPr>
        <w:pStyle w:val="FootnoteText"/>
        <w:rPr>
          <w:rFonts w:cstheme="minorHAnsi"/>
          <w:sz w:val="16"/>
          <w:szCs w:val="16"/>
        </w:rPr>
      </w:pPr>
      <w:r w:rsidRPr="004A35FB">
        <w:rPr>
          <w:rStyle w:val="FootnoteReference"/>
          <w:rFonts w:cstheme="minorHAnsi"/>
          <w:sz w:val="16"/>
          <w:szCs w:val="16"/>
        </w:rPr>
        <w:footnoteRef/>
      </w:r>
      <w:r w:rsidRPr="004A35FB">
        <w:rPr>
          <w:rFonts w:cstheme="minorHAnsi"/>
          <w:sz w:val="16"/>
          <w:szCs w:val="16"/>
        </w:rPr>
        <w:t xml:space="preserve"> </w:t>
      </w:r>
      <w:r w:rsidRPr="004A35FB">
        <w:rPr>
          <w:rFonts w:cstheme="minorHAnsi"/>
          <w:color w:val="000000"/>
          <w:sz w:val="16"/>
          <w:szCs w:val="16"/>
        </w:rPr>
        <w:t>‘St Mungo’, </w:t>
      </w:r>
      <w:r w:rsidRPr="004A35FB">
        <w:rPr>
          <w:rFonts w:cstheme="minorHAnsi"/>
          <w:i/>
          <w:iCs/>
          <w:color w:val="000000"/>
          <w:sz w:val="16"/>
          <w:szCs w:val="16"/>
        </w:rPr>
        <w:t>Solway Plain Churches</w:t>
      </w:r>
      <w:r w:rsidRPr="004A35FB">
        <w:rPr>
          <w:rFonts w:cstheme="minorHAnsi"/>
          <w:color w:val="000000"/>
          <w:sz w:val="16"/>
          <w:szCs w:val="16"/>
        </w:rPr>
        <w:t> &lt;</w:t>
      </w:r>
      <w:hyperlink r:id="rId2" w:tgtFrame="_blank" w:history="1">
        <w:r w:rsidRPr="004A35FB">
          <w:rPr>
            <w:rStyle w:val="Hyperlink"/>
            <w:rFonts w:cstheme="minorHAnsi"/>
            <w:color w:val="000000"/>
            <w:sz w:val="16"/>
            <w:szCs w:val="16"/>
          </w:rPr>
          <w:t>https://www.solwayplainchurches.org.uk/churches/bromfield.html</w:t>
        </w:r>
      </w:hyperlink>
      <w:r w:rsidRPr="004A35FB">
        <w:rPr>
          <w:rFonts w:cstheme="minorHAnsi"/>
          <w:color w:val="000000"/>
          <w:sz w:val="16"/>
          <w:szCs w:val="16"/>
        </w:rPr>
        <w:t>&gt; [accessed 16 October 2022].</w:t>
      </w:r>
    </w:p>
  </w:footnote>
  <w:footnote w:id="37">
    <w:p w14:paraId="3EE6EA76" w14:textId="77777777" w:rsidR="00120920" w:rsidRPr="004A35FB" w:rsidRDefault="00120920" w:rsidP="00120920">
      <w:pPr>
        <w:pStyle w:val="NoSpacing"/>
        <w:rPr>
          <w:rFonts w:cstheme="minorHAnsi"/>
          <w:sz w:val="16"/>
          <w:szCs w:val="16"/>
        </w:rPr>
      </w:pPr>
      <w:r w:rsidRPr="004A35FB">
        <w:rPr>
          <w:rStyle w:val="FootnoteReference"/>
          <w:rFonts w:cstheme="minorHAnsi"/>
          <w:sz w:val="16"/>
          <w:szCs w:val="16"/>
        </w:rPr>
        <w:footnoteRef/>
      </w:r>
      <w:r w:rsidRPr="004A35FB">
        <w:rPr>
          <w:rFonts w:cstheme="minorHAnsi"/>
          <w:sz w:val="16"/>
          <w:szCs w:val="16"/>
        </w:rPr>
        <w:t xml:space="preserve"> Boardman, Williamson and Davies, </w:t>
      </w:r>
      <w:r w:rsidRPr="004A35FB">
        <w:rPr>
          <w:rStyle w:val="page-number-substitute"/>
          <w:rFonts w:cstheme="minorHAnsi"/>
          <w:color w:val="000000"/>
          <w:sz w:val="16"/>
          <w:szCs w:val="16"/>
        </w:rPr>
        <w:t>p. 80</w:t>
      </w:r>
    </w:p>
  </w:footnote>
  <w:footnote w:id="38">
    <w:p w14:paraId="1FE024F1" w14:textId="77777777" w:rsidR="0086460F" w:rsidRPr="006770E8" w:rsidRDefault="0086460F" w:rsidP="0086460F">
      <w:pPr>
        <w:pStyle w:val="NoSpacing"/>
        <w:rPr>
          <w:sz w:val="16"/>
          <w:szCs w:val="16"/>
        </w:rPr>
      </w:pPr>
      <w:r w:rsidRPr="004A35FB">
        <w:rPr>
          <w:rStyle w:val="FootnoteReference"/>
          <w:rFonts w:cstheme="minorHAnsi"/>
          <w:sz w:val="16"/>
          <w:szCs w:val="16"/>
        </w:rPr>
        <w:footnoteRef/>
      </w:r>
      <w:r w:rsidRPr="004A35FB">
        <w:rPr>
          <w:rFonts w:cstheme="minorHAnsi"/>
          <w:sz w:val="16"/>
          <w:szCs w:val="16"/>
        </w:rPr>
        <w:t xml:space="preserve"> Bob Curran, </w:t>
      </w:r>
      <w:r w:rsidRPr="004A35FB">
        <w:rPr>
          <w:rFonts w:cstheme="minorHAnsi"/>
          <w:i/>
          <w:iCs/>
          <w:sz w:val="16"/>
          <w:szCs w:val="16"/>
        </w:rPr>
        <w:t>Celtic saints</w:t>
      </w:r>
      <w:r w:rsidRPr="004A35FB">
        <w:rPr>
          <w:rFonts w:cstheme="minorHAnsi"/>
          <w:sz w:val="16"/>
          <w:szCs w:val="16"/>
        </w:rPr>
        <w:t> (Cardiff: St David's Press, 2007), </w:t>
      </w:r>
      <w:r w:rsidRPr="004A35FB">
        <w:rPr>
          <w:rStyle w:val="page-number-substitute"/>
          <w:rFonts w:cstheme="minorHAnsi"/>
          <w:color w:val="000000"/>
          <w:sz w:val="16"/>
          <w:szCs w:val="16"/>
        </w:rPr>
        <w:t>p. 87</w:t>
      </w:r>
      <w:r w:rsidRPr="004A35FB">
        <w:rPr>
          <w:rFonts w:cstheme="minorHAnsi"/>
          <w:sz w:val="16"/>
          <w:szCs w:val="16"/>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9FD"/>
    <w:rsid w:val="00092046"/>
    <w:rsid w:val="00120920"/>
    <w:rsid w:val="00147F04"/>
    <w:rsid w:val="001E2653"/>
    <w:rsid w:val="00210045"/>
    <w:rsid w:val="00414531"/>
    <w:rsid w:val="0042168F"/>
    <w:rsid w:val="004973D3"/>
    <w:rsid w:val="004A35FB"/>
    <w:rsid w:val="005A4E83"/>
    <w:rsid w:val="005D08BB"/>
    <w:rsid w:val="00770549"/>
    <w:rsid w:val="007819FD"/>
    <w:rsid w:val="00802BE8"/>
    <w:rsid w:val="00862F4E"/>
    <w:rsid w:val="0086460F"/>
    <w:rsid w:val="00992C4F"/>
    <w:rsid w:val="009E63A2"/>
    <w:rsid w:val="00B655A9"/>
    <w:rsid w:val="00C14440"/>
    <w:rsid w:val="00C33C58"/>
    <w:rsid w:val="00CA6339"/>
    <w:rsid w:val="00CB0399"/>
    <w:rsid w:val="00E35727"/>
    <w:rsid w:val="00E57E12"/>
    <w:rsid w:val="00E621DE"/>
    <w:rsid w:val="00EF429A"/>
    <w:rsid w:val="00F35673"/>
    <w:rsid w:val="00F50094"/>
    <w:rsid w:val="00FD307A"/>
    <w:rsid w:val="00FF5F5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81A938"/>
  <w15:chartTrackingRefBased/>
  <w15:docId w15:val="{8BA2924E-681F-4A96-ACDE-123CECD31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9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19FD"/>
    <w:pPr>
      <w:spacing w:after="0" w:line="240" w:lineRule="auto"/>
    </w:pPr>
  </w:style>
  <w:style w:type="paragraph" w:styleId="FootnoteText">
    <w:name w:val="footnote text"/>
    <w:basedOn w:val="Normal"/>
    <w:link w:val="FootnoteTextChar"/>
    <w:uiPriority w:val="99"/>
    <w:semiHidden/>
    <w:unhideWhenUsed/>
    <w:rsid w:val="007819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19FD"/>
    <w:rPr>
      <w:sz w:val="20"/>
      <w:szCs w:val="20"/>
    </w:rPr>
  </w:style>
  <w:style w:type="character" w:styleId="FootnoteReference">
    <w:name w:val="footnote reference"/>
    <w:basedOn w:val="DefaultParagraphFont"/>
    <w:uiPriority w:val="99"/>
    <w:semiHidden/>
    <w:unhideWhenUsed/>
    <w:rsid w:val="007819FD"/>
    <w:rPr>
      <w:vertAlign w:val="superscript"/>
    </w:rPr>
  </w:style>
  <w:style w:type="character" w:customStyle="1" w:styleId="page-number-substitute">
    <w:name w:val="page-number-substitute"/>
    <w:basedOn w:val="DefaultParagraphFont"/>
    <w:rsid w:val="007819FD"/>
  </w:style>
  <w:style w:type="character" w:styleId="Hyperlink">
    <w:name w:val="Hyperlink"/>
    <w:basedOn w:val="DefaultParagraphFont"/>
    <w:uiPriority w:val="99"/>
    <w:semiHidden/>
    <w:unhideWhenUsed/>
    <w:rsid w:val="007819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tasaphparishchurch.org.uk/histor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olwayplainchurches.org.uk/churches/bromfield.htm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solwayplainchurches.org.uk/churches/bromfield.html" TargetMode="External"/><Relationship Id="rId1" Type="http://schemas.openxmlformats.org/officeDocument/2006/relationships/hyperlink" Target="https://stasaphparishchurch.org.uk/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3115</Words>
  <Characters>17758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Tierney</dc:creator>
  <cp:keywords/>
  <dc:description/>
  <cp:lastModifiedBy>Darren Tierney</cp:lastModifiedBy>
  <cp:revision>11</cp:revision>
  <dcterms:created xsi:type="dcterms:W3CDTF">2022-10-16T21:48:00Z</dcterms:created>
  <dcterms:modified xsi:type="dcterms:W3CDTF">2022-10-16T21:55:00Z</dcterms:modified>
</cp:coreProperties>
</file>