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01ED6" w14:textId="25B16AE4" w:rsidR="002569FE" w:rsidRDefault="002569FE" w:rsidP="002208E0">
      <w:pPr>
        <w:pStyle w:val="Heading1"/>
        <w:keepLines w:val="0"/>
        <w:numPr>
          <w:ilvl w:val="0"/>
          <w:numId w:val="5"/>
        </w:numPr>
        <w:spacing w:before="0" w:after="240" w:line="276" w:lineRule="auto"/>
      </w:pPr>
      <w:bookmarkStart w:id="0" w:name="_Toc192966292"/>
      <w:bookmarkStart w:id="1" w:name="_Hlk193810941"/>
      <w:r>
        <w:t>Introduction</w:t>
      </w:r>
      <w:bookmarkEnd w:id="0"/>
    </w:p>
    <w:p w14:paraId="190BAB25" w14:textId="4EF2AAFE" w:rsidR="002569FE" w:rsidRDefault="002569FE" w:rsidP="002569FE">
      <w:pPr>
        <w:pStyle w:val="Heading2"/>
        <w:keepLines w:val="0"/>
        <w:numPr>
          <w:ilvl w:val="1"/>
          <w:numId w:val="0"/>
        </w:numPr>
        <w:spacing w:before="240" w:line="276" w:lineRule="auto"/>
        <w:ind w:left="576" w:hanging="576"/>
      </w:pPr>
      <w:bookmarkStart w:id="2" w:name="_Toc192966293"/>
      <w:bookmarkStart w:id="3" w:name="_Hlk192958455"/>
      <w:bookmarkEnd w:id="1"/>
      <w:r>
        <w:t>Purpose</w:t>
      </w:r>
      <w:bookmarkEnd w:id="2"/>
    </w:p>
    <w:bookmarkEnd w:id="3"/>
    <w:p w14:paraId="413F691A" w14:textId="78E831A7" w:rsidR="00C52827" w:rsidRPr="00B93335" w:rsidRDefault="00C52827" w:rsidP="002569FE">
      <w:r w:rsidRPr="00C52827">
        <w:t xml:space="preserve">The objective of this paper is to elucidate the concepts of critical diameter and critical density as they pertain to the conditions necessary for a successful detonation. </w:t>
      </w:r>
      <w:r w:rsidR="00EC36AD">
        <w:t>L</w:t>
      </w:r>
      <w:r w:rsidRPr="00C52827">
        <w:t xml:space="preserve">ead </w:t>
      </w:r>
      <w:r w:rsidR="009279AF">
        <w:t>a</w:t>
      </w:r>
      <w:r w:rsidRPr="00C52827">
        <w:t xml:space="preserve">zide </w:t>
      </w:r>
      <w:r w:rsidR="00AA57B5">
        <w:t>(LA)</w:t>
      </w:r>
      <w:r w:rsidR="00EC36AD">
        <w:t xml:space="preserve"> triggered by an electric </w:t>
      </w:r>
      <w:r w:rsidR="004F74A7">
        <w:t>primer</w:t>
      </w:r>
      <w:r w:rsidR="00AA57B5">
        <w:t xml:space="preserve"> </w:t>
      </w:r>
      <w:r w:rsidRPr="00C52827">
        <w:t xml:space="preserve">will be employed as </w:t>
      </w:r>
      <w:r w:rsidR="00E81585">
        <w:t xml:space="preserve">the </w:t>
      </w:r>
      <w:r w:rsidR="000C74D8">
        <w:t>primary</w:t>
      </w:r>
      <w:r w:rsidRPr="00C52827">
        <w:t xml:space="preserve"> </w:t>
      </w:r>
      <w:r w:rsidR="00697EC9">
        <w:t>to</w:t>
      </w:r>
      <w:r w:rsidR="00C8170E">
        <w:t xml:space="preserve"> a</w:t>
      </w:r>
      <w:r w:rsidRPr="00C52827">
        <w:t xml:space="preserve"> </w:t>
      </w:r>
      <w:r w:rsidR="00B04064">
        <w:t xml:space="preserve">pressed </w:t>
      </w:r>
      <w:r w:rsidR="00BB318F">
        <w:t>2,</w:t>
      </w:r>
      <w:r w:rsidR="009279AF">
        <w:t>4,6-t</w:t>
      </w:r>
      <w:r w:rsidRPr="00C52827">
        <w:t xml:space="preserve">rinitrotoluene (TNT) </w:t>
      </w:r>
      <w:r w:rsidR="00C8170E">
        <w:t>secondary</w:t>
      </w:r>
      <w:r w:rsidR="00FD5C87">
        <w:t xml:space="preserve"> tube</w:t>
      </w:r>
      <w:r w:rsidR="00697EC9">
        <w:t>,</w:t>
      </w:r>
      <w:r w:rsidR="00C8170E">
        <w:t xml:space="preserve"> </w:t>
      </w:r>
      <w:r w:rsidR="00697EC9">
        <w:t>both in their</w:t>
      </w:r>
      <w:r w:rsidRPr="00C52827">
        <w:t xml:space="preserve"> unconfined state. Subsequently, the analysis </w:t>
      </w:r>
      <w:r w:rsidR="004F74A7">
        <w:t>shall</w:t>
      </w:r>
      <w:r w:rsidRPr="00C52827">
        <w:t xml:space="preserve"> consider how confinement influences the critical diameter and how variations in density affect the velocity of detonation (VoD)</w:t>
      </w:r>
      <w:r w:rsidR="006860D8">
        <w:t xml:space="preserve"> which is reached by the blast wave </w:t>
      </w:r>
      <w:r w:rsidR="0094561B">
        <w:t>achieving</w:t>
      </w:r>
      <w:r w:rsidR="006860D8">
        <w:t xml:space="preserve"> the speed of sound </w:t>
      </w:r>
      <w:r w:rsidR="00DB4474">
        <w:t>of</w:t>
      </w:r>
      <w:r w:rsidR="006860D8">
        <w:t xml:space="preserve"> the material</w:t>
      </w:r>
      <w:r w:rsidR="000B7D57">
        <w:t xml:space="preserve"> u</w:t>
      </w:r>
      <w:r w:rsidR="007C0377">
        <w:t>n</w:t>
      </w:r>
      <w:r w:rsidR="000B7D57">
        <w:t>der the extant conditions</w:t>
      </w:r>
      <w:r w:rsidR="006860D8">
        <w:t>.</w:t>
      </w:r>
      <w:r w:rsidR="00283E08">
        <w:t xml:space="preserve"> </w:t>
      </w:r>
      <w:sdt>
        <w:sdtPr>
          <w:id w:val="-778257245"/>
          <w:citation/>
        </w:sdtPr>
        <w:sdtEndPr/>
        <w:sdtContent>
          <w:r w:rsidR="007C0377">
            <w:fldChar w:fldCharType="begin"/>
          </w:r>
          <w:r w:rsidR="007C0377">
            <w:instrText xml:space="preserve"> CITATION Rob21 \l 2057 </w:instrText>
          </w:r>
          <w:r w:rsidR="007C0377">
            <w:fldChar w:fldCharType="separate"/>
          </w:r>
          <w:r w:rsidR="00F16DA4" w:rsidRPr="00F16DA4">
            <w:rPr>
              <w:noProof/>
            </w:rPr>
            <w:t>[1]</w:t>
          </w:r>
          <w:r w:rsidR="007C0377">
            <w:fldChar w:fldCharType="end"/>
          </w:r>
        </w:sdtContent>
      </w:sdt>
    </w:p>
    <w:p w14:paraId="05E7E9F5" w14:textId="42FE61ED" w:rsidR="002569FE" w:rsidRDefault="002569FE" w:rsidP="002569FE">
      <w:pPr>
        <w:pStyle w:val="Heading2"/>
        <w:keepLines w:val="0"/>
        <w:numPr>
          <w:ilvl w:val="1"/>
          <w:numId w:val="0"/>
        </w:numPr>
        <w:spacing w:before="240" w:line="276" w:lineRule="auto"/>
        <w:ind w:left="576" w:hanging="576"/>
      </w:pPr>
      <w:bookmarkStart w:id="4" w:name="_Toc192966294"/>
      <w:r>
        <w:t>Hypotheses</w:t>
      </w:r>
      <w:bookmarkEnd w:id="4"/>
    </w:p>
    <w:p w14:paraId="41372F78" w14:textId="41AEBEE7" w:rsidR="0019131C" w:rsidRPr="0019131C" w:rsidRDefault="00FB5683" w:rsidP="0019131C">
      <w:r w:rsidRPr="00FB5683">
        <w:t xml:space="preserve">The propagation of an explosive wave is constrained by the phenomenon known as the </w:t>
      </w:r>
      <w:r w:rsidRPr="00FB5683">
        <w:rPr>
          <w:i/>
          <w:iCs/>
        </w:rPr>
        <w:t>critical diameter</w:t>
      </w:r>
      <w:r w:rsidRPr="00FB5683">
        <w:t xml:space="preserve">. When the diameter of the charge decreases below this threshold, surface instabilities inhibit the continued transmission of the detonation front. Conversely, the VoD exhibits a positive correlation with charge diameter until it approaches the condition referred to as </w:t>
      </w:r>
      <w:r w:rsidRPr="00FB5683">
        <w:rPr>
          <w:i/>
          <w:iCs/>
        </w:rPr>
        <w:t>infinite diameter</w:t>
      </w:r>
      <w:r w:rsidR="000B63B6" w:rsidRPr="00326D29">
        <w:t xml:space="preserve"> or</w:t>
      </w:r>
      <w:r w:rsidR="000B63B6">
        <w:rPr>
          <w:i/>
          <w:iCs/>
        </w:rPr>
        <w:t xml:space="preserve"> </w:t>
      </w:r>
      <w:r w:rsidR="00326D29">
        <w:rPr>
          <w:i/>
          <w:iCs/>
        </w:rPr>
        <w:t>failure diameter</w:t>
      </w:r>
      <w:r w:rsidRPr="00FB5683">
        <w:t>. At this stage, the detonation wave assumes a flattened geometry that effectively minimizes edge effects, such that further increases in charge diameter yield no additional enhancement in VoD. Moreover, both VoD and detonation pressure can be augmented through increased charge density, as the shock wave is reinforced by a higher concentration of available energy.</w:t>
      </w:r>
      <w:r w:rsidR="00545252">
        <w:t xml:space="preserve"> </w:t>
      </w:r>
      <w:r w:rsidR="00A60D0C">
        <w:t xml:space="preserve">Consideration needs to be given to the </w:t>
      </w:r>
      <w:r w:rsidR="00966D05">
        <w:t xml:space="preserve">theoretical maximum density at which point </w:t>
      </w:r>
      <w:r w:rsidR="0095508A">
        <w:t>the detonation velocity should be maximised</w:t>
      </w:r>
      <w:r w:rsidR="00C84180">
        <w:t xml:space="preserve"> as well as critical density </w:t>
      </w:r>
      <w:r w:rsidR="00C02632">
        <w:t xml:space="preserve">which is the density where the explosion may fail to </w:t>
      </w:r>
      <w:r w:rsidR="006D6477">
        <w:t>propagate</w:t>
      </w:r>
      <w:r w:rsidR="00AF6A30">
        <w:t>.</w:t>
      </w:r>
      <w:r w:rsidR="00AC0FE8">
        <w:t xml:space="preserve"> </w:t>
      </w:r>
    </w:p>
    <w:p w14:paraId="3B523A5F" w14:textId="7D24F817" w:rsidR="00FB5683" w:rsidRPr="00E0328E" w:rsidRDefault="00FB5683" w:rsidP="002569FE"/>
    <w:p w14:paraId="011DC80D" w14:textId="453AB6D9" w:rsidR="002569FE" w:rsidRDefault="00010B0C" w:rsidP="002569FE">
      <w:pPr>
        <w:pStyle w:val="Heading2"/>
        <w:keepLines w:val="0"/>
        <w:numPr>
          <w:ilvl w:val="1"/>
          <w:numId w:val="0"/>
        </w:numPr>
        <w:spacing w:before="240" w:line="276" w:lineRule="auto"/>
        <w:ind w:left="576" w:hanging="576"/>
      </w:pPr>
      <w:r>
        <w:t>Nomenclature</w:t>
      </w:r>
    </w:p>
    <w:p w14:paraId="0EB0B264" w14:textId="77777777" w:rsidR="00724EB6" w:rsidRPr="00724EB6" w:rsidRDefault="00724EB6" w:rsidP="00724EB6"/>
    <w:p w14:paraId="7E76C7F3" w14:textId="7049678D" w:rsidR="00AA57B5" w:rsidRDefault="00AA57B5" w:rsidP="002569FE">
      <w:r>
        <w:t>LA – Lead Azide</w:t>
      </w:r>
      <w:r w:rsidR="00B951BD">
        <w:t xml:space="preserve"> </w:t>
      </w:r>
    </w:p>
    <w:p w14:paraId="0002F680" w14:textId="5BA906CD" w:rsidR="00A164DA" w:rsidRDefault="00A164DA" w:rsidP="002569FE">
      <w:r w:rsidRPr="00A164DA">
        <w:t>TNT – Trinitrotoluene</w:t>
      </w:r>
    </w:p>
    <w:p w14:paraId="2BB7AB7F" w14:textId="67576010" w:rsidR="00511B8F" w:rsidRDefault="00CD5EE8" w:rsidP="002569FE">
      <w:r>
        <w:t>V</w:t>
      </w:r>
      <w:r w:rsidR="00BB28E4">
        <w:t>O</w:t>
      </w:r>
      <w:r>
        <w:t xml:space="preserve">D </w:t>
      </w:r>
      <w:r w:rsidR="00F07328">
        <w:t>–</w:t>
      </w:r>
      <w:r>
        <w:t xml:space="preserve"> </w:t>
      </w:r>
      <w:r w:rsidR="00F07328">
        <w:t>Velocity of Detonation</w:t>
      </w:r>
    </w:p>
    <w:p w14:paraId="6E15D10D" w14:textId="413CAA1F" w:rsidR="00656453" w:rsidRDefault="00656453" w:rsidP="002569FE">
      <w:r>
        <w:t>DDT – Deflagration to Detonation Transition</w:t>
      </w:r>
    </w:p>
    <w:p w14:paraId="5561CAD1" w14:textId="77777777" w:rsidR="008F35F8" w:rsidRDefault="00AB6257" w:rsidP="003D2256">
      <w:pPr>
        <w:spacing w:after="200" w:line="276" w:lineRule="auto"/>
      </w:pPr>
      <w:r>
        <w:t>SDT – Shock to Detonation Transition</w:t>
      </w:r>
    </w:p>
    <w:p w14:paraId="49C4E40C" w14:textId="77777777" w:rsidR="00A66154" w:rsidRDefault="008F35F8" w:rsidP="003D2256">
      <w:pPr>
        <w:spacing w:after="200" w:line="276" w:lineRule="auto"/>
      </w:pPr>
      <w:proofErr w:type="spellStart"/>
      <w:r>
        <w:t>Pci</w:t>
      </w:r>
      <w:proofErr w:type="spellEnd"/>
      <w:r>
        <w:t xml:space="preserve"> – Critical Initiating Pressure</w:t>
      </w:r>
    </w:p>
    <w:p w14:paraId="3A2EE924" w14:textId="77777777" w:rsidR="00511B8F" w:rsidRDefault="00A66154" w:rsidP="003D2256">
      <w:pPr>
        <w:spacing w:after="200" w:line="276" w:lineRule="auto"/>
      </w:pPr>
      <w:r>
        <w:t>dc – Critical Diameter</w:t>
      </w:r>
    </w:p>
    <w:p w14:paraId="55CFA044" w14:textId="7AD3281E" w:rsidR="007A7B21" w:rsidRDefault="007A7B21" w:rsidP="003D2256">
      <w:pPr>
        <w:spacing w:after="200" w:line="276" w:lineRule="auto"/>
      </w:pPr>
      <w:r>
        <w:t>ESD – Electrostatic Discharge</w:t>
      </w:r>
    </w:p>
    <w:p w14:paraId="4097B7D3" w14:textId="77777777" w:rsidR="007A7B21" w:rsidRDefault="004F25E6" w:rsidP="003D2256">
      <w:pPr>
        <w:spacing w:after="200" w:line="276" w:lineRule="auto"/>
      </w:pPr>
      <w:r>
        <w:t>DSC – Differential Scanning Calorimetry</w:t>
      </w:r>
    </w:p>
    <w:p w14:paraId="43786A84" w14:textId="688139EA" w:rsidR="002569FE" w:rsidRDefault="002569FE" w:rsidP="003D2256">
      <w:pPr>
        <w:spacing w:after="200" w:line="276" w:lineRule="auto"/>
      </w:pPr>
      <w:r>
        <w:br w:type="page"/>
      </w:r>
    </w:p>
    <w:p w14:paraId="36B2C483" w14:textId="6DEA7162" w:rsidR="00010B0C" w:rsidRDefault="002013DC" w:rsidP="00630502">
      <w:pPr>
        <w:pStyle w:val="Heading1"/>
        <w:keepLines w:val="0"/>
        <w:numPr>
          <w:ilvl w:val="0"/>
          <w:numId w:val="5"/>
        </w:numPr>
        <w:spacing w:before="0" w:after="240" w:line="276" w:lineRule="auto"/>
      </w:pPr>
      <w:r>
        <w:lastRenderedPageBreak/>
        <w:t>Performance Characteristics</w:t>
      </w:r>
    </w:p>
    <w:p w14:paraId="3D922C2D" w14:textId="2BE80310" w:rsidR="00630502" w:rsidRDefault="008E5C25" w:rsidP="00630502">
      <w:pPr>
        <w:pStyle w:val="Heading2"/>
      </w:pPr>
      <w:r>
        <w:t>Lead Azide</w:t>
      </w:r>
    </w:p>
    <w:p w14:paraId="308B3773" w14:textId="77777777" w:rsidR="008E5C25" w:rsidRPr="008E5C25" w:rsidRDefault="008E5C25" w:rsidP="008E5C25"/>
    <w:p w14:paraId="41ACF502" w14:textId="17AF9248" w:rsidR="00DA0F3B" w:rsidRDefault="00AA62C3" w:rsidP="008F3731">
      <w:r>
        <w:t>The first material to be investigated is</w:t>
      </w:r>
      <w:r w:rsidR="00DB1D1D">
        <w:t xml:space="preserve"> Lead Azide.</w:t>
      </w:r>
      <w:r w:rsidR="00D430E1">
        <w:t xml:space="preserve"> </w:t>
      </w:r>
      <w:r w:rsidR="00E83395">
        <w:t>This is intended to be used as the primary, initiating a TNT secondary in its unconfined form.</w:t>
      </w:r>
      <w:r w:rsidR="001C68B7">
        <w:t xml:space="preserve"> </w:t>
      </w:r>
    </w:p>
    <w:p w14:paraId="5ECBF80F" w14:textId="6F4EB84C" w:rsidR="004306CC" w:rsidRDefault="004306CC" w:rsidP="00AA62C3">
      <w:r>
        <w:t>Below are a series of characteristics drawn from a variety of sources.</w:t>
      </w:r>
    </w:p>
    <w:tbl>
      <w:tblPr>
        <w:tblStyle w:val="TableGrid"/>
        <w:tblW w:w="0" w:type="auto"/>
        <w:tblLook w:val="04A0" w:firstRow="1" w:lastRow="0" w:firstColumn="1" w:lastColumn="0" w:noHBand="0" w:noVBand="1"/>
      </w:tblPr>
      <w:tblGrid>
        <w:gridCol w:w="1372"/>
        <w:gridCol w:w="1545"/>
        <w:gridCol w:w="1258"/>
        <w:gridCol w:w="2122"/>
        <w:gridCol w:w="1268"/>
        <w:gridCol w:w="1451"/>
      </w:tblGrid>
      <w:tr w:rsidR="004F6A00" w:rsidRPr="004F6A00" w14:paraId="3C02CE57" w14:textId="77777777" w:rsidTr="004F6A00">
        <w:trPr>
          <w:trHeight w:val="300"/>
        </w:trPr>
        <w:tc>
          <w:tcPr>
            <w:tcW w:w="18240" w:type="dxa"/>
            <w:gridSpan w:val="6"/>
            <w:hideMark/>
          </w:tcPr>
          <w:p w14:paraId="333CBBF1" w14:textId="77777777" w:rsidR="004F6A00" w:rsidRPr="004F6A00" w:rsidRDefault="004F6A00">
            <w:pPr>
              <w:jc w:val="center"/>
            </w:pPr>
            <w:r w:rsidRPr="004F6A00">
              <w:t>Lead Azide</w:t>
            </w:r>
          </w:p>
        </w:tc>
      </w:tr>
      <w:tr w:rsidR="004F6A00" w:rsidRPr="004F6A00" w14:paraId="429E1B4B" w14:textId="77777777" w:rsidTr="004F6A00">
        <w:trPr>
          <w:trHeight w:val="300"/>
        </w:trPr>
        <w:tc>
          <w:tcPr>
            <w:tcW w:w="2753" w:type="dxa"/>
            <w:noWrap/>
            <w:hideMark/>
          </w:tcPr>
          <w:p w14:paraId="52B2A583" w14:textId="77777777" w:rsidR="004F6A00" w:rsidRPr="004F6A00" w:rsidRDefault="004F6A00">
            <w:pPr>
              <w:jc w:val="center"/>
            </w:pPr>
            <w:r w:rsidRPr="004F6A00">
              <w:t>Impact (J)</w:t>
            </w:r>
          </w:p>
        </w:tc>
        <w:tc>
          <w:tcPr>
            <w:tcW w:w="3134" w:type="dxa"/>
            <w:noWrap/>
            <w:hideMark/>
          </w:tcPr>
          <w:p w14:paraId="2A847E7D" w14:textId="77777777" w:rsidR="004F6A00" w:rsidRPr="004F6A00" w:rsidRDefault="004F6A00">
            <w:pPr>
              <w:jc w:val="center"/>
            </w:pPr>
            <w:r w:rsidRPr="004F6A00">
              <w:t>Friction (N)</w:t>
            </w:r>
          </w:p>
        </w:tc>
        <w:tc>
          <w:tcPr>
            <w:tcW w:w="2503" w:type="dxa"/>
            <w:noWrap/>
            <w:hideMark/>
          </w:tcPr>
          <w:p w14:paraId="37F54A77" w14:textId="77777777" w:rsidR="004F6A00" w:rsidRPr="004F6A00" w:rsidRDefault="004F6A00">
            <w:pPr>
              <w:jc w:val="center"/>
            </w:pPr>
            <w:r w:rsidRPr="004F6A00">
              <w:t>ESD (</w:t>
            </w:r>
            <w:proofErr w:type="spellStart"/>
            <w:r w:rsidRPr="004F6A00">
              <w:t>mJ</w:t>
            </w:r>
            <w:proofErr w:type="spellEnd"/>
            <w:r w:rsidRPr="004F6A00">
              <w:t>)</w:t>
            </w:r>
          </w:p>
        </w:tc>
        <w:tc>
          <w:tcPr>
            <w:tcW w:w="4399" w:type="dxa"/>
            <w:noWrap/>
            <w:hideMark/>
          </w:tcPr>
          <w:p w14:paraId="583694E4" w14:textId="77777777" w:rsidR="004F6A00" w:rsidRPr="004F6A00" w:rsidRDefault="004F6A00">
            <w:pPr>
              <w:jc w:val="center"/>
            </w:pPr>
            <w:r w:rsidRPr="004F6A00">
              <w:t>Density (g/cm3)</w:t>
            </w:r>
          </w:p>
        </w:tc>
        <w:tc>
          <w:tcPr>
            <w:tcW w:w="2524" w:type="dxa"/>
            <w:noWrap/>
            <w:hideMark/>
          </w:tcPr>
          <w:p w14:paraId="40FACA9E" w14:textId="77777777" w:rsidR="004F6A00" w:rsidRPr="004F6A00" w:rsidRDefault="004F6A00">
            <w:pPr>
              <w:jc w:val="center"/>
            </w:pPr>
            <w:r w:rsidRPr="004F6A00">
              <w:t>DSC (°C)</w:t>
            </w:r>
          </w:p>
        </w:tc>
        <w:tc>
          <w:tcPr>
            <w:tcW w:w="2927" w:type="dxa"/>
            <w:noWrap/>
            <w:hideMark/>
          </w:tcPr>
          <w:p w14:paraId="703BD66E" w14:textId="77777777" w:rsidR="004F6A00" w:rsidRPr="004F6A00" w:rsidRDefault="004F6A00">
            <w:pPr>
              <w:jc w:val="center"/>
            </w:pPr>
            <w:r w:rsidRPr="004F6A00">
              <w:t>VOD (m/s)</w:t>
            </w:r>
          </w:p>
        </w:tc>
      </w:tr>
      <w:tr w:rsidR="004F6A00" w:rsidRPr="004F6A00" w14:paraId="21B85CD7" w14:textId="77777777" w:rsidTr="004F6A00">
        <w:trPr>
          <w:trHeight w:val="300"/>
        </w:trPr>
        <w:tc>
          <w:tcPr>
            <w:tcW w:w="2753" w:type="dxa"/>
            <w:noWrap/>
            <w:hideMark/>
          </w:tcPr>
          <w:p w14:paraId="4689E449" w14:textId="77777777" w:rsidR="004F6A00" w:rsidRPr="004F6A00" w:rsidRDefault="004F6A00">
            <w:pPr>
              <w:jc w:val="center"/>
            </w:pPr>
            <w:r w:rsidRPr="004F6A00">
              <w:t>0.089</w:t>
            </w:r>
          </w:p>
        </w:tc>
        <w:tc>
          <w:tcPr>
            <w:tcW w:w="3134" w:type="dxa"/>
            <w:noWrap/>
            <w:hideMark/>
          </w:tcPr>
          <w:p w14:paraId="3307AEC5" w14:textId="77777777" w:rsidR="004F6A00" w:rsidRPr="004F6A00" w:rsidRDefault="004F6A00">
            <w:pPr>
              <w:jc w:val="center"/>
            </w:pPr>
            <w:r w:rsidRPr="004F6A00">
              <w:t>&lt; 1</w:t>
            </w:r>
          </w:p>
        </w:tc>
        <w:tc>
          <w:tcPr>
            <w:tcW w:w="2503" w:type="dxa"/>
            <w:noWrap/>
            <w:hideMark/>
          </w:tcPr>
          <w:p w14:paraId="48C884C5" w14:textId="77777777" w:rsidR="004F6A00" w:rsidRPr="004F6A00" w:rsidRDefault="004F6A00">
            <w:pPr>
              <w:jc w:val="center"/>
            </w:pPr>
            <w:r w:rsidRPr="004F6A00">
              <w:t>5</w:t>
            </w:r>
          </w:p>
        </w:tc>
        <w:tc>
          <w:tcPr>
            <w:tcW w:w="4399" w:type="dxa"/>
            <w:noWrap/>
            <w:hideMark/>
          </w:tcPr>
          <w:p w14:paraId="4F9A652A" w14:textId="77777777" w:rsidR="004F6A00" w:rsidRPr="004F6A00" w:rsidRDefault="004F6A00">
            <w:pPr>
              <w:jc w:val="center"/>
            </w:pPr>
            <w:r w:rsidRPr="004F6A00">
              <w:t>4.8</w:t>
            </w:r>
          </w:p>
        </w:tc>
        <w:tc>
          <w:tcPr>
            <w:tcW w:w="2524" w:type="dxa"/>
            <w:noWrap/>
            <w:hideMark/>
          </w:tcPr>
          <w:p w14:paraId="7127CFCD" w14:textId="77777777" w:rsidR="004F6A00" w:rsidRPr="004F6A00" w:rsidRDefault="004F6A00">
            <w:pPr>
              <w:jc w:val="center"/>
            </w:pPr>
            <w:r w:rsidRPr="004F6A00">
              <w:t>315</w:t>
            </w:r>
          </w:p>
        </w:tc>
        <w:tc>
          <w:tcPr>
            <w:tcW w:w="2927" w:type="dxa"/>
            <w:noWrap/>
            <w:hideMark/>
          </w:tcPr>
          <w:p w14:paraId="1F5BD99F" w14:textId="77777777" w:rsidR="004F6A00" w:rsidRPr="004F6A00" w:rsidRDefault="004F6A00">
            <w:pPr>
              <w:jc w:val="center"/>
            </w:pPr>
            <w:r w:rsidRPr="004F6A00">
              <w:t>5500</w:t>
            </w:r>
          </w:p>
        </w:tc>
      </w:tr>
    </w:tbl>
    <w:p w14:paraId="12787F62" w14:textId="4F14492F" w:rsidR="002E2FEE" w:rsidRDefault="00F16DA4" w:rsidP="004F6A00">
      <w:pPr>
        <w:jc w:val="center"/>
      </w:pPr>
      <w:sdt>
        <w:sdtPr>
          <w:id w:val="-197313521"/>
          <w:citation/>
        </w:sdtPr>
        <w:sdtEndPr/>
        <w:sdtContent>
          <w:r w:rsidR="00F66AF8">
            <w:fldChar w:fldCharType="begin"/>
          </w:r>
          <w:r w:rsidR="00F66AF8">
            <w:instrText xml:space="preserve"> CITATION Kar15 \l 2057 </w:instrText>
          </w:r>
          <w:r w:rsidR="00F66AF8">
            <w:fldChar w:fldCharType="separate"/>
          </w:r>
          <w:r w:rsidRPr="00F16DA4">
            <w:rPr>
              <w:noProof/>
            </w:rPr>
            <w:t>[2]</w:t>
          </w:r>
          <w:r w:rsidR="00F66AF8">
            <w:fldChar w:fldCharType="end"/>
          </w:r>
        </w:sdtContent>
      </w:sdt>
    </w:p>
    <w:tbl>
      <w:tblPr>
        <w:tblStyle w:val="TableGrid"/>
        <w:tblW w:w="0" w:type="auto"/>
        <w:jc w:val="center"/>
        <w:tblLook w:val="04A0" w:firstRow="1" w:lastRow="0" w:firstColumn="1" w:lastColumn="0" w:noHBand="0" w:noVBand="1"/>
      </w:tblPr>
      <w:tblGrid>
        <w:gridCol w:w="2860"/>
        <w:gridCol w:w="3340"/>
      </w:tblGrid>
      <w:tr w:rsidR="007B6D56" w:rsidRPr="007B6D56" w14:paraId="38FD516A" w14:textId="77777777" w:rsidTr="00A87E4B">
        <w:trPr>
          <w:trHeight w:val="300"/>
          <w:jc w:val="center"/>
        </w:trPr>
        <w:tc>
          <w:tcPr>
            <w:tcW w:w="2860" w:type="dxa"/>
            <w:noWrap/>
            <w:hideMark/>
          </w:tcPr>
          <w:p w14:paraId="2F4D8287" w14:textId="77777777" w:rsidR="007B6D56" w:rsidRPr="007B6D56" w:rsidRDefault="007B6D56">
            <w:pPr>
              <w:jc w:val="center"/>
            </w:pPr>
            <w:r w:rsidRPr="007B6D56">
              <w:t>Density (g/cm3)</w:t>
            </w:r>
          </w:p>
        </w:tc>
        <w:tc>
          <w:tcPr>
            <w:tcW w:w="3340" w:type="dxa"/>
            <w:noWrap/>
            <w:hideMark/>
          </w:tcPr>
          <w:p w14:paraId="4B954823" w14:textId="77777777" w:rsidR="007B6D56" w:rsidRPr="007B6D56" w:rsidRDefault="007B6D56">
            <w:pPr>
              <w:jc w:val="center"/>
            </w:pPr>
            <w:r w:rsidRPr="007B6D56">
              <w:t>Ignition Temperature (°C)</w:t>
            </w:r>
          </w:p>
        </w:tc>
      </w:tr>
      <w:tr w:rsidR="007B6D56" w:rsidRPr="007B6D56" w14:paraId="10AAEC00" w14:textId="77777777" w:rsidTr="00A87E4B">
        <w:trPr>
          <w:trHeight w:val="300"/>
          <w:jc w:val="center"/>
        </w:trPr>
        <w:tc>
          <w:tcPr>
            <w:tcW w:w="2860" w:type="dxa"/>
            <w:noWrap/>
            <w:hideMark/>
          </w:tcPr>
          <w:p w14:paraId="69291C28" w14:textId="77777777" w:rsidR="007B6D56" w:rsidRPr="007B6D56" w:rsidRDefault="007B6D56">
            <w:pPr>
              <w:jc w:val="center"/>
            </w:pPr>
            <w:r w:rsidRPr="007B6D56">
              <w:t>4.7</w:t>
            </w:r>
          </w:p>
        </w:tc>
        <w:tc>
          <w:tcPr>
            <w:tcW w:w="3340" w:type="dxa"/>
            <w:noWrap/>
            <w:hideMark/>
          </w:tcPr>
          <w:p w14:paraId="692A23C3" w14:textId="77777777" w:rsidR="007B6D56" w:rsidRPr="007B6D56" w:rsidRDefault="007B6D56">
            <w:pPr>
              <w:jc w:val="center"/>
            </w:pPr>
            <w:r w:rsidRPr="007B6D56">
              <w:t>~350</w:t>
            </w:r>
          </w:p>
        </w:tc>
      </w:tr>
    </w:tbl>
    <w:p w14:paraId="6648B5B2" w14:textId="0234871F" w:rsidR="00AA029F" w:rsidRDefault="00F16DA4" w:rsidP="00A87E4B">
      <w:pPr>
        <w:jc w:val="center"/>
      </w:pPr>
      <w:sdt>
        <w:sdtPr>
          <w:id w:val="-1021543673"/>
          <w:citation/>
        </w:sdtPr>
        <w:sdtEndPr/>
        <w:sdtContent>
          <w:r w:rsidR="005055C7">
            <w:fldChar w:fldCharType="begin"/>
          </w:r>
          <w:r w:rsidR="005055C7">
            <w:instrText xml:space="preserve"> CITATION Lid07 \l 2057 </w:instrText>
          </w:r>
          <w:r w:rsidR="005055C7">
            <w:fldChar w:fldCharType="separate"/>
          </w:r>
          <w:r w:rsidRPr="00F16DA4">
            <w:rPr>
              <w:noProof/>
            </w:rPr>
            <w:t>[3]</w:t>
          </w:r>
          <w:r w:rsidR="005055C7">
            <w:fldChar w:fldCharType="end"/>
          </w:r>
        </w:sdtContent>
      </w:sdt>
    </w:p>
    <w:tbl>
      <w:tblPr>
        <w:tblStyle w:val="TableGrid"/>
        <w:tblW w:w="0" w:type="auto"/>
        <w:tblLook w:val="04A0" w:firstRow="1" w:lastRow="0" w:firstColumn="1" w:lastColumn="0" w:noHBand="0" w:noVBand="1"/>
      </w:tblPr>
      <w:tblGrid>
        <w:gridCol w:w="2068"/>
        <w:gridCol w:w="2405"/>
        <w:gridCol w:w="2152"/>
        <w:gridCol w:w="2391"/>
      </w:tblGrid>
      <w:tr w:rsidR="00A34E82" w:rsidRPr="00A34E82" w14:paraId="2CA9270C" w14:textId="77777777" w:rsidTr="00A34E82">
        <w:trPr>
          <w:trHeight w:val="300"/>
        </w:trPr>
        <w:tc>
          <w:tcPr>
            <w:tcW w:w="2860" w:type="dxa"/>
            <w:noWrap/>
            <w:hideMark/>
          </w:tcPr>
          <w:p w14:paraId="535EAC79" w14:textId="77777777" w:rsidR="00A34E82" w:rsidRPr="00A34E82" w:rsidRDefault="00A34E82">
            <w:pPr>
              <w:jc w:val="center"/>
            </w:pPr>
            <w:r w:rsidRPr="00A34E82">
              <w:t>Density (g/cm3)</w:t>
            </w:r>
          </w:p>
        </w:tc>
        <w:tc>
          <w:tcPr>
            <w:tcW w:w="3340" w:type="dxa"/>
            <w:noWrap/>
            <w:hideMark/>
          </w:tcPr>
          <w:p w14:paraId="720B8B46" w14:textId="77777777" w:rsidR="00A34E82" w:rsidRPr="00A34E82" w:rsidRDefault="00A34E82">
            <w:pPr>
              <w:jc w:val="center"/>
            </w:pPr>
            <w:r w:rsidRPr="00A34E82">
              <w:t>Particle Size (</w:t>
            </w:r>
            <w:proofErr w:type="spellStart"/>
            <w:r w:rsidRPr="00A34E82">
              <w:t>μm</w:t>
            </w:r>
            <w:proofErr w:type="spellEnd"/>
            <w:r w:rsidRPr="00A34E82">
              <w:t>)</w:t>
            </w:r>
          </w:p>
        </w:tc>
        <w:tc>
          <w:tcPr>
            <w:tcW w:w="2980" w:type="dxa"/>
            <w:noWrap/>
            <w:hideMark/>
          </w:tcPr>
          <w:p w14:paraId="3FEAFD28" w14:textId="77777777" w:rsidR="00A34E82" w:rsidRPr="00A34E82" w:rsidRDefault="00A34E82">
            <w:pPr>
              <w:jc w:val="center"/>
            </w:pPr>
            <w:r w:rsidRPr="00A34E82">
              <w:t>Heat of Explosion (</w:t>
            </w:r>
            <w:proofErr w:type="spellStart"/>
            <w:r w:rsidRPr="00A34E82">
              <w:t>Kj</w:t>
            </w:r>
            <w:proofErr w:type="spellEnd"/>
            <w:r w:rsidRPr="00A34E82">
              <w:t>/Kg)</w:t>
            </w:r>
          </w:p>
        </w:tc>
        <w:tc>
          <w:tcPr>
            <w:tcW w:w="3320" w:type="dxa"/>
            <w:noWrap/>
            <w:hideMark/>
          </w:tcPr>
          <w:p w14:paraId="34FEC3C5" w14:textId="77777777" w:rsidR="00A34E82" w:rsidRPr="00A34E82" w:rsidRDefault="00A34E82">
            <w:pPr>
              <w:jc w:val="center"/>
            </w:pPr>
            <w:r w:rsidRPr="00A34E82">
              <w:t>Ignition Temperature (°C)</w:t>
            </w:r>
          </w:p>
        </w:tc>
      </w:tr>
      <w:tr w:rsidR="00A34E82" w:rsidRPr="00A34E82" w14:paraId="62C41F9D" w14:textId="77777777" w:rsidTr="00A34E82">
        <w:trPr>
          <w:trHeight w:val="300"/>
        </w:trPr>
        <w:tc>
          <w:tcPr>
            <w:tcW w:w="2860" w:type="dxa"/>
            <w:noWrap/>
            <w:hideMark/>
          </w:tcPr>
          <w:p w14:paraId="704BBFF6" w14:textId="77777777" w:rsidR="00A34E82" w:rsidRPr="00A34E82" w:rsidRDefault="00A34E82">
            <w:pPr>
              <w:jc w:val="center"/>
            </w:pPr>
            <w:r w:rsidRPr="00A34E82">
              <w:t>4.696 - 4.8</w:t>
            </w:r>
          </w:p>
        </w:tc>
        <w:tc>
          <w:tcPr>
            <w:tcW w:w="3340" w:type="dxa"/>
            <w:noWrap/>
            <w:hideMark/>
          </w:tcPr>
          <w:p w14:paraId="251040F2" w14:textId="77777777" w:rsidR="00A34E82" w:rsidRPr="00A34E82" w:rsidRDefault="00A34E82">
            <w:pPr>
              <w:jc w:val="center"/>
            </w:pPr>
            <w:r w:rsidRPr="00A34E82">
              <w:t>6.93</w:t>
            </w:r>
          </w:p>
        </w:tc>
        <w:tc>
          <w:tcPr>
            <w:tcW w:w="2980" w:type="dxa"/>
            <w:noWrap/>
            <w:hideMark/>
          </w:tcPr>
          <w:p w14:paraId="7B985210" w14:textId="77777777" w:rsidR="00A34E82" w:rsidRPr="00A34E82" w:rsidRDefault="00A34E82">
            <w:pPr>
              <w:jc w:val="center"/>
            </w:pPr>
            <w:r w:rsidRPr="00A34E82">
              <w:t>1601 - 1637</w:t>
            </w:r>
          </w:p>
        </w:tc>
        <w:tc>
          <w:tcPr>
            <w:tcW w:w="3320" w:type="dxa"/>
            <w:noWrap/>
            <w:hideMark/>
          </w:tcPr>
          <w:p w14:paraId="1D911AF6" w14:textId="77777777" w:rsidR="00A34E82" w:rsidRPr="00A34E82" w:rsidRDefault="00A34E82">
            <w:pPr>
              <w:jc w:val="center"/>
            </w:pPr>
            <w:r w:rsidRPr="00A34E82">
              <w:t>320 - 360</w:t>
            </w:r>
          </w:p>
        </w:tc>
      </w:tr>
    </w:tbl>
    <w:p w14:paraId="4D3CAC49" w14:textId="455A39A6" w:rsidR="005055C7" w:rsidRDefault="00F16DA4" w:rsidP="00A34E82">
      <w:pPr>
        <w:jc w:val="center"/>
      </w:pPr>
      <w:sdt>
        <w:sdtPr>
          <w:id w:val="-1567101537"/>
          <w:citation/>
        </w:sdtPr>
        <w:sdtEndPr/>
        <w:sdtContent>
          <w:r w:rsidR="00E479DD">
            <w:fldChar w:fldCharType="begin"/>
          </w:r>
          <w:r w:rsidR="00E479DD">
            <w:instrText xml:space="preserve"> CITATION Moh20 \l 2057 </w:instrText>
          </w:r>
          <w:r w:rsidR="00E479DD">
            <w:fldChar w:fldCharType="separate"/>
          </w:r>
          <w:r w:rsidRPr="00F16DA4">
            <w:rPr>
              <w:noProof/>
            </w:rPr>
            <w:t>[4]</w:t>
          </w:r>
          <w:r w:rsidR="00E479DD">
            <w:fldChar w:fldCharType="end"/>
          </w:r>
        </w:sdtContent>
      </w:sdt>
    </w:p>
    <w:tbl>
      <w:tblPr>
        <w:tblStyle w:val="TableGrid"/>
        <w:tblW w:w="0" w:type="auto"/>
        <w:tblLook w:val="04A0" w:firstRow="1" w:lastRow="0" w:firstColumn="1" w:lastColumn="0" w:noHBand="0" w:noVBand="1"/>
      </w:tblPr>
      <w:tblGrid>
        <w:gridCol w:w="2810"/>
        <w:gridCol w:w="6206"/>
      </w:tblGrid>
      <w:tr w:rsidR="00545EA4" w:rsidRPr="00545EA4" w14:paraId="637E0B6A" w14:textId="77777777" w:rsidTr="00545EA4">
        <w:trPr>
          <w:trHeight w:val="300"/>
        </w:trPr>
        <w:tc>
          <w:tcPr>
            <w:tcW w:w="2860" w:type="dxa"/>
            <w:noWrap/>
            <w:hideMark/>
          </w:tcPr>
          <w:p w14:paraId="2BFB88EE" w14:textId="77777777" w:rsidR="00545EA4" w:rsidRPr="00545EA4" w:rsidRDefault="00545EA4">
            <w:pPr>
              <w:jc w:val="center"/>
              <w:rPr>
                <w:noProof/>
              </w:rPr>
            </w:pPr>
            <w:r w:rsidRPr="00545EA4">
              <w:rPr>
                <w:noProof/>
              </w:rPr>
              <w:t>TMD (g/cm3)</w:t>
            </w:r>
          </w:p>
        </w:tc>
        <w:tc>
          <w:tcPr>
            <w:tcW w:w="6320" w:type="dxa"/>
            <w:noWrap/>
            <w:hideMark/>
          </w:tcPr>
          <w:p w14:paraId="6BC0EE2C" w14:textId="77777777" w:rsidR="00545EA4" w:rsidRPr="00545EA4" w:rsidRDefault="00545EA4">
            <w:pPr>
              <w:jc w:val="center"/>
              <w:rPr>
                <w:noProof/>
              </w:rPr>
            </w:pPr>
            <w:r w:rsidRPr="00545EA4">
              <w:rPr>
                <w:noProof/>
              </w:rPr>
              <w:t>Detonation Velocity at Density (mm/μms) at (g/cm3)</w:t>
            </w:r>
          </w:p>
        </w:tc>
      </w:tr>
      <w:tr w:rsidR="00545EA4" w:rsidRPr="00545EA4" w14:paraId="16CE3EF8" w14:textId="77777777" w:rsidTr="00545EA4">
        <w:trPr>
          <w:trHeight w:val="300"/>
        </w:trPr>
        <w:tc>
          <w:tcPr>
            <w:tcW w:w="2860" w:type="dxa"/>
            <w:noWrap/>
            <w:hideMark/>
          </w:tcPr>
          <w:p w14:paraId="7588BE0B" w14:textId="77777777" w:rsidR="00545EA4" w:rsidRPr="00545EA4" w:rsidRDefault="00545EA4">
            <w:pPr>
              <w:jc w:val="center"/>
              <w:rPr>
                <w:noProof/>
              </w:rPr>
            </w:pPr>
            <w:r w:rsidRPr="00545EA4">
              <w:rPr>
                <w:noProof/>
              </w:rPr>
              <w:t>4.8</w:t>
            </w:r>
          </w:p>
        </w:tc>
        <w:tc>
          <w:tcPr>
            <w:tcW w:w="6320" w:type="dxa"/>
            <w:noWrap/>
            <w:hideMark/>
          </w:tcPr>
          <w:p w14:paraId="19EF925A" w14:textId="77777777" w:rsidR="00545EA4" w:rsidRPr="00545EA4" w:rsidRDefault="00545EA4">
            <w:pPr>
              <w:jc w:val="center"/>
              <w:rPr>
                <w:noProof/>
              </w:rPr>
            </w:pPr>
            <w:r w:rsidRPr="00545EA4">
              <w:rPr>
                <w:noProof/>
              </w:rPr>
              <w:t>4.63                    3.00</w:t>
            </w:r>
          </w:p>
        </w:tc>
      </w:tr>
    </w:tbl>
    <w:p w14:paraId="116CB6E3" w14:textId="1F23E61D" w:rsidR="00D86B88" w:rsidRDefault="00F16DA4" w:rsidP="00E04CA1">
      <w:pPr>
        <w:jc w:val="center"/>
      </w:pPr>
      <w:sdt>
        <w:sdtPr>
          <w:id w:val="-234559781"/>
          <w:citation/>
        </w:sdtPr>
        <w:sdtEndPr/>
        <w:sdtContent>
          <w:r w:rsidR="007015FA">
            <w:fldChar w:fldCharType="begin"/>
          </w:r>
          <w:r w:rsidR="007015FA">
            <w:instrText xml:space="preserve"> CITATION Pau96 \l 2057 </w:instrText>
          </w:r>
          <w:r w:rsidR="007015FA">
            <w:fldChar w:fldCharType="separate"/>
          </w:r>
          <w:r w:rsidRPr="00F16DA4">
            <w:rPr>
              <w:noProof/>
            </w:rPr>
            <w:t>[5]</w:t>
          </w:r>
          <w:r w:rsidR="007015FA">
            <w:fldChar w:fldCharType="end"/>
          </w:r>
        </w:sdtContent>
      </w:sdt>
    </w:p>
    <w:p w14:paraId="443026E6" w14:textId="77777777" w:rsidR="00146A64" w:rsidRDefault="00146A64" w:rsidP="00E04CA1">
      <w:pPr>
        <w:jc w:val="center"/>
      </w:pPr>
    </w:p>
    <w:p w14:paraId="7025C342" w14:textId="77777777" w:rsidR="00146A64" w:rsidRDefault="00146A64" w:rsidP="00E04CA1">
      <w:pPr>
        <w:jc w:val="center"/>
      </w:pPr>
    </w:p>
    <w:p w14:paraId="431BEDFE" w14:textId="77777777" w:rsidR="00146A64" w:rsidRDefault="00146A64" w:rsidP="00E04CA1">
      <w:pPr>
        <w:jc w:val="center"/>
      </w:pPr>
    </w:p>
    <w:p w14:paraId="2EB36FE1" w14:textId="77777777" w:rsidR="00146A64" w:rsidRDefault="00146A64" w:rsidP="00E04CA1">
      <w:pPr>
        <w:jc w:val="center"/>
      </w:pPr>
    </w:p>
    <w:p w14:paraId="5712EE56" w14:textId="77777777" w:rsidR="00146A64" w:rsidRDefault="00146A64" w:rsidP="00E04CA1">
      <w:pPr>
        <w:jc w:val="center"/>
      </w:pPr>
    </w:p>
    <w:p w14:paraId="30F32851" w14:textId="77777777" w:rsidR="00146A64" w:rsidRDefault="00146A64" w:rsidP="00E04CA1">
      <w:pPr>
        <w:jc w:val="center"/>
      </w:pPr>
    </w:p>
    <w:p w14:paraId="7298E57A" w14:textId="77777777" w:rsidR="00146A64" w:rsidRDefault="00146A64" w:rsidP="00E04CA1">
      <w:pPr>
        <w:jc w:val="center"/>
      </w:pPr>
    </w:p>
    <w:p w14:paraId="5078D95B" w14:textId="77777777" w:rsidR="00146A64" w:rsidRDefault="00146A64" w:rsidP="00E04CA1">
      <w:pPr>
        <w:jc w:val="center"/>
      </w:pPr>
    </w:p>
    <w:p w14:paraId="32E89839" w14:textId="77777777" w:rsidR="00146A64" w:rsidRDefault="00146A64" w:rsidP="00E04CA1">
      <w:pPr>
        <w:jc w:val="center"/>
      </w:pPr>
    </w:p>
    <w:p w14:paraId="37F83423" w14:textId="77777777" w:rsidR="00146A64" w:rsidRDefault="00146A64" w:rsidP="00E04CA1">
      <w:pPr>
        <w:jc w:val="center"/>
      </w:pPr>
    </w:p>
    <w:p w14:paraId="473CB016" w14:textId="77777777" w:rsidR="00146A64" w:rsidRDefault="00146A64" w:rsidP="00E04CA1">
      <w:pPr>
        <w:jc w:val="center"/>
      </w:pPr>
    </w:p>
    <w:p w14:paraId="18B8513B" w14:textId="77777777" w:rsidR="00146A64" w:rsidRDefault="00146A64" w:rsidP="00E04CA1">
      <w:pPr>
        <w:jc w:val="center"/>
      </w:pPr>
    </w:p>
    <w:p w14:paraId="12F49570" w14:textId="77777777" w:rsidR="00146A64" w:rsidRDefault="00146A64" w:rsidP="00E04CA1">
      <w:pPr>
        <w:jc w:val="center"/>
      </w:pPr>
    </w:p>
    <w:p w14:paraId="73553046" w14:textId="77777777" w:rsidR="00146A64" w:rsidRDefault="00146A64" w:rsidP="00E04CA1">
      <w:pPr>
        <w:jc w:val="center"/>
      </w:pPr>
    </w:p>
    <w:p w14:paraId="2F270D47" w14:textId="77777777" w:rsidR="00146A64" w:rsidRDefault="00146A64" w:rsidP="00E04CA1">
      <w:pPr>
        <w:jc w:val="center"/>
      </w:pPr>
    </w:p>
    <w:p w14:paraId="77A6CE43" w14:textId="77777777" w:rsidR="00146A64" w:rsidRDefault="00146A64" w:rsidP="00E04CA1">
      <w:pPr>
        <w:jc w:val="center"/>
      </w:pPr>
    </w:p>
    <w:p w14:paraId="572DF0B2" w14:textId="13C3929D" w:rsidR="008E5C25" w:rsidRDefault="008E5C25" w:rsidP="008E5C25">
      <w:pPr>
        <w:pStyle w:val="Heading2"/>
      </w:pPr>
      <w:r>
        <w:lastRenderedPageBreak/>
        <w:t>Trinitrotoluene</w:t>
      </w:r>
    </w:p>
    <w:p w14:paraId="0C4FE13B" w14:textId="77777777" w:rsidR="00710722" w:rsidRPr="00710722" w:rsidRDefault="00710722" w:rsidP="00710722"/>
    <w:p w14:paraId="08A2610E" w14:textId="00C5381A" w:rsidR="00A11F66" w:rsidRDefault="00D12225" w:rsidP="00EF5F04">
      <w:r>
        <w:t>TNT</w:t>
      </w:r>
      <w:r w:rsidR="004A4EC1">
        <w:t xml:space="preserve"> is </w:t>
      </w:r>
      <w:r w:rsidR="003D364D">
        <w:t>relatively insensitive</w:t>
      </w:r>
      <w:r w:rsidR="00897464">
        <w:t xml:space="preserve">, in this example </w:t>
      </w:r>
      <w:r w:rsidR="00214273">
        <w:t>unconfined</w:t>
      </w:r>
      <w:r w:rsidR="00897464">
        <w:t xml:space="preserve"> shall refer to </w:t>
      </w:r>
      <w:r w:rsidR="004E6571">
        <w:t xml:space="preserve">it being packed into a paper tube. </w:t>
      </w:r>
    </w:p>
    <w:p w14:paraId="2D91D14C" w14:textId="54C4FB95" w:rsidR="006059AB" w:rsidRDefault="000B546B" w:rsidP="00EF5F04">
      <w:r>
        <w:t xml:space="preserve">The below </w:t>
      </w:r>
      <w:r w:rsidR="00AB1CE8">
        <w:t>tables have been populated from a variety of sources</w:t>
      </w:r>
      <w:r w:rsidR="002E3C04">
        <w:t xml:space="preserve"> outlining </w:t>
      </w:r>
      <w:r w:rsidR="00CC5B8D">
        <w:t>a series of performance characteristics</w:t>
      </w:r>
      <w:r w:rsidR="00AB1CE8">
        <w:t xml:space="preserve">. </w:t>
      </w:r>
    </w:p>
    <w:tbl>
      <w:tblPr>
        <w:tblStyle w:val="TableGrid"/>
        <w:tblW w:w="0" w:type="auto"/>
        <w:tblLook w:val="04A0" w:firstRow="1" w:lastRow="0" w:firstColumn="1" w:lastColumn="0" w:noHBand="0" w:noVBand="1"/>
      </w:tblPr>
      <w:tblGrid>
        <w:gridCol w:w="1616"/>
        <w:gridCol w:w="1938"/>
        <w:gridCol w:w="1891"/>
        <w:gridCol w:w="2184"/>
        <w:gridCol w:w="1387"/>
      </w:tblGrid>
      <w:tr w:rsidR="00005880" w:rsidRPr="00005880" w14:paraId="6E635391" w14:textId="77777777" w:rsidTr="00005880">
        <w:trPr>
          <w:trHeight w:val="300"/>
        </w:trPr>
        <w:tc>
          <w:tcPr>
            <w:tcW w:w="15380" w:type="dxa"/>
            <w:gridSpan w:val="5"/>
            <w:hideMark/>
          </w:tcPr>
          <w:p w14:paraId="5494E007" w14:textId="77777777" w:rsidR="00005880" w:rsidRPr="00005880" w:rsidRDefault="00005880">
            <w:pPr>
              <w:jc w:val="center"/>
            </w:pPr>
            <w:r w:rsidRPr="00005880">
              <w:t>TNT</w:t>
            </w:r>
          </w:p>
        </w:tc>
      </w:tr>
      <w:tr w:rsidR="00005880" w:rsidRPr="00005880" w14:paraId="747661AE" w14:textId="77777777" w:rsidTr="00005880">
        <w:trPr>
          <w:trHeight w:val="300"/>
        </w:trPr>
        <w:tc>
          <w:tcPr>
            <w:tcW w:w="2740" w:type="dxa"/>
            <w:noWrap/>
            <w:hideMark/>
          </w:tcPr>
          <w:p w14:paraId="7389D882" w14:textId="77777777" w:rsidR="00005880" w:rsidRPr="00005880" w:rsidRDefault="00005880">
            <w:pPr>
              <w:jc w:val="center"/>
            </w:pPr>
            <w:r w:rsidRPr="00005880">
              <w:t xml:space="preserve">Charge Density (p) g/cm3 </w:t>
            </w:r>
          </w:p>
        </w:tc>
        <w:tc>
          <w:tcPr>
            <w:tcW w:w="3318" w:type="dxa"/>
            <w:noWrap/>
            <w:hideMark/>
          </w:tcPr>
          <w:p w14:paraId="0A43F6BB" w14:textId="77777777" w:rsidR="00005880" w:rsidRPr="00005880" w:rsidRDefault="00005880">
            <w:pPr>
              <w:jc w:val="center"/>
            </w:pPr>
            <w:r w:rsidRPr="00005880">
              <w:t>Density at unreacted state (p0)</w:t>
            </w:r>
          </w:p>
        </w:tc>
        <w:tc>
          <w:tcPr>
            <w:tcW w:w="3234" w:type="dxa"/>
            <w:noWrap/>
            <w:hideMark/>
          </w:tcPr>
          <w:p w14:paraId="6C5D0F04" w14:textId="77777777" w:rsidR="00005880" w:rsidRPr="00005880" w:rsidRDefault="00005880">
            <w:pPr>
              <w:jc w:val="center"/>
            </w:pPr>
            <w:r w:rsidRPr="00005880">
              <w:t>Velocity of Detonation (D) m/s</w:t>
            </w:r>
          </w:p>
        </w:tc>
        <w:tc>
          <w:tcPr>
            <w:tcW w:w="3762" w:type="dxa"/>
            <w:noWrap/>
            <w:hideMark/>
          </w:tcPr>
          <w:p w14:paraId="4915F74D" w14:textId="0991923C" w:rsidR="00005880" w:rsidRPr="00005880" w:rsidRDefault="00005880">
            <w:pPr>
              <w:jc w:val="center"/>
            </w:pPr>
            <w:r w:rsidRPr="00005880">
              <w:t xml:space="preserve">Velocity of Detonation at Infinite </w:t>
            </w:r>
            <w:r w:rsidR="00AB7C82">
              <w:t>Diameter</w:t>
            </w:r>
          </w:p>
        </w:tc>
        <w:tc>
          <w:tcPr>
            <w:tcW w:w="2326" w:type="dxa"/>
            <w:noWrap/>
            <w:hideMark/>
          </w:tcPr>
          <w:p w14:paraId="6ABD1FB5" w14:textId="77777777" w:rsidR="00005880" w:rsidRPr="00005880" w:rsidRDefault="00005880">
            <w:pPr>
              <w:jc w:val="center"/>
            </w:pPr>
            <w:r w:rsidRPr="00005880">
              <w:t>Critical Diameter mm</w:t>
            </w:r>
          </w:p>
        </w:tc>
      </w:tr>
      <w:tr w:rsidR="00005880" w:rsidRPr="00005880" w14:paraId="2CE870E1" w14:textId="77777777" w:rsidTr="00005880">
        <w:trPr>
          <w:trHeight w:val="300"/>
        </w:trPr>
        <w:tc>
          <w:tcPr>
            <w:tcW w:w="2740" w:type="dxa"/>
            <w:noWrap/>
            <w:hideMark/>
          </w:tcPr>
          <w:p w14:paraId="7C8E44DF" w14:textId="77777777" w:rsidR="00005880" w:rsidRPr="00005880" w:rsidRDefault="00005880">
            <w:pPr>
              <w:jc w:val="center"/>
            </w:pPr>
            <w:r w:rsidRPr="00005880">
              <w:t>1.62</w:t>
            </w:r>
          </w:p>
        </w:tc>
        <w:tc>
          <w:tcPr>
            <w:tcW w:w="3318" w:type="dxa"/>
            <w:noWrap/>
            <w:hideMark/>
          </w:tcPr>
          <w:p w14:paraId="78F5182B" w14:textId="77777777" w:rsidR="00005880" w:rsidRPr="00005880" w:rsidRDefault="00005880">
            <w:pPr>
              <w:jc w:val="center"/>
            </w:pPr>
            <w:r w:rsidRPr="00005880">
              <w:t>1.63</w:t>
            </w:r>
          </w:p>
        </w:tc>
        <w:tc>
          <w:tcPr>
            <w:tcW w:w="3234" w:type="dxa"/>
            <w:noWrap/>
            <w:hideMark/>
          </w:tcPr>
          <w:p w14:paraId="6DAD1EE2" w14:textId="77777777" w:rsidR="00005880" w:rsidRPr="00005880" w:rsidRDefault="00005880">
            <w:pPr>
              <w:jc w:val="center"/>
            </w:pPr>
            <w:r w:rsidRPr="00005880">
              <w:t>7045</w:t>
            </w:r>
          </w:p>
        </w:tc>
        <w:tc>
          <w:tcPr>
            <w:tcW w:w="3762" w:type="dxa"/>
            <w:noWrap/>
            <w:hideMark/>
          </w:tcPr>
          <w:p w14:paraId="2586A848" w14:textId="77777777" w:rsidR="00005880" w:rsidRPr="00005880" w:rsidRDefault="00005880">
            <w:pPr>
              <w:jc w:val="center"/>
            </w:pPr>
            <w:r w:rsidRPr="00005880">
              <w:t>7045 +/- 0.170</w:t>
            </w:r>
          </w:p>
        </w:tc>
        <w:tc>
          <w:tcPr>
            <w:tcW w:w="2326" w:type="dxa"/>
            <w:noWrap/>
            <w:hideMark/>
          </w:tcPr>
          <w:p w14:paraId="39F2A674" w14:textId="77777777" w:rsidR="00005880" w:rsidRPr="00005880" w:rsidRDefault="00005880">
            <w:pPr>
              <w:jc w:val="center"/>
            </w:pPr>
            <w:r w:rsidRPr="00005880">
              <w:t>2.6 +/- 0.6</w:t>
            </w:r>
          </w:p>
        </w:tc>
      </w:tr>
      <w:tr w:rsidR="00005880" w:rsidRPr="00005880" w14:paraId="287C9E7F" w14:textId="77777777" w:rsidTr="00005880">
        <w:trPr>
          <w:trHeight w:val="300"/>
        </w:trPr>
        <w:tc>
          <w:tcPr>
            <w:tcW w:w="2740" w:type="dxa"/>
            <w:noWrap/>
            <w:hideMark/>
          </w:tcPr>
          <w:p w14:paraId="6C3F3F2D" w14:textId="77777777" w:rsidR="00005880" w:rsidRPr="00005880" w:rsidRDefault="00005880">
            <w:pPr>
              <w:jc w:val="center"/>
            </w:pPr>
            <w:r w:rsidRPr="00005880">
              <w:t xml:space="preserve">Detonation Pressure </w:t>
            </w:r>
            <w:proofErr w:type="spellStart"/>
            <w:r w:rsidRPr="00005880">
              <w:t>Gpa</w:t>
            </w:r>
            <w:proofErr w:type="spellEnd"/>
          </w:p>
        </w:tc>
        <w:tc>
          <w:tcPr>
            <w:tcW w:w="3318" w:type="dxa"/>
            <w:noWrap/>
            <w:hideMark/>
          </w:tcPr>
          <w:p w14:paraId="5167A093" w14:textId="77777777" w:rsidR="00005880" w:rsidRPr="00005880" w:rsidRDefault="00005880">
            <w:pPr>
              <w:jc w:val="center"/>
            </w:pPr>
            <w:r w:rsidRPr="00005880">
              <w:t>Molecular Weight</w:t>
            </w:r>
          </w:p>
        </w:tc>
        <w:tc>
          <w:tcPr>
            <w:tcW w:w="3234" w:type="dxa"/>
            <w:noWrap/>
            <w:hideMark/>
          </w:tcPr>
          <w:p w14:paraId="0F8811BB" w14:textId="77777777" w:rsidR="00005880" w:rsidRPr="00005880" w:rsidRDefault="00005880">
            <w:pPr>
              <w:jc w:val="center"/>
            </w:pPr>
            <w:r w:rsidRPr="00005880">
              <w:t>Activation Energy (E) kcal/mol</w:t>
            </w:r>
          </w:p>
        </w:tc>
        <w:tc>
          <w:tcPr>
            <w:tcW w:w="3762" w:type="dxa"/>
            <w:noWrap/>
            <w:hideMark/>
          </w:tcPr>
          <w:p w14:paraId="721CDCBE" w14:textId="77777777" w:rsidR="00005880" w:rsidRPr="00005880" w:rsidRDefault="00005880">
            <w:pPr>
              <w:jc w:val="center"/>
            </w:pPr>
            <w:r w:rsidRPr="00005880">
              <w:t xml:space="preserve">Heat of Decomposition (Q) </w:t>
            </w:r>
            <w:proofErr w:type="spellStart"/>
            <w:r w:rsidRPr="00005880">
              <w:t>cal</w:t>
            </w:r>
            <w:proofErr w:type="spellEnd"/>
            <w:r w:rsidRPr="00005880">
              <w:t>/g</w:t>
            </w:r>
          </w:p>
        </w:tc>
        <w:tc>
          <w:tcPr>
            <w:tcW w:w="2326" w:type="dxa"/>
            <w:noWrap/>
            <w:hideMark/>
          </w:tcPr>
          <w:p w14:paraId="584D4C80" w14:textId="77777777" w:rsidR="00005880" w:rsidRPr="00005880" w:rsidRDefault="00005880">
            <w:pPr>
              <w:jc w:val="center"/>
            </w:pPr>
          </w:p>
        </w:tc>
      </w:tr>
      <w:tr w:rsidR="00005880" w:rsidRPr="00005880" w14:paraId="1A6638B2" w14:textId="77777777" w:rsidTr="00005880">
        <w:trPr>
          <w:trHeight w:val="300"/>
        </w:trPr>
        <w:tc>
          <w:tcPr>
            <w:tcW w:w="2740" w:type="dxa"/>
            <w:noWrap/>
            <w:hideMark/>
          </w:tcPr>
          <w:p w14:paraId="4FD9395D" w14:textId="77777777" w:rsidR="00005880" w:rsidRPr="00005880" w:rsidRDefault="00005880">
            <w:pPr>
              <w:jc w:val="center"/>
            </w:pPr>
            <w:r w:rsidRPr="00005880">
              <w:t>18.9</w:t>
            </w:r>
          </w:p>
        </w:tc>
        <w:tc>
          <w:tcPr>
            <w:tcW w:w="3318" w:type="dxa"/>
            <w:noWrap/>
            <w:hideMark/>
          </w:tcPr>
          <w:p w14:paraId="5B7A8CB6" w14:textId="77777777" w:rsidR="00005880" w:rsidRPr="00005880" w:rsidRDefault="00005880">
            <w:pPr>
              <w:jc w:val="center"/>
            </w:pPr>
            <w:r w:rsidRPr="00005880">
              <w:t>227.13</w:t>
            </w:r>
          </w:p>
        </w:tc>
        <w:tc>
          <w:tcPr>
            <w:tcW w:w="3234" w:type="dxa"/>
            <w:noWrap/>
            <w:hideMark/>
          </w:tcPr>
          <w:p w14:paraId="0774F97D" w14:textId="77777777" w:rsidR="00005880" w:rsidRPr="00005880" w:rsidRDefault="00005880">
            <w:pPr>
              <w:jc w:val="center"/>
            </w:pPr>
            <w:r w:rsidRPr="00005880">
              <w:t>34.4</w:t>
            </w:r>
          </w:p>
        </w:tc>
        <w:tc>
          <w:tcPr>
            <w:tcW w:w="3762" w:type="dxa"/>
            <w:noWrap/>
            <w:hideMark/>
          </w:tcPr>
          <w:p w14:paraId="2D93DBF2" w14:textId="77777777" w:rsidR="00005880" w:rsidRPr="00005880" w:rsidRDefault="00005880">
            <w:pPr>
              <w:jc w:val="center"/>
            </w:pPr>
            <w:r w:rsidRPr="00005880">
              <w:t>300</w:t>
            </w:r>
          </w:p>
        </w:tc>
        <w:tc>
          <w:tcPr>
            <w:tcW w:w="2326" w:type="dxa"/>
            <w:noWrap/>
            <w:hideMark/>
          </w:tcPr>
          <w:p w14:paraId="1C699AD9" w14:textId="77777777" w:rsidR="00005880" w:rsidRPr="00005880" w:rsidRDefault="00005880">
            <w:pPr>
              <w:jc w:val="center"/>
            </w:pPr>
          </w:p>
        </w:tc>
      </w:tr>
    </w:tbl>
    <w:p w14:paraId="2DAD0E01" w14:textId="72A17A6B" w:rsidR="00005880" w:rsidRDefault="00F16DA4" w:rsidP="00E04CA1">
      <w:pPr>
        <w:jc w:val="center"/>
      </w:pPr>
      <w:sdt>
        <w:sdtPr>
          <w:id w:val="893315262"/>
          <w:citation/>
        </w:sdtPr>
        <w:sdtEndPr/>
        <w:sdtContent>
          <w:r w:rsidR="007F7947">
            <w:fldChar w:fldCharType="begin"/>
          </w:r>
          <w:r w:rsidR="007F7947">
            <w:instrText xml:space="preserve"> CITATION TRG80 \l 2057 </w:instrText>
          </w:r>
          <w:r w:rsidR="007F7947">
            <w:fldChar w:fldCharType="separate"/>
          </w:r>
          <w:r w:rsidRPr="00F16DA4">
            <w:rPr>
              <w:noProof/>
            </w:rPr>
            <w:t>[6]</w:t>
          </w:r>
          <w:r w:rsidR="007F7947">
            <w:fldChar w:fldCharType="end"/>
          </w:r>
        </w:sdtContent>
      </w:sdt>
    </w:p>
    <w:tbl>
      <w:tblPr>
        <w:tblStyle w:val="TableGrid"/>
        <w:tblW w:w="0" w:type="auto"/>
        <w:tblLook w:val="04A0" w:firstRow="1" w:lastRow="0" w:firstColumn="1" w:lastColumn="0" w:noHBand="0" w:noVBand="1"/>
      </w:tblPr>
      <w:tblGrid>
        <w:gridCol w:w="2068"/>
        <w:gridCol w:w="2405"/>
        <w:gridCol w:w="2152"/>
        <w:gridCol w:w="2391"/>
      </w:tblGrid>
      <w:tr w:rsidR="00576FD2" w:rsidRPr="00576FD2" w14:paraId="6BB1C2C6" w14:textId="77777777" w:rsidTr="00576FD2">
        <w:trPr>
          <w:trHeight w:val="300"/>
        </w:trPr>
        <w:tc>
          <w:tcPr>
            <w:tcW w:w="2860" w:type="dxa"/>
            <w:noWrap/>
            <w:hideMark/>
          </w:tcPr>
          <w:p w14:paraId="6E087790" w14:textId="77777777" w:rsidR="00576FD2" w:rsidRPr="00576FD2" w:rsidRDefault="00576FD2">
            <w:pPr>
              <w:jc w:val="center"/>
            </w:pPr>
            <w:r w:rsidRPr="00576FD2">
              <w:t>Density at unreacted state (p0)</w:t>
            </w:r>
          </w:p>
        </w:tc>
        <w:tc>
          <w:tcPr>
            <w:tcW w:w="3340" w:type="dxa"/>
            <w:noWrap/>
            <w:hideMark/>
          </w:tcPr>
          <w:p w14:paraId="55DFB1D8" w14:textId="77777777" w:rsidR="00576FD2" w:rsidRPr="00576FD2" w:rsidRDefault="00576FD2">
            <w:pPr>
              <w:jc w:val="center"/>
            </w:pPr>
            <w:r w:rsidRPr="00576FD2">
              <w:t>Velocity of Detonation (D) m/s</w:t>
            </w:r>
          </w:p>
        </w:tc>
        <w:tc>
          <w:tcPr>
            <w:tcW w:w="2980" w:type="dxa"/>
            <w:noWrap/>
            <w:hideMark/>
          </w:tcPr>
          <w:p w14:paraId="01B67FEB" w14:textId="77777777" w:rsidR="00576FD2" w:rsidRPr="00576FD2" w:rsidRDefault="00576FD2">
            <w:pPr>
              <w:jc w:val="center"/>
            </w:pPr>
            <w:r w:rsidRPr="00576FD2">
              <w:t>Constant J</w:t>
            </w:r>
          </w:p>
        </w:tc>
        <w:tc>
          <w:tcPr>
            <w:tcW w:w="3320" w:type="dxa"/>
            <w:noWrap/>
            <w:hideMark/>
          </w:tcPr>
          <w:p w14:paraId="515602AF" w14:textId="4E16EA27" w:rsidR="00576FD2" w:rsidRPr="00576FD2" w:rsidRDefault="00576FD2">
            <w:pPr>
              <w:jc w:val="center"/>
            </w:pPr>
            <w:r w:rsidRPr="00576FD2">
              <w:t>Constant K</w:t>
            </w:r>
            <w:r w:rsidR="005736CB">
              <w:t xml:space="preserve"> </w:t>
            </w:r>
          </w:p>
        </w:tc>
      </w:tr>
      <w:tr w:rsidR="00576FD2" w:rsidRPr="00576FD2" w14:paraId="795271E7" w14:textId="77777777" w:rsidTr="00576FD2">
        <w:trPr>
          <w:trHeight w:val="300"/>
        </w:trPr>
        <w:tc>
          <w:tcPr>
            <w:tcW w:w="2860" w:type="dxa"/>
            <w:noWrap/>
            <w:hideMark/>
          </w:tcPr>
          <w:p w14:paraId="1D8A168D" w14:textId="77777777" w:rsidR="00576FD2" w:rsidRPr="00576FD2" w:rsidRDefault="00576FD2">
            <w:pPr>
              <w:jc w:val="center"/>
            </w:pPr>
            <w:r w:rsidRPr="00576FD2">
              <w:t>1.63</w:t>
            </w:r>
          </w:p>
        </w:tc>
        <w:tc>
          <w:tcPr>
            <w:tcW w:w="3340" w:type="dxa"/>
            <w:noWrap/>
            <w:hideMark/>
          </w:tcPr>
          <w:p w14:paraId="558FD2FF" w14:textId="77777777" w:rsidR="00576FD2" w:rsidRPr="00576FD2" w:rsidRDefault="00576FD2">
            <w:pPr>
              <w:jc w:val="center"/>
            </w:pPr>
            <w:r w:rsidRPr="00576FD2">
              <w:t>6930</w:t>
            </w:r>
          </w:p>
        </w:tc>
        <w:tc>
          <w:tcPr>
            <w:tcW w:w="2980" w:type="dxa"/>
            <w:noWrap/>
            <w:hideMark/>
          </w:tcPr>
          <w:p w14:paraId="099E6E2F" w14:textId="77777777" w:rsidR="00576FD2" w:rsidRPr="00576FD2" w:rsidRDefault="00576FD2">
            <w:pPr>
              <w:jc w:val="center"/>
            </w:pPr>
            <w:r w:rsidRPr="00576FD2">
              <w:t>1.67</w:t>
            </w:r>
          </w:p>
        </w:tc>
        <w:tc>
          <w:tcPr>
            <w:tcW w:w="3320" w:type="dxa"/>
            <w:noWrap/>
            <w:hideMark/>
          </w:tcPr>
          <w:p w14:paraId="1DF5C9FB" w14:textId="77777777" w:rsidR="00576FD2" w:rsidRPr="00576FD2" w:rsidRDefault="00576FD2">
            <w:pPr>
              <w:jc w:val="center"/>
            </w:pPr>
            <w:r w:rsidRPr="00576FD2">
              <w:t>3.342</w:t>
            </w:r>
          </w:p>
        </w:tc>
      </w:tr>
    </w:tbl>
    <w:p w14:paraId="1B8B2ED5" w14:textId="705A26E7" w:rsidR="00436B22" w:rsidRDefault="00F16DA4" w:rsidP="00CC5B8D">
      <w:pPr>
        <w:jc w:val="center"/>
      </w:pPr>
      <w:sdt>
        <w:sdtPr>
          <w:id w:val="-1688204041"/>
          <w:citation/>
        </w:sdtPr>
        <w:sdtEndPr/>
        <w:sdtContent>
          <w:r w:rsidR="00436B22">
            <w:fldChar w:fldCharType="begin"/>
          </w:r>
          <w:r w:rsidR="00436B22">
            <w:instrText xml:space="preserve"> CITATION BMD81 \l 2057 </w:instrText>
          </w:r>
          <w:r w:rsidR="00436B22">
            <w:fldChar w:fldCharType="separate"/>
          </w:r>
          <w:r w:rsidRPr="00F16DA4">
            <w:rPr>
              <w:noProof/>
            </w:rPr>
            <w:t>[7]</w:t>
          </w:r>
          <w:r w:rsidR="00436B22">
            <w:fldChar w:fldCharType="end"/>
          </w:r>
        </w:sdtContent>
      </w:sdt>
    </w:p>
    <w:tbl>
      <w:tblPr>
        <w:tblStyle w:val="TableGrid"/>
        <w:tblW w:w="0" w:type="auto"/>
        <w:tblLook w:val="04A0" w:firstRow="1" w:lastRow="0" w:firstColumn="1" w:lastColumn="0" w:noHBand="0" w:noVBand="1"/>
      </w:tblPr>
      <w:tblGrid>
        <w:gridCol w:w="2860"/>
        <w:gridCol w:w="3340"/>
      </w:tblGrid>
      <w:tr w:rsidR="00CA4242" w:rsidRPr="00CA4242" w14:paraId="43F2962E" w14:textId="77777777" w:rsidTr="00CA4242">
        <w:trPr>
          <w:trHeight w:val="300"/>
        </w:trPr>
        <w:tc>
          <w:tcPr>
            <w:tcW w:w="2860" w:type="dxa"/>
            <w:noWrap/>
            <w:hideMark/>
          </w:tcPr>
          <w:p w14:paraId="00A4634D" w14:textId="77777777" w:rsidR="00CA4242" w:rsidRPr="00CA4242" w:rsidRDefault="00CA4242">
            <w:pPr>
              <w:jc w:val="center"/>
            </w:pPr>
            <w:r w:rsidRPr="00CA4242">
              <w:t xml:space="preserve">Charge Density (p) g/cm3 </w:t>
            </w:r>
          </w:p>
        </w:tc>
        <w:tc>
          <w:tcPr>
            <w:tcW w:w="3340" w:type="dxa"/>
            <w:noWrap/>
            <w:hideMark/>
          </w:tcPr>
          <w:p w14:paraId="3D821F2B" w14:textId="77777777" w:rsidR="00CA4242" w:rsidRPr="00CA4242" w:rsidRDefault="00CA4242">
            <w:pPr>
              <w:jc w:val="center"/>
            </w:pPr>
            <w:r w:rsidRPr="00CA4242">
              <w:t>Failure Diameter mm</w:t>
            </w:r>
          </w:p>
        </w:tc>
      </w:tr>
      <w:tr w:rsidR="00CA4242" w:rsidRPr="00CA4242" w14:paraId="5841C20F" w14:textId="77777777" w:rsidTr="00CA4242">
        <w:trPr>
          <w:trHeight w:val="300"/>
        </w:trPr>
        <w:tc>
          <w:tcPr>
            <w:tcW w:w="2860" w:type="dxa"/>
            <w:noWrap/>
            <w:hideMark/>
          </w:tcPr>
          <w:p w14:paraId="4C7834AF" w14:textId="77777777" w:rsidR="00CA4242" w:rsidRPr="00CA4242" w:rsidRDefault="00CA4242">
            <w:pPr>
              <w:jc w:val="center"/>
            </w:pPr>
            <w:r w:rsidRPr="00CA4242">
              <w:t>1.62</w:t>
            </w:r>
          </w:p>
        </w:tc>
        <w:tc>
          <w:tcPr>
            <w:tcW w:w="3340" w:type="dxa"/>
            <w:noWrap/>
            <w:hideMark/>
          </w:tcPr>
          <w:p w14:paraId="3A89EC79" w14:textId="77777777" w:rsidR="00CA4242" w:rsidRPr="00CA4242" w:rsidRDefault="00CA4242">
            <w:pPr>
              <w:jc w:val="center"/>
            </w:pPr>
            <w:r w:rsidRPr="00CA4242">
              <w:t>2.62 +/- 0.56</w:t>
            </w:r>
          </w:p>
        </w:tc>
      </w:tr>
    </w:tbl>
    <w:p w14:paraId="74F77409" w14:textId="3100859D" w:rsidR="00D12225" w:rsidRDefault="00F16DA4" w:rsidP="00E04CA1">
      <w:pPr>
        <w:jc w:val="center"/>
      </w:pPr>
      <w:sdt>
        <w:sdtPr>
          <w:id w:val="145638862"/>
          <w:citation/>
        </w:sdtPr>
        <w:sdtEndPr/>
        <w:sdtContent>
          <w:r w:rsidR="00445BB6">
            <w:fldChar w:fldCharType="begin"/>
          </w:r>
          <w:r w:rsidR="00445BB6">
            <w:instrText xml:space="preserve"> CITATION AWC75 \l 2057 </w:instrText>
          </w:r>
          <w:r w:rsidR="00445BB6">
            <w:fldChar w:fldCharType="separate"/>
          </w:r>
          <w:r w:rsidRPr="00F16DA4">
            <w:rPr>
              <w:noProof/>
            </w:rPr>
            <w:t>[8]</w:t>
          </w:r>
          <w:r w:rsidR="00445BB6">
            <w:fldChar w:fldCharType="end"/>
          </w:r>
        </w:sdtContent>
      </w:sdt>
    </w:p>
    <w:tbl>
      <w:tblPr>
        <w:tblStyle w:val="TableGrid"/>
        <w:tblW w:w="0" w:type="auto"/>
        <w:tblLook w:val="04A0" w:firstRow="1" w:lastRow="0" w:firstColumn="1" w:lastColumn="0" w:noHBand="0" w:noVBand="1"/>
      </w:tblPr>
      <w:tblGrid>
        <w:gridCol w:w="2809"/>
        <w:gridCol w:w="3280"/>
        <w:gridCol w:w="2927"/>
      </w:tblGrid>
      <w:tr w:rsidR="00F84561" w:rsidRPr="00F84561" w14:paraId="39345379" w14:textId="77777777" w:rsidTr="00F84561">
        <w:trPr>
          <w:trHeight w:val="300"/>
        </w:trPr>
        <w:tc>
          <w:tcPr>
            <w:tcW w:w="2860" w:type="dxa"/>
            <w:noWrap/>
            <w:hideMark/>
          </w:tcPr>
          <w:p w14:paraId="271E7409" w14:textId="77777777" w:rsidR="00F84561" w:rsidRPr="00F84561" w:rsidRDefault="00F84561">
            <w:pPr>
              <w:jc w:val="center"/>
            </w:pPr>
            <w:r w:rsidRPr="00F84561">
              <w:t>Density at unreacted state (p0)</w:t>
            </w:r>
          </w:p>
        </w:tc>
        <w:tc>
          <w:tcPr>
            <w:tcW w:w="3340" w:type="dxa"/>
            <w:noWrap/>
            <w:hideMark/>
          </w:tcPr>
          <w:p w14:paraId="56563D55" w14:textId="77777777" w:rsidR="00F84561" w:rsidRPr="00F84561" w:rsidRDefault="00F84561">
            <w:pPr>
              <w:jc w:val="center"/>
            </w:pPr>
            <w:r w:rsidRPr="00F84561">
              <w:t>Critical Diameter mm</w:t>
            </w:r>
          </w:p>
        </w:tc>
        <w:tc>
          <w:tcPr>
            <w:tcW w:w="2980" w:type="dxa"/>
            <w:noWrap/>
            <w:hideMark/>
          </w:tcPr>
          <w:p w14:paraId="457BCB55" w14:textId="77777777" w:rsidR="00F84561" w:rsidRPr="00F84561" w:rsidRDefault="00F84561">
            <w:pPr>
              <w:jc w:val="center"/>
            </w:pPr>
            <w:r w:rsidRPr="00F84561">
              <w:t>% Theoretical Maximum Density</w:t>
            </w:r>
          </w:p>
        </w:tc>
      </w:tr>
      <w:tr w:rsidR="00F84561" w:rsidRPr="00F84561" w14:paraId="6EB214D9" w14:textId="77777777" w:rsidTr="00F84561">
        <w:trPr>
          <w:trHeight w:val="300"/>
        </w:trPr>
        <w:tc>
          <w:tcPr>
            <w:tcW w:w="2860" w:type="dxa"/>
            <w:noWrap/>
            <w:hideMark/>
          </w:tcPr>
          <w:p w14:paraId="27730966" w14:textId="77777777" w:rsidR="00F84561" w:rsidRPr="00F84561" w:rsidRDefault="00F84561">
            <w:pPr>
              <w:jc w:val="center"/>
            </w:pPr>
            <w:r w:rsidRPr="00F84561">
              <w:t>1.63</w:t>
            </w:r>
          </w:p>
        </w:tc>
        <w:tc>
          <w:tcPr>
            <w:tcW w:w="3340" w:type="dxa"/>
            <w:noWrap/>
            <w:hideMark/>
          </w:tcPr>
          <w:p w14:paraId="033C49A0" w14:textId="77777777" w:rsidR="00F84561" w:rsidRPr="00F84561" w:rsidRDefault="00F84561">
            <w:pPr>
              <w:jc w:val="center"/>
            </w:pPr>
            <w:r w:rsidRPr="00F84561">
              <w:t>2.62 +/- 0.56</w:t>
            </w:r>
          </w:p>
        </w:tc>
        <w:tc>
          <w:tcPr>
            <w:tcW w:w="2980" w:type="dxa"/>
            <w:noWrap/>
            <w:hideMark/>
          </w:tcPr>
          <w:p w14:paraId="3AE1421D" w14:textId="77777777" w:rsidR="00F84561" w:rsidRPr="00F84561" w:rsidRDefault="00F84561">
            <w:pPr>
              <w:jc w:val="center"/>
            </w:pPr>
            <w:r w:rsidRPr="00F84561">
              <w:t>96.4 - 97.1</w:t>
            </w:r>
          </w:p>
        </w:tc>
      </w:tr>
    </w:tbl>
    <w:p w14:paraId="39467F4F" w14:textId="0EBB357D" w:rsidR="00445BB6" w:rsidRDefault="00F16DA4" w:rsidP="00E04CA1">
      <w:pPr>
        <w:jc w:val="center"/>
      </w:pPr>
      <w:sdt>
        <w:sdtPr>
          <w:id w:val="1673680753"/>
          <w:citation/>
        </w:sdtPr>
        <w:sdtEndPr/>
        <w:sdtContent>
          <w:r w:rsidR="00A20679">
            <w:fldChar w:fldCharType="begin"/>
          </w:r>
          <w:r w:rsidR="00A20679">
            <w:instrText xml:space="preserve"> CITATION Don81 \l 2057 </w:instrText>
          </w:r>
          <w:r w:rsidR="00A20679">
            <w:fldChar w:fldCharType="separate"/>
          </w:r>
          <w:r w:rsidRPr="00F16DA4">
            <w:rPr>
              <w:noProof/>
            </w:rPr>
            <w:t>[9]</w:t>
          </w:r>
          <w:r w:rsidR="00A20679">
            <w:fldChar w:fldCharType="end"/>
          </w:r>
        </w:sdtContent>
      </w:sdt>
    </w:p>
    <w:tbl>
      <w:tblPr>
        <w:tblStyle w:val="TableGrid"/>
        <w:tblW w:w="0" w:type="auto"/>
        <w:tblLook w:val="04A0" w:firstRow="1" w:lastRow="0" w:firstColumn="1" w:lastColumn="0" w:noHBand="0" w:noVBand="1"/>
      </w:tblPr>
      <w:tblGrid>
        <w:gridCol w:w="2860"/>
        <w:gridCol w:w="3340"/>
      </w:tblGrid>
      <w:tr w:rsidR="008B5BA7" w:rsidRPr="008B5BA7" w14:paraId="72298787" w14:textId="77777777" w:rsidTr="008B5BA7">
        <w:trPr>
          <w:trHeight w:val="300"/>
        </w:trPr>
        <w:tc>
          <w:tcPr>
            <w:tcW w:w="2860" w:type="dxa"/>
            <w:noWrap/>
            <w:hideMark/>
          </w:tcPr>
          <w:p w14:paraId="048682EB" w14:textId="77777777" w:rsidR="008B5BA7" w:rsidRPr="008B5BA7" w:rsidRDefault="008B5BA7">
            <w:pPr>
              <w:jc w:val="center"/>
            </w:pPr>
            <w:r w:rsidRPr="008B5BA7">
              <w:t>Theoretical Maximum Density</w:t>
            </w:r>
          </w:p>
        </w:tc>
        <w:tc>
          <w:tcPr>
            <w:tcW w:w="3340" w:type="dxa"/>
            <w:noWrap/>
            <w:hideMark/>
          </w:tcPr>
          <w:p w14:paraId="37592692" w14:textId="61558274" w:rsidR="008B5BA7" w:rsidRPr="008B5BA7" w:rsidRDefault="008B5BA7">
            <w:pPr>
              <w:jc w:val="center"/>
            </w:pPr>
            <w:r w:rsidRPr="008B5BA7">
              <w:t xml:space="preserve">Velocity of Detonation at Infinite </w:t>
            </w:r>
            <w:r w:rsidR="00AB7C82">
              <w:t>Diameter</w:t>
            </w:r>
          </w:p>
        </w:tc>
      </w:tr>
      <w:tr w:rsidR="008B5BA7" w:rsidRPr="008B5BA7" w14:paraId="26020C59" w14:textId="77777777" w:rsidTr="008B5BA7">
        <w:trPr>
          <w:trHeight w:val="300"/>
        </w:trPr>
        <w:tc>
          <w:tcPr>
            <w:tcW w:w="2860" w:type="dxa"/>
            <w:noWrap/>
            <w:hideMark/>
          </w:tcPr>
          <w:p w14:paraId="3E4133BD" w14:textId="77777777" w:rsidR="008B5BA7" w:rsidRPr="008B5BA7" w:rsidRDefault="008B5BA7">
            <w:pPr>
              <w:jc w:val="center"/>
            </w:pPr>
            <w:r w:rsidRPr="008B5BA7">
              <w:t>1.654 g/cm3</w:t>
            </w:r>
          </w:p>
        </w:tc>
        <w:tc>
          <w:tcPr>
            <w:tcW w:w="3340" w:type="dxa"/>
            <w:noWrap/>
            <w:hideMark/>
          </w:tcPr>
          <w:p w14:paraId="666AB080" w14:textId="77777777" w:rsidR="008B5BA7" w:rsidRPr="008B5BA7" w:rsidRDefault="008B5BA7">
            <w:pPr>
              <w:jc w:val="center"/>
            </w:pPr>
            <w:r w:rsidRPr="008B5BA7">
              <w:t>6970</w:t>
            </w:r>
          </w:p>
        </w:tc>
      </w:tr>
    </w:tbl>
    <w:p w14:paraId="5F476C45" w14:textId="56B9AE1D" w:rsidR="008B5BA7" w:rsidRDefault="00F16DA4" w:rsidP="00E04CA1">
      <w:pPr>
        <w:jc w:val="center"/>
      </w:pPr>
      <w:sdt>
        <w:sdtPr>
          <w:id w:val="-1248718753"/>
          <w:citation/>
        </w:sdtPr>
        <w:sdtEndPr/>
        <w:sdtContent>
          <w:r w:rsidR="00581474">
            <w:fldChar w:fldCharType="begin"/>
          </w:r>
          <w:r w:rsidR="00581474">
            <w:instrText xml:space="preserve"> CITATION RWG43 \l 2057 </w:instrText>
          </w:r>
          <w:r w:rsidR="00581474">
            <w:fldChar w:fldCharType="separate"/>
          </w:r>
          <w:r w:rsidRPr="00F16DA4">
            <w:rPr>
              <w:noProof/>
            </w:rPr>
            <w:t>[10]</w:t>
          </w:r>
          <w:r w:rsidR="00581474">
            <w:fldChar w:fldCharType="end"/>
          </w:r>
        </w:sdtContent>
      </w:sdt>
    </w:p>
    <w:p w14:paraId="2578F6CE" w14:textId="77777777" w:rsidR="006725C3" w:rsidRDefault="00406959" w:rsidP="006725C3">
      <w:pPr>
        <w:keepNext/>
        <w:jc w:val="center"/>
      </w:pPr>
      <w:r w:rsidRPr="00406959">
        <w:rPr>
          <w:noProof/>
        </w:rPr>
        <w:drawing>
          <wp:inline distT="0" distB="0" distL="0" distR="0" wp14:anchorId="4C883C0F" wp14:editId="04FD829C">
            <wp:extent cx="2671076" cy="2247900"/>
            <wp:effectExtent l="0" t="0" r="0" b="0"/>
            <wp:docPr id="896281406"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281406" name="Picture 1" descr="A graph of a function&#10;&#10;AI-generated content may be incorrect."/>
                    <pic:cNvPicPr/>
                  </pic:nvPicPr>
                  <pic:blipFill>
                    <a:blip r:embed="rId8"/>
                    <a:stretch>
                      <a:fillRect/>
                    </a:stretch>
                  </pic:blipFill>
                  <pic:spPr>
                    <a:xfrm>
                      <a:off x="0" y="0"/>
                      <a:ext cx="2705253" cy="2276663"/>
                    </a:xfrm>
                    <a:prstGeom prst="rect">
                      <a:avLst/>
                    </a:prstGeom>
                  </pic:spPr>
                </pic:pic>
              </a:graphicData>
            </a:graphic>
          </wp:inline>
        </w:drawing>
      </w:r>
    </w:p>
    <w:p w14:paraId="23D790AD" w14:textId="35529EE9" w:rsidR="00E721E8" w:rsidRDefault="006725C3" w:rsidP="006725C3">
      <w:pPr>
        <w:pStyle w:val="Caption"/>
        <w:jc w:val="center"/>
      </w:pPr>
      <w:bookmarkStart w:id="5" w:name="_Toc217131202"/>
      <w:r>
        <w:t xml:space="preserve">Figure </w:t>
      </w:r>
      <w:fldSimple w:instr=" SEQ Figure \* ARABIC ">
        <w:r w:rsidR="002936ED">
          <w:rPr>
            <w:noProof/>
          </w:rPr>
          <w:t>1</w:t>
        </w:r>
        <w:bookmarkEnd w:id="5"/>
      </w:fldSimple>
    </w:p>
    <w:p w14:paraId="4827A1F7" w14:textId="2FDFD34E" w:rsidR="00BE7743" w:rsidRDefault="00694659" w:rsidP="00694659">
      <w:pPr>
        <w:jc w:val="center"/>
      </w:pPr>
      <w:r>
        <w:t>Unconfined cylindrical</w:t>
      </w:r>
      <w:r w:rsidR="0078716D">
        <w:t xml:space="preserve"> charge series, TNT</w:t>
      </w:r>
      <w:r w:rsidR="006F09B2">
        <w:t xml:space="preserve"> 0.07 to 0.2mm grain size</w:t>
      </w:r>
      <w:r w:rsidR="00243C5C">
        <w:t xml:space="preserve"> </w:t>
      </w:r>
      <w:sdt>
        <w:sdtPr>
          <w:id w:val="-10305919"/>
          <w:citation/>
        </w:sdtPr>
        <w:sdtEndPr/>
        <w:sdtContent>
          <w:r w:rsidR="00243C5C">
            <w:fldChar w:fldCharType="begin"/>
          </w:r>
          <w:r w:rsidR="00243C5C">
            <w:instrText xml:space="preserve"> CITATION Don81 \l 2057 </w:instrText>
          </w:r>
          <w:r w:rsidR="00243C5C">
            <w:fldChar w:fldCharType="separate"/>
          </w:r>
          <w:r w:rsidR="00F16DA4" w:rsidRPr="00F16DA4">
            <w:rPr>
              <w:noProof/>
            </w:rPr>
            <w:t>[9]</w:t>
          </w:r>
          <w:r w:rsidR="00243C5C">
            <w:fldChar w:fldCharType="end"/>
          </w:r>
        </w:sdtContent>
      </w:sdt>
    </w:p>
    <w:p w14:paraId="50FE36F9" w14:textId="77777777" w:rsidR="00420310" w:rsidRDefault="00420310" w:rsidP="00694659">
      <w:pPr>
        <w:jc w:val="center"/>
      </w:pPr>
    </w:p>
    <w:p w14:paraId="0F88DDED" w14:textId="14307902" w:rsidR="006204D9" w:rsidRDefault="006204D9" w:rsidP="00E04CA1">
      <w:pPr>
        <w:jc w:val="center"/>
      </w:pPr>
    </w:p>
    <w:p w14:paraId="257D9007" w14:textId="77777777" w:rsidR="006204D9" w:rsidRPr="00FC4D33" w:rsidRDefault="006204D9" w:rsidP="00E04CA1">
      <w:pPr>
        <w:jc w:val="center"/>
      </w:pPr>
    </w:p>
    <w:p w14:paraId="63FFAD7C" w14:textId="6B10FF2B" w:rsidR="00E55523" w:rsidRDefault="00E55523">
      <w:r>
        <w:br w:type="page"/>
      </w:r>
    </w:p>
    <w:p w14:paraId="246CC4CF" w14:textId="75B84116" w:rsidR="00F40590" w:rsidRDefault="000B7561" w:rsidP="002208E0">
      <w:pPr>
        <w:pStyle w:val="Heading1"/>
        <w:keepLines w:val="0"/>
        <w:numPr>
          <w:ilvl w:val="0"/>
          <w:numId w:val="5"/>
        </w:numPr>
        <w:spacing w:before="0" w:after="240" w:line="276" w:lineRule="auto"/>
      </w:pPr>
      <w:bookmarkStart w:id="6" w:name="_Hlk193904276"/>
      <w:r>
        <w:lastRenderedPageBreak/>
        <w:t>Discussion</w:t>
      </w:r>
    </w:p>
    <w:bookmarkEnd w:id="6"/>
    <w:p w14:paraId="5FE06907" w14:textId="76030F1F" w:rsidR="00004DD8" w:rsidRDefault="008F3731" w:rsidP="008F3731">
      <w:r>
        <w:t>Due to the V</w:t>
      </w:r>
      <w:r w:rsidR="00660B63">
        <w:t>O</w:t>
      </w:r>
      <w:r>
        <w:t xml:space="preserve">D of lead azide, no booster should be required during a shock to detonation transition (SDT) </w:t>
      </w:r>
      <w:r w:rsidR="00BD233F">
        <w:t xml:space="preserve">as </w:t>
      </w:r>
      <w:r w:rsidR="0053489F" w:rsidRPr="0053489F">
        <w:t>the force of a detonating donor charge is sufficient to awaken its counterpart—the receptor—so long as the two lie close enough for the shock to pass unimpeded. The success of this transfer depends on several constraints: the pressure delivered by the donor, the inherent sensitivity of the acceptor, and the presence of any gap or barrier</w:t>
      </w:r>
      <w:r w:rsidR="00BD233F">
        <w:t xml:space="preserve">. </w:t>
      </w:r>
      <w:r>
        <w:t xml:space="preserve">In this case they shall be in intimate proximity without barriers. </w:t>
      </w:r>
      <w:sdt>
        <w:sdtPr>
          <w:id w:val="-1341151938"/>
          <w:citation/>
        </w:sdtPr>
        <w:sdtContent>
          <w:r>
            <w:fldChar w:fldCharType="begin"/>
          </w:r>
          <w:r>
            <w:instrText xml:space="preserve"> CITATION Pet23 \l 2057 </w:instrText>
          </w:r>
          <w:r>
            <w:fldChar w:fldCharType="separate"/>
          </w:r>
          <w:r w:rsidR="00F16DA4" w:rsidRPr="00F16DA4">
            <w:rPr>
              <w:noProof/>
            </w:rPr>
            <w:t>[11]</w:t>
          </w:r>
          <w:r>
            <w:fldChar w:fldCharType="end"/>
          </w:r>
        </w:sdtContent>
      </w:sdt>
      <w:r w:rsidR="00B9419D">
        <w:t xml:space="preserve"> </w:t>
      </w:r>
      <w:r>
        <w:t>The lead azide shall be ignited through an electric match</w:t>
      </w:r>
      <w:r w:rsidR="00540362">
        <w:t>.</w:t>
      </w:r>
    </w:p>
    <w:p w14:paraId="4D635510" w14:textId="77777777" w:rsidR="008F1F7F" w:rsidRDefault="00D95A75" w:rsidP="008F1F7F">
      <w:pPr>
        <w:keepNext/>
        <w:jc w:val="center"/>
      </w:pPr>
      <w:r>
        <w:rPr>
          <w:noProof/>
        </w:rPr>
        <w:drawing>
          <wp:inline distT="0" distB="0" distL="0" distR="0" wp14:anchorId="20A51CFC" wp14:editId="3F744B96">
            <wp:extent cx="2362200" cy="1847850"/>
            <wp:effectExtent l="0" t="0" r="0" b="0"/>
            <wp:docPr id="19432499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2200" cy="1847850"/>
                    </a:xfrm>
                    <a:prstGeom prst="rect">
                      <a:avLst/>
                    </a:prstGeom>
                    <a:noFill/>
                  </pic:spPr>
                </pic:pic>
              </a:graphicData>
            </a:graphic>
          </wp:inline>
        </w:drawing>
      </w:r>
    </w:p>
    <w:p w14:paraId="4FCEE90D" w14:textId="4B8A34E8" w:rsidR="00004DD8" w:rsidRDefault="008F1F7F" w:rsidP="008F1F7F">
      <w:pPr>
        <w:pStyle w:val="Caption"/>
        <w:jc w:val="center"/>
      </w:pPr>
      <w:bookmarkStart w:id="7" w:name="_Toc217131203"/>
      <w:r>
        <w:t xml:space="preserve">Figure </w:t>
      </w:r>
      <w:fldSimple w:instr=" SEQ Figure \* ARABIC ">
        <w:r w:rsidR="002936ED">
          <w:rPr>
            <w:noProof/>
          </w:rPr>
          <w:t>2</w:t>
        </w:r>
        <w:bookmarkEnd w:id="7"/>
      </w:fldSimple>
    </w:p>
    <w:p w14:paraId="13C231CA" w14:textId="421C5B3C" w:rsidR="008F1F7F" w:rsidRPr="008F1F7F" w:rsidRDefault="008F1F7F" w:rsidP="008F1F7F">
      <w:pPr>
        <w:jc w:val="center"/>
      </w:pPr>
      <w:r>
        <w:t xml:space="preserve">Example of electric match. </w:t>
      </w:r>
      <w:sdt>
        <w:sdtPr>
          <w:id w:val="1590194532"/>
          <w:citation/>
        </w:sdtPr>
        <w:sdtContent>
          <w:r>
            <w:fldChar w:fldCharType="begin"/>
          </w:r>
          <w:r>
            <w:instrText xml:space="preserve"> CITATION Law07 \l 2057 </w:instrText>
          </w:r>
          <w:r>
            <w:fldChar w:fldCharType="separate"/>
          </w:r>
          <w:r w:rsidR="00F16DA4" w:rsidRPr="00F16DA4">
            <w:rPr>
              <w:noProof/>
            </w:rPr>
            <w:t>[12]</w:t>
          </w:r>
          <w:r>
            <w:fldChar w:fldCharType="end"/>
          </w:r>
        </w:sdtContent>
      </w:sdt>
    </w:p>
    <w:p w14:paraId="2266415E" w14:textId="77777777" w:rsidR="008F1F7F" w:rsidRDefault="008F1F7F" w:rsidP="00D95A75">
      <w:pPr>
        <w:jc w:val="center"/>
      </w:pPr>
    </w:p>
    <w:p w14:paraId="4810279A" w14:textId="326B6720" w:rsidR="008F3731" w:rsidRPr="00CC5E0F" w:rsidRDefault="008F3731" w:rsidP="008F3731">
      <w:r>
        <w:t xml:space="preserve"> </w:t>
      </w:r>
      <w:bookmarkStart w:id="8" w:name="_Hlk217129622"/>
      <w:r w:rsidR="00862C84">
        <w:t>With an ignition temperature of 320-360</w:t>
      </w:r>
      <w:r w:rsidR="00BB7D68" w:rsidRPr="00BB7D68">
        <w:t>°C</w:t>
      </w:r>
      <w:r>
        <w:t xml:space="preserve"> this is well above the temperature required to detonate LA</w:t>
      </w:r>
      <w:bookmarkEnd w:id="8"/>
      <w:r>
        <w:t xml:space="preserve">. During experimentation </w:t>
      </w:r>
      <w:r w:rsidRPr="00CC5E0F">
        <w:t>LA micro pellets, with a density of 3.571 g/cm</w:t>
      </w:r>
      <w:r w:rsidRPr="00CC5E0F">
        <w:rPr>
          <w:vertAlign w:val="superscript"/>
        </w:rPr>
        <w:t>3</w:t>
      </w:r>
      <w:r w:rsidRPr="00CC5E0F">
        <w:t xml:space="preserve"> and a diameter of 1.2 mm, </w:t>
      </w:r>
      <w:r w:rsidR="007525DF">
        <w:t>have been</w:t>
      </w:r>
      <w:r w:rsidRPr="00CC5E0F">
        <w:t xml:space="preserve"> placed in 304 stainless steel confinements with a diameter of 6.0 mm and heights of 0.3, 0.5, 1.0, and 2.0 mm.</w:t>
      </w:r>
      <w:sdt>
        <w:sdtPr>
          <w:id w:val="-1394035163"/>
          <w:citation/>
        </w:sdtPr>
        <w:sdtContent>
          <w:r w:rsidRPr="00CC5E0F">
            <w:fldChar w:fldCharType="begin"/>
          </w:r>
          <w:r w:rsidRPr="00CC5E0F">
            <w:instrText xml:space="preserve"> CITATION Yun22 \l 2057 </w:instrText>
          </w:r>
          <w:r w:rsidRPr="00CC5E0F">
            <w:fldChar w:fldCharType="separate"/>
          </w:r>
          <w:r w:rsidR="00F16DA4">
            <w:rPr>
              <w:noProof/>
            </w:rPr>
            <w:t xml:space="preserve"> </w:t>
          </w:r>
          <w:r w:rsidR="00F16DA4" w:rsidRPr="00F16DA4">
            <w:rPr>
              <w:noProof/>
            </w:rPr>
            <w:t>[13]</w:t>
          </w:r>
          <w:r w:rsidRPr="00CC5E0F">
            <w:fldChar w:fldCharType="end"/>
          </w:r>
        </w:sdtContent>
      </w:sdt>
      <w:r w:rsidR="00B9419D">
        <w:t xml:space="preserve"> </w:t>
      </w:r>
      <w:r w:rsidR="00AF2909" w:rsidRPr="00AF2909">
        <w:t xml:space="preserve">It </w:t>
      </w:r>
      <w:r w:rsidR="00CA3349">
        <w:t>has been</w:t>
      </w:r>
      <w:r w:rsidR="00AF2909" w:rsidRPr="00AF2909">
        <w:t xml:space="preserve"> observed that, in pressed charges, the shock front exhibit</w:t>
      </w:r>
      <w:r w:rsidR="00CA3349">
        <w:t>s</w:t>
      </w:r>
      <w:r w:rsidR="00AF2909" w:rsidRPr="00AF2909">
        <w:t xml:space="preserve"> a transient overshoot in velocity during the rapid acceleration phase, briefly surpassing the established steady</w:t>
      </w:r>
      <w:r w:rsidR="00AF2909" w:rsidRPr="00AF2909">
        <w:noBreakHyphen/>
        <w:t>state detonation velocity before subsequently returning to the characteristic steady</w:t>
      </w:r>
      <w:r w:rsidR="00AF2909" w:rsidRPr="00AF2909">
        <w:noBreakHyphen/>
        <w:t>detonation value.</w:t>
      </w:r>
      <w:sdt>
        <w:sdtPr>
          <w:id w:val="338903679"/>
          <w:citation/>
        </w:sdtPr>
        <w:sdtContent>
          <w:r w:rsidRPr="00CC5E0F">
            <w:fldChar w:fldCharType="begin"/>
          </w:r>
          <w:r w:rsidRPr="00CC5E0F">
            <w:instrText xml:space="preserve"> CITATION Ank23 \l 2057 </w:instrText>
          </w:r>
          <w:r w:rsidRPr="00CC5E0F">
            <w:fldChar w:fldCharType="separate"/>
          </w:r>
          <w:r w:rsidR="00F16DA4">
            <w:rPr>
              <w:noProof/>
            </w:rPr>
            <w:t xml:space="preserve"> </w:t>
          </w:r>
          <w:r w:rsidR="00F16DA4" w:rsidRPr="00F16DA4">
            <w:rPr>
              <w:noProof/>
            </w:rPr>
            <w:t>[14]</w:t>
          </w:r>
          <w:r w:rsidRPr="00CC5E0F">
            <w:fldChar w:fldCharType="end"/>
          </w:r>
        </w:sdtContent>
      </w:sdt>
      <w:r w:rsidR="000A4542">
        <w:t xml:space="preserve"> </w:t>
      </w:r>
      <w:r w:rsidR="00F621F4" w:rsidRPr="00F621F4">
        <w:t>In most high explosives, detonation velocity increases with charge height and density within a defined range. However, notable deviations occur in the detonation behaviour of lead azide (LA) charges at small charge heights. A pronounced peak in detonation velocity is observed at approximately 0.8–1.0 mm following ignition, exceeding the steady</w:t>
      </w:r>
      <w:r w:rsidR="00F621F4" w:rsidRPr="00F621F4">
        <w:noBreakHyphen/>
        <w:t>state detonation velocity typically measured at the macroscale. This phenomenon is attributed to a substantial increase in the density of the unreacted region, caused by precompression from the leading shock front, which in turn produces an elevated reaction ratio within the compressed zone. The combined effects of increased density and enhanced reaction ratio result in a rapid rise in detonation velocity. Furthermore, within the first 0.8 mm, the reaction proceeds as a volume reaction, and the shock</w:t>
      </w:r>
      <w:r w:rsidR="00F621F4" w:rsidRPr="00F621F4">
        <w:noBreakHyphen/>
        <w:t>front or reaction–particle velocity profiles exhibit minimal variation. Consequently, the entire charge may be regarded as constituting the reaction zone.</w:t>
      </w:r>
      <w:r w:rsidRPr="00CC5E0F">
        <w:t xml:space="preserve"> </w:t>
      </w:r>
      <w:sdt>
        <w:sdtPr>
          <w:id w:val="1551800133"/>
          <w:citation/>
        </w:sdtPr>
        <w:sdtContent>
          <w:r w:rsidRPr="00CC5E0F">
            <w:fldChar w:fldCharType="begin"/>
          </w:r>
          <w:r w:rsidRPr="00CC5E0F">
            <w:instrText xml:space="preserve"> CITATION Yun22 \l 2057 </w:instrText>
          </w:r>
          <w:r w:rsidRPr="00CC5E0F">
            <w:fldChar w:fldCharType="separate"/>
          </w:r>
          <w:r w:rsidR="00F16DA4" w:rsidRPr="00F16DA4">
            <w:rPr>
              <w:noProof/>
            </w:rPr>
            <w:t>[13]</w:t>
          </w:r>
          <w:r w:rsidRPr="00CC5E0F">
            <w:fldChar w:fldCharType="end"/>
          </w:r>
        </w:sdtContent>
      </w:sdt>
    </w:p>
    <w:p w14:paraId="485E8CB5" w14:textId="77777777" w:rsidR="00A31B32" w:rsidRDefault="008F3731" w:rsidP="004F4D5E">
      <w:pPr>
        <w:keepNext/>
        <w:jc w:val="center"/>
      </w:pPr>
      <w:r w:rsidRPr="00CC5E0F">
        <w:rPr>
          <w:noProof/>
        </w:rPr>
        <w:lastRenderedPageBreak/>
        <w:drawing>
          <wp:inline distT="0" distB="0" distL="0" distR="0" wp14:anchorId="536FB80F" wp14:editId="7FF5048B">
            <wp:extent cx="3324225" cy="2543175"/>
            <wp:effectExtent l="0" t="0" r="9525" b="9525"/>
            <wp:docPr id="2043750397" name="Picture 1" descr="A graph of 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45999" name="Picture 1" descr="A graph of a graph with different colored lines&#10;&#10;AI-generated content may be incorrect."/>
                    <pic:cNvPicPr/>
                  </pic:nvPicPr>
                  <pic:blipFill>
                    <a:blip r:embed="rId10"/>
                    <a:stretch>
                      <a:fillRect/>
                    </a:stretch>
                  </pic:blipFill>
                  <pic:spPr>
                    <a:xfrm>
                      <a:off x="0" y="0"/>
                      <a:ext cx="3324225" cy="2543175"/>
                    </a:xfrm>
                    <a:prstGeom prst="rect">
                      <a:avLst/>
                    </a:prstGeom>
                  </pic:spPr>
                </pic:pic>
              </a:graphicData>
            </a:graphic>
          </wp:inline>
        </w:drawing>
      </w:r>
    </w:p>
    <w:p w14:paraId="6E48D7EA" w14:textId="4C1180A8" w:rsidR="00A31B32" w:rsidRDefault="00A31B32" w:rsidP="004F4D5E">
      <w:pPr>
        <w:pStyle w:val="Caption"/>
        <w:jc w:val="center"/>
      </w:pPr>
      <w:bookmarkStart w:id="9" w:name="_Toc217131204"/>
      <w:r>
        <w:t xml:space="preserve">Figure </w:t>
      </w:r>
      <w:fldSimple w:instr=" SEQ Figure \* ARABIC ">
        <w:r w:rsidR="002936ED">
          <w:rPr>
            <w:noProof/>
          </w:rPr>
          <w:t>3</w:t>
        </w:r>
        <w:bookmarkEnd w:id="9"/>
      </w:fldSimple>
    </w:p>
    <w:p w14:paraId="2ECC09A6" w14:textId="4BA5131A" w:rsidR="008F3731" w:rsidRPr="00CC5E0F" w:rsidRDefault="008F3731" w:rsidP="004F4D5E">
      <w:pPr>
        <w:jc w:val="center"/>
      </w:pPr>
      <w:sdt>
        <w:sdtPr>
          <w:id w:val="-2135084756"/>
          <w:citation/>
        </w:sdtPr>
        <w:sdtContent>
          <w:r w:rsidRPr="00CC5E0F">
            <w:fldChar w:fldCharType="begin"/>
          </w:r>
          <w:r w:rsidRPr="00CC5E0F">
            <w:instrText xml:space="preserve"> CITATION Yun22 \l 2057 </w:instrText>
          </w:r>
          <w:r w:rsidRPr="00CC5E0F">
            <w:fldChar w:fldCharType="separate"/>
          </w:r>
          <w:r w:rsidR="00F16DA4" w:rsidRPr="00F16DA4">
            <w:rPr>
              <w:noProof/>
            </w:rPr>
            <w:t>[13]</w:t>
          </w:r>
          <w:r w:rsidRPr="00CC5E0F">
            <w:fldChar w:fldCharType="end"/>
          </w:r>
        </w:sdtContent>
      </w:sdt>
    </w:p>
    <w:p w14:paraId="72FA7690" w14:textId="62C60536" w:rsidR="008F3731" w:rsidRDefault="00BE0A1F" w:rsidP="008F3731">
      <w:r w:rsidRPr="00BE0A1F">
        <w:t>Once the detonation reaction reaches approximately 0.8 mm, the detonation structure becomes fully developed. At this stage, the shock front, reaction zone, and expansion zone of the detonation products begin to adjust toward a stable configuration dictated by the external conditions. Owing to the inherent stability of shock profiles, the reaction zone cannot overtake the shock front, even when the reaction rate attains its maximum value as determined by the local density and pressure. The detonation structure therefore constrains the velocity of the reaction</w:t>
      </w:r>
      <w:r w:rsidRPr="00BE0A1F">
        <w:noBreakHyphen/>
        <w:t>completion interface, since the shockwave velocity is governed by the state parameters of the material under the high</w:t>
      </w:r>
      <w:r w:rsidRPr="00BE0A1F">
        <w:noBreakHyphen/>
        <w:t>pressure conditions present in the reaction zone. Elevated pressure simultaneously enhances the reaction intensity and increases the shockwave velocity, illustrating the coupled dynamics of the shock front and reaction zone. Notably, although the reaction wave appears to approach the shock front, the velocity of the reaction</w:t>
      </w:r>
      <w:r w:rsidRPr="00BE0A1F">
        <w:noBreakHyphen/>
        <w:t>completion interface ultimately decreases to a stable value. When the detonation reaches a height of approximately 2.5 mm, the overall detonation profile reflects a balance between thermodynamic and kinetic processes under the imposed external conditions.</w:t>
      </w:r>
      <w:sdt>
        <w:sdtPr>
          <w:id w:val="-1276699711"/>
          <w:citation/>
        </w:sdtPr>
        <w:sdtContent>
          <w:r w:rsidR="008F3731" w:rsidRPr="00CC5E0F">
            <w:fldChar w:fldCharType="begin"/>
          </w:r>
          <w:r w:rsidR="008F3731" w:rsidRPr="00CC5E0F">
            <w:instrText xml:space="preserve"> CITATION Yun22 \l 2057 </w:instrText>
          </w:r>
          <w:r w:rsidR="008F3731" w:rsidRPr="00CC5E0F">
            <w:fldChar w:fldCharType="separate"/>
          </w:r>
          <w:r w:rsidR="00F16DA4">
            <w:rPr>
              <w:noProof/>
            </w:rPr>
            <w:t xml:space="preserve"> </w:t>
          </w:r>
          <w:r w:rsidR="00F16DA4" w:rsidRPr="00F16DA4">
            <w:rPr>
              <w:noProof/>
            </w:rPr>
            <w:t>[13]</w:t>
          </w:r>
          <w:r w:rsidR="008F3731" w:rsidRPr="00CC5E0F">
            <w:fldChar w:fldCharType="end"/>
          </w:r>
        </w:sdtContent>
      </w:sdt>
      <w:r w:rsidR="00CA2C14" w:rsidRPr="00CA2C14">
        <w:t xml:space="preserve"> </w:t>
      </w:r>
      <w:r w:rsidR="00CA2C14" w:rsidRPr="00CA2C14">
        <w:t>Shock</w:t>
      </w:r>
      <w:r w:rsidR="00CA2C14" w:rsidRPr="00CA2C14">
        <w:noBreakHyphen/>
        <w:t>wave initiation is employed to detonate secondary explosives using a primary explosive charge. In a shock</w:t>
      </w:r>
      <w:r w:rsidR="00CA2C14" w:rsidRPr="00CA2C14">
        <w:noBreakHyphen/>
        <w:t>to</w:t>
      </w:r>
      <w:r w:rsidR="00CA2C14" w:rsidRPr="00CA2C14">
        <w:noBreakHyphen/>
        <w:t>detonation transition, the process does not require the propagation of a flame front or any preceding combustion. Instead, a high</w:t>
      </w:r>
      <w:r w:rsidR="00CA2C14" w:rsidRPr="00CA2C14">
        <w:noBreakHyphen/>
        <w:t xml:space="preserve">velocity shock wave generated by the ignition source governs the formation of the detonation. As this shock wave penetrates the explosive material, particle compression and adiabatic heating occur at the shock front. These processes release energy through the decomposition of the explosive, which in turn further accelerates the shock wave. When the shock velocity </w:t>
      </w:r>
      <w:r w:rsidR="00DB6C9E">
        <w:t>reaches</w:t>
      </w:r>
      <w:r w:rsidR="00CA2C14" w:rsidRPr="00CA2C14">
        <w:t xml:space="preserve"> the local speed </w:t>
      </w:r>
      <w:r w:rsidR="00DB6C9E">
        <w:t xml:space="preserve">of sound </w:t>
      </w:r>
      <w:r w:rsidR="00CA2C14" w:rsidRPr="00CA2C14">
        <w:t>within the material, detonation is achieved. Although the shock wave must traverse a finite distance—typically on the order of millimetres to centimetres—before becoming self</w:t>
      </w:r>
      <w:r w:rsidR="00CA2C14" w:rsidRPr="00CA2C14">
        <w:noBreakHyphen/>
        <w:t>sustaining, the associated delay occurs on the microsecond timescale, in contrast to the significantly longer delays characteristic of burn</w:t>
      </w:r>
      <w:r w:rsidR="00CA2C14" w:rsidRPr="00CA2C14">
        <w:noBreakHyphen/>
        <w:t>to</w:t>
      </w:r>
      <w:r w:rsidR="00CA2C14" w:rsidRPr="00CA2C14">
        <w:noBreakHyphen/>
        <w:t>detonation transitions.</w:t>
      </w:r>
      <w:sdt>
        <w:sdtPr>
          <w:id w:val="-484014815"/>
          <w:citation/>
        </w:sdtPr>
        <w:sdtContent>
          <w:r w:rsidR="008F3731">
            <w:fldChar w:fldCharType="begin"/>
          </w:r>
          <w:r w:rsidR="008F3731">
            <w:instrText xml:space="preserve"> CITATION Rob21 \l 2057 </w:instrText>
          </w:r>
          <w:r w:rsidR="008F3731">
            <w:fldChar w:fldCharType="separate"/>
          </w:r>
          <w:r w:rsidR="00F16DA4">
            <w:rPr>
              <w:noProof/>
            </w:rPr>
            <w:t xml:space="preserve"> </w:t>
          </w:r>
          <w:r w:rsidR="00F16DA4" w:rsidRPr="00F16DA4">
            <w:rPr>
              <w:noProof/>
            </w:rPr>
            <w:t>[1]</w:t>
          </w:r>
          <w:r w:rsidR="008F3731">
            <w:fldChar w:fldCharType="end"/>
          </w:r>
        </w:sdtContent>
      </w:sdt>
      <w:r w:rsidR="00546CEA">
        <w:t xml:space="preserve"> </w:t>
      </w:r>
    </w:p>
    <w:p w14:paraId="42AD11AB" w14:textId="77777777" w:rsidR="00C31EDF" w:rsidRDefault="00C31EDF" w:rsidP="008F3731"/>
    <w:p w14:paraId="41BFE65E" w14:textId="77777777" w:rsidR="00A31B32" w:rsidRDefault="008F3731" w:rsidP="00A31B32">
      <w:pPr>
        <w:keepNext/>
        <w:jc w:val="center"/>
      </w:pPr>
      <w:r>
        <w:rPr>
          <w:noProof/>
        </w:rPr>
        <w:lastRenderedPageBreak/>
        <w:drawing>
          <wp:inline distT="0" distB="0" distL="0" distR="0" wp14:anchorId="75BC3451" wp14:editId="09F9EB16">
            <wp:extent cx="4181015" cy="2971800"/>
            <wp:effectExtent l="0" t="0" r="0" b="0"/>
            <wp:docPr id="1861480018" name="Picture 1" descr="A graph with numbers and n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480018" name="Picture 1" descr="A graph with numbers and names&#10;&#10;AI-generated content may be incorrect."/>
                    <pic:cNvPicPr/>
                  </pic:nvPicPr>
                  <pic:blipFill>
                    <a:blip r:embed="rId11"/>
                    <a:stretch>
                      <a:fillRect/>
                    </a:stretch>
                  </pic:blipFill>
                  <pic:spPr>
                    <a:xfrm>
                      <a:off x="0" y="0"/>
                      <a:ext cx="4252319" cy="3022482"/>
                    </a:xfrm>
                    <a:prstGeom prst="rect">
                      <a:avLst/>
                    </a:prstGeom>
                  </pic:spPr>
                </pic:pic>
              </a:graphicData>
            </a:graphic>
          </wp:inline>
        </w:drawing>
      </w:r>
    </w:p>
    <w:p w14:paraId="79F57CDC" w14:textId="30CD3328" w:rsidR="00A31B32" w:rsidRDefault="00A31B32" w:rsidP="00A31B32">
      <w:pPr>
        <w:pStyle w:val="Caption"/>
        <w:jc w:val="center"/>
      </w:pPr>
      <w:bookmarkStart w:id="10" w:name="_Toc217131205"/>
      <w:r>
        <w:t xml:space="preserve">Figure </w:t>
      </w:r>
      <w:fldSimple w:instr=" SEQ Figure \* ARABIC ">
        <w:r w:rsidR="002936ED">
          <w:rPr>
            <w:noProof/>
          </w:rPr>
          <w:t>4</w:t>
        </w:r>
        <w:bookmarkEnd w:id="10"/>
      </w:fldSimple>
    </w:p>
    <w:p w14:paraId="79EA9B8F" w14:textId="17BE52EF" w:rsidR="00C31EDF" w:rsidRDefault="00CB5D36" w:rsidP="00BB28E4">
      <w:pPr>
        <w:jc w:val="center"/>
      </w:pPr>
      <w:r>
        <w:t xml:space="preserve">Detonation </w:t>
      </w:r>
      <w:r w:rsidR="001010BF">
        <w:t>velocity of LA over a range of initial densities.</w:t>
      </w:r>
      <w:sdt>
        <w:sdtPr>
          <w:id w:val="1954200131"/>
          <w:citation/>
        </w:sdtPr>
        <w:sdtContent>
          <w:r w:rsidR="008F3731">
            <w:fldChar w:fldCharType="begin"/>
          </w:r>
          <w:r w:rsidR="008F3731">
            <w:instrText xml:space="preserve"> CITATION Rob13 \l 2057 </w:instrText>
          </w:r>
          <w:r w:rsidR="008F3731">
            <w:fldChar w:fldCharType="separate"/>
          </w:r>
          <w:r w:rsidR="00F16DA4">
            <w:rPr>
              <w:noProof/>
            </w:rPr>
            <w:t xml:space="preserve"> </w:t>
          </w:r>
          <w:r w:rsidR="00F16DA4" w:rsidRPr="00F16DA4">
            <w:rPr>
              <w:noProof/>
            </w:rPr>
            <w:t>[15]</w:t>
          </w:r>
          <w:r w:rsidR="008F3731">
            <w:fldChar w:fldCharType="end"/>
          </w:r>
        </w:sdtContent>
      </w:sdt>
    </w:p>
    <w:p w14:paraId="5361696B" w14:textId="048B9548" w:rsidR="00BB28E4" w:rsidRDefault="00213AD5" w:rsidP="00BB28E4">
      <w:pPr>
        <w:jc w:val="center"/>
      </w:pPr>
      <w:r w:rsidRPr="00213AD5">
        <w:drawing>
          <wp:inline distT="0" distB="0" distL="0" distR="0" wp14:anchorId="44F8356F" wp14:editId="68EC6946">
            <wp:extent cx="2866902" cy="2773922"/>
            <wp:effectExtent l="0" t="0" r="0" b="7620"/>
            <wp:docPr id="314638213" name="Picture 2"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38213" name="Picture 2" descr="A graph of a functio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83185" cy="2789677"/>
                    </a:xfrm>
                    <a:prstGeom prst="rect">
                      <a:avLst/>
                    </a:prstGeom>
                    <a:noFill/>
                    <a:ln>
                      <a:noFill/>
                    </a:ln>
                  </pic:spPr>
                </pic:pic>
              </a:graphicData>
            </a:graphic>
          </wp:inline>
        </w:drawing>
      </w:r>
    </w:p>
    <w:p w14:paraId="519B9595" w14:textId="4A8053A0" w:rsidR="00213AD5" w:rsidRPr="00213AD5" w:rsidRDefault="00BB28E4" w:rsidP="00BB28E4">
      <w:pPr>
        <w:pStyle w:val="Caption"/>
        <w:jc w:val="center"/>
      </w:pPr>
      <w:bookmarkStart w:id="11" w:name="_Toc217131206"/>
      <w:r>
        <w:t xml:space="preserve">Figure </w:t>
      </w:r>
      <w:fldSimple w:instr=" SEQ Figure \* ARABIC ">
        <w:r w:rsidR="002936ED">
          <w:rPr>
            <w:noProof/>
          </w:rPr>
          <w:t>5</w:t>
        </w:r>
        <w:bookmarkEnd w:id="11"/>
      </w:fldSimple>
    </w:p>
    <w:p w14:paraId="58C64886" w14:textId="19F52E0B" w:rsidR="00213AD5" w:rsidRPr="00213AD5" w:rsidRDefault="00213AD5" w:rsidP="00AA5D94">
      <w:pPr>
        <w:jc w:val="center"/>
      </w:pPr>
      <w:r w:rsidRPr="00213AD5">
        <w:t xml:space="preserve">Detonation </w:t>
      </w:r>
      <w:r w:rsidR="00146A64">
        <w:t>v</w:t>
      </w:r>
      <w:r w:rsidRPr="00213AD5">
        <w:t xml:space="preserve">elocity of TNT over a range of initial densities. </w:t>
      </w:r>
      <w:sdt>
        <w:sdtPr>
          <w:id w:val="174006096"/>
          <w:citation/>
        </w:sdtPr>
        <w:sdtContent>
          <w:r w:rsidRPr="00213AD5">
            <w:fldChar w:fldCharType="begin"/>
          </w:r>
          <w:r w:rsidRPr="00213AD5">
            <w:instrText xml:space="preserve"> CITATION Jon03 \l 2057 </w:instrText>
          </w:r>
          <w:r w:rsidRPr="00213AD5">
            <w:fldChar w:fldCharType="separate"/>
          </w:r>
          <w:r w:rsidR="00F16DA4" w:rsidRPr="00F16DA4">
            <w:rPr>
              <w:noProof/>
            </w:rPr>
            <w:t>[16]</w:t>
          </w:r>
          <w:r w:rsidRPr="00213AD5">
            <w:fldChar w:fldCharType="end"/>
          </w:r>
        </w:sdtContent>
      </w:sdt>
    </w:p>
    <w:p w14:paraId="3AD82704" w14:textId="77777777" w:rsidR="004130BF" w:rsidRPr="004130BF" w:rsidRDefault="004130BF" w:rsidP="004130BF">
      <w:r w:rsidRPr="004130BF">
        <w:t>The velocity of a detonation wave is strongly influenced by the density of the explosive material. For most explosives, the relationship between initial density and detonation velocity is approximately linear across a broad density range and may be expressed as</w:t>
      </w:r>
    </w:p>
    <w:p w14:paraId="115D9C0C" w14:textId="5CD4F901" w:rsidR="004130BF" w:rsidRPr="004130BF" w:rsidRDefault="004130BF" w:rsidP="004130BF">
      <m:oMathPara>
        <m:oMath>
          <m:r>
            <w:rPr>
              <w:rFonts w:ascii="Cambria Math" w:hAnsi="Cambria Math"/>
            </w:rPr>
            <m:t>D=j+k</m:t>
          </m:r>
          <m:sSub>
            <m:sSubPr>
              <m:ctrlPr>
                <w:rPr>
                  <w:rFonts w:ascii="Cambria Math" w:hAnsi="Cambria Math"/>
                </w:rPr>
              </m:ctrlPr>
            </m:sSubPr>
            <m:e>
              <m:r>
                <w:rPr>
                  <w:rFonts w:ascii="Cambria Math" w:hAnsi="Cambria Math"/>
                </w:rPr>
                <m:t>p</m:t>
              </m:r>
            </m:e>
            <m:sub>
              <m:r>
                <w:rPr>
                  <w:rFonts w:ascii="Cambria Math" w:hAnsi="Cambria Math"/>
                </w:rPr>
                <m:t>0</m:t>
              </m:r>
            </m:sub>
          </m:sSub>
          <m:r>
            <w:rPr>
              <w:rFonts w:ascii="Cambria Math" w:hAnsi="Cambria Math"/>
            </w:rPr>
            <m:t>,</m:t>
          </m:r>
        </m:oMath>
      </m:oMathPara>
    </w:p>
    <w:p w14:paraId="4F3838CC" w14:textId="74A41930" w:rsidR="004130BF" w:rsidRPr="004130BF" w:rsidRDefault="004130BF" w:rsidP="004130BF">
      <w:r w:rsidRPr="004130BF">
        <w:t xml:space="preserve">where </w:t>
      </w:r>
      <m:oMath>
        <m:r>
          <w:rPr>
            <w:rFonts w:ascii="Cambria Math" w:hAnsi="Cambria Math"/>
          </w:rPr>
          <m:t>j</m:t>
        </m:r>
      </m:oMath>
      <w:r w:rsidRPr="004130BF">
        <w:t xml:space="preserve">and </w:t>
      </w:r>
      <m:oMath>
        <m:r>
          <w:rPr>
            <w:rFonts w:ascii="Cambria Math" w:hAnsi="Cambria Math"/>
          </w:rPr>
          <m:t>k</m:t>
        </m:r>
      </m:oMath>
      <w:r w:rsidRPr="004130BF">
        <w:t>are constants characteristic of the specific explosive. Another commonly used expression for estimating the velocity of detonation (VOD) as a function of density is</w:t>
      </w:r>
    </w:p>
    <w:p w14:paraId="3AE7CC0B" w14:textId="4CA7412A" w:rsidR="004130BF" w:rsidRPr="004130BF" w:rsidRDefault="004130BF" w:rsidP="004130BF">
      <m:oMathPara>
        <m:oMath>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p</m:t>
                  </m:r>
                </m:e>
                <m:sub>
                  <m:r>
                    <w:rPr>
                      <w:rFonts w:ascii="Cambria Math" w:hAnsi="Cambria Math"/>
                    </w:rPr>
                    <m:t>1</m:t>
                  </m:r>
                </m:sub>
              </m:sSub>
            </m:sub>
          </m:sSub>
          <m:r>
            <w:rPr>
              <w:rFonts w:ascii="Cambria Math" w:hAnsi="Cambria Math"/>
            </w:rPr>
            <m:t>=</m:t>
          </m:r>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p</m:t>
                  </m:r>
                </m:e>
                <m:sub>
                  <m:r>
                    <w:rPr>
                      <w:rFonts w:ascii="Cambria Math" w:hAnsi="Cambria Math"/>
                    </w:rPr>
                    <m:t>2</m:t>
                  </m:r>
                </m:sub>
              </m:sSub>
            </m:sub>
          </m:sSub>
          <m:r>
            <w:rPr>
              <w:rFonts w:ascii="Cambria Math" w:hAnsi="Cambria Math"/>
            </w:rPr>
            <m:t>+3500(</m:t>
          </m:r>
          <m:sSub>
            <m:sSubPr>
              <m:ctrlPr>
                <w:rPr>
                  <w:rFonts w:ascii="Cambria Math" w:hAnsi="Cambria Math"/>
                </w:rPr>
              </m:ctrlPr>
            </m:sSubPr>
            <m:e>
              <m:r>
                <w:rPr>
                  <w:rFonts w:ascii="Cambria Math" w:hAnsi="Cambria Math"/>
                </w:rPr>
                <m:t>p</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p</m:t>
              </m:r>
            </m:e>
            <m:sub>
              <m:r>
                <w:rPr>
                  <w:rFonts w:ascii="Cambria Math" w:hAnsi="Cambria Math"/>
                </w:rPr>
                <m:t>2</m:t>
              </m:r>
            </m:sub>
          </m:sSub>
          <m:r>
            <w:rPr>
              <w:rFonts w:ascii="Cambria Math" w:hAnsi="Cambria Math"/>
            </w:rPr>
            <m:t>),</m:t>
          </m:r>
        </m:oMath>
      </m:oMathPara>
    </w:p>
    <w:p w14:paraId="698B84FB" w14:textId="5239E7F1" w:rsidR="004130BF" w:rsidRPr="004130BF" w:rsidRDefault="004130BF" w:rsidP="004130BF">
      <w:r w:rsidRPr="004130BF">
        <w:lastRenderedPageBreak/>
        <w:t xml:space="preserve">where </w:t>
      </w:r>
      <m:oMath>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p</m:t>
                </m:r>
              </m:e>
              <m:sub>
                <m:r>
                  <w:rPr>
                    <w:rFonts w:ascii="Cambria Math" w:hAnsi="Cambria Math"/>
                  </w:rPr>
                  <m:t>1</m:t>
                </m:r>
              </m:sub>
            </m:sSub>
          </m:sub>
        </m:sSub>
      </m:oMath>
      <w:r w:rsidRPr="004130BF">
        <w:t xml:space="preserve">and </w:t>
      </w:r>
      <m:oMath>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p</m:t>
                </m:r>
              </m:e>
              <m:sub>
                <m:r>
                  <w:rPr>
                    <w:rFonts w:ascii="Cambria Math" w:hAnsi="Cambria Math"/>
                  </w:rPr>
                  <m:t>2</m:t>
                </m:r>
              </m:sub>
            </m:sSub>
          </m:sub>
        </m:sSub>
      </m:oMath>
      <w:r w:rsidRPr="004130BF">
        <w:t xml:space="preserve">denote the detonation velocities corresponding to densities </w:t>
      </w:r>
      <m:oMath>
        <m:sSub>
          <m:sSubPr>
            <m:ctrlPr>
              <w:rPr>
                <w:rFonts w:ascii="Cambria Math" w:hAnsi="Cambria Math"/>
              </w:rPr>
            </m:ctrlPr>
          </m:sSubPr>
          <m:e>
            <m:r>
              <w:rPr>
                <w:rFonts w:ascii="Cambria Math" w:hAnsi="Cambria Math"/>
              </w:rPr>
              <m:t>p</m:t>
            </m:r>
          </m:e>
          <m:sub>
            <m:r>
              <w:rPr>
                <w:rFonts w:ascii="Cambria Math" w:hAnsi="Cambria Math"/>
              </w:rPr>
              <m:t>1</m:t>
            </m:r>
          </m:sub>
        </m:sSub>
      </m:oMath>
      <w:r w:rsidRPr="004130BF">
        <w:t xml:space="preserve">and </w:t>
      </w:r>
      <m:oMath>
        <m:sSub>
          <m:sSubPr>
            <m:ctrlPr>
              <w:rPr>
                <w:rFonts w:ascii="Cambria Math" w:hAnsi="Cambria Math"/>
              </w:rPr>
            </m:ctrlPr>
          </m:sSubPr>
          <m:e>
            <m:r>
              <w:rPr>
                <w:rFonts w:ascii="Cambria Math" w:hAnsi="Cambria Math"/>
              </w:rPr>
              <m:t>p</m:t>
            </m:r>
          </m:e>
          <m:sub>
            <m:r>
              <w:rPr>
                <w:rFonts w:ascii="Cambria Math" w:hAnsi="Cambria Math"/>
              </w:rPr>
              <m:t>2</m:t>
            </m:r>
          </m:sub>
        </m:sSub>
      </m:oMath>
      <w:r w:rsidRPr="004130BF">
        <w:t>, respectively. A further formulation relates detonation velocity to both density and thermochemical parameters:</w:t>
      </w:r>
    </w:p>
    <w:p w14:paraId="287979DC" w14:textId="38F4AFAE" w:rsidR="004130BF" w:rsidRPr="004130BF" w:rsidRDefault="00590A34" w:rsidP="004130BF">
      <m:oMathPara>
        <m:oMath>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p</m:t>
                  </m:r>
                </m:e>
                <m:sub>
                  <m:r>
                    <w:rPr>
                      <w:rFonts w:ascii="Cambria Math" w:hAnsi="Cambria Math"/>
                    </w:rPr>
                    <m:t>x</m:t>
                  </m:r>
                </m:sub>
              </m:sSub>
            </m:sub>
          </m:sSub>
          <m:r>
            <w:rPr>
              <w:rFonts w:ascii="Cambria Math" w:hAnsi="Cambria Math"/>
            </w:rPr>
            <m:t>=430</m:t>
          </m:r>
          <m:r>
            <w:rPr>
              <w:rFonts w:ascii="Cambria Math" w:hAnsi="Cambria Math"/>
            </w:rPr>
            <m:t>(nTd</m:t>
          </m:r>
          <m:sSup>
            <m:sSupPr>
              <m:ctrlPr>
                <w:rPr>
                  <w:rFonts w:ascii="Cambria Math" w:hAnsi="Cambria Math"/>
                  <w:i/>
                </w:rPr>
              </m:ctrlPr>
            </m:sSupPr>
            <m:e>
              <m:r>
                <w:rPr>
                  <w:rFonts w:ascii="Cambria Math" w:hAnsi="Cambria Math"/>
                </w:rPr>
                <m:t>)</m:t>
              </m:r>
            </m:e>
            <m:sup>
              <m:r>
                <w:rPr>
                  <w:rFonts w:ascii="Cambria Math" w:hAnsi="Cambria Math"/>
                </w:rPr>
                <m:t>1/2</m:t>
              </m:r>
            </m:sup>
          </m:sSup>
          <m:r>
            <w:rPr>
              <w:rFonts w:ascii="Cambria Math" w:hAnsi="Cambria Math"/>
            </w:rPr>
            <m:t>+3500</m:t>
          </m:r>
          <m:d>
            <m:dPr>
              <m:ctrlPr>
                <w:rPr>
                  <w:rFonts w:ascii="Cambria Math" w:hAnsi="Cambria Math"/>
                  <w:i/>
                </w:rPr>
              </m:ctrlPr>
            </m:dPr>
            <m:e>
              <m:sSub>
                <m:sSubPr>
                  <m:ctrlPr>
                    <w:rPr>
                      <w:rFonts w:ascii="Cambria Math" w:hAnsi="Cambria Math"/>
                    </w:rPr>
                  </m:ctrlPr>
                </m:sSubPr>
                <m:e>
                  <m:r>
                    <w:rPr>
                      <w:rFonts w:ascii="Cambria Math" w:hAnsi="Cambria Math"/>
                    </w:rPr>
                    <m:t>p</m:t>
                  </m:r>
                </m:e>
                <m:sub>
                  <m:r>
                    <w:rPr>
                      <w:rFonts w:ascii="Cambria Math" w:hAnsi="Cambria Math"/>
                    </w:rPr>
                    <m:t>x</m:t>
                  </m:r>
                </m:sub>
              </m:sSub>
              <m:r>
                <w:rPr>
                  <w:rFonts w:ascii="Cambria Math" w:hAnsi="Cambria Math"/>
                </w:rPr>
                <m:t>-1</m:t>
              </m:r>
            </m:e>
          </m:d>
          <m:r>
            <w:rPr>
              <w:rFonts w:ascii="Cambria Math" w:hAnsi="Cambria Math"/>
            </w:rPr>
            <m:t>,</m:t>
          </m:r>
        </m:oMath>
      </m:oMathPara>
    </w:p>
    <w:p w14:paraId="52E34FA2" w14:textId="6D55F57F" w:rsidR="00213AD5" w:rsidRDefault="004130BF" w:rsidP="008F3731">
      <w:r w:rsidRPr="004130BF">
        <w:t xml:space="preserve">where </w:t>
      </w:r>
      <m:oMath>
        <m:sSub>
          <m:sSubPr>
            <m:ctrlPr>
              <w:rPr>
                <w:rFonts w:ascii="Cambria Math" w:hAnsi="Cambria Math"/>
              </w:rPr>
            </m:ctrlPr>
          </m:sSubPr>
          <m:e>
            <m:r>
              <w:rPr>
                <w:rFonts w:ascii="Cambria Math" w:hAnsi="Cambria Math"/>
              </w:rPr>
              <m:t>V</m:t>
            </m:r>
          </m:e>
          <m:sub>
            <m:sSub>
              <m:sSubPr>
                <m:ctrlPr>
                  <w:rPr>
                    <w:rFonts w:ascii="Cambria Math" w:hAnsi="Cambria Math"/>
                  </w:rPr>
                </m:ctrlPr>
              </m:sSubPr>
              <m:e>
                <m:r>
                  <w:rPr>
                    <w:rFonts w:ascii="Cambria Math" w:hAnsi="Cambria Math"/>
                  </w:rPr>
                  <m:t>p</m:t>
                </m:r>
              </m:e>
              <m:sub>
                <m:r>
                  <w:rPr>
                    <w:rFonts w:ascii="Cambria Math" w:hAnsi="Cambria Math"/>
                  </w:rPr>
                  <m:t>x</m:t>
                </m:r>
              </m:sub>
            </m:sSub>
          </m:sub>
        </m:sSub>
      </m:oMath>
      <w:r w:rsidRPr="004130BF">
        <w:t xml:space="preserve">is the detonation velocity at a compaction density </w:t>
      </w:r>
      <m:oMath>
        <m:sSub>
          <m:sSubPr>
            <m:ctrlPr>
              <w:rPr>
                <w:rFonts w:ascii="Cambria Math" w:hAnsi="Cambria Math"/>
              </w:rPr>
            </m:ctrlPr>
          </m:sSubPr>
          <m:e>
            <m:r>
              <w:rPr>
                <w:rFonts w:ascii="Cambria Math" w:hAnsi="Cambria Math"/>
              </w:rPr>
              <m:t>p</m:t>
            </m:r>
          </m:e>
          <m:sub>
            <m:r>
              <w:rPr>
                <w:rFonts w:ascii="Cambria Math" w:hAnsi="Cambria Math"/>
              </w:rPr>
              <m:t>x</m:t>
            </m:r>
          </m:sub>
        </m:sSub>
      </m:oMath>
      <w:r w:rsidRPr="004130BF">
        <w:t xml:space="preserve">, </w:t>
      </w:r>
      <m:oMath>
        <m:r>
          <w:rPr>
            <w:rFonts w:ascii="Cambria Math" w:hAnsi="Cambria Math"/>
          </w:rPr>
          <m:t>n</m:t>
        </m:r>
        <m:r>
          <w:rPr>
            <w:rFonts w:ascii="Cambria Math" w:hAnsi="Cambria Math"/>
          </w:rPr>
          <m:t xml:space="preserve"> </m:t>
        </m:r>
      </m:oMath>
      <w:r w:rsidRPr="004130BF">
        <w:t xml:space="preserve">is the number of moles of gaseous detonation products generated per gram of explosive, and </w:t>
      </w:r>
      <m:oMath>
        <m:sSub>
          <m:sSubPr>
            <m:ctrlPr>
              <w:rPr>
                <w:rFonts w:ascii="Cambria Math" w:hAnsi="Cambria Math"/>
              </w:rPr>
            </m:ctrlPr>
          </m:sSubPr>
          <m:e>
            <m:r>
              <w:rPr>
                <w:rFonts w:ascii="Cambria Math" w:hAnsi="Cambria Math"/>
              </w:rPr>
              <m:t>T</m:t>
            </m:r>
          </m:e>
          <m:sub>
            <m:r>
              <w:rPr>
                <w:rFonts w:ascii="Cambria Math" w:hAnsi="Cambria Math"/>
              </w:rPr>
              <m:t>d</m:t>
            </m:r>
          </m:sub>
        </m:sSub>
      </m:oMath>
      <w:r w:rsidRPr="004130BF">
        <w:t>is the approximate detonation temperature in Kelvin. These relationships collectively highlight the central role of density and thermodynamic properties in governing detonation behaviour.</w:t>
      </w:r>
      <w:r w:rsidR="00B36F78">
        <w:t xml:space="preserve"> </w:t>
      </w:r>
      <w:sdt>
        <w:sdtPr>
          <w:id w:val="-718437296"/>
          <w:citation/>
        </w:sdtPr>
        <w:sdtContent>
          <w:r w:rsidR="00213AD5" w:rsidRPr="00213AD5">
            <w:fldChar w:fldCharType="begin"/>
          </w:r>
          <w:r w:rsidR="00213AD5" w:rsidRPr="00213AD5">
            <w:instrText xml:space="preserve"> CITATION Akh221 \l 2057 </w:instrText>
          </w:r>
          <w:r w:rsidR="00213AD5" w:rsidRPr="00213AD5">
            <w:fldChar w:fldCharType="separate"/>
          </w:r>
          <w:r w:rsidR="00F16DA4" w:rsidRPr="00F16DA4">
            <w:rPr>
              <w:noProof/>
            </w:rPr>
            <w:t>[17]</w:t>
          </w:r>
          <w:r w:rsidR="00213AD5" w:rsidRPr="00213AD5">
            <w:fldChar w:fldCharType="end"/>
          </w:r>
        </w:sdtContent>
      </w:sdt>
    </w:p>
    <w:p w14:paraId="73F18AF8" w14:textId="77777777" w:rsidR="004F53C7" w:rsidRDefault="004F53C7" w:rsidP="008F3731"/>
    <w:p w14:paraId="27449732" w14:textId="6BC739BB" w:rsidR="00F40590" w:rsidRDefault="000B7561" w:rsidP="002208E0">
      <w:pPr>
        <w:pStyle w:val="Heading1"/>
        <w:keepLines w:val="0"/>
        <w:numPr>
          <w:ilvl w:val="0"/>
          <w:numId w:val="5"/>
        </w:numPr>
        <w:spacing w:before="0" w:after="240" w:line="276" w:lineRule="auto"/>
      </w:pPr>
      <w:bookmarkStart w:id="12" w:name="_Hlk193988361"/>
      <w:r>
        <w:t>Conclusions</w:t>
      </w:r>
    </w:p>
    <w:bookmarkEnd w:id="12"/>
    <w:p w14:paraId="2AA847A2" w14:textId="48550349" w:rsidR="00193271" w:rsidRPr="00F40590" w:rsidRDefault="00734793" w:rsidP="00F40590">
      <w:r>
        <w:t xml:space="preserve">The LA shall be ignited via an electric match capable of </w:t>
      </w:r>
      <w:r w:rsidR="00540362" w:rsidRPr="00540362">
        <w:t>generating 600-800</w:t>
      </w:r>
      <w:bookmarkStart w:id="13" w:name="_Hlk217118380"/>
      <w:r w:rsidR="00540362" w:rsidRPr="00540362">
        <w:t>°C</w:t>
      </w:r>
      <w:bookmarkEnd w:id="13"/>
      <w:r>
        <w:t>, w</w:t>
      </w:r>
      <w:r w:rsidRPr="00734793">
        <w:t>ith an ignition temperature of 320-360°C this is well above the temperature required</w:t>
      </w:r>
      <w:r w:rsidR="008F5686">
        <w:t xml:space="preserve">. LA </w:t>
      </w:r>
      <w:r w:rsidR="0000550A">
        <w:t xml:space="preserve">DDT </w:t>
      </w:r>
      <w:r w:rsidR="008F5686">
        <w:t xml:space="preserve">is </w:t>
      </w:r>
      <w:r w:rsidR="00B66B55">
        <w:t>virtually</w:t>
      </w:r>
      <w:r w:rsidR="008F5686">
        <w:t xml:space="preserve"> instantaneous</w:t>
      </w:r>
      <w:r w:rsidR="0000550A">
        <w:t xml:space="preserve"> </w:t>
      </w:r>
      <w:r w:rsidR="00A51569">
        <w:t xml:space="preserve">without a </w:t>
      </w:r>
      <w:proofErr w:type="spellStart"/>
      <w:r w:rsidR="008C43EC">
        <w:t>predetonation</w:t>
      </w:r>
      <w:proofErr w:type="spellEnd"/>
      <w:r w:rsidR="008C43EC">
        <w:t xml:space="preserve"> zone. </w:t>
      </w:r>
      <w:r w:rsidR="00083900">
        <w:t>Confinement also has virtually no effect</w:t>
      </w:r>
      <w:r w:rsidR="000D0DD9">
        <w:t xml:space="preserve"> and it cannot be effectively dead pressed if pure</w:t>
      </w:r>
      <w:r w:rsidR="00083900">
        <w:t xml:space="preserve">. </w:t>
      </w:r>
      <w:sdt>
        <w:sdtPr>
          <w:id w:val="-1070885412"/>
          <w:citation/>
        </w:sdtPr>
        <w:sdtContent>
          <w:r w:rsidR="004C67F1">
            <w:fldChar w:fldCharType="begin"/>
          </w:r>
          <w:r w:rsidR="004C67F1">
            <w:instrText xml:space="preserve"> CITATION Rob13 \l 2057 </w:instrText>
          </w:r>
          <w:r w:rsidR="004C67F1">
            <w:fldChar w:fldCharType="separate"/>
          </w:r>
          <w:r w:rsidR="00F16DA4" w:rsidRPr="00F16DA4">
            <w:rPr>
              <w:noProof/>
            </w:rPr>
            <w:t>[15]</w:t>
          </w:r>
          <w:r w:rsidR="004C67F1">
            <w:fldChar w:fldCharType="end"/>
          </w:r>
        </w:sdtContent>
      </w:sdt>
      <w:r w:rsidR="004C67F1">
        <w:t xml:space="preserve"> </w:t>
      </w:r>
      <w:r w:rsidR="00250556">
        <w:t xml:space="preserve">The height of the </w:t>
      </w:r>
      <w:r w:rsidR="00A5415F">
        <w:t>LA charge has to be a minimum of 2.5mm in order to maintain a stable reaction</w:t>
      </w:r>
      <w:r w:rsidR="00886784">
        <w:t xml:space="preserve"> as may be seen in figures </w:t>
      </w:r>
      <w:r w:rsidR="006E74D6">
        <w:t xml:space="preserve">3 and </w:t>
      </w:r>
      <w:r w:rsidR="00BF1F79">
        <w:t>6</w:t>
      </w:r>
      <w:r w:rsidR="006E74D6">
        <w:t>.</w:t>
      </w:r>
      <w:r w:rsidR="00C02DDD">
        <w:t xml:space="preserve"> </w:t>
      </w:r>
      <w:r w:rsidR="001D4656">
        <w:t>The diameter in this instance shall be 1.2mm as this was the measure</w:t>
      </w:r>
      <w:r w:rsidR="00207054">
        <w:t xml:space="preserve">ment taken during the experiment equalling the </w:t>
      </w:r>
      <w:proofErr w:type="spellStart"/>
      <w:r w:rsidR="00736ADA">
        <w:t>GPa</w:t>
      </w:r>
      <w:proofErr w:type="spellEnd"/>
      <w:r w:rsidR="00736ADA">
        <w:t xml:space="preserve"> output in figure</w:t>
      </w:r>
      <w:r w:rsidR="00A4380D">
        <w:t>s 3 and</w:t>
      </w:r>
      <w:r w:rsidR="00736ADA">
        <w:t xml:space="preserve"> </w:t>
      </w:r>
      <w:r w:rsidR="00BF1F79">
        <w:t>6</w:t>
      </w:r>
      <w:r w:rsidR="00997E3C">
        <w:t xml:space="preserve"> and the density </w:t>
      </w:r>
      <w:r w:rsidR="00B44B03">
        <w:t>3.571g/cm3</w:t>
      </w:r>
      <w:r w:rsidR="00333AEB">
        <w:t xml:space="preserve"> as referenced at microscale </w:t>
      </w:r>
      <w:r w:rsidR="00A4380D">
        <w:t xml:space="preserve">per figure 3. </w:t>
      </w:r>
    </w:p>
    <w:p w14:paraId="5563A872" w14:textId="3E2E353C" w:rsidR="001063C1" w:rsidRDefault="001063C1" w:rsidP="001063C1">
      <w:pPr>
        <w:keepNext/>
        <w:spacing w:after="160" w:line="259" w:lineRule="auto"/>
        <w:jc w:val="center"/>
      </w:pPr>
    </w:p>
    <w:p w14:paraId="25289A46" w14:textId="77777777" w:rsidR="00553318" w:rsidRDefault="00DC3C1F" w:rsidP="00553318">
      <w:pPr>
        <w:keepNext/>
        <w:spacing w:after="160" w:line="259" w:lineRule="auto"/>
        <w:jc w:val="center"/>
      </w:pPr>
      <w:r w:rsidRPr="00DC3C1F">
        <w:drawing>
          <wp:inline distT="0" distB="0" distL="0" distR="0" wp14:anchorId="0951A0AA" wp14:editId="0449B9FD">
            <wp:extent cx="5731510" cy="2288540"/>
            <wp:effectExtent l="0" t="0" r="2540" b="0"/>
            <wp:docPr id="1799431431" name="Picture 1" descr="A diagram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431431" name="Picture 1" descr="A diagram of a function&#10;&#10;AI-generated content may be incorrect."/>
                    <pic:cNvPicPr/>
                  </pic:nvPicPr>
                  <pic:blipFill>
                    <a:blip r:embed="rId13"/>
                    <a:stretch>
                      <a:fillRect/>
                    </a:stretch>
                  </pic:blipFill>
                  <pic:spPr>
                    <a:xfrm>
                      <a:off x="0" y="0"/>
                      <a:ext cx="5731510" cy="2288540"/>
                    </a:xfrm>
                    <a:prstGeom prst="rect">
                      <a:avLst/>
                    </a:prstGeom>
                  </pic:spPr>
                </pic:pic>
              </a:graphicData>
            </a:graphic>
          </wp:inline>
        </w:drawing>
      </w:r>
    </w:p>
    <w:p w14:paraId="51C57754" w14:textId="6277AC44" w:rsidR="00DC3C1F" w:rsidRDefault="00BF1F79" w:rsidP="00BF1F79">
      <w:pPr>
        <w:pStyle w:val="Caption"/>
        <w:jc w:val="center"/>
      </w:pPr>
      <w:r>
        <w:t xml:space="preserve">Figure </w:t>
      </w:r>
      <w:fldSimple w:instr=" SEQ Figure \* ARABIC ">
        <w:r w:rsidR="002936ED">
          <w:rPr>
            <w:noProof/>
          </w:rPr>
          <w:t>6</w:t>
        </w:r>
      </w:fldSimple>
    </w:p>
    <w:p w14:paraId="171298E5" w14:textId="3FEEEC2B" w:rsidR="00553318" w:rsidRDefault="00143BD1" w:rsidP="00553318">
      <w:pPr>
        <w:jc w:val="center"/>
      </w:pPr>
      <w:sdt>
        <w:sdtPr>
          <w:id w:val="-1648200343"/>
          <w:citation/>
        </w:sdtPr>
        <w:sdtContent>
          <w:r>
            <w:fldChar w:fldCharType="begin"/>
          </w:r>
          <w:r>
            <w:instrText xml:space="preserve"> CITATION Yun22 \l 2057 </w:instrText>
          </w:r>
          <w:r>
            <w:fldChar w:fldCharType="separate"/>
          </w:r>
          <w:r w:rsidR="00F16DA4" w:rsidRPr="00F16DA4">
            <w:rPr>
              <w:noProof/>
            </w:rPr>
            <w:t>[13]</w:t>
          </w:r>
          <w:r>
            <w:fldChar w:fldCharType="end"/>
          </w:r>
        </w:sdtContent>
      </w:sdt>
    </w:p>
    <w:p w14:paraId="131DBFAD" w14:textId="08E4CA20" w:rsidR="00931287" w:rsidRPr="00553318" w:rsidRDefault="00931287" w:rsidP="00931287">
      <w:r>
        <w:t>The TNT</w:t>
      </w:r>
      <w:r w:rsidR="007A6658">
        <w:t xml:space="preserve">, pressed and non-restrained, </w:t>
      </w:r>
      <w:r w:rsidR="008623C7">
        <w:t>has a critical initiation pressure</w:t>
      </w:r>
      <w:r w:rsidR="00430A48">
        <w:t xml:space="preserve"> of</w:t>
      </w:r>
      <w:r w:rsidR="008623C7">
        <w:t xml:space="preserve"> 1.85</w:t>
      </w:r>
      <w:r w:rsidR="00430A48">
        <w:t>GPa</w:t>
      </w:r>
      <w:r w:rsidR="008623C7">
        <w:t xml:space="preserve"> </w:t>
      </w:r>
      <w:r w:rsidR="00283C09">
        <w:t xml:space="preserve">which is easily reached and exceeded by the output pressure </w:t>
      </w:r>
      <w:r w:rsidR="005C13E6">
        <w:t xml:space="preserve">of the described </w:t>
      </w:r>
      <w:proofErr w:type="spellStart"/>
      <w:r w:rsidR="005C13E6">
        <w:t>microdetonation</w:t>
      </w:r>
      <w:proofErr w:type="spellEnd"/>
      <w:r w:rsidR="005C13E6">
        <w:t>.</w:t>
      </w:r>
      <w:r w:rsidR="00FA6F5A">
        <w:t xml:space="preserve"> The run up length shall need to be a minimum of </w:t>
      </w:r>
      <w:r w:rsidR="000011CF">
        <w:t>51.68mm</w:t>
      </w:r>
      <w:r w:rsidR="005D4B53">
        <w:t xml:space="preserve"> according to figure 7. </w:t>
      </w:r>
      <w:r w:rsidR="003E53D1">
        <w:t xml:space="preserve">With a minimum critical diameter </w:t>
      </w:r>
      <w:r w:rsidR="00DC2E61">
        <w:t xml:space="preserve">of 2.6 as per the </w:t>
      </w:r>
      <w:r w:rsidR="008455FF">
        <w:t xml:space="preserve">characteristics investigated earlier and </w:t>
      </w:r>
      <w:r w:rsidR="009C62F1">
        <w:t xml:space="preserve">figure 1 </w:t>
      </w:r>
      <w:r w:rsidR="0000122D">
        <w:t xml:space="preserve">as well as </w:t>
      </w:r>
      <w:r w:rsidR="008455FF">
        <w:t>an unreacted den</w:t>
      </w:r>
      <w:r w:rsidR="00783381">
        <w:t>sity of 1.63</w:t>
      </w:r>
      <w:r w:rsidR="00DD3CCC">
        <w:t>g/cm3</w:t>
      </w:r>
      <w:r w:rsidR="002D54C0">
        <w:t xml:space="preserve"> which is the most </w:t>
      </w:r>
      <w:r w:rsidR="0065472F">
        <w:t>it can reach without dead</w:t>
      </w:r>
      <w:r w:rsidR="009C62F1">
        <w:t xml:space="preserve"> </w:t>
      </w:r>
      <w:r w:rsidR="0065472F">
        <w:t>pressing.</w:t>
      </w:r>
      <w:r w:rsidR="009C62F1">
        <w:t xml:space="preserve"> </w:t>
      </w:r>
    </w:p>
    <w:p w14:paraId="617DBEEF" w14:textId="77777777" w:rsidR="00137870" w:rsidRDefault="00137870" w:rsidP="001063C1">
      <w:pPr>
        <w:spacing w:after="160" w:line="259" w:lineRule="auto"/>
        <w:jc w:val="center"/>
      </w:pPr>
      <w:r>
        <w:rPr>
          <w:noProof/>
        </w:rPr>
        <w:lastRenderedPageBreak/>
        <w:drawing>
          <wp:inline distT="0" distB="0" distL="0" distR="0" wp14:anchorId="05B664E1" wp14:editId="5D9EE807">
            <wp:extent cx="3761740" cy="1396365"/>
            <wp:effectExtent l="0" t="0" r="0" b="0"/>
            <wp:docPr id="1760387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1740" cy="1396365"/>
                    </a:xfrm>
                    <a:prstGeom prst="rect">
                      <a:avLst/>
                    </a:prstGeom>
                    <a:noFill/>
                  </pic:spPr>
                </pic:pic>
              </a:graphicData>
            </a:graphic>
          </wp:inline>
        </w:drawing>
      </w:r>
    </w:p>
    <w:p w14:paraId="5C55A5FA" w14:textId="44FE6DE7" w:rsidR="00137870" w:rsidRDefault="00BF1F79" w:rsidP="00BF1F79">
      <w:pPr>
        <w:pStyle w:val="Caption"/>
        <w:jc w:val="center"/>
      </w:pPr>
      <w:r>
        <w:t xml:space="preserve">Figure </w:t>
      </w:r>
      <w:fldSimple w:instr=" SEQ Figure \* ARABIC ">
        <w:r w:rsidR="002936ED">
          <w:rPr>
            <w:noProof/>
          </w:rPr>
          <w:t>7</w:t>
        </w:r>
      </w:fldSimple>
    </w:p>
    <w:p w14:paraId="5CCD5F2E" w14:textId="22F3A588" w:rsidR="00137870" w:rsidRDefault="00137870" w:rsidP="00137870">
      <w:r>
        <w:t xml:space="preserve">Critical initiation pressure and run lengths for TNT. (Pressed/Non-restrained, Pressed/Restrained, Cast/Restrained.) </w:t>
      </w:r>
      <w:sdt>
        <w:sdtPr>
          <w:id w:val="-858887149"/>
          <w:citation/>
        </w:sdtPr>
        <w:sdtContent>
          <w:r>
            <w:fldChar w:fldCharType="begin"/>
          </w:r>
          <w:r>
            <w:instrText xml:space="preserve"> CITATION JHW23 \l 2057 </w:instrText>
          </w:r>
          <w:r>
            <w:fldChar w:fldCharType="separate"/>
          </w:r>
          <w:r w:rsidR="00F16DA4" w:rsidRPr="00F16DA4">
            <w:rPr>
              <w:noProof/>
            </w:rPr>
            <w:t>[18]</w:t>
          </w:r>
          <w:r>
            <w:fldChar w:fldCharType="end"/>
          </w:r>
        </w:sdtContent>
      </w:sdt>
    </w:p>
    <w:p w14:paraId="486F00C9" w14:textId="77777777" w:rsidR="004F53C7" w:rsidRPr="00970089" w:rsidRDefault="004F53C7" w:rsidP="00137870"/>
    <w:p w14:paraId="2FE21472" w14:textId="51704436" w:rsidR="004F53C7" w:rsidRDefault="004F53C7" w:rsidP="004F53C7">
      <w:pPr>
        <w:spacing w:after="160" w:line="259" w:lineRule="auto"/>
      </w:pPr>
      <w:r w:rsidRPr="004F53C7">
        <w:t xml:space="preserve">The delay between initiation and the onset of detonation is influenced by several factors, including the chemical nature of the explosive, particle size, charge density, and the conditions under which the material is confined. </w:t>
      </w:r>
      <w:sdt>
        <w:sdtPr>
          <w:id w:val="2091123739"/>
          <w:citation/>
        </w:sdtPr>
        <w:sdtContent>
          <w:r w:rsidRPr="004F53C7">
            <w:fldChar w:fldCharType="begin"/>
          </w:r>
          <w:r w:rsidRPr="004F53C7">
            <w:instrText xml:space="preserve"> CITATION Pet23 \l 2057 </w:instrText>
          </w:r>
          <w:r w:rsidRPr="004F53C7">
            <w:fldChar w:fldCharType="separate"/>
          </w:r>
          <w:r w:rsidR="00F16DA4" w:rsidRPr="00F16DA4">
            <w:rPr>
              <w:noProof/>
            </w:rPr>
            <w:t>[11]</w:t>
          </w:r>
          <w:r w:rsidRPr="004F53C7">
            <w:fldChar w:fldCharType="end"/>
          </w:r>
        </w:sdtContent>
      </w:sdt>
      <w:r>
        <w:t xml:space="preserve"> </w:t>
      </w:r>
      <w:r w:rsidRPr="004F53C7">
        <w:t>The value of the critical diameter (dc) is determined by charge temperature, initial particle size, density, confinement, composition, and the nature of the HE, particularly its C-J and von Neumann pressures. Since detonation must be achieved in measuring dc, a shock must be formed and the shock sensitivity of the material must have a role. The value of the critical initiating pressure (</w:t>
      </w:r>
      <w:proofErr w:type="spellStart"/>
      <w:r w:rsidRPr="004F53C7">
        <w:t>Pci</w:t>
      </w:r>
      <w:proofErr w:type="spellEnd"/>
      <w:r w:rsidRPr="004F53C7">
        <w:t>), an inverse measure of shock sensitivity, is a function of charge temperature, initial particle size, density, test dimensions, confinement, composition and the nature of the material.</w:t>
      </w:r>
      <w:r w:rsidRPr="004F53C7">
        <w:fldChar w:fldCharType="begin"/>
      </w:r>
      <w:r w:rsidRPr="004F53C7">
        <w:instrText xml:space="preserve"> CITATION Don81 \l 2057 </w:instrText>
      </w:r>
      <w:r w:rsidRPr="004F53C7">
        <w:fldChar w:fldCharType="separate"/>
      </w:r>
      <w:r w:rsidR="00F16DA4">
        <w:rPr>
          <w:noProof/>
        </w:rPr>
        <w:t xml:space="preserve"> </w:t>
      </w:r>
      <w:r w:rsidR="00F16DA4" w:rsidRPr="00F16DA4">
        <w:rPr>
          <w:noProof/>
        </w:rPr>
        <w:t>[9]</w:t>
      </w:r>
      <w:r w:rsidRPr="004F53C7">
        <w:fldChar w:fldCharType="end"/>
      </w:r>
    </w:p>
    <w:p w14:paraId="229ADCB7" w14:textId="72DDC8D1" w:rsidR="00BD0E2C" w:rsidRPr="004F53C7" w:rsidRDefault="009907F3" w:rsidP="004F53C7">
      <w:pPr>
        <w:spacing w:after="160" w:line="259" w:lineRule="auto"/>
      </w:pPr>
      <w:r>
        <w:t xml:space="preserve">As may be seen in figure 7 both the critical thickness </w:t>
      </w:r>
      <w:r w:rsidR="008878FC">
        <w:t>rises as the critical initiation pressure reduces with confinement.</w:t>
      </w:r>
      <w:r w:rsidR="00E375F6">
        <w:t xml:space="preserve"> </w:t>
      </w:r>
      <w:r w:rsidR="00E375F6" w:rsidRPr="00E375F6">
        <w:t>A deflagration under confinement increases the pressure, the rate of reaction and the temperature, which may cause transition into a detonation and therefore reduces the required diameter to achieve the speed of sound within the material.</w:t>
      </w:r>
      <w:sdt>
        <w:sdtPr>
          <w:id w:val="-1877147353"/>
          <w:citation/>
        </w:sdtPr>
        <w:sdtContent>
          <w:r w:rsidR="00E375F6" w:rsidRPr="00E375F6">
            <w:fldChar w:fldCharType="begin"/>
          </w:r>
          <w:r w:rsidR="00E375F6" w:rsidRPr="00E375F6">
            <w:instrText xml:space="preserve"> CITATION Don81 \l 2057 </w:instrText>
          </w:r>
          <w:r w:rsidR="00E375F6" w:rsidRPr="00E375F6">
            <w:fldChar w:fldCharType="separate"/>
          </w:r>
          <w:r w:rsidR="00F16DA4">
            <w:rPr>
              <w:noProof/>
            </w:rPr>
            <w:t xml:space="preserve"> </w:t>
          </w:r>
          <w:r w:rsidR="00F16DA4" w:rsidRPr="00F16DA4">
            <w:rPr>
              <w:noProof/>
            </w:rPr>
            <w:t>[9]</w:t>
          </w:r>
          <w:r w:rsidR="00E375F6" w:rsidRPr="00E375F6">
            <w:fldChar w:fldCharType="end"/>
          </w:r>
        </w:sdtContent>
      </w:sdt>
    </w:p>
    <w:p w14:paraId="0C7C101B" w14:textId="57834AD2" w:rsidR="00F92850" w:rsidRDefault="00244373" w:rsidP="00244373">
      <w:pPr>
        <w:spacing w:after="160" w:line="259" w:lineRule="auto"/>
        <w:jc w:val="center"/>
      </w:pPr>
      <w:r>
        <w:rPr>
          <w:noProof/>
        </w:rPr>
        <w:drawing>
          <wp:inline distT="0" distB="0" distL="0" distR="0" wp14:anchorId="7457F32A" wp14:editId="408C0AB3">
            <wp:extent cx="4737100" cy="2273935"/>
            <wp:effectExtent l="0" t="0" r="6350" b="0"/>
            <wp:docPr id="6092295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7100" cy="2273935"/>
                    </a:xfrm>
                    <a:prstGeom prst="rect">
                      <a:avLst/>
                    </a:prstGeom>
                    <a:noFill/>
                  </pic:spPr>
                </pic:pic>
              </a:graphicData>
            </a:graphic>
          </wp:inline>
        </w:drawing>
      </w:r>
    </w:p>
    <w:p w14:paraId="12D4DAF6" w14:textId="2F61B1B6" w:rsidR="005D5B87" w:rsidRDefault="003F0D79" w:rsidP="005D5B87">
      <w:pPr>
        <w:pStyle w:val="Caption"/>
        <w:jc w:val="center"/>
      </w:pPr>
      <w:r>
        <w:t xml:space="preserve">Figure </w:t>
      </w:r>
      <w:fldSimple w:instr=" SEQ Figure \* ARABIC ">
        <w:r w:rsidR="002936ED">
          <w:rPr>
            <w:noProof/>
          </w:rPr>
          <w:t>8</w:t>
        </w:r>
      </w:fldSimple>
    </w:p>
    <w:p w14:paraId="1AB215D0" w14:textId="14101D63" w:rsidR="00244373" w:rsidRDefault="00244373" w:rsidP="005D5B87">
      <w:pPr>
        <w:pStyle w:val="Caption"/>
        <w:jc w:val="center"/>
      </w:pPr>
      <w:sdt>
        <w:sdtPr>
          <w:id w:val="615261223"/>
          <w:citation/>
        </w:sdtPr>
        <w:sdtContent>
          <w:r>
            <w:fldChar w:fldCharType="begin"/>
          </w:r>
          <w:r>
            <w:instrText xml:space="preserve"> CITATION Don81 \l 2057 </w:instrText>
          </w:r>
          <w:r>
            <w:fldChar w:fldCharType="separate"/>
          </w:r>
          <w:r w:rsidR="00F16DA4" w:rsidRPr="00F16DA4">
            <w:rPr>
              <w:noProof/>
            </w:rPr>
            <w:t>[9]</w:t>
          </w:r>
          <w:r>
            <w:fldChar w:fldCharType="end"/>
          </w:r>
        </w:sdtContent>
      </w:sdt>
    </w:p>
    <w:p w14:paraId="5D1428DD" w14:textId="1AE04835" w:rsidR="00547485" w:rsidRPr="00547485" w:rsidRDefault="00EB1F15" w:rsidP="00547485">
      <w:pPr>
        <w:spacing w:after="160" w:line="259" w:lineRule="auto"/>
        <w:jc w:val="center"/>
      </w:pPr>
      <w:r w:rsidRPr="00EB1F15">
        <w:t>The influence of turbulent combustion of detonation</w:t>
      </w:r>
      <w:r w:rsidRPr="00EB1F15">
        <w:noBreakHyphen/>
        <w:t>product gases in confined explosions has been investigated through controlled laboratory experiments and high</w:t>
      </w:r>
      <w:r w:rsidRPr="00EB1F15">
        <w:noBreakHyphen/>
        <w:t>resolution numerical simulations. The gaseous products generated by the detonation of TNT are enriched in carbon and carbon monoxide, both of which serve as combustible species. When these high</w:t>
      </w:r>
      <w:r w:rsidRPr="00EB1F15">
        <w:noBreakHyphen/>
        <w:t>temperature gases mix with ambient air, oxidation to carbon dioxide occurs, releasing approximately 2482</w:t>
      </w:r>
      <w:r w:rsidRPr="00EB1F15">
        <w:rPr>
          <w:rFonts w:ascii="Arial" w:hAnsi="Arial" w:cs="Arial"/>
        </w:rPr>
        <w:t> </w:t>
      </w:r>
      <w:r w:rsidRPr="00EB1F15">
        <w:t>Cal/g in addition to the 1093</w:t>
      </w:r>
      <w:r w:rsidRPr="00EB1F15">
        <w:rPr>
          <w:rFonts w:ascii="Arial" w:hAnsi="Arial" w:cs="Arial"/>
        </w:rPr>
        <w:t> </w:t>
      </w:r>
      <w:r w:rsidRPr="00EB1F15">
        <w:t>Cal/g initially produced by the detonation wave. Under such conditions, the overall exothermic energy release is governed primarily by the rate of turbulent mixing rather than by chemical kinetics.</w:t>
      </w:r>
      <w:r w:rsidRPr="00EB1F15">
        <w:t xml:space="preserve"> </w:t>
      </w:r>
      <w:sdt>
        <w:sdtPr>
          <w:id w:val="984437178"/>
          <w:citation/>
        </w:sdtPr>
        <w:sdtContent>
          <w:r w:rsidR="00E92D55">
            <w:fldChar w:fldCharType="begin"/>
          </w:r>
          <w:r w:rsidR="00E92D55">
            <w:instrText xml:space="preserve"> CITATION ALK99 \l 2057 </w:instrText>
          </w:r>
          <w:r w:rsidR="00E92D55">
            <w:fldChar w:fldCharType="separate"/>
          </w:r>
          <w:r w:rsidR="00F16DA4" w:rsidRPr="00F16DA4">
            <w:rPr>
              <w:noProof/>
            </w:rPr>
            <w:t>[19]</w:t>
          </w:r>
          <w:r w:rsidR="00E92D55">
            <w:fldChar w:fldCharType="end"/>
          </w:r>
        </w:sdtContent>
      </w:sdt>
      <w:r w:rsidR="00073231">
        <w:t xml:space="preserve"> </w:t>
      </w:r>
      <w:r w:rsidR="00264CCE" w:rsidRPr="00264CCE">
        <w:t xml:space="preserve">It has long been </w:t>
      </w:r>
      <w:r w:rsidR="00264CCE" w:rsidRPr="00264CCE">
        <w:lastRenderedPageBreak/>
        <w:t xml:space="preserve">recognized that confinement of an explosive charge reduces the critical diameter </w:t>
      </w:r>
      <m:oMath>
        <m:sSub>
          <m:sSubPr>
            <m:ctrlPr>
              <w:rPr>
                <w:rFonts w:ascii="Cambria Math" w:hAnsi="Cambria Math"/>
              </w:rPr>
            </m:ctrlPr>
          </m:sSubPr>
          <m:e>
            <m:r>
              <w:rPr>
                <w:rFonts w:ascii="Cambria Math" w:hAnsi="Cambria Math"/>
              </w:rPr>
              <m:t>d</m:t>
            </m:r>
          </m:e>
          <m:sub>
            <m:r>
              <w:rPr>
                <w:rFonts w:ascii="Cambria Math" w:hAnsi="Cambria Math"/>
              </w:rPr>
              <m:t>c</m:t>
            </m:r>
          </m:sub>
        </m:sSub>
      </m:oMath>
      <w:r w:rsidR="00264CCE" w:rsidRPr="00264CCE">
        <w:t>, defined as the minimum charge diameter capable of sustaining detonation within a given sheath. However, only limited quantitative data exist to characterize this effect, and no comprehensive theoretical framework is currently available to enable reliable prediction. The influence of confinement appears to be particularly pronounced for materials exhibiting relatively large critical diameters.</w:t>
      </w:r>
      <w:sdt>
        <w:sdtPr>
          <w:id w:val="-1917083213"/>
          <w:citation/>
        </w:sdtPr>
        <w:sdtContent>
          <w:r w:rsidR="009E7560">
            <w:fldChar w:fldCharType="begin"/>
          </w:r>
          <w:r w:rsidR="009E7560">
            <w:instrText xml:space="preserve"> CITATION Don81 \l 2057 </w:instrText>
          </w:r>
          <w:r w:rsidR="009E7560">
            <w:fldChar w:fldCharType="separate"/>
          </w:r>
          <w:r w:rsidR="00F16DA4">
            <w:rPr>
              <w:noProof/>
            </w:rPr>
            <w:t xml:space="preserve"> </w:t>
          </w:r>
          <w:r w:rsidR="00F16DA4" w:rsidRPr="00F16DA4">
            <w:rPr>
              <w:noProof/>
            </w:rPr>
            <w:t>[9]</w:t>
          </w:r>
          <w:r w:rsidR="009E7560">
            <w:fldChar w:fldCharType="end"/>
          </w:r>
        </w:sdtContent>
      </w:sdt>
      <w:r w:rsidR="00DC4DF1">
        <w:t xml:space="preserve"> </w:t>
      </w:r>
      <w:r w:rsidR="00547485" w:rsidRPr="00547485">
        <w:t>The application of confinement to an explosive charge—for example, by encasing the charge column within a metal sleeve—has been shown to increase the detonation velocity or bring it closer to the ideal value. For explosives pressed into steel sleeves, the relationship governing this effect has been expressed as</w:t>
      </w:r>
    </w:p>
    <w:p w14:paraId="69709720" w14:textId="007803CF" w:rsidR="00547485" w:rsidRPr="00547485" w:rsidRDefault="00547485" w:rsidP="00547485">
      <w:pPr>
        <w:spacing w:after="160" w:line="259" w:lineRule="auto"/>
        <w:jc w:val="center"/>
      </w:pPr>
      <m:oMathPara>
        <m:oMath>
          <m:f>
            <m:fPr>
              <m:ctrlPr>
                <w:rPr>
                  <w:rFonts w:ascii="Cambria Math" w:hAnsi="Cambria Math"/>
                </w:rPr>
              </m:ctrlPr>
            </m:fPr>
            <m:num>
              <m:r>
                <w:rPr>
                  <w:rFonts w:ascii="Cambria Math" w:hAnsi="Cambria Math"/>
                </w:rPr>
                <m:t>D</m:t>
              </m:r>
            </m:num>
            <m:den>
              <m:sSub>
                <m:sSubPr>
                  <m:ctrlPr>
                    <w:rPr>
                      <w:rFonts w:ascii="Cambria Math" w:hAnsi="Cambria Math"/>
                    </w:rPr>
                  </m:ctrlPr>
                </m:sSubPr>
                <m:e>
                  <m:r>
                    <w:rPr>
                      <w:rFonts w:ascii="Cambria Math" w:hAnsi="Cambria Math"/>
                    </w:rPr>
                    <m:t>D</m:t>
                  </m:r>
                </m:e>
                <m:sub>
                  <m:r>
                    <w:rPr>
                      <w:rFonts w:ascii="Cambria Math" w:hAnsi="Cambria Math"/>
                    </w:rPr>
                    <m:t>i</m:t>
                  </m:r>
                </m:sub>
              </m:sSub>
            </m:den>
          </m:f>
          <m:r>
            <w:rPr>
              <w:rFonts w:ascii="Cambria Math" w:hAnsi="Cambria Math"/>
            </w:rPr>
            <m:t>=1-8.7</m:t>
          </m:r>
          <m:d>
            <m:dPr>
              <m:ctrlPr>
                <w:rPr>
                  <w:rFonts w:ascii="Cambria Math" w:hAnsi="Cambria Math"/>
                </w:rPr>
              </m:ctrlPr>
            </m:dPr>
            <m:e>
              <m:f>
                <m:fPr>
                  <m:ctrlPr>
                    <w:rPr>
                      <w:rFonts w:ascii="Cambria Math" w:hAnsi="Cambria Math"/>
                    </w:rPr>
                  </m:ctrlPr>
                </m:fPr>
                <m:num>
                  <m:sSub>
                    <m:sSubPr>
                      <m:ctrlPr>
                        <w:rPr>
                          <w:rFonts w:ascii="Cambria Math" w:hAnsi="Cambria Math"/>
                        </w:rPr>
                      </m:ctrlPr>
                    </m:sSubPr>
                    <m:e>
                      <m:r>
                        <w:rPr>
                          <w:rFonts w:ascii="Cambria Math" w:hAnsi="Cambria Math"/>
                        </w:rPr>
                        <m:t>W</m:t>
                      </m:r>
                    </m:e>
                    <m:sub>
                      <m:r>
                        <w:rPr>
                          <w:rFonts w:ascii="Cambria Math" w:hAnsi="Cambria Math"/>
                        </w:rPr>
                        <m:t>e</m:t>
                      </m:r>
                    </m:sub>
                  </m:sSub>
                </m:num>
                <m:den>
                  <m:sSub>
                    <m:sSubPr>
                      <m:ctrlPr>
                        <w:rPr>
                          <w:rFonts w:ascii="Cambria Math" w:hAnsi="Cambria Math"/>
                        </w:rPr>
                      </m:ctrlPr>
                    </m:sSubPr>
                    <m:e>
                      <m:r>
                        <w:rPr>
                          <w:rFonts w:ascii="Cambria Math" w:hAnsi="Cambria Math"/>
                        </w:rPr>
                        <m:t>W</m:t>
                      </m:r>
                    </m:e>
                    <m:sub>
                      <m:r>
                        <w:rPr>
                          <w:rFonts w:ascii="Cambria Math" w:hAnsi="Cambria Math"/>
                        </w:rPr>
                        <m:t>c</m:t>
                      </m:r>
                    </m:sub>
                  </m:sSub>
                </m:den>
              </m:f>
            </m:e>
          </m:d>
          <m:sSup>
            <m:sSupPr>
              <m:ctrlPr>
                <w:rPr>
                  <w:rFonts w:ascii="Cambria Math" w:hAnsi="Cambria Math"/>
                </w:rPr>
              </m:ctrlPr>
            </m:sSupPr>
            <m:e>
              <m:d>
                <m:dPr>
                  <m:ctrlPr>
                    <w:rPr>
                      <w:rFonts w:ascii="Cambria Math" w:hAnsi="Cambria Math"/>
                    </w:rPr>
                  </m:ctrlPr>
                </m:dPr>
                <m:e>
                  <m:f>
                    <m:fPr>
                      <m:ctrlPr>
                        <w:rPr>
                          <w:rFonts w:ascii="Cambria Math" w:hAnsi="Cambria Math"/>
                        </w:rPr>
                      </m:ctrlPr>
                    </m:fPr>
                    <m:num>
                      <m:r>
                        <w:rPr>
                          <w:rFonts w:ascii="Cambria Math" w:hAnsi="Cambria Math"/>
                        </w:rPr>
                        <m:t>a</m:t>
                      </m:r>
                    </m:num>
                    <m:den>
                      <m:r>
                        <w:rPr>
                          <w:rFonts w:ascii="Cambria Math" w:hAnsi="Cambria Math"/>
                        </w:rPr>
                        <m:t>d</m:t>
                      </m:r>
                    </m:den>
                  </m:f>
                </m:e>
              </m:d>
            </m:e>
            <m:sup>
              <m:r>
                <w:rPr>
                  <w:rFonts w:ascii="Cambria Math" w:hAnsi="Cambria Math"/>
                </w:rPr>
                <m:t>2</m:t>
              </m:r>
            </m:sup>
          </m:sSup>
          <m:r>
            <w:rPr>
              <w:rFonts w:ascii="Cambria Math" w:hAnsi="Cambria Math"/>
            </w:rPr>
            <m:t>,</m:t>
          </m:r>
        </m:oMath>
      </m:oMathPara>
    </w:p>
    <w:p w14:paraId="413DF939" w14:textId="724410EC" w:rsidR="008340C6" w:rsidRDefault="00547485" w:rsidP="00E20626">
      <w:pPr>
        <w:spacing w:after="160" w:line="259" w:lineRule="auto"/>
      </w:pPr>
      <w:r w:rsidRPr="00547485">
        <w:t xml:space="preserve">where </w:t>
      </w:r>
      <m:oMath>
        <m:r>
          <w:rPr>
            <w:rFonts w:ascii="Cambria Math" w:hAnsi="Cambria Math"/>
          </w:rPr>
          <m:t>D</m:t>
        </m:r>
      </m:oMath>
      <w:r w:rsidRPr="00547485">
        <w:t xml:space="preserve">is the measured detonation velocity, </w:t>
      </w:r>
      <m:oMath>
        <m:sSub>
          <m:sSubPr>
            <m:ctrlPr>
              <w:rPr>
                <w:rFonts w:ascii="Cambria Math" w:hAnsi="Cambria Math"/>
              </w:rPr>
            </m:ctrlPr>
          </m:sSubPr>
          <m:e>
            <m:r>
              <w:rPr>
                <w:rFonts w:ascii="Cambria Math" w:hAnsi="Cambria Math"/>
              </w:rPr>
              <m:t>D</m:t>
            </m:r>
          </m:e>
          <m:sub>
            <m:r>
              <w:rPr>
                <w:rFonts w:ascii="Cambria Math" w:hAnsi="Cambria Math"/>
              </w:rPr>
              <m:t>i</m:t>
            </m:r>
          </m:sub>
        </m:sSub>
      </m:oMath>
      <w:r w:rsidRPr="00547485">
        <w:t xml:space="preserve">is the ideal detonation velocity, </w:t>
      </w:r>
      <m:oMath>
        <m:sSub>
          <m:sSubPr>
            <m:ctrlPr>
              <w:rPr>
                <w:rFonts w:ascii="Cambria Math" w:hAnsi="Cambria Math"/>
              </w:rPr>
            </m:ctrlPr>
          </m:sSubPr>
          <m:e>
            <m:r>
              <w:rPr>
                <w:rFonts w:ascii="Cambria Math" w:hAnsi="Cambria Math"/>
              </w:rPr>
              <m:t>W</m:t>
            </m:r>
          </m:e>
          <m:sub>
            <m:r>
              <w:rPr>
                <w:rFonts w:ascii="Cambria Math" w:hAnsi="Cambria Math"/>
              </w:rPr>
              <m:t>e</m:t>
            </m:r>
          </m:sub>
        </m:sSub>
        <m:r>
          <m:rPr>
            <m:sty m:val="p"/>
          </m:rPr>
          <w:rPr>
            <w:rFonts w:ascii="Cambria Math" w:hAnsi="Cambria Math"/>
          </w:rPr>
          <m:t>/</m:t>
        </m:r>
        <m:sSub>
          <m:sSubPr>
            <m:ctrlPr>
              <w:rPr>
                <w:rFonts w:ascii="Cambria Math" w:hAnsi="Cambria Math"/>
              </w:rPr>
            </m:ctrlPr>
          </m:sSubPr>
          <m:e>
            <m:r>
              <w:rPr>
                <w:rFonts w:ascii="Cambria Math" w:hAnsi="Cambria Math"/>
              </w:rPr>
              <m:t>W</m:t>
            </m:r>
          </m:e>
          <m:sub>
            <m:r>
              <w:rPr>
                <w:rFonts w:ascii="Cambria Math" w:hAnsi="Cambria Math"/>
              </w:rPr>
              <m:t>c</m:t>
            </m:r>
          </m:sub>
        </m:sSub>
      </m:oMath>
      <w:r w:rsidRPr="00547485">
        <w:t xml:space="preserve">represents the ratio of explosive mass to confinement mass, and </w:t>
      </w:r>
      <m:oMath>
        <m:r>
          <w:rPr>
            <w:rFonts w:ascii="Cambria Math" w:hAnsi="Cambria Math"/>
          </w:rPr>
          <m:t>a</m:t>
        </m:r>
        <m:r>
          <m:rPr>
            <m:sty m:val="p"/>
          </m:rPr>
          <w:rPr>
            <w:rFonts w:ascii="Cambria Math" w:hAnsi="Cambria Math"/>
          </w:rPr>
          <m:t>/</m:t>
        </m:r>
        <m:r>
          <w:rPr>
            <w:rFonts w:ascii="Cambria Math" w:hAnsi="Cambria Math"/>
          </w:rPr>
          <m:t>d</m:t>
        </m:r>
      </m:oMath>
      <w:r w:rsidRPr="00547485">
        <w:t>denotes the ratio of sleeve thickness to charge diameter. This formulation highlights the quantitative influence of confinement on detonation performance.</w:t>
      </w:r>
      <w:sdt>
        <w:sdtPr>
          <w:id w:val="-1654049940"/>
          <w:citation/>
        </w:sdtPr>
        <w:sdtContent>
          <w:r w:rsidR="0019604F">
            <w:fldChar w:fldCharType="begin"/>
          </w:r>
          <w:r w:rsidR="0019604F">
            <w:instrText xml:space="preserve"> CITATION Pau96 \l 2057 </w:instrText>
          </w:r>
          <w:r w:rsidR="0019604F">
            <w:fldChar w:fldCharType="separate"/>
          </w:r>
          <w:r w:rsidR="00F16DA4">
            <w:rPr>
              <w:noProof/>
            </w:rPr>
            <w:t xml:space="preserve"> </w:t>
          </w:r>
          <w:r w:rsidR="00F16DA4" w:rsidRPr="00F16DA4">
            <w:rPr>
              <w:noProof/>
            </w:rPr>
            <w:t>[5]</w:t>
          </w:r>
          <w:r w:rsidR="0019604F">
            <w:fldChar w:fldCharType="end"/>
          </w:r>
        </w:sdtContent>
      </w:sdt>
    </w:p>
    <w:p w14:paraId="5F428CC8" w14:textId="77777777" w:rsidR="008340C6" w:rsidRDefault="008340C6" w:rsidP="00E20626">
      <w:pPr>
        <w:spacing w:after="160" w:line="259" w:lineRule="auto"/>
      </w:pPr>
    </w:p>
    <w:p w14:paraId="3761A529" w14:textId="77777777" w:rsidR="008340C6" w:rsidRDefault="008340C6" w:rsidP="00E20626">
      <w:pPr>
        <w:spacing w:after="160" w:line="259" w:lineRule="auto"/>
      </w:pPr>
    </w:p>
    <w:p w14:paraId="6CDAB806" w14:textId="77777777" w:rsidR="008340C6" w:rsidRDefault="008340C6" w:rsidP="00E20626">
      <w:pPr>
        <w:spacing w:after="160" w:line="259" w:lineRule="auto"/>
      </w:pPr>
    </w:p>
    <w:p w14:paraId="3E087233" w14:textId="77777777" w:rsidR="008340C6" w:rsidRDefault="008340C6" w:rsidP="00E20626">
      <w:pPr>
        <w:spacing w:after="160" w:line="259" w:lineRule="auto"/>
      </w:pPr>
    </w:p>
    <w:p w14:paraId="77DEB46B" w14:textId="77777777" w:rsidR="008340C6" w:rsidRDefault="008340C6" w:rsidP="00E20626">
      <w:pPr>
        <w:spacing w:after="160" w:line="259" w:lineRule="auto"/>
      </w:pPr>
    </w:p>
    <w:p w14:paraId="1F629599" w14:textId="6511D329" w:rsidR="00547485" w:rsidRDefault="008340C6" w:rsidP="00E20626">
      <w:pPr>
        <w:spacing w:after="160" w:line="259" w:lineRule="auto"/>
      </w:pPr>
      <w:r>
        <w:rPr>
          <w:noProof/>
        </w:rPr>
        <w:drawing>
          <wp:inline distT="0" distB="0" distL="0" distR="0" wp14:anchorId="24DF91AF" wp14:editId="55CD2372">
            <wp:extent cx="5731510" cy="3680460"/>
            <wp:effectExtent l="0" t="0" r="2540" b="15240"/>
            <wp:docPr id="797012875" name="Chart 1">
              <a:extLst xmlns:a="http://schemas.openxmlformats.org/drawingml/2006/main">
                <a:ext uri="{FF2B5EF4-FFF2-40B4-BE49-F238E27FC236}">
                  <a16:creationId xmlns:a16="http://schemas.microsoft.com/office/drawing/2014/main" id="{65E0632B-58CE-CD86-D014-56EF59BD59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6F9F94A" w14:textId="05D9A25D" w:rsidR="008340C6" w:rsidRDefault="008340C6" w:rsidP="002936ED">
      <w:pPr>
        <w:pStyle w:val="Caption"/>
        <w:jc w:val="center"/>
      </w:pPr>
      <w:r>
        <w:t xml:space="preserve">Figure </w:t>
      </w:r>
      <w:fldSimple w:instr=" SEQ Figure \* ARABIC ">
        <w:r w:rsidR="002936ED">
          <w:rPr>
            <w:noProof/>
          </w:rPr>
          <w:t>9</w:t>
        </w:r>
      </w:fldSimple>
    </w:p>
    <w:p w14:paraId="7C62A74C" w14:textId="5E5BDAA6" w:rsidR="002936ED" w:rsidRPr="002936ED" w:rsidRDefault="002936ED" w:rsidP="002936ED">
      <w:pPr>
        <w:jc w:val="center"/>
      </w:pPr>
      <w:sdt>
        <w:sdtPr>
          <w:id w:val="-975600664"/>
          <w:citation/>
        </w:sdtPr>
        <w:sdtContent>
          <w:r>
            <w:fldChar w:fldCharType="begin"/>
          </w:r>
          <w:r>
            <w:instrText xml:space="preserve"> CITATION MJU61 \l 2057 </w:instrText>
          </w:r>
          <w:r>
            <w:fldChar w:fldCharType="separate"/>
          </w:r>
          <w:r w:rsidR="00F16DA4" w:rsidRPr="00F16DA4">
            <w:rPr>
              <w:noProof/>
            </w:rPr>
            <w:t>[20]</w:t>
          </w:r>
          <w:r>
            <w:fldChar w:fldCharType="end"/>
          </w:r>
        </w:sdtContent>
      </w:sdt>
    </w:p>
    <w:p w14:paraId="6B2F3341" w14:textId="31B564E0" w:rsidR="007F60D9" w:rsidRDefault="008340C6" w:rsidP="00E20626">
      <w:pPr>
        <w:spacing w:after="160" w:line="259" w:lineRule="auto"/>
      </w:pPr>
      <w:r w:rsidRPr="008340C6">
        <w:lastRenderedPageBreak/>
        <w:drawing>
          <wp:inline distT="0" distB="0" distL="0" distR="0" wp14:anchorId="282AE96F" wp14:editId="385BB82D">
            <wp:extent cx="4953000" cy="7820025"/>
            <wp:effectExtent l="0" t="0" r="0" b="9525"/>
            <wp:docPr id="692041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3000" cy="7820025"/>
                    </a:xfrm>
                    <a:prstGeom prst="rect">
                      <a:avLst/>
                    </a:prstGeom>
                    <a:noFill/>
                    <a:ln>
                      <a:noFill/>
                    </a:ln>
                  </pic:spPr>
                </pic:pic>
              </a:graphicData>
            </a:graphic>
          </wp:inline>
        </w:drawing>
      </w:r>
    </w:p>
    <w:p w14:paraId="2C16A72F" w14:textId="01C2F747" w:rsidR="002936ED" w:rsidRDefault="002936ED" w:rsidP="002936ED">
      <w:pPr>
        <w:pStyle w:val="Caption"/>
        <w:jc w:val="center"/>
      </w:pPr>
      <w:r>
        <w:t xml:space="preserve">Figure </w:t>
      </w:r>
      <w:fldSimple w:instr=" SEQ Figure \* ARABIC ">
        <w:r>
          <w:rPr>
            <w:noProof/>
          </w:rPr>
          <w:t>10</w:t>
        </w:r>
      </w:fldSimple>
    </w:p>
    <w:p w14:paraId="037AC34C" w14:textId="4D577AB9" w:rsidR="002936ED" w:rsidRPr="002936ED" w:rsidRDefault="002936ED" w:rsidP="002936ED">
      <w:pPr>
        <w:jc w:val="center"/>
      </w:pPr>
      <w:sdt>
        <w:sdtPr>
          <w:id w:val="-1995560414"/>
          <w:citation/>
        </w:sdtPr>
        <w:sdtContent>
          <w:r>
            <w:fldChar w:fldCharType="begin"/>
          </w:r>
          <w:r>
            <w:instrText xml:space="preserve"> CITATION MJU61 \l 2057 </w:instrText>
          </w:r>
          <w:r>
            <w:fldChar w:fldCharType="separate"/>
          </w:r>
          <w:r w:rsidR="00F16DA4" w:rsidRPr="00F16DA4">
            <w:rPr>
              <w:noProof/>
            </w:rPr>
            <w:t>[20]</w:t>
          </w:r>
          <w:r>
            <w:fldChar w:fldCharType="end"/>
          </w:r>
        </w:sdtContent>
      </w:sdt>
    </w:p>
    <w:p w14:paraId="5D2D9A89" w14:textId="77777777" w:rsidR="007F60D9" w:rsidRDefault="007F60D9" w:rsidP="00E20626">
      <w:pPr>
        <w:spacing w:after="160" w:line="259" w:lineRule="auto"/>
      </w:pPr>
    </w:p>
    <w:sdt>
      <w:sdtPr>
        <w:rPr>
          <w:rFonts w:asciiTheme="minorHAnsi" w:eastAsiaTheme="minorEastAsia" w:hAnsiTheme="minorHAnsi" w:cstheme="minorBidi"/>
          <w:color w:val="auto"/>
          <w:sz w:val="20"/>
          <w:szCs w:val="20"/>
        </w:rPr>
        <w:id w:val="-361053066"/>
        <w:docPartObj>
          <w:docPartGallery w:val="Bibliographies"/>
          <w:docPartUnique/>
        </w:docPartObj>
      </w:sdtPr>
      <w:sdtEndPr/>
      <w:sdtContent>
        <w:p w14:paraId="6BB7F69D" w14:textId="4FA482E1" w:rsidR="0071610A" w:rsidRDefault="0071610A">
          <w:pPr>
            <w:pStyle w:val="Heading1"/>
          </w:pPr>
          <w:r>
            <w:t>References</w:t>
          </w:r>
        </w:p>
        <w:sdt>
          <w:sdtPr>
            <w:id w:val="-573587230"/>
            <w:bibliography/>
          </w:sdtPr>
          <w:sdtEndPr/>
          <w:sdtContent>
            <w:p w14:paraId="62540883" w14:textId="77777777" w:rsidR="00F16DA4" w:rsidRDefault="0071610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7"/>
                <w:gridCol w:w="8619"/>
              </w:tblGrid>
              <w:tr w:rsidR="00F16DA4" w14:paraId="53969EDE" w14:textId="77777777">
                <w:trPr>
                  <w:divId w:val="1229150872"/>
                  <w:tblCellSpacing w:w="15" w:type="dxa"/>
                </w:trPr>
                <w:tc>
                  <w:tcPr>
                    <w:tcW w:w="50" w:type="pct"/>
                    <w:hideMark/>
                  </w:tcPr>
                  <w:p w14:paraId="2DE2CD9F" w14:textId="33C331A3" w:rsidR="00F16DA4" w:rsidRDefault="00F16DA4">
                    <w:pPr>
                      <w:pStyle w:val="Bibliography"/>
                      <w:rPr>
                        <w:noProof/>
                        <w:sz w:val="24"/>
                        <w:szCs w:val="24"/>
                      </w:rPr>
                    </w:pPr>
                    <w:r>
                      <w:rPr>
                        <w:noProof/>
                      </w:rPr>
                      <w:t xml:space="preserve">[1] </w:t>
                    </w:r>
                  </w:p>
                </w:tc>
                <w:tc>
                  <w:tcPr>
                    <w:tcW w:w="0" w:type="auto"/>
                    <w:hideMark/>
                  </w:tcPr>
                  <w:p w14:paraId="70F72014" w14:textId="77777777" w:rsidR="00F16DA4" w:rsidRDefault="00F16DA4">
                    <w:pPr>
                      <w:pStyle w:val="Bibliography"/>
                      <w:rPr>
                        <w:noProof/>
                      </w:rPr>
                    </w:pPr>
                    <w:r>
                      <w:rPr>
                        <w:noProof/>
                      </w:rPr>
                      <w:t>R. Friedel, “Basic Chemistry of Explosives and Hazards of Home-Made Explosives and Chemical Precursors,” Geneva International Centre for Humanitarian Demining, Geneva, 2021.</w:t>
                    </w:r>
                  </w:p>
                </w:tc>
              </w:tr>
              <w:tr w:rsidR="00F16DA4" w14:paraId="08800137" w14:textId="77777777">
                <w:trPr>
                  <w:divId w:val="1229150872"/>
                  <w:tblCellSpacing w:w="15" w:type="dxa"/>
                </w:trPr>
                <w:tc>
                  <w:tcPr>
                    <w:tcW w:w="50" w:type="pct"/>
                    <w:hideMark/>
                  </w:tcPr>
                  <w:p w14:paraId="54599160" w14:textId="77777777" w:rsidR="00F16DA4" w:rsidRDefault="00F16DA4">
                    <w:pPr>
                      <w:pStyle w:val="Bibliography"/>
                      <w:rPr>
                        <w:noProof/>
                      </w:rPr>
                    </w:pPr>
                    <w:r>
                      <w:rPr>
                        <w:noProof/>
                      </w:rPr>
                      <w:t xml:space="preserve">[2] </w:t>
                    </w:r>
                  </w:p>
                </w:tc>
                <w:tc>
                  <w:tcPr>
                    <w:tcW w:w="0" w:type="auto"/>
                    <w:hideMark/>
                  </w:tcPr>
                  <w:p w14:paraId="0B2AEAD7" w14:textId="77777777" w:rsidR="00F16DA4" w:rsidRDefault="00F16DA4">
                    <w:pPr>
                      <w:pStyle w:val="Bibliography"/>
                      <w:rPr>
                        <w:noProof/>
                      </w:rPr>
                    </w:pPr>
                    <w:r>
                      <w:rPr>
                        <w:noProof/>
                      </w:rPr>
                      <w:t>N. M. G. C. Karl D. Oyler, “Overview of Explosive Initiators,” U.S. Army Armament Research, Development and Engineering Center, New Jersey, 2015.</w:t>
                    </w:r>
                  </w:p>
                </w:tc>
              </w:tr>
              <w:tr w:rsidR="00F16DA4" w14:paraId="20325CA3" w14:textId="77777777">
                <w:trPr>
                  <w:divId w:val="1229150872"/>
                  <w:tblCellSpacing w:w="15" w:type="dxa"/>
                </w:trPr>
                <w:tc>
                  <w:tcPr>
                    <w:tcW w:w="50" w:type="pct"/>
                    <w:hideMark/>
                  </w:tcPr>
                  <w:p w14:paraId="31BB5CEB" w14:textId="77777777" w:rsidR="00F16DA4" w:rsidRDefault="00F16DA4">
                    <w:pPr>
                      <w:pStyle w:val="Bibliography"/>
                      <w:rPr>
                        <w:noProof/>
                      </w:rPr>
                    </w:pPr>
                    <w:r>
                      <w:rPr>
                        <w:noProof/>
                      </w:rPr>
                      <w:t xml:space="preserve">[3] </w:t>
                    </w:r>
                  </w:p>
                </w:tc>
                <w:tc>
                  <w:tcPr>
                    <w:tcW w:w="0" w:type="auto"/>
                    <w:hideMark/>
                  </w:tcPr>
                  <w:p w14:paraId="7BE87736" w14:textId="77777777" w:rsidR="00F16DA4" w:rsidRDefault="00F16DA4">
                    <w:pPr>
                      <w:pStyle w:val="Bibliography"/>
                      <w:rPr>
                        <w:noProof/>
                      </w:rPr>
                    </w:pPr>
                    <w:r>
                      <w:rPr>
                        <w:noProof/>
                      </w:rPr>
                      <w:t xml:space="preserve">D. R. Lide, CRC Handbook of Chemistry and Physics 88th Edition, Boca Raton: Taylor &amp; Francis, 2007. </w:t>
                    </w:r>
                  </w:p>
                </w:tc>
              </w:tr>
              <w:tr w:rsidR="00F16DA4" w14:paraId="6F8CC80B" w14:textId="77777777">
                <w:trPr>
                  <w:divId w:val="1229150872"/>
                  <w:tblCellSpacing w:w="15" w:type="dxa"/>
                </w:trPr>
                <w:tc>
                  <w:tcPr>
                    <w:tcW w:w="50" w:type="pct"/>
                    <w:hideMark/>
                  </w:tcPr>
                  <w:p w14:paraId="4718A32B" w14:textId="77777777" w:rsidR="00F16DA4" w:rsidRDefault="00F16DA4">
                    <w:pPr>
                      <w:pStyle w:val="Bibliography"/>
                      <w:rPr>
                        <w:noProof/>
                      </w:rPr>
                    </w:pPr>
                    <w:r>
                      <w:rPr>
                        <w:noProof/>
                      </w:rPr>
                      <w:t xml:space="preserve">[4] </w:t>
                    </w:r>
                  </w:p>
                </w:tc>
                <w:tc>
                  <w:tcPr>
                    <w:tcW w:w="0" w:type="auto"/>
                    <w:hideMark/>
                  </w:tcPr>
                  <w:p w14:paraId="17388D2D" w14:textId="77777777" w:rsidR="00F16DA4" w:rsidRDefault="00F16DA4">
                    <w:pPr>
                      <w:pStyle w:val="Bibliography"/>
                      <w:rPr>
                        <w:noProof/>
                      </w:rPr>
                    </w:pPr>
                    <w:r>
                      <w:rPr>
                        <w:noProof/>
                      </w:rPr>
                      <w:t xml:space="preserve">M. H. M. A. A. A. M. Mohammed Almuntaga Ahmed, “Determination Physical and Explosion Properties for Lead Azide and Dextrin Lead Azide,” </w:t>
                    </w:r>
                    <w:r>
                      <w:rPr>
                        <w:i/>
                        <w:iCs/>
                        <w:noProof/>
                      </w:rPr>
                      <w:t xml:space="preserve">European Academic Research, </w:t>
                    </w:r>
                    <w:r>
                      <w:rPr>
                        <w:noProof/>
                      </w:rPr>
                      <w:t xml:space="preserve">vol. VIII, no. 9, pp. 5626-5634, 2020. </w:t>
                    </w:r>
                  </w:p>
                </w:tc>
              </w:tr>
              <w:tr w:rsidR="00F16DA4" w14:paraId="1F8C98CD" w14:textId="77777777">
                <w:trPr>
                  <w:divId w:val="1229150872"/>
                  <w:tblCellSpacing w:w="15" w:type="dxa"/>
                </w:trPr>
                <w:tc>
                  <w:tcPr>
                    <w:tcW w:w="50" w:type="pct"/>
                    <w:hideMark/>
                  </w:tcPr>
                  <w:p w14:paraId="06E33FE4" w14:textId="77777777" w:rsidR="00F16DA4" w:rsidRDefault="00F16DA4">
                    <w:pPr>
                      <w:pStyle w:val="Bibliography"/>
                      <w:rPr>
                        <w:noProof/>
                      </w:rPr>
                    </w:pPr>
                    <w:r>
                      <w:rPr>
                        <w:noProof/>
                      </w:rPr>
                      <w:t xml:space="preserve">[5] </w:t>
                    </w:r>
                  </w:p>
                </w:tc>
                <w:tc>
                  <w:tcPr>
                    <w:tcW w:w="0" w:type="auto"/>
                    <w:hideMark/>
                  </w:tcPr>
                  <w:p w14:paraId="5716C4E6" w14:textId="77777777" w:rsidR="00F16DA4" w:rsidRDefault="00F16DA4">
                    <w:pPr>
                      <w:pStyle w:val="Bibliography"/>
                      <w:rPr>
                        <w:noProof/>
                      </w:rPr>
                    </w:pPr>
                    <w:r>
                      <w:rPr>
                        <w:noProof/>
                      </w:rPr>
                      <w:t xml:space="preserve">P. W. Cooper, Explosives Engineering, Berlin: Wiley-VCH, 1996. </w:t>
                    </w:r>
                  </w:p>
                </w:tc>
              </w:tr>
              <w:tr w:rsidR="00F16DA4" w14:paraId="4096E317" w14:textId="77777777">
                <w:trPr>
                  <w:divId w:val="1229150872"/>
                  <w:tblCellSpacing w:w="15" w:type="dxa"/>
                </w:trPr>
                <w:tc>
                  <w:tcPr>
                    <w:tcW w:w="50" w:type="pct"/>
                    <w:hideMark/>
                  </w:tcPr>
                  <w:p w14:paraId="6FCEC3DE" w14:textId="77777777" w:rsidR="00F16DA4" w:rsidRDefault="00F16DA4">
                    <w:pPr>
                      <w:pStyle w:val="Bibliography"/>
                      <w:rPr>
                        <w:noProof/>
                      </w:rPr>
                    </w:pPr>
                    <w:r>
                      <w:rPr>
                        <w:noProof/>
                      </w:rPr>
                      <w:t xml:space="preserve">[6] </w:t>
                    </w:r>
                  </w:p>
                </w:tc>
                <w:tc>
                  <w:tcPr>
                    <w:tcW w:w="0" w:type="auto"/>
                    <w:hideMark/>
                  </w:tcPr>
                  <w:p w14:paraId="6A3CFBDB" w14:textId="77777777" w:rsidR="00F16DA4" w:rsidRDefault="00F16DA4">
                    <w:pPr>
                      <w:pStyle w:val="Bibliography"/>
                      <w:rPr>
                        <w:noProof/>
                      </w:rPr>
                    </w:pPr>
                    <w:r>
                      <w:rPr>
                        <w:noProof/>
                      </w:rPr>
                      <w:t xml:space="preserve">A. P. T. R. Gibbs, LASL Explosive Property Data, Oakland: University of California Press, 1980. </w:t>
                    </w:r>
                  </w:p>
                </w:tc>
              </w:tr>
              <w:tr w:rsidR="00F16DA4" w14:paraId="3C658730" w14:textId="77777777">
                <w:trPr>
                  <w:divId w:val="1229150872"/>
                  <w:tblCellSpacing w:w="15" w:type="dxa"/>
                </w:trPr>
                <w:tc>
                  <w:tcPr>
                    <w:tcW w:w="50" w:type="pct"/>
                    <w:hideMark/>
                  </w:tcPr>
                  <w:p w14:paraId="7792BDB9" w14:textId="77777777" w:rsidR="00F16DA4" w:rsidRDefault="00F16DA4">
                    <w:pPr>
                      <w:pStyle w:val="Bibliography"/>
                      <w:rPr>
                        <w:noProof/>
                      </w:rPr>
                    </w:pPr>
                    <w:r>
                      <w:rPr>
                        <w:noProof/>
                      </w:rPr>
                      <w:t xml:space="preserve">[7] </w:t>
                    </w:r>
                  </w:p>
                </w:tc>
                <w:tc>
                  <w:tcPr>
                    <w:tcW w:w="0" w:type="auto"/>
                    <w:hideMark/>
                  </w:tcPr>
                  <w:p w14:paraId="53855047" w14:textId="77777777" w:rsidR="00F16DA4" w:rsidRDefault="00F16DA4">
                    <w:pPr>
                      <w:pStyle w:val="Bibliography"/>
                      <w:rPr>
                        <w:noProof/>
                      </w:rPr>
                    </w:pPr>
                    <w:r>
                      <w:rPr>
                        <w:noProof/>
                      </w:rPr>
                      <w:t xml:space="preserve">B. M. Dobratz, LLNL Explosives Handbook, Livermore: Lawrence Livermore National Laboratory, 1981. </w:t>
                    </w:r>
                  </w:p>
                </w:tc>
              </w:tr>
              <w:tr w:rsidR="00F16DA4" w14:paraId="13B29E54" w14:textId="77777777">
                <w:trPr>
                  <w:divId w:val="1229150872"/>
                  <w:tblCellSpacing w:w="15" w:type="dxa"/>
                </w:trPr>
                <w:tc>
                  <w:tcPr>
                    <w:tcW w:w="50" w:type="pct"/>
                    <w:hideMark/>
                  </w:tcPr>
                  <w:p w14:paraId="1E001CA6" w14:textId="77777777" w:rsidR="00F16DA4" w:rsidRDefault="00F16DA4">
                    <w:pPr>
                      <w:pStyle w:val="Bibliography"/>
                      <w:rPr>
                        <w:noProof/>
                      </w:rPr>
                    </w:pPr>
                    <w:r>
                      <w:rPr>
                        <w:noProof/>
                      </w:rPr>
                      <w:t xml:space="preserve">[8] </w:t>
                    </w:r>
                  </w:p>
                </w:tc>
                <w:tc>
                  <w:tcPr>
                    <w:tcW w:w="0" w:type="auto"/>
                    <w:hideMark/>
                  </w:tcPr>
                  <w:p w14:paraId="0557C87A" w14:textId="77777777" w:rsidR="00F16DA4" w:rsidRDefault="00F16DA4">
                    <w:pPr>
                      <w:pStyle w:val="Bibliography"/>
                      <w:rPr>
                        <w:noProof/>
                      </w:rPr>
                    </w:pPr>
                    <w:r>
                      <w:rPr>
                        <w:noProof/>
                      </w:rPr>
                      <w:t>R. E. A. W. Campbell, “Diameter Effect in High-Density Heterogeneous Explosives,” University of California Press, Oakland, 1975.</w:t>
                    </w:r>
                  </w:p>
                </w:tc>
              </w:tr>
              <w:tr w:rsidR="00F16DA4" w14:paraId="6902EFC8" w14:textId="77777777">
                <w:trPr>
                  <w:divId w:val="1229150872"/>
                  <w:tblCellSpacing w:w="15" w:type="dxa"/>
                </w:trPr>
                <w:tc>
                  <w:tcPr>
                    <w:tcW w:w="50" w:type="pct"/>
                    <w:hideMark/>
                  </w:tcPr>
                  <w:p w14:paraId="4670C439" w14:textId="77777777" w:rsidR="00F16DA4" w:rsidRDefault="00F16DA4">
                    <w:pPr>
                      <w:pStyle w:val="Bibliography"/>
                      <w:rPr>
                        <w:noProof/>
                      </w:rPr>
                    </w:pPr>
                    <w:r>
                      <w:rPr>
                        <w:noProof/>
                      </w:rPr>
                      <w:t xml:space="preserve">[9] </w:t>
                    </w:r>
                  </w:p>
                </w:tc>
                <w:tc>
                  <w:tcPr>
                    <w:tcW w:w="0" w:type="auto"/>
                    <w:hideMark/>
                  </w:tcPr>
                  <w:p w14:paraId="6F249206" w14:textId="77777777" w:rsidR="00F16DA4" w:rsidRDefault="00F16DA4">
                    <w:pPr>
                      <w:pStyle w:val="Bibliography"/>
                      <w:rPr>
                        <w:noProof/>
                      </w:rPr>
                    </w:pPr>
                    <w:r>
                      <w:rPr>
                        <w:noProof/>
                      </w:rPr>
                      <w:t>D. Price, “Critical Parameters for Detonation Propagation and Initiation of Solid Explosives,” Naval Surface Weapons Center, White Oak, 1981.</w:t>
                    </w:r>
                  </w:p>
                </w:tc>
              </w:tr>
              <w:tr w:rsidR="00F16DA4" w14:paraId="3BB265C9" w14:textId="77777777">
                <w:trPr>
                  <w:divId w:val="1229150872"/>
                  <w:tblCellSpacing w:w="15" w:type="dxa"/>
                </w:trPr>
                <w:tc>
                  <w:tcPr>
                    <w:tcW w:w="50" w:type="pct"/>
                    <w:hideMark/>
                  </w:tcPr>
                  <w:p w14:paraId="30B5B262" w14:textId="77777777" w:rsidR="00F16DA4" w:rsidRDefault="00F16DA4">
                    <w:pPr>
                      <w:pStyle w:val="Bibliography"/>
                      <w:rPr>
                        <w:noProof/>
                      </w:rPr>
                    </w:pPr>
                    <w:r>
                      <w:rPr>
                        <w:noProof/>
                      </w:rPr>
                      <w:t xml:space="preserve">[10] </w:t>
                    </w:r>
                  </w:p>
                </w:tc>
                <w:tc>
                  <w:tcPr>
                    <w:tcW w:w="0" w:type="auto"/>
                    <w:hideMark/>
                  </w:tcPr>
                  <w:p w14:paraId="45893491" w14:textId="77777777" w:rsidR="00F16DA4" w:rsidRDefault="00F16DA4">
                    <w:pPr>
                      <w:pStyle w:val="Bibliography"/>
                      <w:rPr>
                        <w:noProof/>
                      </w:rPr>
                    </w:pPr>
                    <w:r>
                      <w:rPr>
                        <w:noProof/>
                      </w:rPr>
                      <w:t>R. W. Gurney, “The Initial Velocities of Fragments from Bombs, Shells and Grenades,” Balistic Research Laboratory , Aberdeen, 1943.</w:t>
                    </w:r>
                  </w:p>
                </w:tc>
              </w:tr>
              <w:tr w:rsidR="00F16DA4" w14:paraId="3B16637D" w14:textId="77777777">
                <w:trPr>
                  <w:divId w:val="1229150872"/>
                  <w:tblCellSpacing w:w="15" w:type="dxa"/>
                </w:trPr>
                <w:tc>
                  <w:tcPr>
                    <w:tcW w:w="50" w:type="pct"/>
                    <w:hideMark/>
                  </w:tcPr>
                  <w:p w14:paraId="45F791F5" w14:textId="77777777" w:rsidR="00F16DA4" w:rsidRDefault="00F16DA4">
                    <w:pPr>
                      <w:pStyle w:val="Bibliography"/>
                      <w:rPr>
                        <w:noProof/>
                      </w:rPr>
                    </w:pPr>
                    <w:r>
                      <w:rPr>
                        <w:noProof/>
                      </w:rPr>
                      <w:t xml:space="preserve">[11] </w:t>
                    </w:r>
                  </w:p>
                </w:tc>
                <w:tc>
                  <w:tcPr>
                    <w:tcW w:w="0" w:type="auto"/>
                    <w:hideMark/>
                  </w:tcPr>
                  <w:p w14:paraId="45A737D9" w14:textId="77777777" w:rsidR="00F16DA4" w:rsidRDefault="00F16DA4">
                    <w:pPr>
                      <w:pStyle w:val="Bibliography"/>
                      <w:rPr>
                        <w:noProof/>
                      </w:rPr>
                    </w:pPr>
                    <w:r>
                      <w:rPr>
                        <w:noProof/>
                      </w:rPr>
                      <w:t>P. Norton, “Initiation of Explosives,” Cranfield University, Cranfield, 2023.</w:t>
                    </w:r>
                  </w:p>
                </w:tc>
              </w:tr>
              <w:tr w:rsidR="00F16DA4" w14:paraId="1C7C6686" w14:textId="77777777">
                <w:trPr>
                  <w:divId w:val="1229150872"/>
                  <w:tblCellSpacing w:w="15" w:type="dxa"/>
                </w:trPr>
                <w:tc>
                  <w:tcPr>
                    <w:tcW w:w="50" w:type="pct"/>
                    <w:hideMark/>
                  </w:tcPr>
                  <w:p w14:paraId="64F37C36" w14:textId="77777777" w:rsidR="00F16DA4" w:rsidRDefault="00F16DA4">
                    <w:pPr>
                      <w:pStyle w:val="Bibliography"/>
                      <w:rPr>
                        <w:noProof/>
                      </w:rPr>
                    </w:pPr>
                    <w:r>
                      <w:rPr>
                        <w:noProof/>
                      </w:rPr>
                      <w:t xml:space="preserve">[12] </w:t>
                    </w:r>
                  </w:p>
                </w:tc>
                <w:tc>
                  <w:tcPr>
                    <w:tcW w:w="0" w:type="auto"/>
                    <w:hideMark/>
                  </w:tcPr>
                  <w:p w14:paraId="6BF12098" w14:textId="77777777" w:rsidR="00F16DA4" w:rsidRDefault="00F16DA4">
                    <w:pPr>
                      <w:pStyle w:val="Bibliography"/>
                      <w:rPr>
                        <w:noProof/>
                      </w:rPr>
                    </w:pPr>
                    <w:r>
                      <w:rPr>
                        <w:noProof/>
                      </w:rPr>
                      <w:t xml:space="preserve">K. L. K. Lawrence Weinman, Selected Pyrotechnic Publications of K. L. and B. J. Kosanke (2003 and 2004), Huntingdon: Journal of Pyrotechnics and CarnDu Ltd, 2007. </w:t>
                    </w:r>
                  </w:p>
                </w:tc>
              </w:tr>
              <w:tr w:rsidR="00F16DA4" w14:paraId="2A1E4852" w14:textId="77777777">
                <w:trPr>
                  <w:divId w:val="1229150872"/>
                  <w:tblCellSpacing w:w="15" w:type="dxa"/>
                </w:trPr>
                <w:tc>
                  <w:tcPr>
                    <w:tcW w:w="50" w:type="pct"/>
                    <w:hideMark/>
                  </w:tcPr>
                  <w:p w14:paraId="6B75ED88" w14:textId="77777777" w:rsidR="00F16DA4" w:rsidRDefault="00F16DA4">
                    <w:pPr>
                      <w:pStyle w:val="Bibliography"/>
                      <w:rPr>
                        <w:noProof/>
                      </w:rPr>
                    </w:pPr>
                    <w:r>
                      <w:rPr>
                        <w:noProof/>
                      </w:rPr>
                      <w:t xml:space="preserve">[13] </w:t>
                    </w:r>
                  </w:p>
                </w:tc>
                <w:tc>
                  <w:tcPr>
                    <w:tcW w:w="0" w:type="auto"/>
                    <w:hideMark/>
                  </w:tcPr>
                  <w:p w14:paraId="262665DB" w14:textId="77777777" w:rsidR="00F16DA4" w:rsidRDefault="00F16DA4">
                    <w:pPr>
                      <w:pStyle w:val="Bibliography"/>
                      <w:rPr>
                        <w:noProof/>
                      </w:rPr>
                    </w:pPr>
                    <w:r>
                      <w:rPr>
                        <w:noProof/>
                      </w:rPr>
                      <w:t xml:space="preserve">W. Z. R. S. Y. Y. Yunfei Mu, “Observations on Detonation Growth of Lead Azide at Microscale,” </w:t>
                    </w:r>
                    <w:r>
                      <w:rPr>
                        <w:i/>
                        <w:iCs/>
                        <w:noProof/>
                      </w:rPr>
                      <w:t xml:space="preserve">Microsystems for Space and Defense Applications, </w:t>
                    </w:r>
                    <w:r>
                      <w:rPr>
                        <w:noProof/>
                      </w:rPr>
                      <w:t xml:space="preserve">vol. 13, no. 451, pp. 8-10, 2022. </w:t>
                    </w:r>
                  </w:p>
                </w:tc>
              </w:tr>
              <w:tr w:rsidR="00F16DA4" w14:paraId="5D22C340" w14:textId="77777777">
                <w:trPr>
                  <w:divId w:val="1229150872"/>
                  <w:tblCellSpacing w:w="15" w:type="dxa"/>
                </w:trPr>
                <w:tc>
                  <w:tcPr>
                    <w:tcW w:w="50" w:type="pct"/>
                    <w:hideMark/>
                  </w:tcPr>
                  <w:p w14:paraId="66C92962" w14:textId="77777777" w:rsidR="00F16DA4" w:rsidRDefault="00F16DA4">
                    <w:pPr>
                      <w:pStyle w:val="Bibliography"/>
                      <w:rPr>
                        <w:noProof/>
                      </w:rPr>
                    </w:pPr>
                    <w:r>
                      <w:rPr>
                        <w:noProof/>
                      </w:rPr>
                      <w:t xml:space="preserve">[14] </w:t>
                    </w:r>
                  </w:p>
                </w:tc>
                <w:tc>
                  <w:tcPr>
                    <w:tcW w:w="0" w:type="auto"/>
                    <w:hideMark/>
                  </w:tcPr>
                  <w:p w14:paraId="4E458C43" w14:textId="77777777" w:rsidR="00F16DA4" w:rsidRDefault="00F16DA4">
                    <w:pPr>
                      <w:pStyle w:val="Bibliography"/>
                      <w:rPr>
                        <w:noProof/>
                      </w:rPr>
                    </w:pPr>
                    <w:r>
                      <w:rPr>
                        <w:noProof/>
                      </w:rPr>
                      <w:t>A. Verma, “Shock to Detonation Transition of Explosives,” National Institute of Technology Hamirpur, Hamirpur, 2023.</w:t>
                    </w:r>
                  </w:p>
                </w:tc>
              </w:tr>
              <w:tr w:rsidR="00F16DA4" w14:paraId="6321C4CF" w14:textId="77777777">
                <w:trPr>
                  <w:divId w:val="1229150872"/>
                  <w:tblCellSpacing w:w="15" w:type="dxa"/>
                </w:trPr>
                <w:tc>
                  <w:tcPr>
                    <w:tcW w:w="50" w:type="pct"/>
                    <w:hideMark/>
                  </w:tcPr>
                  <w:p w14:paraId="19A95115" w14:textId="77777777" w:rsidR="00F16DA4" w:rsidRDefault="00F16DA4">
                    <w:pPr>
                      <w:pStyle w:val="Bibliography"/>
                      <w:rPr>
                        <w:noProof/>
                      </w:rPr>
                    </w:pPr>
                    <w:r>
                      <w:rPr>
                        <w:noProof/>
                      </w:rPr>
                      <w:t xml:space="preserve">[15] </w:t>
                    </w:r>
                  </w:p>
                </w:tc>
                <w:tc>
                  <w:tcPr>
                    <w:tcW w:w="0" w:type="auto"/>
                    <w:hideMark/>
                  </w:tcPr>
                  <w:p w14:paraId="0F985C83" w14:textId="77777777" w:rsidR="00F16DA4" w:rsidRDefault="00F16DA4">
                    <w:pPr>
                      <w:pStyle w:val="Bibliography"/>
                      <w:rPr>
                        <w:noProof/>
                      </w:rPr>
                    </w:pPr>
                    <w:r>
                      <w:rPr>
                        <w:noProof/>
                      </w:rPr>
                      <w:t xml:space="preserve">J. P. Robert Matyas, Primary Explosives, Heidelberg: Springer Science + Business Media, 2013. </w:t>
                    </w:r>
                  </w:p>
                </w:tc>
              </w:tr>
              <w:tr w:rsidR="00F16DA4" w14:paraId="3695F312" w14:textId="77777777">
                <w:trPr>
                  <w:divId w:val="1229150872"/>
                  <w:tblCellSpacing w:w="15" w:type="dxa"/>
                </w:trPr>
                <w:tc>
                  <w:tcPr>
                    <w:tcW w:w="50" w:type="pct"/>
                    <w:hideMark/>
                  </w:tcPr>
                  <w:p w14:paraId="21883462" w14:textId="77777777" w:rsidR="00F16DA4" w:rsidRDefault="00F16DA4">
                    <w:pPr>
                      <w:pStyle w:val="Bibliography"/>
                      <w:rPr>
                        <w:noProof/>
                      </w:rPr>
                    </w:pPr>
                    <w:r>
                      <w:rPr>
                        <w:noProof/>
                      </w:rPr>
                      <w:t xml:space="preserve">[16] </w:t>
                    </w:r>
                  </w:p>
                </w:tc>
                <w:tc>
                  <w:tcPr>
                    <w:tcW w:w="0" w:type="auto"/>
                    <w:hideMark/>
                  </w:tcPr>
                  <w:p w14:paraId="014E5EC2" w14:textId="77777777" w:rsidR="00F16DA4" w:rsidRDefault="00F16DA4">
                    <w:pPr>
                      <w:pStyle w:val="Bibliography"/>
                      <w:rPr>
                        <w:noProof/>
                      </w:rPr>
                    </w:pPr>
                    <w:r>
                      <w:rPr>
                        <w:noProof/>
                      </w:rPr>
                      <w:t xml:space="preserve">W. P. W. Jonas A. Zukas, Explosive Effects and Applications, New York: Springer Science + Business Media, 2003. </w:t>
                    </w:r>
                  </w:p>
                </w:tc>
              </w:tr>
              <w:tr w:rsidR="00F16DA4" w14:paraId="2C9706D8" w14:textId="77777777">
                <w:trPr>
                  <w:divId w:val="1229150872"/>
                  <w:tblCellSpacing w:w="15" w:type="dxa"/>
                </w:trPr>
                <w:tc>
                  <w:tcPr>
                    <w:tcW w:w="50" w:type="pct"/>
                    <w:hideMark/>
                  </w:tcPr>
                  <w:p w14:paraId="319AD507" w14:textId="77777777" w:rsidR="00F16DA4" w:rsidRDefault="00F16DA4">
                    <w:pPr>
                      <w:pStyle w:val="Bibliography"/>
                      <w:rPr>
                        <w:noProof/>
                      </w:rPr>
                    </w:pPr>
                    <w:r>
                      <w:rPr>
                        <w:noProof/>
                      </w:rPr>
                      <w:t xml:space="preserve">[17] </w:t>
                    </w:r>
                  </w:p>
                </w:tc>
                <w:tc>
                  <w:tcPr>
                    <w:tcW w:w="0" w:type="auto"/>
                    <w:hideMark/>
                  </w:tcPr>
                  <w:p w14:paraId="1BEB4A88" w14:textId="77777777" w:rsidR="00F16DA4" w:rsidRDefault="00F16DA4">
                    <w:pPr>
                      <w:pStyle w:val="Bibliography"/>
                      <w:rPr>
                        <w:noProof/>
                      </w:rPr>
                    </w:pPr>
                    <w:r>
                      <w:rPr>
                        <w:noProof/>
                      </w:rPr>
                      <w:t xml:space="preserve">J. Akhavan, The Chemistry of Explosives, London: Royal Society of Chemistry, 2022. </w:t>
                    </w:r>
                  </w:p>
                </w:tc>
              </w:tr>
              <w:tr w:rsidR="00F16DA4" w14:paraId="78C55933" w14:textId="77777777">
                <w:trPr>
                  <w:divId w:val="1229150872"/>
                  <w:tblCellSpacing w:w="15" w:type="dxa"/>
                </w:trPr>
                <w:tc>
                  <w:tcPr>
                    <w:tcW w:w="50" w:type="pct"/>
                    <w:hideMark/>
                  </w:tcPr>
                  <w:p w14:paraId="38EE523A" w14:textId="77777777" w:rsidR="00F16DA4" w:rsidRDefault="00F16DA4">
                    <w:pPr>
                      <w:pStyle w:val="Bibliography"/>
                      <w:rPr>
                        <w:noProof/>
                      </w:rPr>
                    </w:pPr>
                    <w:r>
                      <w:rPr>
                        <w:noProof/>
                      </w:rPr>
                      <w:t xml:space="preserve">[18] </w:t>
                    </w:r>
                  </w:p>
                </w:tc>
                <w:tc>
                  <w:tcPr>
                    <w:tcW w:w="0" w:type="auto"/>
                    <w:hideMark/>
                  </w:tcPr>
                  <w:p w14:paraId="29D55908" w14:textId="77777777" w:rsidR="00F16DA4" w:rsidRDefault="00F16DA4">
                    <w:pPr>
                      <w:pStyle w:val="Bibliography"/>
                      <w:rPr>
                        <w:noProof/>
                      </w:rPr>
                    </w:pPr>
                    <w:r>
                      <w:rPr>
                        <w:noProof/>
                      </w:rPr>
                      <w:t xml:space="preserve">M. X. N. J. J. H. Wang, “Critical shock initiation characteristics of TNT with different,” </w:t>
                    </w:r>
                    <w:r>
                      <w:rPr>
                        <w:i/>
                        <w:iCs/>
                        <w:noProof/>
                      </w:rPr>
                      <w:t xml:space="preserve">Shock Waves, </w:t>
                    </w:r>
                    <w:r>
                      <w:rPr>
                        <w:noProof/>
                      </w:rPr>
                      <w:t xml:space="preserve">pp. 39-49, 6 February 2023. </w:t>
                    </w:r>
                  </w:p>
                </w:tc>
              </w:tr>
              <w:tr w:rsidR="00F16DA4" w14:paraId="72D6A536" w14:textId="77777777">
                <w:trPr>
                  <w:divId w:val="1229150872"/>
                  <w:tblCellSpacing w:w="15" w:type="dxa"/>
                </w:trPr>
                <w:tc>
                  <w:tcPr>
                    <w:tcW w:w="50" w:type="pct"/>
                    <w:hideMark/>
                  </w:tcPr>
                  <w:p w14:paraId="45FBFCCD" w14:textId="77777777" w:rsidR="00F16DA4" w:rsidRDefault="00F16DA4">
                    <w:pPr>
                      <w:pStyle w:val="Bibliography"/>
                      <w:rPr>
                        <w:noProof/>
                      </w:rPr>
                    </w:pPr>
                    <w:r>
                      <w:rPr>
                        <w:noProof/>
                      </w:rPr>
                      <w:t xml:space="preserve">[19] </w:t>
                    </w:r>
                  </w:p>
                </w:tc>
                <w:tc>
                  <w:tcPr>
                    <w:tcW w:w="0" w:type="auto"/>
                    <w:hideMark/>
                  </w:tcPr>
                  <w:p w14:paraId="6F1E274D" w14:textId="77777777" w:rsidR="00F16DA4" w:rsidRDefault="00F16DA4">
                    <w:pPr>
                      <w:pStyle w:val="Bibliography"/>
                      <w:rPr>
                        <w:noProof/>
                      </w:rPr>
                    </w:pPr>
                    <w:r>
                      <w:rPr>
                        <w:noProof/>
                      </w:rPr>
                      <w:t xml:space="preserve">R. E. F. A. K. O. A. L. Kuhl, “Combustion of TNT Products in a Confined Explosion,” in </w:t>
                    </w:r>
                    <w:r>
                      <w:rPr>
                        <w:i/>
                        <w:iCs/>
                        <w:noProof/>
                      </w:rPr>
                      <w:t xml:space="preserve">17th International Colloquium on Dynamics of Explosions &amp; Reactive Systems </w:t>
                    </w:r>
                    <w:r>
                      <w:rPr>
                        <w:noProof/>
                      </w:rPr>
                      <w:t xml:space="preserve">, Heidelberg, 1999. </w:t>
                    </w:r>
                  </w:p>
                </w:tc>
              </w:tr>
              <w:tr w:rsidR="00F16DA4" w14:paraId="6011E5F1" w14:textId="77777777">
                <w:trPr>
                  <w:divId w:val="1229150872"/>
                  <w:tblCellSpacing w:w="15" w:type="dxa"/>
                </w:trPr>
                <w:tc>
                  <w:tcPr>
                    <w:tcW w:w="50" w:type="pct"/>
                    <w:hideMark/>
                  </w:tcPr>
                  <w:p w14:paraId="2F8D0CB8" w14:textId="77777777" w:rsidR="00F16DA4" w:rsidRDefault="00F16DA4">
                    <w:pPr>
                      <w:pStyle w:val="Bibliography"/>
                      <w:rPr>
                        <w:noProof/>
                      </w:rPr>
                    </w:pPr>
                    <w:r>
                      <w:rPr>
                        <w:noProof/>
                      </w:rPr>
                      <w:lastRenderedPageBreak/>
                      <w:t xml:space="preserve">[20] </w:t>
                    </w:r>
                  </w:p>
                </w:tc>
                <w:tc>
                  <w:tcPr>
                    <w:tcW w:w="0" w:type="auto"/>
                    <w:hideMark/>
                  </w:tcPr>
                  <w:p w14:paraId="512DAB4F" w14:textId="77777777" w:rsidR="00F16DA4" w:rsidRDefault="00F16DA4">
                    <w:pPr>
                      <w:pStyle w:val="Bibliography"/>
                      <w:rPr>
                        <w:noProof/>
                      </w:rPr>
                    </w:pPr>
                    <w:r>
                      <w:rPr>
                        <w:noProof/>
                      </w:rPr>
                      <w:t xml:space="preserve">E. J. J. L. C. S. M. J. Urizar, “Detonation Velocity of TNT,” </w:t>
                    </w:r>
                    <w:r>
                      <w:rPr>
                        <w:i/>
                        <w:iCs/>
                        <w:noProof/>
                      </w:rPr>
                      <w:t xml:space="preserve">Physics of Fluids, </w:t>
                    </w:r>
                    <w:r>
                      <w:rPr>
                        <w:noProof/>
                      </w:rPr>
                      <w:t xml:space="preserve">pp. 262-274, 1 February 1961. </w:t>
                    </w:r>
                  </w:p>
                </w:tc>
              </w:tr>
              <w:tr w:rsidR="00F16DA4" w14:paraId="0189C5ED" w14:textId="77777777" w:rsidTr="00F16DA4">
                <w:trPr>
                  <w:divId w:val="1229150872"/>
                  <w:tblCellSpacing w:w="15" w:type="dxa"/>
                </w:trPr>
                <w:tc>
                  <w:tcPr>
                    <w:tcW w:w="50" w:type="pct"/>
                  </w:tcPr>
                  <w:p w14:paraId="29AF2C23" w14:textId="1C2FBD08" w:rsidR="00F16DA4" w:rsidRDefault="00F16DA4">
                    <w:pPr>
                      <w:pStyle w:val="Bibliography"/>
                      <w:rPr>
                        <w:noProof/>
                      </w:rPr>
                    </w:pPr>
                  </w:p>
                </w:tc>
                <w:tc>
                  <w:tcPr>
                    <w:tcW w:w="0" w:type="auto"/>
                  </w:tcPr>
                  <w:p w14:paraId="403D0F89" w14:textId="0A8E9D28" w:rsidR="00F16DA4" w:rsidRDefault="00F16DA4">
                    <w:pPr>
                      <w:pStyle w:val="Bibliography"/>
                      <w:rPr>
                        <w:noProof/>
                      </w:rPr>
                    </w:pPr>
                  </w:p>
                </w:tc>
              </w:tr>
              <w:tr w:rsidR="00F16DA4" w14:paraId="121EE669" w14:textId="77777777" w:rsidTr="00F16DA4">
                <w:trPr>
                  <w:divId w:val="1229150872"/>
                  <w:tblCellSpacing w:w="15" w:type="dxa"/>
                </w:trPr>
                <w:tc>
                  <w:tcPr>
                    <w:tcW w:w="50" w:type="pct"/>
                  </w:tcPr>
                  <w:p w14:paraId="1D7ACFB2" w14:textId="664A067D" w:rsidR="00F16DA4" w:rsidRDefault="00F16DA4">
                    <w:pPr>
                      <w:pStyle w:val="Bibliography"/>
                      <w:rPr>
                        <w:noProof/>
                      </w:rPr>
                    </w:pPr>
                  </w:p>
                </w:tc>
                <w:tc>
                  <w:tcPr>
                    <w:tcW w:w="0" w:type="auto"/>
                  </w:tcPr>
                  <w:p w14:paraId="0B7E94CB" w14:textId="6E73A9E7" w:rsidR="00F16DA4" w:rsidRDefault="00F16DA4">
                    <w:pPr>
                      <w:pStyle w:val="Bibliography"/>
                      <w:rPr>
                        <w:noProof/>
                      </w:rPr>
                    </w:pPr>
                  </w:p>
                </w:tc>
              </w:tr>
              <w:tr w:rsidR="00F16DA4" w14:paraId="1272844C" w14:textId="77777777" w:rsidTr="00F16DA4">
                <w:trPr>
                  <w:divId w:val="1229150872"/>
                  <w:tblCellSpacing w:w="15" w:type="dxa"/>
                </w:trPr>
                <w:tc>
                  <w:tcPr>
                    <w:tcW w:w="50" w:type="pct"/>
                  </w:tcPr>
                  <w:p w14:paraId="4679FDE2" w14:textId="1BC0804C" w:rsidR="00F16DA4" w:rsidRDefault="00F16DA4">
                    <w:pPr>
                      <w:pStyle w:val="Bibliography"/>
                      <w:rPr>
                        <w:noProof/>
                      </w:rPr>
                    </w:pPr>
                  </w:p>
                </w:tc>
                <w:tc>
                  <w:tcPr>
                    <w:tcW w:w="0" w:type="auto"/>
                  </w:tcPr>
                  <w:p w14:paraId="510D9DFB" w14:textId="40E7E81D" w:rsidR="00F16DA4" w:rsidRDefault="00F16DA4">
                    <w:pPr>
                      <w:pStyle w:val="Bibliography"/>
                      <w:rPr>
                        <w:noProof/>
                      </w:rPr>
                    </w:pPr>
                  </w:p>
                </w:tc>
              </w:tr>
              <w:tr w:rsidR="00F16DA4" w14:paraId="2F5E4747" w14:textId="77777777" w:rsidTr="00F16DA4">
                <w:trPr>
                  <w:divId w:val="1229150872"/>
                  <w:tblCellSpacing w:w="15" w:type="dxa"/>
                </w:trPr>
                <w:tc>
                  <w:tcPr>
                    <w:tcW w:w="50" w:type="pct"/>
                  </w:tcPr>
                  <w:p w14:paraId="4E4A107B" w14:textId="0463FA86" w:rsidR="00F16DA4" w:rsidRDefault="00F16DA4">
                    <w:pPr>
                      <w:pStyle w:val="Bibliography"/>
                      <w:rPr>
                        <w:noProof/>
                      </w:rPr>
                    </w:pPr>
                  </w:p>
                </w:tc>
                <w:tc>
                  <w:tcPr>
                    <w:tcW w:w="0" w:type="auto"/>
                  </w:tcPr>
                  <w:p w14:paraId="0A67135B" w14:textId="7EC5C6AE" w:rsidR="00F16DA4" w:rsidRDefault="00F16DA4">
                    <w:pPr>
                      <w:pStyle w:val="Bibliography"/>
                      <w:rPr>
                        <w:noProof/>
                      </w:rPr>
                    </w:pPr>
                  </w:p>
                </w:tc>
              </w:tr>
            </w:tbl>
            <w:p w14:paraId="4EE131A1" w14:textId="77777777" w:rsidR="00F16DA4" w:rsidRDefault="00F16DA4">
              <w:pPr>
                <w:divId w:val="1229150872"/>
                <w:rPr>
                  <w:rFonts w:eastAsia="Times New Roman"/>
                  <w:noProof/>
                </w:rPr>
              </w:pPr>
            </w:p>
            <w:p w14:paraId="0B7CDFB2" w14:textId="08FF9284" w:rsidR="0071610A" w:rsidRDefault="0071610A">
              <w:r>
                <w:rPr>
                  <w:b/>
                  <w:bCs/>
                  <w:noProof/>
                </w:rPr>
                <w:fldChar w:fldCharType="end"/>
              </w:r>
            </w:p>
          </w:sdtContent>
        </w:sdt>
      </w:sdtContent>
    </w:sdt>
    <w:p w14:paraId="0D18C174" w14:textId="0A3D4620" w:rsidR="003D3D8C" w:rsidRPr="00035C04" w:rsidRDefault="003D3D8C" w:rsidP="00035C04"/>
    <w:p w14:paraId="15557BE1" w14:textId="51545D19" w:rsidR="009952CF" w:rsidRDefault="009952CF">
      <w:pPr>
        <w:spacing w:after="160" w:line="259" w:lineRule="auto"/>
      </w:pPr>
      <w:r>
        <w:br w:type="page"/>
      </w:r>
    </w:p>
    <w:p w14:paraId="2C846F8F" w14:textId="07726E74" w:rsidR="00F40590" w:rsidRDefault="00F40590" w:rsidP="009952CF">
      <w:pPr>
        <w:spacing w:after="160" w:line="259" w:lineRule="auto"/>
      </w:pPr>
    </w:p>
    <w:sectPr w:rsidR="00F4059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66CC2" w14:textId="77777777" w:rsidR="00637E04" w:rsidRDefault="00637E04" w:rsidP="001A0614">
      <w:pPr>
        <w:spacing w:line="240" w:lineRule="auto"/>
      </w:pPr>
      <w:r>
        <w:separator/>
      </w:r>
    </w:p>
  </w:endnote>
  <w:endnote w:type="continuationSeparator" w:id="0">
    <w:p w14:paraId="014A9A2F" w14:textId="77777777" w:rsidR="00637E04" w:rsidRDefault="00637E04" w:rsidP="001A0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96131"/>
      <w:docPartObj>
        <w:docPartGallery w:val="Page Numbers (Bottom of Page)"/>
        <w:docPartUnique/>
      </w:docPartObj>
    </w:sdtPr>
    <w:sdtEndPr>
      <w:rPr>
        <w:noProof/>
      </w:rPr>
    </w:sdtEndPr>
    <w:sdtContent>
      <w:p w14:paraId="7264E703" w14:textId="17C869E0" w:rsidR="004827A1" w:rsidRDefault="004827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007C9" w14:textId="77777777" w:rsidR="004827A1" w:rsidRDefault="00482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DF286" w14:textId="77777777" w:rsidR="00637E04" w:rsidRDefault="00637E04" w:rsidP="001A0614">
      <w:pPr>
        <w:spacing w:line="240" w:lineRule="auto"/>
      </w:pPr>
      <w:r>
        <w:separator/>
      </w:r>
    </w:p>
  </w:footnote>
  <w:footnote w:type="continuationSeparator" w:id="0">
    <w:p w14:paraId="5F51031C" w14:textId="77777777" w:rsidR="00637E04" w:rsidRDefault="00637E04" w:rsidP="001A06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5A2B3" w14:textId="648E70BC" w:rsidR="001A0614" w:rsidRDefault="001A0614">
    <w:pPr>
      <w:pStyle w:val="Header"/>
    </w:pPr>
    <w:r>
      <w:rPr>
        <w:noProof/>
      </w:rPr>
      <mc:AlternateContent>
        <mc:Choice Requires="wps">
          <w:drawing>
            <wp:anchor distT="0" distB="0" distL="118745" distR="118745" simplePos="0" relativeHeight="251659264" behindDoc="1" locked="0" layoutInCell="1" allowOverlap="0" wp14:anchorId="4787B922" wp14:editId="3CD6293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7B4B695" w14:textId="29F1F3F3" w:rsidR="001A0614" w:rsidRDefault="00B92498">
                              <w:pPr>
                                <w:pStyle w:val="Header"/>
                                <w:jc w:val="center"/>
                                <w:rPr>
                                  <w:caps/>
                                  <w:color w:val="FFFFFF" w:themeColor="background1"/>
                                </w:rPr>
                              </w:pPr>
                              <w:r>
                                <w:rPr>
                                  <w:caps/>
                                  <w:color w:val="FFFFFF" w:themeColor="background1"/>
                                </w:rPr>
                                <w:t>Principles</w:t>
                              </w:r>
                              <w:r w:rsidR="00965006">
                                <w:rPr>
                                  <w:caps/>
                                  <w:color w:val="FFFFFF" w:themeColor="background1"/>
                                </w:rPr>
                                <w:t xml:space="preserve"> of OME</w:t>
                              </w:r>
                              <w:r w:rsidR="00F72499">
                                <w:rPr>
                                  <w:caps/>
                                  <w:color w:val="FFFFFF" w:themeColor="background1"/>
                                </w:rPr>
                                <w:t xml:space="preserve"> – Lee Maxwell</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787B922"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7B4B695" w14:textId="29F1F3F3" w:rsidR="001A0614" w:rsidRDefault="00B92498">
                        <w:pPr>
                          <w:pStyle w:val="Header"/>
                          <w:jc w:val="center"/>
                          <w:rPr>
                            <w:caps/>
                            <w:color w:val="FFFFFF" w:themeColor="background1"/>
                          </w:rPr>
                        </w:pPr>
                        <w:r>
                          <w:rPr>
                            <w:caps/>
                            <w:color w:val="FFFFFF" w:themeColor="background1"/>
                          </w:rPr>
                          <w:t>Principles</w:t>
                        </w:r>
                        <w:r w:rsidR="00965006">
                          <w:rPr>
                            <w:caps/>
                            <w:color w:val="FFFFFF" w:themeColor="background1"/>
                          </w:rPr>
                          <w:t xml:space="preserve"> of OME</w:t>
                        </w:r>
                        <w:r w:rsidR="00F72499">
                          <w:rPr>
                            <w:caps/>
                            <w:color w:val="FFFFFF" w:themeColor="background1"/>
                          </w:rPr>
                          <w:t xml:space="preserve"> – Lee Maxwell</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D387E"/>
    <w:multiLevelType w:val="hybridMultilevel"/>
    <w:tmpl w:val="0C42A8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D2712"/>
    <w:multiLevelType w:val="hybridMultilevel"/>
    <w:tmpl w:val="1276BB28"/>
    <w:lvl w:ilvl="0" w:tplc="FFFFFFFF">
      <w:start w:val="1"/>
      <w:numFmt w:val="decimal"/>
      <w:lvlText w:val="%1."/>
      <w:lvlJc w:val="left"/>
      <w:pPr>
        <w:ind w:left="502" w:hanging="360"/>
      </w:pPr>
      <w:rPr>
        <w:rFonts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2" w15:restartNumberingAfterBreak="0">
    <w:nsid w:val="1DB72702"/>
    <w:multiLevelType w:val="hybridMultilevel"/>
    <w:tmpl w:val="853E1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5C60EA"/>
    <w:multiLevelType w:val="hybridMultilevel"/>
    <w:tmpl w:val="D946E17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60A58"/>
    <w:multiLevelType w:val="hybridMultilevel"/>
    <w:tmpl w:val="12F48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00EF6"/>
    <w:multiLevelType w:val="hybridMultilevel"/>
    <w:tmpl w:val="64FEBFEE"/>
    <w:lvl w:ilvl="0" w:tplc="0809000F">
      <w:start w:val="1"/>
      <w:numFmt w:val="decimal"/>
      <w:lvlText w:val="%1."/>
      <w:lvlJc w:val="left"/>
      <w:pPr>
        <w:ind w:left="1222" w:hanging="360"/>
      </w:p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6" w15:restartNumberingAfterBreak="0">
    <w:nsid w:val="374A5C14"/>
    <w:multiLevelType w:val="hybridMultilevel"/>
    <w:tmpl w:val="AD422EB4"/>
    <w:lvl w:ilvl="0" w:tplc="F184E1F6">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15:restartNumberingAfterBreak="0">
    <w:nsid w:val="4F92477E"/>
    <w:multiLevelType w:val="hybridMultilevel"/>
    <w:tmpl w:val="42FA0242"/>
    <w:lvl w:ilvl="0" w:tplc="FFFFFFFF">
      <w:start w:val="1"/>
      <w:numFmt w:val="decimal"/>
      <w:lvlText w:val="%1."/>
      <w:lvlJc w:val="left"/>
      <w:pPr>
        <w:ind w:left="502" w:hanging="360"/>
      </w:pPr>
      <w:rPr>
        <w:rFonts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8" w15:restartNumberingAfterBreak="0">
    <w:nsid w:val="586A1844"/>
    <w:multiLevelType w:val="hybridMultilevel"/>
    <w:tmpl w:val="AD422EB4"/>
    <w:lvl w:ilvl="0" w:tplc="FFFFFFFF">
      <w:start w:val="1"/>
      <w:numFmt w:val="decimal"/>
      <w:lvlText w:val="%1."/>
      <w:lvlJc w:val="left"/>
      <w:pPr>
        <w:ind w:left="502" w:hanging="360"/>
      </w:pPr>
      <w:rPr>
        <w:rFonts w:hint="default"/>
      </w:rPr>
    </w:lvl>
    <w:lvl w:ilvl="1" w:tplc="FFFFFFFF" w:tentative="1">
      <w:start w:val="1"/>
      <w:numFmt w:val="lowerLetter"/>
      <w:lvlText w:val="%2."/>
      <w:lvlJc w:val="left"/>
      <w:pPr>
        <w:ind w:left="1222" w:hanging="360"/>
      </w:pPr>
    </w:lvl>
    <w:lvl w:ilvl="2" w:tplc="FFFFFFFF" w:tentative="1">
      <w:start w:val="1"/>
      <w:numFmt w:val="lowerRoman"/>
      <w:lvlText w:val="%3."/>
      <w:lvlJc w:val="right"/>
      <w:pPr>
        <w:ind w:left="1942" w:hanging="180"/>
      </w:pPr>
    </w:lvl>
    <w:lvl w:ilvl="3" w:tplc="FFFFFFFF" w:tentative="1">
      <w:start w:val="1"/>
      <w:numFmt w:val="decimal"/>
      <w:lvlText w:val="%4."/>
      <w:lvlJc w:val="left"/>
      <w:pPr>
        <w:ind w:left="2662" w:hanging="360"/>
      </w:pPr>
    </w:lvl>
    <w:lvl w:ilvl="4" w:tplc="FFFFFFFF" w:tentative="1">
      <w:start w:val="1"/>
      <w:numFmt w:val="lowerLetter"/>
      <w:lvlText w:val="%5."/>
      <w:lvlJc w:val="left"/>
      <w:pPr>
        <w:ind w:left="3382" w:hanging="360"/>
      </w:pPr>
    </w:lvl>
    <w:lvl w:ilvl="5" w:tplc="FFFFFFFF" w:tentative="1">
      <w:start w:val="1"/>
      <w:numFmt w:val="lowerRoman"/>
      <w:lvlText w:val="%6."/>
      <w:lvlJc w:val="right"/>
      <w:pPr>
        <w:ind w:left="4102" w:hanging="180"/>
      </w:pPr>
    </w:lvl>
    <w:lvl w:ilvl="6" w:tplc="FFFFFFFF" w:tentative="1">
      <w:start w:val="1"/>
      <w:numFmt w:val="decimal"/>
      <w:lvlText w:val="%7."/>
      <w:lvlJc w:val="left"/>
      <w:pPr>
        <w:ind w:left="4822" w:hanging="360"/>
      </w:pPr>
    </w:lvl>
    <w:lvl w:ilvl="7" w:tplc="FFFFFFFF" w:tentative="1">
      <w:start w:val="1"/>
      <w:numFmt w:val="lowerLetter"/>
      <w:lvlText w:val="%8."/>
      <w:lvlJc w:val="left"/>
      <w:pPr>
        <w:ind w:left="5542" w:hanging="360"/>
      </w:pPr>
    </w:lvl>
    <w:lvl w:ilvl="8" w:tplc="FFFFFFFF" w:tentative="1">
      <w:start w:val="1"/>
      <w:numFmt w:val="lowerRoman"/>
      <w:lvlText w:val="%9."/>
      <w:lvlJc w:val="right"/>
      <w:pPr>
        <w:ind w:left="6262" w:hanging="180"/>
      </w:pPr>
    </w:lvl>
  </w:abstractNum>
  <w:abstractNum w:abstractNumId="9" w15:restartNumberingAfterBreak="0">
    <w:nsid w:val="628309C0"/>
    <w:multiLevelType w:val="multilevel"/>
    <w:tmpl w:val="67767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15336A"/>
    <w:multiLevelType w:val="hybridMultilevel"/>
    <w:tmpl w:val="2CEA5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4281462">
    <w:abstractNumId w:val="9"/>
  </w:num>
  <w:num w:numId="2" w16cid:durableId="411700629">
    <w:abstractNumId w:val="3"/>
  </w:num>
  <w:num w:numId="3" w16cid:durableId="701327594">
    <w:abstractNumId w:val="4"/>
  </w:num>
  <w:num w:numId="4" w16cid:durableId="2119328461">
    <w:abstractNumId w:val="2"/>
  </w:num>
  <w:num w:numId="5" w16cid:durableId="656694014">
    <w:abstractNumId w:val="6"/>
  </w:num>
  <w:num w:numId="6" w16cid:durableId="1670450641">
    <w:abstractNumId w:val="7"/>
  </w:num>
  <w:num w:numId="7" w16cid:durableId="490100695">
    <w:abstractNumId w:val="1"/>
  </w:num>
  <w:num w:numId="8" w16cid:durableId="1893689963">
    <w:abstractNumId w:val="10"/>
  </w:num>
  <w:num w:numId="9" w16cid:durableId="310183452">
    <w:abstractNumId w:val="8"/>
  </w:num>
  <w:num w:numId="10" w16cid:durableId="1238903848">
    <w:abstractNumId w:val="5"/>
  </w:num>
  <w:num w:numId="11" w16cid:durableId="806165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9FE"/>
    <w:rsid w:val="000011CF"/>
    <w:rsid w:val="0000122D"/>
    <w:rsid w:val="00002D69"/>
    <w:rsid w:val="0000327F"/>
    <w:rsid w:val="00004DD8"/>
    <w:rsid w:val="0000550A"/>
    <w:rsid w:val="00005880"/>
    <w:rsid w:val="00010B0C"/>
    <w:rsid w:val="000131DF"/>
    <w:rsid w:val="00015BE5"/>
    <w:rsid w:val="00016845"/>
    <w:rsid w:val="00025630"/>
    <w:rsid w:val="00025F48"/>
    <w:rsid w:val="000312C3"/>
    <w:rsid w:val="00032BB5"/>
    <w:rsid w:val="00034C49"/>
    <w:rsid w:val="00035C04"/>
    <w:rsid w:val="0003733E"/>
    <w:rsid w:val="00041361"/>
    <w:rsid w:val="00041EFE"/>
    <w:rsid w:val="0004370F"/>
    <w:rsid w:val="00043F0B"/>
    <w:rsid w:val="0004619E"/>
    <w:rsid w:val="000524BA"/>
    <w:rsid w:val="000556B2"/>
    <w:rsid w:val="00061F78"/>
    <w:rsid w:val="000652A9"/>
    <w:rsid w:val="00066A9D"/>
    <w:rsid w:val="00072D9D"/>
    <w:rsid w:val="00072E98"/>
    <w:rsid w:val="00073231"/>
    <w:rsid w:val="00073F45"/>
    <w:rsid w:val="00074948"/>
    <w:rsid w:val="00077251"/>
    <w:rsid w:val="00077BC1"/>
    <w:rsid w:val="00083900"/>
    <w:rsid w:val="000878A4"/>
    <w:rsid w:val="000903D5"/>
    <w:rsid w:val="00090B55"/>
    <w:rsid w:val="0009228A"/>
    <w:rsid w:val="00092D90"/>
    <w:rsid w:val="00097569"/>
    <w:rsid w:val="000A4248"/>
    <w:rsid w:val="000A4542"/>
    <w:rsid w:val="000A5DF0"/>
    <w:rsid w:val="000B1506"/>
    <w:rsid w:val="000B546B"/>
    <w:rsid w:val="000B63B6"/>
    <w:rsid w:val="000B6F1F"/>
    <w:rsid w:val="000B7561"/>
    <w:rsid w:val="000B7D57"/>
    <w:rsid w:val="000C16EE"/>
    <w:rsid w:val="000C22B1"/>
    <w:rsid w:val="000C2FE9"/>
    <w:rsid w:val="000C38B8"/>
    <w:rsid w:val="000C392F"/>
    <w:rsid w:val="000C74D8"/>
    <w:rsid w:val="000D0DD9"/>
    <w:rsid w:val="000D57F1"/>
    <w:rsid w:val="000D6225"/>
    <w:rsid w:val="000D6296"/>
    <w:rsid w:val="000D7A59"/>
    <w:rsid w:val="000E7BAD"/>
    <w:rsid w:val="000F0AD9"/>
    <w:rsid w:val="000F14F9"/>
    <w:rsid w:val="001010BF"/>
    <w:rsid w:val="00102F3B"/>
    <w:rsid w:val="001063C1"/>
    <w:rsid w:val="00107F2F"/>
    <w:rsid w:val="0011217E"/>
    <w:rsid w:val="00113CD1"/>
    <w:rsid w:val="00114F52"/>
    <w:rsid w:val="00115401"/>
    <w:rsid w:val="00120A03"/>
    <w:rsid w:val="0012118E"/>
    <w:rsid w:val="0012338F"/>
    <w:rsid w:val="001247A1"/>
    <w:rsid w:val="00130A59"/>
    <w:rsid w:val="00131589"/>
    <w:rsid w:val="00133949"/>
    <w:rsid w:val="00137870"/>
    <w:rsid w:val="00137F86"/>
    <w:rsid w:val="00143BD1"/>
    <w:rsid w:val="00146A64"/>
    <w:rsid w:val="00151430"/>
    <w:rsid w:val="00151BE9"/>
    <w:rsid w:val="0015272C"/>
    <w:rsid w:val="001660DD"/>
    <w:rsid w:val="0016696E"/>
    <w:rsid w:val="00167174"/>
    <w:rsid w:val="00171A69"/>
    <w:rsid w:val="00171C7F"/>
    <w:rsid w:val="00171F3E"/>
    <w:rsid w:val="001731F4"/>
    <w:rsid w:val="00174AED"/>
    <w:rsid w:val="001766C0"/>
    <w:rsid w:val="00180101"/>
    <w:rsid w:val="00180B5D"/>
    <w:rsid w:val="00182586"/>
    <w:rsid w:val="0019131C"/>
    <w:rsid w:val="001915DF"/>
    <w:rsid w:val="00193271"/>
    <w:rsid w:val="001953F6"/>
    <w:rsid w:val="00195FAF"/>
    <w:rsid w:val="0019604F"/>
    <w:rsid w:val="00196414"/>
    <w:rsid w:val="001968B4"/>
    <w:rsid w:val="001A0614"/>
    <w:rsid w:val="001A5008"/>
    <w:rsid w:val="001A5F59"/>
    <w:rsid w:val="001A6767"/>
    <w:rsid w:val="001B1C78"/>
    <w:rsid w:val="001B2E11"/>
    <w:rsid w:val="001B37DA"/>
    <w:rsid w:val="001C343E"/>
    <w:rsid w:val="001C4E06"/>
    <w:rsid w:val="001C68B7"/>
    <w:rsid w:val="001D4656"/>
    <w:rsid w:val="001D4AC5"/>
    <w:rsid w:val="001E0591"/>
    <w:rsid w:val="001E23EB"/>
    <w:rsid w:val="001F41B2"/>
    <w:rsid w:val="001F4F4A"/>
    <w:rsid w:val="001F7236"/>
    <w:rsid w:val="001F748D"/>
    <w:rsid w:val="001F783B"/>
    <w:rsid w:val="00200453"/>
    <w:rsid w:val="002013DC"/>
    <w:rsid w:val="002019F6"/>
    <w:rsid w:val="00203759"/>
    <w:rsid w:val="00206BB3"/>
    <w:rsid w:val="00207054"/>
    <w:rsid w:val="002078A6"/>
    <w:rsid w:val="002127EA"/>
    <w:rsid w:val="00213AD5"/>
    <w:rsid w:val="00214273"/>
    <w:rsid w:val="002149DE"/>
    <w:rsid w:val="00215791"/>
    <w:rsid w:val="002161E2"/>
    <w:rsid w:val="002208E0"/>
    <w:rsid w:val="00225F7D"/>
    <w:rsid w:val="0022702D"/>
    <w:rsid w:val="00227C9B"/>
    <w:rsid w:val="0023085F"/>
    <w:rsid w:val="00233373"/>
    <w:rsid w:val="00234C8F"/>
    <w:rsid w:val="002354FB"/>
    <w:rsid w:val="00235AC3"/>
    <w:rsid w:val="002363C6"/>
    <w:rsid w:val="00241701"/>
    <w:rsid w:val="00243C5C"/>
    <w:rsid w:val="0024424A"/>
    <w:rsid w:val="00244373"/>
    <w:rsid w:val="00244BB0"/>
    <w:rsid w:val="00244FA0"/>
    <w:rsid w:val="00247EF1"/>
    <w:rsid w:val="00250556"/>
    <w:rsid w:val="0025106B"/>
    <w:rsid w:val="002569FE"/>
    <w:rsid w:val="0026114A"/>
    <w:rsid w:val="00264CCE"/>
    <w:rsid w:val="0026642F"/>
    <w:rsid w:val="002674EF"/>
    <w:rsid w:val="00270E6C"/>
    <w:rsid w:val="00271D80"/>
    <w:rsid w:val="002722EC"/>
    <w:rsid w:val="002750E2"/>
    <w:rsid w:val="00277F64"/>
    <w:rsid w:val="002800C9"/>
    <w:rsid w:val="002803F6"/>
    <w:rsid w:val="00280584"/>
    <w:rsid w:val="00281F99"/>
    <w:rsid w:val="00283C09"/>
    <w:rsid w:val="00283E08"/>
    <w:rsid w:val="002864A6"/>
    <w:rsid w:val="00292076"/>
    <w:rsid w:val="002936ED"/>
    <w:rsid w:val="002A0A39"/>
    <w:rsid w:val="002A23F0"/>
    <w:rsid w:val="002A3147"/>
    <w:rsid w:val="002A4738"/>
    <w:rsid w:val="002A4D1C"/>
    <w:rsid w:val="002A56D5"/>
    <w:rsid w:val="002A5B07"/>
    <w:rsid w:val="002A6057"/>
    <w:rsid w:val="002B18A9"/>
    <w:rsid w:val="002B2C41"/>
    <w:rsid w:val="002C68EF"/>
    <w:rsid w:val="002D19BC"/>
    <w:rsid w:val="002D54C0"/>
    <w:rsid w:val="002D7E60"/>
    <w:rsid w:val="002E063D"/>
    <w:rsid w:val="002E1C4E"/>
    <w:rsid w:val="002E2FEE"/>
    <w:rsid w:val="002E3C04"/>
    <w:rsid w:val="002E5F8C"/>
    <w:rsid w:val="002E7352"/>
    <w:rsid w:val="002F426B"/>
    <w:rsid w:val="002F59CA"/>
    <w:rsid w:val="003052D2"/>
    <w:rsid w:val="003106C2"/>
    <w:rsid w:val="003123CC"/>
    <w:rsid w:val="003202A7"/>
    <w:rsid w:val="00320363"/>
    <w:rsid w:val="00320ECF"/>
    <w:rsid w:val="00322101"/>
    <w:rsid w:val="00322FA4"/>
    <w:rsid w:val="00326D29"/>
    <w:rsid w:val="00331BE3"/>
    <w:rsid w:val="00333AEB"/>
    <w:rsid w:val="0033412B"/>
    <w:rsid w:val="00334939"/>
    <w:rsid w:val="0033539F"/>
    <w:rsid w:val="003400B7"/>
    <w:rsid w:val="00343144"/>
    <w:rsid w:val="003433EA"/>
    <w:rsid w:val="00345E8F"/>
    <w:rsid w:val="0034739D"/>
    <w:rsid w:val="00347AB2"/>
    <w:rsid w:val="00352A6D"/>
    <w:rsid w:val="00352F5E"/>
    <w:rsid w:val="00353D0C"/>
    <w:rsid w:val="00355409"/>
    <w:rsid w:val="0035602B"/>
    <w:rsid w:val="003577E3"/>
    <w:rsid w:val="003630F7"/>
    <w:rsid w:val="00364D28"/>
    <w:rsid w:val="003655E7"/>
    <w:rsid w:val="003705CC"/>
    <w:rsid w:val="00372F58"/>
    <w:rsid w:val="003771BA"/>
    <w:rsid w:val="00380CE7"/>
    <w:rsid w:val="003813A3"/>
    <w:rsid w:val="00382418"/>
    <w:rsid w:val="00382DF7"/>
    <w:rsid w:val="00392BED"/>
    <w:rsid w:val="00393916"/>
    <w:rsid w:val="00394CD0"/>
    <w:rsid w:val="00395EEB"/>
    <w:rsid w:val="003A3A61"/>
    <w:rsid w:val="003A3E38"/>
    <w:rsid w:val="003A5E79"/>
    <w:rsid w:val="003A6A8E"/>
    <w:rsid w:val="003A72AB"/>
    <w:rsid w:val="003B2652"/>
    <w:rsid w:val="003B7851"/>
    <w:rsid w:val="003C23AB"/>
    <w:rsid w:val="003C5EED"/>
    <w:rsid w:val="003C741A"/>
    <w:rsid w:val="003D1C18"/>
    <w:rsid w:val="003D2256"/>
    <w:rsid w:val="003D2718"/>
    <w:rsid w:val="003D2A77"/>
    <w:rsid w:val="003D364D"/>
    <w:rsid w:val="003D3D8C"/>
    <w:rsid w:val="003D42A6"/>
    <w:rsid w:val="003D457D"/>
    <w:rsid w:val="003E17FE"/>
    <w:rsid w:val="003E19B3"/>
    <w:rsid w:val="003E1ACF"/>
    <w:rsid w:val="003E53D1"/>
    <w:rsid w:val="003E5A45"/>
    <w:rsid w:val="003F0D79"/>
    <w:rsid w:val="003F1B65"/>
    <w:rsid w:val="003F3D01"/>
    <w:rsid w:val="003F6E2A"/>
    <w:rsid w:val="0040063B"/>
    <w:rsid w:val="00400A1E"/>
    <w:rsid w:val="00406959"/>
    <w:rsid w:val="004130BF"/>
    <w:rsid w:val="004132DB"/>
    <w:rsid w:val="00416177"/>
    <w:rsid w:val="00420310"/>
    <w:rsid w:val="00421F69"/>
    <w:rsid w:val="004263D6"/>
    <w:rsid w:val="004306CC"/>
    <w:rsid w:val="00430A48"/>
    <w:rsid w:val="004359A9"/>
    <w:rsid w:val="00436B22"/>
    <w:rsid w:val="00436D91"/>
    <w:rsid w:val="0044338B"/>
    <w:rsid w:val="00445BB6"/>
    <w:rsid w:val="00453DCC"/>
    <w:rsid w:val="0045481C"/>
    <w:rsid w:val="004549B1"/>
    <w:rsid w:val="00455D4A"/>
    <w:rsid w:val="00456EFC"/>
    <w:rsid w:val="00463F04"/>
    <w:rsid w:val="0046412B"/>
    <w:rsid w:val="00466C8E"/>
    <w:rsid w:val="0046762F"/>
    <w:rsid w:val="00473C7B"/>
    <w:rsid w:val="00480E2B"/>
    <w:rsid w:val="00480F73"/>
    <w:rsid w:val="004827A1"/>
    <w:rsid w:val="00483524"/>
    <w:rsid w:val="004859AA"/>
    <w:rsid w:val="00486F63"/>
    <w:rsid w:val="0049287F"/>
    <w:rsid w:val="00494B2C"/>
    <w:rsid w:val="00497BEB"/>
    <w:rsid w:val="004A1A79"/>
    <w:rsid w:val="004A1EB7"/>
    <w:rsid w:val="004A3E95"/>
    <w:rsid w:val="004A4EC1"/>
    <w:rsid w:val="004A51B4"/>
    <w:rsid w:val="004A75D6"/>
    <w:rsid w:val="004B08A9"/>
    <w:rsid w:val="004B312F"/>
    <w:rsid w:val="004B35FA"/>
    <w:rsid w:val="004B41F5"/>
    <w:rsid w:val="004B766A"/>
    <w:rsid w:val="004C19BF"/>
    <w:rsid w:val="004C2522"/>
    <w:rsid w:val="004C3AF5"/>
    <w:rsid w:val="004C4B0F"/>
    <w:rsid w:val="004C4E1C"/>
    <w:rsid w:val="004C67F1"/>
    <w:rsid w:val="004C7DD1"/>
    <w:rsid w:val="004D2E60"/>
    <w:rsid w:val="004D3802"/>
    <w:rsid w:val="004D57A7"/>
    <w:rsid w:val="004D78C9"/>
    <w:rsid w:val="004E23D7"/>
    <w:rsid w:val="004E4F93"/>
    <w:rsid w:val="004E638D"/>
    <w:rsid w:val="004E6571"/>
    <w:rsid w:val="004E65CC"/>
    <w:rsid w:val="004F25E6"/>
    <w:rsid w:val="004F29D1"/>
    <w:rsid w:val="004F4CA0"/>
    <w:rsid w:val="004F4D5E"/>
    <w:rsid w:val="004F53C7"/>
    <w:rsid w:val="004F6A00"/>
    <w:rsid w:val="004F73BF"/>
    <w:rsid w:val="004F74A7"/>
    <w:rsid w:val="00505078"/>
    <w:rsid w:val="005055C7"/>
    <w:rsid w:val="00511B8F"/>
    <w:rsid w:val="00511D37"/>
    <w:rsid w:val="00512521"/>
    <w:rsid w:val="0051263D"/>
    <w:rsid w:val="005157DC"/>
    <w:rsid w:val="00515A76"/>
    <w:rsid w:val="005209E4"/>
    <w:rsid w:val="00522FD6"/>
    <w:rsid w:val="00524143"/>
    <w:rsid w:val="005275C9"/>
    <w:rsid w:val="0053489F"/>
    <w:rsid w:val="005401E1"/>
    <w:rsid w:val="00540362"/>
    <w:rsid w:val="005414CF"/>
    <w:rsid w:val="00542236"/>
    <w:rsid w:val="00545252"/>
    <w:rsid w:val="00545EA4"/>
    <w:rsid w:val="00546CEA"/>
    <w:rsid w:val="00547485"/>
    <w:rsid w:val="00553318"/>
    <w:rsid w:val="005548A2"/>
    <w:rsid w:val="00554D7B"/>
    <w:rsid w:val="00554F96"/>
    <w:rsid w:val="00556FFE"/>
    <w:rsid w:val="0056172A"/>
    <w:rsid w:val="00563F1A"/>
    <w:rsid w:val="00570E96"/>
    <w:rsid w:val="005736CB"/>
    <w:rsid w:val="005755EC"/>
    <w:rsid w:val="00575BFE"/>
    <w:rsid w:val="00576FD2"/>
    <w:rsid w:val="0058090E"/>
    <w:rsid w:val="00581474"/>
    <w:rsid w:val="005830C8"/>
    <w:rsid w:val="005845E5"/>
    <w:rsid w:val="00590A34"/>
    <w:rsid w:val="0059182F"/>
    <w:rsid w:val="00593618"/>
    <w:rsid w:val="00595EAC"/>
    <w:rsid w:val="005A4A11"/>
    <w:rsid w:val="005A5C97"/>
    <w:rsid w:val="005A604F"/>
    <w:rsid w:val="005A79C4"/>
    <w:rsid w:val="005B07BA"/>
    <w:rsid w:val="005B2596"/>
    <w:rsid w:val="005B3E0F"/>
    <w:rsid w:val="005B5BBE"/>
    <w:rsid w:val="005C0569"/>
    <w:rsid w:val="005C0644"/>
    <w:rsid w:val="005C139E"/>
    <w:rsid w:val="005C13E6"/>
    <w:rsid w:val="005C48CA"/>
    <w:rsid w:val="005C6F5E"/>
    <w:rsid w:val="005D1A08"/>
    <w:rsid w:val="005D4B53"/>
    <w:rsid w:val="005D5B87"/>
    <w:rsid w:val="005E2315"/>
    <w:rsid w:val="005E41D0"/>
    <w:rsid w:val="005E6377"/>
    <w:rsid w:val="005E65B4"/>
    <w:rsid w:val="005E7B3A"/>
    <w:rsid w:val="005F13DD"/>
    <w:rsid w:val="005F26E8"/>
    <w:rsid w:val="00600166"/>
    <w:rsid w:val="006059AB"/>
    <w:rsid w:val="00605BAC"/>
    <w:rsid w:val="00614235"/>
    <w:rsid w:val="006143D7"/>
    <w:rsid w:val="00615855"/>
    <w:rsid w:val="006204D9"/>
    <w:rsid w:val="006217C5"/>
    <w:rsid w:val="006264CF"/>
    <w:rsid w:val="00630502"/>
    <w:rsid w:val="00634DDA"/>
    <w:rsid w:val="00635295"/>
    <w:rsid w:val="006376A3"/>
    <w:rsid w:val="00637E04"/>
    <w:rsid w:val="00642F9B"/>
    <w:rsid w:val="006432FE"/>
    <w:rsid w:val="006437B6"/>
    <w:rsid w:val="006463C4"/>
    <w:rsid w:val="0064668D"/>
    <w:rsid w:val="006470D3"/>
    <w:rsid w:val="0065472F"/>
    <w:rsid w:val="00656381"/>
    <w:rsid w:val="00656453"/>
    <w:rsid w:val="00660B63"/>
    <w:rsid w:val="00671C3C"/>
    <w:rsid w:val="0067246C"/>
    <w:rsid w:val="006725C3"/>
    <w:rsid w:val="00675142"/>
    <w:rsid w:val="006807BC"/>
    <w:rsid w:val="00682AEB"/>
    <w:rsid w:val="00684E1C"/>
    <w:rsid w:val="006860D8"/>
    <w:rsid w:val="00692C52"/>
    <w:rsid w:val="00694659"/>
    <w:rsid w:val="00694CC0"/>
    <w:rsid w:val="00697EC9"/>
    <w:rsid w:val="006A2543"/>
    <w:rsid w:val="006A6B34"/>
    <w:rsid w:val="006B1B74"/>
    <w:rsid w:val="006B793B"/>
    <w:rsid w:val="006C4577"/>
    <w:rsid w:val="006C5CAE"/>
    <w:rsid w:val="006C6BF8"/>
    <w:rsid w:val="006C7FB1"/>
    <w:rsid w:val="006D2B46"/>
    <w:rsid w:val="006D3415"/>
    <w:rsid w:val="006D4D10"/>
    <w:rsid w:val="006D6477"/>
    <w:rsid w:val="006E3A44"/>
    <w:rsid w:val="006E74D6"/>
    <w:rsid w:val="006F09B2"/>
    <w:rsid w:val="007015FA"/>
    <w:rsid w:val="00701F8E"/>
    <w:rsid w:val="00710722"/>
    <w:rsid w:val="0071610A"/>
    <w:rsid w:val="007202D5"/>
    <w:rsid w:val="00720F5E"/>
    <w:rsid w:val="00721CD1"/>
    <w:rsid w:val="00723E52"/>
    <w:rsid w:val="00724EB6"/>
    <w:rsid w:val="0072709D"/>
    <w:rsid w:val="00734793"/>
    <w:rsid w:val="00735995"/>
    <w:rsid w:val="00735C28"/>
    <w:rsid w:val="00736ADA"/>
    <w:rsid w:val="00737BCF"/>
    <w:rsid w:val="007421EA"/>
    <w:rsid w:val="00742EF6"/>
    <w:rsid w:val="0075010B"/>
    <w:rsid w:val="00750299"/>
    <w:rsid w:val="00752090"/>
    <w:rsid w:val="00752471"/>
    <w:rsid w:val="007525DF"/>
    <w:rsid w:val="00754023"/>
    <w:rsid w:val="00762859"/>
    <w:rsid w:val="007650BD"/>
    <w:rsid w:val="00765CB2"/>
    <w:rsid w:val="007713C9"/>
    <w:rsid w:val="00772D7A"/>
    <w:rsid w:val="00773FA0"/>
    <w:rsid w:val="00781E44"/>
    <w:rsid w:val="007830C5"/>
    <w:rsid w:val="00783381"/>
    <w:rsid w:val="0078348A"/>
    <w:rsid w:val="007849A7"/>
    <w:rsid w:val="007867E1"/>
    <w:rsid w:val="00786AD1"/>
    <w:rsid w:val="0078716D"/>
    <w:rsid w:val="00787A1E"/>
    <w:rsid w:val="0079110D"/>
    <w:rsid w:val="00791FAE"/>
    <w:rsid w:val="007940C3"/>
    <w:rsid w:val="0079559E"/>
    <w:rsid w:val="007A3F7B"/>
    <w:rsid w:val="007A6658"/>
    <w:rsid w:val="007A713A"/>
    <w:rsid w:val="007A7B21"/>
    <w:rsid w:val="007A7C9A"/>
    <w:rsid w:val="007B19F0"/>
    <w:rsid w:val="007B6D56"/>
    <w:rsid w:val="007C0377"/>
    <w:rsid w:val="007C0618"/>
    <w:rsid w:val="007C1492"/>
    <w:rsid w:val="007C1932"/>
    <w:rsid w:val="007C58BE"/>
    <w:rsid w:val="007C71D8"/>
    <w:rsid w:val="007D0AF0"/>
    <w:rsid w:val="007D23C2"/>
    <w:rsid w:val="007D3281"/>
    <w:rsid w:val="007D4341"/>
    <w:rsid w:val="007D7C71"/>
    <w:rsid w:val="007E1434"/>
    <w:rsid w:val="007E1A2F"/>
    <w:rsid w:val="007E2BAC"/>
    <w:rsid w:val="007E2BB6"/>
    <w:rsid w:val="007E4981"/>
    <w:rsid w:val="007E50A9"/>
    <w:rsid w:val="007E636F"/>
    <w:rsid w:val="007F1144"/>
    <w:rsid w:val="007F29A6"/>
    <w:rsid w:val="007F3756"/>
    <w:rsid w:val="007F54A0"/>
    <w:rsid w:val="007F60D9"/>
    <w:rsid w:val="007F6F0F"/>
    <w:rsid w:val="007F7947"/>
    <w:rsid w:val="007F7D9F"/>
    <w:rsid w:val="0080673B"/>
    <w:rsid w:val="00814DD0"/>
    <w:rsid w:val="00816C95"/>
    <w:rsid w:val="00816DCE"/>
    <w:rsid w:val="00820B77"/>
    <w:rsid w:val="0082233A"/>
    <w:rsid w:val="00822385"/>
    <w:rsid w:val="00827D10"/>
    <w:rsid w:val="008340C6"/>
    <w:rsid w:val="00840406"/>
    <w:rsid w:val="008431F5"/>
    <w:rsid w:val="008455FF"/>
    <w:rsid w:val="00845DE0"/>
    <w:rsid w:val="00846699"/>
    <w:rsid w:val="00850D8B"/>
    <w:rsid w:val="008614A6"/>
    <w:rsid w:val="008623C7"/>
    <w:rsid w:val="0086271D"/>
    <w:rsid w:val="00862C84"/>
    <w:rsid w:val="00870B00"/>
    <w:rsid w:val="008772CB"/>
    <w:rsid w:val="00880791"/>
    <w:rsid w:val="008835CE"/>
    <w:rsid w:val="00885AB9"/>
    <w:rsid w:val="00886316"/>
    <w:rsid w:val="00886784"/>
    <w:rsid w:val="008878FC"/>
    <w:rsid w:val="00890EAB"/>
    <w:rsid w:val="00895582"/>
    <w:rsid w:val="00897464"/>
    <w:rsid w:val="00897DAB"/>
    <w:rsid w:val="008B249F"/>
    <w:rsid w:val="008B2508"/>
    <w:rsid w:val="008B4A22"/>
    <w:rsid w:val="008B4A53"/>
    <w:rsid w:val="008B5BA7"/>
    <w:rsid w:val="008B671B"/>
    <w:rsid w:val="008C2C3A"/>
    <w:rsid w:val="008C2C54"/>
    <w:rsid w:val="008C43EC"/>
    <w:rsid w:val="008C71BD"/>
    <w:rsid w:val="008C7F26"/>
    <w:rsid w:val="008E059E"/>
    <w:rsid w:val="008E05AB"/>
    <w:rsid w:val="008E4EDA"/>
    <w:rsid w:val="008E56A6"/>
    <w:rsid w:val="008E5C25"/>
    <w:rsid w:val="008E5F0C"/>
    <w:rsid w:val="008E7BF9"/>
    <w:rsid w:val="008F06F3"/>
    <w:rsid w:val="008F1F7F"/>
    <w:rsid w:val="008F35F8"/>
    <w:rsid w:val="008F3731"/>
    <w:rsid w:val="008F4B98"/>
    <w:rsid w:val="008F5686"/>
    <w:rsid w:val="008F6482"/>
    <w:rsid w:val="008F7016"/>
    <w:rsid w:val="008F7541"/>
    <w:rsid w:val="00907C56"/>
    <w:rsid w:val="00912FA8"/>
    <w:rsid w:val="009142C9"/>
    <w:rsid w:val="00920988"/>
    <w:rsid w:val="00921FE7"/>
    <w:rsid w:val="00923AEA"/>
    <w:rsid w:val="0092613F"/>
    <w:rsid w:val="009261AD"/>
    <w:rsid w:val="009279AF"/>
    <w:rsid w:val="00931287"/>
    <w:rsid w:val="009328CD"/>
    <w:rsid w:val="00933093"/>
    <w:rsid w:val="009331D4"/>
    <w:rsid w:val="0093576F"/>
    <w:rsid w:val="00945324"/>
    <w:rsid w:val="0094561B"/>
    <w:rsid w:val="00951235"/>
    <w:rsid w:val="0095126B"/>
    <w:rsid w:val="00953E9E"/>
    <w:rsid w:val="0095508A"/>
    <w:rsid w:val="009604D1"/>
    <w:rsid w:val="00964659"/>
    <w:rsid w:val="00965006"/>
    <w:rsid w:val="00966D05"/>
    <w:rsid w:val="00967BE5"/>
    <w:rsid w:val="00970089"/>
    <w:rsid w:val="00972627"/>
    <w:rsid w:val="00973ADF"/>
    <w:rsid w:val="00980177"/>
    <w:rsid w:val="009815FE"/>
    <w:rsid w:val="00982474"/>
    <w:rsid w:val="00984F9B"/>
    <w:rsid w:val="00987203"/>
    <w:rsid w:val="00987F0D"/>
    <w:rsid w:val="009907F3"/>
    <w:rsid w:val="00992B6B"/>
    <w:rsid w:val="00994CFF"/>
    <w:rsid w:val="009952CF"/>
    <w:rsid w:val="00997E3C"/>
    <w:rsid w:val="009A262F"/>
    <w:rsid w:val="009A44A9"/>
    <w:rsid w:val="009A77BC"/>
    <w:rsid w:val="009B1707"/>
    <w:rsid w:val="009B17FD"/>
    <w:rsid w:val="009B2B50"/>
    <w:rsid w:val="009B40D2"/>
    <w:rsid w:val="009B7D06"/>
    <w:rsid w:val="009C08BB"/>
    <w:rsid w:val="009C1533"/>
    <w:rsid w:val="009C1B46"/>
    <w:rsid w:val="009C1BFC"/>
    <w:rsid w:val="009C38FE"/>
    <w:rsid w:val="009C4329"/>
    <w:rsid w:val="009C52AE"/>
    <w:rsid w:val="009C62F1"/>
    <w:rsid w:val="009D0131"/>
    <w:rsid w:val="009D10AF"/>
    <w:rsid w:val="009D1527"/>
    <w:rsid w:val="009D1A3A"/>
    <w:rsid w:val="009D27E5"/>
    <w:rsid w:val="009D4929"/>
    <w:rsid w:val="009D4B45"/>
    <w:rsid w:val="009D5502"/>
    <w:rsid w:val="009D5EC8"/>
    <w:rsid w:val="009E1156"/>
    <w:rsid w:val="009E2E4F"/>
    <w:rsid w:val="009E3EC9"/>
    <w:rsid w:val="009E6AFE"/>
    <w:rsid w:val="009E6D39"/>
    <w:rsid w:val="009E7560"/>
    <w:rsid w:val="009F3262"/>
    <w:rsid w:val="009F37A5"/>
    <w:rsid w:val="00A005EA"/>
    <w:rsid w:val="00A04701"/>
    <w:rsid w:val="00A11F66"/>
    <w:rsid w:val="00A140B7"/>
    <w:rsid w:val="00A164DA"/>
    <w:rsid w:val="00A2000F"/>
    <w:rsid w:val="00A20679"/>
    <w:rsid w:val="00A24F7E"/>
    <w:rsid w:val="00A27282"/>
    <w:rsid w:val="00A31B32"/>
    <w:rsid w:val="00A32C00"/>
    <w:rsid w:val="00A34E82"/>
    <w:rsid w:val="00A352A3"/>
    <w:rsid w:val="00A36BBA"/>
    <w:rsid w:val="00A4380D"/>
    <w:rsid w:val="00A44457"/>
    <w:rsid w:val="00A46512"/>
    <w:rsid w:val="00A51569"/>
    <w:rsid w:val="00A52FAF"/>
    <w:rsid w:val="00A5415F"/>
    <w:rsid w:val="00A60D0C"/>
    <w:rsid w:val="00A6166B"/>
    <w:rsid w:val="00A6335C"/>
    <w:rsid w:val="00A66154"/>
    <w:rsid w:val="00A70096"/>
    <w:rsid w:val="00A71B95"/>
    <w:rsid w:val="00A758A1"/>
    <w:rsid w:val="00A80F99"/>
    <w:rsid w:val="00A81EDC"/>
    <w:rsid w:val="00A87E4B"/>
    <w:rsid w:val="00A91DEA"/>
    <w:rsid w:val="00A9259C"/>
    <w:rsid w:val="00A93C50"/>
    <w:rsid w:val="00A941CB"/>
    <w:rsid w:val="00A9539B"/>
    <w:rsid w:val="00AA0201"/>
    <w:rsid w:val="00AA029F"/>
    <w:rsid w:val="00AA4CC0"/>
    <w:rsid w:val="00AA57B5"/>
    <w:rsid w:val="00AA5D94"/>
    <w:rsid w:val="00AA62C3"/>
    <w:rsid w:val="00AA6AD0"/>
    <w:rsid w:val="00AA74B1"/>
    <w:rsid w:val="00AA7E94"/>
    <w:rsid w:val="00AB0962"/>
    <w:rsid w:val="00AB1CE8"/>
    <w:rsid w:val="00AB3B60"/>
    <w:rsid w:val="00AB6257"/>
    <w:rsid w:val="00AB7C82"/>
    <w:rsid w:val="00AC0FE8"/>
    <w:rsid w:val="00AC144F"/>
    <w:rsid w:val="00AC45AB"/>
    <w:rsid w:val="00AC628B"/>
    <w:rsid w:val="00AC6FBD"/>
    <w:rsid w:val="00AC77F2"/>
    <w:rsid w:val="00AD0E5A"/>
    <w:rsid w:val="00AD20E2"/>
    <w:rsid w:val="00AD4945"/>
    <w:rsid w:val="00AD653A"/>
    <w:rsid w:val="00AE6CDF"/>
    <w:rsid w:val="00AF02F2"/>
    <w:rsid w:val="00AF15FE"/>
    <w:rsid w:val="00AF2909"/>
    <w:rsid w:val="00AF2F51"/>
    <w:rsid w:val="00AF406E"/>
    <w:rsid w:val="00AF6A30"/>
    <w:rsid w:val="00B03A72"/>
    <w:rsid w:val="00B04064"/>
    <w:rsid w:val="00B047F9"/>
    <w:rsid w:val="00B04FED"/>
    <w:rsid w:val="00B075E8"/>
    <w:rsid w:val="00B105C6"/>
    <w:rsid w:val="00B11EB6"/>
    <w:rsid w:val="00B12CC8"/>
    <w:rsid w:val="00B17845"/>
    <w:rsid w:val="00B217E8"/>
    <w:rsid w:val="00B232A8"/>
    <w:rsid w:val="00B3049D"/>
    <w:rsid w:val="00B3085C"/>
    <w:rsid w:val="00B33B2A"/>
    <w:rsid w:val="00B36F78"/>
    <w:rsid w:val="00B42CB9"/>
    <w:rsid w:val="00B43398"/>
    <w:rsid w:val="00B44B03"/>
    <w:rsid w:val="00B45C17"/>
    <w:rsid w:val="00B529BD"/>
    <w:rsid w:val="00B54E64"/>
    <w:rsid w:val="00B62012"/>
    <w:rsid w:val="00B6305F"/>
    <w:rsid w:val="00B63CC1"/>
    <w:rsid w:val="00B65428"/>
    <w:rsid w:val="00B662B9"/>
    <w:rsid w:val="00B66B55"/>
    <w:rsid w:val="00B70B3E"/>
    <w:rsid w:val="00B80155"/>
    <w:rsid w:val="00B81EE8"/>
    <w:rsid w:val="00B84A45"/>
    <w:rsid w:val="00B90196"/>
    <w:rsid w:val="00B91E3A"/>
    <w:rsid w:val="00B92498"/>
    <w:rsid w:val="00B9419D"/>
    <w:rsid w:val="00B948ED"/>
    <w:rsid w:val="00B951BD"/>
    <w:rsid w:val="00B97EEB"/>
    <w:rsid w:val="00BA1C95"/>
    <w:rsid w:val="00BA4356"/>
    <w:rsid w:val="00BA5A9D"/>
    <w:rsid w:val="00BA65FC"/>
    <w:rsid w:val="00BB0E5C"/>
    <w:rsid w:val="00BB28E4"/>
    <w:rsid w:val="00BB318F"/>
    <w:rsid w:val="00BB56D7"/>
    <w:rsid w:val="00BB6AE5"/>
    <w:rsid w:val="00BB73D5"/>
    <w:rsid w:val="00BB7D68"/>
    <w:rsid w:val="00BB7F77"/>
    <w:rsid w:val="00BC2DAD"/>
    <w:rsid w:val="00BC596A"/>
    <w:rsid w:val="00BD0328"/>
    <w:rsid w:val="00BD0E2C"/>
    <w:rsid w:val="00BD15E5"/>
    <w:rsid w:val="00BD233F"/>
    <w:rsid w:val="00BD50B4"/>
    <w:rsid w:val="00BD56DE"/>
    <w:rsid w:val="00BD7B9A"/>
    <w:rsid w:val="00BE0A1F"/>
    <w:rsid w:val="00BE1C90"/>
    <w:rsid w:val="00BE40F7"/>
    <w:rsid w:val="00BE51EA"/>
    <w:rsid w:val="00BE7284"/>
    <w:rsid w:val="00BE7743"/>
    <w:rsid w:val="00BF1F79"/>
    <w:rsid w:val="00BF320A"/>
    <w:rsid w:val="00C02632"/>
    <w:rsid w:val="00C02DDD"/>
    <w:rsid w:val="00C0566F"/>
    <w:rsid w:val="00C16183"/>
    <w:rsid w:val="00C212E8"/>
    <w:rsid w:val="00C3180F"/>
    <w:rsid w:val="00C31EDF"/>
    <w:rsid w:val="00C321AA"/>
    <w:rsid w:val="00C34431"/>
    <w:rsid w:val="00C34511"/>
    <w:rsid w:val="00C4071F"/>
    <w:rsid w:val="00C4087F"/>
    <w:rsid w:val="00C4119B"/>
    <w:rsid w:val="00C41AE2"/>
    <w:rsid w:val="00C4723A"/>
    <w:rsid w:val="00C50BBB"/>
    <w:rsid w:val="00C50D42"/>
    <w:rsid w:val="00C52539"/>
    <w:rsid w:val="00C52827"/>
    <w:rsid w:val="00C52D9F"/>
    <w:rsid w:val="00C60085"/>
    <w:rsid w:val="00C61539"/>
    <w:rsid w:val="00C6435E"/>
    <w:rsid w:val="00C6715D"/>
    <w:rsid w:val="00C679CF"/>
    <w:rsid w:val="00C703B4"/>
    <w:rsid w:val="00C70A39"/>
    <w:rsid w:val="00C735ED"/>
    <w:rsid w:val="00C758AB"/>
    <w:rsid w:val="00C8170E"/>
    <w:rsid w:val="00C81AB8"/>
    <w:rsid w:val="00C81D76"/>
    <w:rsid w:val="00C821E1"/>
    <w:rsid w:val="00C84180"/>
    <w:rsid w:val="00C843D5"/>
    <w:rsid w:val="00C87A2C"/>
    <w:rsid w:val="00C92A85"/>
    <w:rsid w:val="00C93033"/>
    <w:rsid w:val="00CA014F"/>
    <w:rsid w:val="00CA1D0F"/>
    <w:rsid w:val="00CA2C14"/>
    <w:rsid w:val="00CA3349"/>
    <w:rsid w:val="00CA3CB4"/>
    <w:rsid w:val="00CA4242"/>
    <w:rsid w:val="00CA4AD0"/>
    <w:rsid w:val="00CA56CD"/>
    <w:rsid w:val="00CB05B5"/>
    <w:rsid w:val="00CB272E"/>
    <w:rsid w:val="00CB2869"/>
    <w:rsid w:val="00CB4DF4"/>
    <w:rsid w:val="00CB5D36"/>
    <w:rsid w:val="00CB6E30"/>
    <w:rsid w:val="00CB6EFC"/>
    <w:rsid w:val="00CB7DEB"/>
    <w:rsid w:val="00CC3D4D"/>
    <w:rsid w:val="00CC5B8D"/>
    <w:rsid w:val="00CC5E0F"/>
    <w:rsid w:val="00CD5EE8"/>
    <w:rsid w:val="00CD7224"/>
    <w:rsid w:val="00CD7BF1"/>
    <w:rsid w:val="00CE0D9D"/>
    <w:rsid w:val="00CE5033"/>
    <w:rsid w:val="00CE727C"/>
    <w:rsid w:val="00D027AF"/>
    <w:rsid w:val="00D04ED6"/>
    <w:rsid w:val="00D11533"/>
    <w:rsid w:val="00D12225"/>
    <w:rsid w:val="00D1485F"/>
    <w:rsid w:val="00D16DAA"/>
    <w:rsid w:val="00D17E44"/>
    <w:rsid w:val="00D20625"/>
    <w:rsid w:val="00D21B58"/>
    <w:rsid w:val="00D21B9B"/>
    <w:rsid w:val="00D32887"/>
    <w:rsid w:val="00D33BF1"/>
    <w:rsid w:val="00D42657"/>
    <w:rsid w:val="00D430E1"/>
    <w:rsid w:val="00D432EF"/>
    <w:rsid w:val="00D4529C"/>
    <w:rsid w:val="00D52668"/>
    <w:rsid w:val="00D53265"/>
    <w:rsid w:val="00D54129"/>
    <w:rsid w:val="00D572AC"/>
    <w:rsid w:val="00D573B7"/>
    <w:rsid w:val="00D6087A"/>
    <w:rsid w:val="00D64892"/>
    <w:rsid w:val="00D6611A"/>
    <w:rsid w:val="00D7066C"/>
    <w:rsid w:val="00D73CFE"/>
    <w:rsid w:val="00D75FE9"/>
    <w:rsid w:val="00D762E6"/>
    <w:rsid w:val="00D7659A"/>
    <w:rsid w:val="00D76E6B"/>
    <w:rsid w:val="00D81821"/>
    <w:rsid w:val="00D83F64"/>
    <w:rsid w:val="00D86B88"/>
    <w:rsid w:val="00D9103C"/>
    <w:rsid w:val="00D915C4"/>
    <w:rsid w:val="00D91F6D"/>
    <w:rsid w:val="00D92659"/>
    <w:rsid w:val="00D927D9"/>
    <w:rsid w:val="00D95A75"/>
    <w:rsid w:val="00D966EE"/>
    <w:rsid w:val="00DA0F3B"/>
    <w:rsid w:val="00DA1ECE"/>
    <w:rsid w:val="00DA2008"/>
    <w:rsid w:val="00DB0221"/>
    <w:rsid w:val="00DB1476"/>
    <w:rsid w:val="00DB1AF2"/>
    <w:rsid w:val="00DB1D1D"/>
    <w:rsid w:val="00DB35CD"/>
    <w:rsid w:val="00DB4474"/>
    <w:rsid w:val="00DB5AAD"/>
    <w:rsid w:val="00DB6C9E"/>
    <w:rsid w:val="00DB74ED"/>
    <w:rsid w:val="00DB7940"/>
    <w:rsid w:val="00DC1BD4"/>
    <w:rsid w:val="00DC2E61"/>
    <w:rsid w:val="00DC374D"/>
    <w:rsid w:val="00DC3C1F"/>
    <w:rsid w:val="00DC4DF1"/>
    <w:rsid w:val="00DD07AF"/>
    <w:rsid w:val="00DD2921"/>
    <w:rsid w:val="00DD3CCC"/>
    <w:rsid w:val="00DD66A5"/>
    <w:rsid w:val="00DE071B"/>
    <w:rsid w:val="00DE0C66"/>
    <w:rsid w:val="00DE1B6A"/>
    <w:rsid w:val="00DE7ED0"/>
    <w:rsid w:val="00DF1439"/>
    <w:rsid w:val="00DF1CA3"/>
    <w:rsid w:val="00DF1F96"/>
    <w:rsid w:val="00DF39EA"/>
    <w:rsid w:val="00DF448F"/>
    <w:rsid w:val="00DF5F13"/>
    <w:rsid w:val="00E002C2"/>
    <w:rsid w:val="00E0410B"/>
    <w:rsid w:val="00E04A94"/>
    <w:rsid w:val="00E04CA1"/>
    <w:rsid w:val="00E04E80"/>
    <w:rsid w:val="00E06A66"/>
    <w:rsid w:val="00E12E4F"/>
    <w:rsid w:val="00E140BF"/>
    <w:rsid w:val="00E16663"/>
    <w:rsid w:val="00E202F0"/>
    <w:rsid w:val="00E20626"/>
    <w:rsid w:val="00E20AB9"/>
    <w:rsid w:val="00E26D98"/>
    <w:rsid w:val="00E309A2"/>
    <w:rsid w:val="00E30F7B"/>
    <w:rsid w:val="00E34A73"/>
    <w:rsid w:val="00E350CD"/>
    <w:rsid w:val="00E36E8E"/>
    <w:rsid w:val="00E375F6"/>
    <w:rsid w:val="00E42497"/>
    <w:rsid w:val="00E43614"/>
    <w:rsid w:val="00E479DD"/>
    <w:rsid w:val="00E55523"/>
    <w:rsid w:val="00E56CDF"/>
    <w:rsid w:val="00E6450B"/>
    <w:rsid w:val="00E657E7"/>
    <w:rsid w:val="00E66291"/>
    <w:rsid w:val="00E700CD"/>
    <w:rsid w:val="00E70E1A"/>
    <w:rsid w:val="00E721E8"/>
    <w:rsid w:val="00E73F5F"/>
    <w:rsid w:val="00E7454C"/>
    <w:rsid w:val="00E74FB6"/>
    <w:rsid w:val="00E76713"/>
    <w:rsid w:val="00E80C7A"/>
    <w:rsid w:val="00E80E6C"/>
    <w:rsid w:val="00E8154E"/>
    <w:rsid w:val="00E81585"/>
    <w:rsid w:val="00E818E8"/>
    <w:rsid w:val="00E82531"/>
    <w:rsid w:val="00E82FAE"/>
    <w:rsid w:val="00E83395"/>
    <w:rsid w:val="00E85AF9"/>
    <w:rsid w:val="00E86259"/>
    <w:rsid w:val="00E91AFA"/>
    <w:rsid w:val="00E92D55"/>
    <w:rsid w:val="00E94B99"/>
    <w:rsid w:val="00E97484"/>
    <w:rsid w:val="00EA0F16"/>
    <w:rsid w:val="00EA3598"/>
    <w:rsid w:val="00EB19CC"/>
    <w:rsid w:val="00EB1D30"/>
    <w:rsid w:val="00EB1F15"/>
    <w:rsid w:val="00EB35EA"/>
    <w:rsid w:val="00EB3D19"/>
    <w:rsid w:val="00EB5C2E"/>
    <w:rsid w:val="00EB6A00"/>
    <w:rsid w:val="00EB7843"/>
    <w:rsid w:val="00EC011A"/>
    <w:rsid w:val="00EC078A"/>
    <w:rsid w:val="00EC36AD"/>
    <w:rsid w:val="00EC4BAD"/>
    <w:rsid w:val="00EC5ED3"/>
    <w:rsid w:val="00EC62C4"/>
    <w:rsid w:val="00ED2DB9"/>
    <w:rsid w:val="00ED3153"/>
    <w:rsid w:val="00ED44FF"/>
    <w:rsid w:val="00ED50C2"/>
    <w:rsid w:val="00ED52A9"/>
    <w:rsid w:val="00ED52BA"/>
    <w:rsid w:val="00ED6879"/>
    <w:rsid w:val="00EE4A63"/>
    <w:rsid w:val="00EF0A30"/>
    <w:rsid w:val="00EF5F04"/>
    <w:rsid w:val="00EF6FC4"/>
    <w:rsid w:val="00F01D16"/>
    <w:rsid w:val="00F069DC"/>
    <w:rsid w:val="00F07328"/>
    <w:rsid w:val="00F07466"/>
    <w:rsid w:val="00F10927"/>
    <w:rsid w:val="00F1156E"/>
    <w:rsid w:val="00F13ABD"/>
    <w:rsid w:val="00F16DA4"/>
    <w:rsid w:val="00F243E0"/>
    <w:rsid w:val="00F3074E"/>
    <w:rsid w:val="00F31B9D"/>
    <w:rsid w:val="00F3478B"/>
    <w:rsid w:val="00F36382"/>
    <w:rsid w:val="00F363F6"/>
    <w:rsid w:val="00F371E7"/>
    <w:rsid w:val="00F40590"/>
    <w:rsid w:val="00F40EC8"/>
    <w:rsid w:val="00F42B50"/>
    <w:rsid w:val="00F42C82"/>
    <w:rsid w:val="00F4559A"/>
    <w:rsid w:val="00F46E98"/>
    <w:rsid w:val="00F46EDC"/>
    <w:rsid w:val="00F5543A"/>
    <w:rsid w:val="00F60DC0"/>
    <w:rsid w:val="00F621F4"/>
    <w:rsid w:val="00F6266E"/>
    <w:rsid w:val="00F649EB"/>
    <w:rsid w:val="00F663A7"/>
    <w:rsid w:val="00F66AF8"/>
    <w:rsid w:val="00F67AF3"/>
    <w:rsid w:val="00F72496"/>
    <w:rsid w:val="00F72499"/>
    <w:rsid w:val="00F75459"/>
    <w:rsid w:val="00F82769"/>
    <w:rsid w:val="00F84561"/>
    <w:rsid w:val="00F84AE3"/>
    <w:rsid w:val="00F86F91"/>
    <w:rsid w:val="00F87E42"/>
    <w:rsid w:val="00F90D4F"/>
    <w:rsid w:val="00F92850"/>
    <w:rsid w:val="00F9563A"/>
    <w:rsid w:val="00F96FAA"/>
    <w:rsid w:val="00FA43BC"/>
    <w:rsid w:val="00FA6F5A"/>
    <w:rsid w:val="00FB1001"/>
    <w:rsid w:val="00FB2AB7"/>
    <w:rsid w:val="00FB47BE"/>
    <w:rsid w:val="00FB5683"/>
    <w:rsid w:val="00FB6CE5"/>
    <w:rsid w:val="00FB7F52"/>
    <w:rsid w:val="00FC1C81"/>
    <w:rsid w:val="00FC398B"/>
    <w:rsid w:val="00FC48B3"/>
    <w:rsid w:val="00FC4D33"/>
    <w:rsid w:val="00FC5B3B"/>
    <w:rsid w:val="00FC5FE8"/>
    <w:rsid w:val="00FC6903"/>
    <w:rsid w:val="00FD016F"/>
    <w:rsid w:val="00FD142A"/>
    <w:rsid w:val="00FD30E3"/>
    <w:rsid w:val="00FD3DAA"/>
    <w:rsid w:val="00FD4301"/>
    <w:rsid w:val="00FD5C87"/>
    <w:rsid w:val="00FD6F86"/>
    <w:rsid w:val="00FD7898"/>
    <w:rsid w:val="00FE13EA"/>
    <w:rsid w:val="00FE3BF7"/>
    <w:rsid w:val="00FE4FE3"/>
    <w:rsid w:val="00FF2FF6"/>
    <w:rsid w:val="00FF7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3846A94"/>
  <w15:chartTrackingRefBased/>
  <w15:docId w15:val="{02AB5A7B-1797-48EA-9A4B-3EA7D5604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31C"/>
  </w:style>
  <w:style w:type="paragraph" w:styleId="Heading1">
    <w:name w:val="heading 1"/>
    <w:basedOn w:val="Normal"/>
    <w:next w:val="Normal"/>
    <w:link w:val="Heading1Char"/>
    <w:uiPriority w:val="9"/>
    <w:qFormat/>
    <w:rsid w:val="009B7D06"/>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B7D0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9B7D06"/>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unhideWhenUsed/>
    <w:qFormat/>
    <w:rsid w:val="009B7D0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9B7D06"/>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unhideWhenUsed/>
    <w:qFormat/>
    <w:rsid w:val="009B7D06"/>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unhideWhenUsed/>
    <w:qFormat/>
    <w:rsid w:val="009B7D06"/>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unhideWhenUsed/>
    <w:qFormat/>
    <w:rsid w:val="009B7D06"/>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unhideWhenUsed/>
    <w:qFormat/>
    <w:rsid w:val="009B7D06"/>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D06"/>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9B7D0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9B7D06"/>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rsid w:val="009B7D0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9B7D06"/>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rsid w:val="009B7D06"/>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rsid w:val="009B7D06"/>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rsid w:val="009B7D06"/>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rsid w:val="009B7D06"/>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9B7D06"/>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9B7D06"/>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9B7D0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B7D0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9B7D0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B7D06"/>
    <w:rPr>
      <w:i/>
      <w:iCs/>
      <w:color w:val="404040" w:themeColor="text1" w:themeTint="BF"/>
    </w:rPr>
  </w:style>
  <w:style w:type="paragraph" w:styleId="ListParagraph">
    <w:name w:val="List Paragraph"/>
    <w:basedOn w:val="Normal"/>
    <w:uiPriority w:val="34"/>
    <w:qFormat/>
    <w:rsid w:val="002569FE"/>
    <w:pPr>
      <w:ind w:left="720"/>
      <w:contextualSpacing/>
    </w:pPr>
  </w:style>
  <w:style w:type="character" w:styleId="IntenseEmphasis">
    <w:name w:val="Intense Emphasis"/>
    <w:basedOn w:val="DefaultParagraphFont"/>
    <w:uiPriority w:val="21"/>
    <w:qFormat/>
    <w:rsid w:val="009B7D06"/>
    <w:rPr>
      <w:b/>
      <w:bCs/>
      <w:i/>
      <w:iCs/>
    </w:rPr>
  </w:style>
  <w:style w:type="paragraph" w:styleId="IntenseQuote">
    <w:name w:val="Intense Quote"/>
    <w:basedOn w:val="Normal"/>
    <w:next w:val="Normal"/>
    <w:link w:val="IntenseQuoteChar"/>
    <w:uiPriority w:val="30"/>
    <w:qFormat/>
    <w:rsid w:val="009B7D06"/>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9B7D06"/>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9B7D06"/>
    <w:rPr>
      <w:b/>
      <w:bCs/>
      <w:smallCaps/>
      <w:spacing w:val="5"/>
      <w:u w:val="single"/>
    </w:rPr>
  </w:style>
  <w:style w:type="paragraph" w:styleId="Caption">
    <w:name w:val="caption"/>
    <w:basedOn w:val="Normal"/>
    <w:next w:val="Normal"/>
    <w:uiPriority w:val="35"/>
    <w:unhideWhenUsed/>
    <w:qFormat/>
    <w:rsid w:val="009B7D06"/>
    <w:pPr>
      <w:spacing w:line="240" w:lineRule="auto"/>
    </w:pPr>
    <w:rPr>
      <w:b/>
      <w:bCs/>
      <w:smallCaps/>
      <w:color w:val="595959" w:themeColor="text1" w:themeTint="A6"/>
      <w:spacing w:val="6"/>
    </w:rPr>
  </w:style>
  <w:style w:type="paragraph" w:styleId="Header">
    <w:name w:val="header"/>
    <w:basedOn w:val="Normal"/>
    <w:link w:val="HeaderChar"/>
    <w:uiPriority w:val="99"/>
    <w:unhideWhenUsed/>
    <w:rsid w:val="001A0614"/>
    <w:pPr>
      <w:tabs>
        <w:tab w:val="center" w:pos="4513"/>
        <w:tab w:val="right" w:pos="9026"/>
      </w:tabs>
      <w:spacing w:line="240" w:lineRule="auto"/>
    </w:pPr>
  </w:style>
  <w:style w:type="character" w:customStyle="1" w:styleId="HeaderChar">
    <w:name w:val="Header Char"/>
    <w:basedOn w:val="DefaultParagraphFont"/>
    <w:link w:val="Header"/>
    <w:uiPriority w:val="99"/>
    <w:rsid w:val="001A0614"/>
    <w:rPr>
      <w:rFonts w:ascii="Arial" w:eastAsia="Times New Roman" w:hAnsi="Arial" w:cs="Times New Roman"/>
      <w:kern w:val="0"/>
      <w:sz w:val="24"/>
      <w:szCs w:val="24"/>
      <w14:ligatures w14:val="none"/>
    </w:rPr>
  </w:style>
  <w:style w:type="paragraph" w:styleId="Footer">
    <w:name w:val="footer"/>
    <w:basedOn w:val="Normal"/>
    <w:link w:val="FooterChar"/>
    <w:uiPriority w:val="99"/>
    <w:unhideWhenUsed/>
    <w:rsid w:val="001A0614"/>
    <w:pPr>
      <w:tabs>
        <w:tab w:val="center" w:pos="4513"/>
        <w:tab w:val="right" w:pos="9026"/>
      </w:tabs>
      <w:spacing w:line="240" w:lineRule="auto"/>
    </w:pPr>
  </w:style>
  <w:style w:type="character" w:customStyle="1" w:styleId="FooterChar">
    <w:name w:val="Footer Char"/>
    <w:basedOn w:val="DefaultParagraphFont"/>
    <w:link w:val="Footer"/>
    <w:uiPriority w:val="99"/>
    <w:rsid w:val="001A0614"/>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5B3E0F"/>
    <w:rPr>
      <w:color w:val="666666"/>
    </w:rPr>
  </w:style>
  <w:style w:type="character" w:styleId="Strong">
    <w:name w:val="Strong"/>
    <w:basedOn w:val="DefaultParagraphFont"/>
    <w:uiPriority w:val="22"/>
    <w:qFormat/>
    <w:rsid w:val="009B7D06"/>
    <w:rPr>
      <w:b/>
      <w:bCs/>
    </w:rPr>
  </w:style>
  <w:style w:type="character" w:styleId="Emphasis">
    <w:name w:val="Emphasis"/>
    <w:basedOn w:val="DefaultParagraphFont"/>
    <w:uiPriority w:val="20"/>
    <w:qFormat/>
    <w:rsid w:val="009B7D06"/>
    <w:rPr>
      <w:i/>
      <w:iCs/>
    </w:rPr>
  </w:style>
  <w:style w:type="paragraph" w:styleId="NoSpacing">
    <w:name w:val="No Spacing"/>
    <w:uiPriority w:val="1"/>
    <w:qFormat/>
    <w:rsid w:val="009B7D06"/>
    <w:pPr>
      <w:spacing w:after="0" w:line="240" w:lineRule="auto"/>
    </w:pPr>
  </w:style>
  <w:style w:type="character" w:styleId="SubtleEmphasis">
    <w:name w:val="Subtle Emphasis"/>
    <w:basedOn w:val="DefaultParagraphFont"/>
    <w:uiPriority w:val="19"/>
    <w:qFormat/>
    <w:rsid w:val="009B7D06"/>
    <w:rPr>
      <w:i/>
      <w:iCs/>
      <w:color w:val="404040" w:themeColor="text1" w:themeTint="BF"/>
    </w:rPr>
  </w:style>
  <w:style w:type="character" w:styleId="SubtleReference">
    <w:name w:val="Subtle Reference"/>
    <w:basedOn w:val="DefaultParagraphFont"/>
    <w:uiPriority w:val="31"/>
    <w:qFormat/>
    <w:rsid w:val="009B7D06"/>
    <w:rPr>
      <w:smallCaps/>
      <w:color w:val="404040" w:themeColor="text1" w:themeTint="BF"/>
      <w:u w:val="single" w:color="7F7F7F" w:themeColor="text1" w:themeTint="80"/>
    </w:rPr>
  </w:style>
  <w:style w:type="character" w:styleId="BookTitle">
    <w:name w:val="Book Title"/>
    <w:basedOn w:val="DefaultParagraphFont"/>
    <w:uiPriority w:val="33"/>
    <w:qFormat/>
    <w:rsid w:val="009B7D06"/>
    <w:rPr>
      <w:b/>
      <w:bCs/>
      <w:smallCaps/>
    </w:rPr>
  </w:style>
  <w:style w:type="paragraph" w:styleId="TOCHeading">
    <w:name w:val="TOC Heading"/>
    <w:basedOn w:val="Heading1"/>
    <w:next w:val="Normal"/>
    <w:uiPriority w:val="39"/>
    <w:semiHidden/>
    <w:unhideWhenUsed/>
    <w:qFormat/>
    <w:rsid w:val="009B7D06"/>
    <w:pPr>
      <w:outlineLvl w:val="9"/>
    </w:pPr>
  </w:style>
  <w:style w:type="character" w:styleId="Hyperlink">
    <w:name w:val="Hyperlink"/>
    <w:basedOn w:val="DefaultParagraphFont"/>
    <w:uiPriority w:val="99"/>
    <w:unhideWhenUsed/>
    <w:rsid w:val="007E4981"/>
    <w:rPr>
      <w:color w:val="467886" w:themeColor="hyperlink"/>
      <w:u w:val="single"/>
    </w:rPr>
  </w:style>
  <w:style w:type="character" w:styleId="UnresolvedMention">
    <w:name w:val="Unresolved Mention"/>
    <w:basedOn w:val="DefaultParagraphFont"/>
    <w:uiPriority w:val="99"/>
    <w:semiHidden/>
    <w:unhideWhenUsed/>
    <w:rsid w:val="007E4981"/>
    <w:rPr>
      <w:color w:val="605E5C"/>
      <w:shd w:val="clear" w:color="auto" w:fill="E1DFDD"/>
    </w:rPr>
  </w:style>
  <w:style w:type="paragraph" w:styleId="Bibliography">
    <w:name w:val="Bibliography"/>
    <w:basedOn w:val="Normal"/>
    <w:next w:val="Normal"/>
    <w:uiPriority w:val="37"/>
    <w:unhideWhenUsed/>
    <w:rsid w:val="003D2A77"/>
  </w:style>
  <w:style w:type="table" w:styleId="TableGrid">
    <w:name w:val="Table Grid"/>
    <w:basedOn w:val="TableNormal"/>
    <w:uiPriority w:val="39"/>
    <w:rsid w:val="00ED68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BF1F79"/>
    <w:pPr>
      <w:spacing w:after="0"/>
    </w:pPr>
  </w:style>
  <w:style w:type="paragraph" w:styleId="NormalWeb">
    <w:name w:val="Normal (Web)"/>
    <w:basedOn w:val="Normal"/>
    <w:uiPriority w:val="99"/>
    <w:semiHidden/>
    <w:unhideWhenUsed/>
    <w:rsid w:val="0054748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469">
      <w:bodyDiv w:val="1"/>
      <w:marLeft w:val="0"/>
      <w:marRight w:val="0"/>
      <w:marTop w:val="0"/>
      <w:marBottom w:val="0"/>
      <w:divBdr>
        <w:top w:val="none" w:sz="0" w:space="0" w:color="auto"/>
        <w:left w:val="none" w:sz="0" w:space="0" w:color="auto"/>
        <w:bottom w:val="none" w:sz="0" w:space="0" w:color="auto"/>
        <w:right w:val="none" w:sz="0" w:space="0" w:color="auto"/>
      </w:divBdr>
    </w:div>
    <w:div w:id="9140508">
      <w:bodyDiv w:val="1"/>
      <w:marLeft w:val="0"/>
      <w:marRight w:val="0"/>
      <w:marTop w:val="0"/>
      <w:marBottom w:val="0"/>
      <w:divBdr>
        <w:top w:val="none" w:sz="0" w:space="0" w:color="auto"/>
        <w:left w:val="none" w:sz="0" w:space="0" w:color="auto"/>
        <w:bottom w:val="none" w:sz="0" w:space="0" w:color="auto"/>
        <w:right w:val="none" w:sz="0" w:space="0" w:color="auto"/>
      </w:divBdr>
    </w:div>
    <w:div w:id="23675376">
      <w:bodyDiv w:val="1"/>
      <w:marLeft w:val="0"/>
      <w:marRight w:val="0"/>
      <w:marTop w:val="0"/>
      <w:marBottom w:val="0"/>
      <w:divBdr>
        <w:top w:val="none" w:sz="0" w:space="0" w:color="auto"/>
        <w:left w:val="none" w:sz="0" w:space="0" w:color="auto"/>
        <w:bottom w:val="none" w:sz="0" w:space="0" w:color="auto"/>
        <w:right w:val="none" w:sz="0" w:space="0" w:color="auto"/>
      </w:divBdr>
    </w:div>
    <w:div w:id="29768302">
      <w:bodyDiv w:val="1"/>
      <w:marLeft w:val="0"/>
      <w:marRight w:val="0"/>
      <w:marTop w:val="0"/>
      <w:marBottom w:val="0"/>
      <w:divBdr>
        <w:top w:val="none" w:sz="0" w:space="0" w:color="auto"/>
        <w:left w:val="none" w:sz="0" w:space="0" w:color="auto"/>
        <w:bottom w:val="none" w:sz="0" w:space="0" w:color="auto"/>
        <w:right w:val="none" w:sz="0" w:space="0" w:color="auto"/>
      </w:divBdr>
    </w:div>
    <w:div w:id="61297014">
      <w:bodyDiv w:val="1"/>
      <w:marLeft w:val="0"/>
      <w:marRight w:val="0"/>
      <w:marTop w:val="0"/>
      <w:marBottom w:val="0"/>
      <w:divBdr>
        <w:top w:val="none" w:sz="0" w:space="0" w:color="auto"/>
        <w:left w:val="none" w:sz="0" w:space="0" w:color="auto"/>
        <w:bottom w:val="none" w:sz="0" w:space="0" w:color="auto"/>
        <w:right w:val="none" w:sz="0" w:space="0" w:color="auto"/>
      </w:divBdr>
    </w:div>
    <w:div w:id="63576487">
      <w:bodyDiv w:val="1"/>
      <w:marLeft w:val="0"/>
      <w:marRight w:val="0"/>
      <w:marTop w:val="0"/>
      <w:marBottom w:val="0"/>
      <w:divBdr>
        <w:top w:val="none" w:sz="0" w:space="0" w:color="auto"/>
        <w:left w:val="none" w:sz="0" w:space="0" w:color="auto"/>
        <w:bottom w:val="none" w:sz="0" w:space="0" w:color="auto"/>
        <w:right w:val="none" w:sz="0" w:space="0" w:color="auto"/>
      </w:divBdr>
    </w:div>
    <w:div w:id="67651469">
      <w:bodyDiv w:val="1"/>
      <w:marLeft w:val="0"/>
      <w:marRight w:val="0"/>
      <w:marTop w:val="0"/>
      <w:marBottom w:val="0"/>
      <w:divBdr>
        <w:top w:val="none" w:sz="0" w:space="0" w:color="auto"/>
        <w:left w:val="none" w:sz="0" w:space="0" w:color="auto"/>
        <w:bottom w:val="none" w:sz="0" w:space="0" w:color="auto"/>
        <w:right w:val="none" w:sz="0" w:space="0" w:color="auto"/>
      </w:divBdr>
    </w:div>
    <w:div w:id="72047260">
      <w:bodyDiv w:val="1"/>
      <w:marLeft w:val="0"/>
      <w:marRight w:val="0"/>
      <w:marTop w:val="0"/>
      <w:marBottom w:val="0"/>
      <w:divBdr>
        <w:top w:val="none" w:sz="0" w:space="0" w:color="auto"/>
        <w:left w:val="none" w:sz="0" w:space="0" w:color="auto"/>
        <w:bottom w:val="none" w:sz="0" w:space="0" w:color="auto"/>
        <w:right w:val="none" w:sz="0" w:space="0" w:color="auto"/>
      </w:divBdr>
    </w:div>
    <w:div w:id="78909024">
      <w:bodyDiv w:val="1"/>
      <w:marLeft w:val="0"/>
      <w:marRight w:val="0"/>
      <w:marTop w:val="0"/>
      <w:marBottom w:val="0"/>
      <w:divBdr>
        <w:top w:val="none" w:sz="0" w:space="0" w:color="auto"/>
        <w:left w:val="none" w:sz="0" w:space="0" w:color="auto"/>
        <w:bottom w:val="none" w:sz="0" w:space="0" w:color="auto"/>
        <w:right w:val="none" w:sz="0" w:space="0" w:color="auto"/>
      </w:divBdr>
    </w:div>
    <w:div w:id="86927709">
      <w:bodyDiv w:val="1"/>
      <w:marLeft w:val="0"/>
      <w:marRight w:val="0"/>
      <w:marTop w:val="0"/>
      <w:marBottom w:val="0"/>
      <w:divBdr>
        <w:top w:val="none" w:sz="0" w:space="0" w:color="auto"/>
        <w:left w:val="none" w:sz="0" w:space="0" w:color="auto"/>
        <w:bottom w:val="none" w:sz="0" w:space="0" w:color="auto"/>
        <w:right w:val="none" w:sz="0" w:space="0" w:color="auto"/>
      </w:divBdr>
    </w:div>
    <w:div w:id="87888918">
      <w:bodyDiv w:val="1"/>
      <w:marLeft w:val="0"/>
      <w:marRight w:val="0"/>
      <w:marTop w:val="0"/>
      <w:marBottom w:val="0"/>
      <w:divBdr>
        <w:top w:val="none" w:sz="0" w:space="0" w:color="auto"/>
        <w:left w:val="none" w:sz="0" w:space="0" w:color="auto"/>
        <w:bottom w:val="none" w:sz="0" w:space="0" w:color="auto"/>
        <w:right w:val="none" w:sz="0" w:space="0" w:color="auto"/>
      </w:divBdr>
    </w:div>
    <w:div w:id="106512402">
      <w:bodyDiv w:val="1"/>
      <w:marLeft w:val="0"/>
      <w:marRight w:val="0"/>
      <w:marTop w:val="0"/>
      <w:marBottom w:val="0"/>
      <w:divBdr>
        <w:top w:val="none" w:sz="0" w:space="0" w:color="auto"/>
        <w:left w:val="none" w:sz="0" w:space="0" w:color="auto"/>
        <w:bottom w:val="none" w:sz="0" w:space="0" w:color="auto"/>
        <w:right w:val="none" w:sz="0" w:space="0" w:color="auto"/>
      </w:divBdr>
    </w:div>
    <w:div w:id="117142677">
      <w:bodyDiv w:val="1"/>
      <w:marLeft w:val="0"/>
      <w:marRight w:val="0"/>
      <w:marTop w:val="0"/>
      <w:marBottom w:val="0"/>
      <w:divBdr>
        <w:top w:val="none" w:sz="0" w:space="0" w:color="auto"/>
        <w:left w:val="none" w:sz="0" w:space="0" w:color="auto"/>
        <w:bottom w:val="none" w:sz="0" w:space="0" w:color="auto"/>
        <w:right w:val="none" w:sz="0" w:space="0" w:color="auto"/>
      </w:divBdr>
    </w:div>
    <w:div w:id="120459762">
      <w:bodyDiv w:val="1"/>
      <w:marLeft w:val="0"/>
      <w:marRight w:val="0"/>
      <w:marTop w:val="0"/>
      <w:marBottom w:val="0"/>
      <w:divBdr>
        <w:top w:val="none" w:sz="0" w:space="0" w:color="auto"/>
        <w:left w:val="none" w:sz="0" w:space="0" w:color="auto"/>
        <w:bottom w:val="none" w:sz="0" w:space="0" w:color="auto"/>
        <w:right w:val="none" w:sz="0" w:space="0" w:color="auto"/>
      </w:divBdr>
    </w:div>
    <w:div w:id="142086233">
      <w:bodyDiv w:val="1"/>
      <w:marLeft w:val="0"/>
      <w:marRight w:val="0"/>
      <w:marTop w:val="0"/>
      <w:marBottom w:val="0"/>
      <w:divBdr>
        <w:top w:val="none" w:sz="0" w:space="0" w:color="auto"/>
        <w:left w:val="none" w:sz="0" w:space="0" w:color="auto"/>
        <w:bottom w:val="none" w:sz="0" w:space="0" w:color="auto"/>
        <w:right w:val="none" w:sz="0" w:space="0" w:color="auto"/>
      </w:divBdr>
    </w:div>
    <w:div w:id="147940455">
      <w:bodyDiv w:val="1"/>
      <w:marLeft w:val="0"/>
      <w:marRight w:val="0"/>
      <w:marTop w:val="0"/>
      <w:marBottom w:val="0"/>
      <w:divBdr>
        <w:top w:val="none" w:sz="0" w:space="0" w:color="auto"/>
        <w:left w:val="none" w:sz="0" w:space="0" w:color="auto"/>
        <w:bottom w:val="none" w:sz="0" w:space="0" w:color="auto"/>
        <w:right w:val="none" w:sz="0" w:space="0" w:color="auto"/>
      </w:divBdr>
    </w:div>
    <w:div w:id="158039742">
      <w:bodyDiv w:val="1"/>
      <w:marLeft w:val="0"/>
      <w:marRight w:val="0"/>
      <w:marTop w:val="0"/>
      <w:marBottom w:val="0"/>
      <w:divBdr>
        <w:top w:val="none" w:sz="0" w:space="0" w:color="auto"/>
        <w:left w:val="none" w:sz="0" w:space="0" w:color="auto"/>
        <w:bottom w:val="none" w:sz="0" w:space="0" w:color="auto"/>
        <w:right w:val="none" w:sz="0" w:space="0" w:color="auto"/>
      </w:divBdr>
    </w:div>
    <w:div w:id="159540945">
      <w:bodyDiv w:val="1"/>
      <w:marLeft w:val="0"/>
      <w:marRight w:val="0"/>
      <w:marTop w:val="0"/>
      <w:marBottom w:val="0"/>
      <w:divBdr>
        <w:top w:val="none" w:sz="0" w:space="0" w:color="auto"/>
        <w:left w:val="none" w:sz="0" w:space="0" w:color="auto"/>
        <w:bottom w:val="none" w:sz="0" w:space="0" w:color="auto"/>
        <w:right w:val="none" w:sz="0" w:space="0" w:color="auto"/>
      </w:divBdr>
    </w:div>
    <w:div w:id="162550978">
      <w:bodyDiv w:val="1"/>
      <w:marLeft w:val="0"/>
      <w:marRight w:val="0"/>
      <w:marTop w:val="0"/>
      <w:marBottom w:val="0"/>
      <w:divBdr>
        <w:top w:val="none" w:sz="0" w:space="0" w:color="auto"/>
        <w:left w:val="none" w:sz="0" w:space="0" w:color="auto"/>
        <w:bottom w:val="none" w:sz="0" w:space="0" w:color="auto"/>
        <w:right w:val="none" w:sz="0" w:space="0" w:color="auto"/>
      </w:divBdr>
    </w:div>
    <w:div w:id="162673567">
      <w:bodyDiv w:val="1"/>
      <w:marLeft w:val="0"/>
      <w:marRight w:val="0"/>
      <w:marTop w:val="0"/>
      <w:marBottom w:val="0"/>
      <w:divBdr>
        <w:top w:val="none" w:sz="0" w:space="0" w:color="auto"/>
        <w:left w:val="none" w:sz="0" w:space="0" w:color="auto"/>
        <w:bottom w:val="none" w:sz="0" w:space="0" w:color="auto"/>
        <w:right w:val="none" w:sz="0" w:space="0" w:color="auto"/>
      </w:divBdr>
    </w:div>
    <w:div w:id="169639658">
      <w:bodyDiv w:val="1"/>
      <w:marLeft w:val="0"/>
      <w:marRight w:val="0"/>
      <w:marTop w:val="0"/>
      <w:marBottom w:val="0"/>
      <w:divBdr>
        <w:top w:val="none" w:sz="0" w:space="0" w:color="auto"/>
        <w:left w:val="none" w:sz="0" w:space="0" w:color="auto"/>
        <w:bottom w:val="none" w:sz="0" w:space="0" w:color="auto"/>
        <w:right w:val="none" w:sz="0" w:space="0" w:color="auto"/>
      </w:divBdr>
    </w:div>
    <w:div w:id="184485383">
      <w:bodyDiv w:val="1"/>
      <w:marLeft w:val="0"/>
      <w:marRight w:val="0"/>
      <w:marTop w:val="0"/>
      <w:marBottom w:val="0"/>
      <w:divBdr>
        <w:top w:val="none" w:sz="0" w:space="0" w:color="auto"/>
        <w:left w:val="none" w:sz="0" w:space="0" w:color="auto"/>
        <w:bottom w:val="none" w:sz="0" w:space="0" w:color="auto"/>
        <w:right w:val="none" w:sz="0" w:space="0" w:color="auto"/>
      </w:divBdr>
    </w:div>
    <w:div w:id="187455667">
      <w:bodyDiv w:val="1"/>
      <w:marLeft w:val="0"/>
      <w:marRight w:val="0"/>
      <w:marTop w:val="0"/>
      <w:marBottom w:val="0"/>
      <w:divBdr>
        <w:top w:val="none" w:sz="0" w:space="0" w:color="auto"/>
        <w:left w:val="none" w:sz="0" w:space="0" w:color="auto"/>
        <w:bottom w:val="none" w:sz="0" w:space="0" w:color="auto"/>
        <w:right w:val="none" w:sz="0" w:space="0" w:color="auto"/>
      </w:divBdr>
    </w:div>
    <w:div w:id="188836989">
      <w:bodyDiv w:val="1"/>
      <w:marLeft w:val="0"/>
      <w:marRight w:val="0"/>
      <w:marTop w:val="0"/>
      <w:marBottom w:val="0"/>
      <w:divBdr>
        <w:top w:val="none" w:sz="0" w:space="0" w:color="auto"/>
        <w:left w:val="none" w:sz="0" w:space="0" w:color="auto"/>
        <w:bottom w:val="none" w:sz="0" w:space="0" w:color="auto"/>
        <w:right w:val="none" w:sz="0" w:space="0" w:color="auto"/>
      </w:divBdr>
    </w:div>
    <w:div w:id="189532698">
      <w:bodyDiv w:val="1"/>
      <w:marLeft w:val="0"/>
      <w:marRight w:val="0"/>
      <w:marTop w:val="0"/>
      <w:marBottom w:val="0"/>
      <w:divBdr>
        <w:top w:val="none" w:sz="0" w:space="0" w:color="auto"/>
        <w:left w:val="none" w:sz="0" w:space="0" w:color="auto"/>
        <w:bottom w:val="none" w:sz="0" w:space="0" w:color="auto"/>
        <w:right w:val="none" w:sz="0" w:space="0" w:color="auto"/>
      </w:divBdr>
    </w:div>
    <w:div w:id="194731710">
      <w:bodyDiv w:val="1"/>
      <w:marLeft w:val="0"/>
      <w:marRight w:val="0"/>
      <w:marTop w:val="0"/>
      <w:marBottom w:val="0"/>
      <w:divBdr>
        <w:top w:val="none" w:sz="0" w:space="0" w:color="auto"/>
        <w:left w:val="none" w:sz="0" w:space="0" w:color="auto"/>
        <w:bottom w:val="none" w:sz="0" w:space="0" w:color="auto"/>
        <w:right w:val="none" w:sz="0" w:space="0" w:color="auto"/>
      </w:divBdr>
    </w:div>
    <w:div w:id="196429863">
      <w:bodyDiv w:val="1"/>
      <w:marLeft w:val="0"/>
      <w:marRight w:val="0"/>
      <w:marTop w:val="0"/>
      <w:marBottom w:val="0"/>
      <w:divBdr>
        <w:top w:val="none" w:sz="0" w:space="0" w:color="auto"/>
        <w:left w:val="none" w:sz="0" w:space="0" w:color="auto"/>
        <w:bottom w:val="none" w:sz="0" w:space="0" w:color="auto"/>
        <w:right w:val="none" w:sz="0" w:space="0" w:color="auto"/>
      </w:divBdr>
    </w:div>
    <w:div w:id="209998530">
      <w:bodyDiv w:val="1"/>
      <w:marLeft w:val="0"/>
      <w:marRight w:val="0"/>
      <w:marTop w:val="0"/>
      <w:marBottom w:val="0"/>
      <w:divBdr>
        <w:top w:val="none" w:sz="0" w:space="0" w:color="auto"/>
        <w:left w:val="none" w:sz="0" w:space="0" w:color="auto"/>
        <w:bottom w:val="none" w:sz="0" w:space="0" w:color="auto"/>
        <w:right w:val="none" w:sz="0" w:space="0" w:color="auto"/>
      </w:divBdr>
    </w:div>
    <w:div w:id="211965537">
      <w:bodyDiv w:val="1"/>
      <w:marLeft w:val="0"/>
      <w:marRight w:val="0"/>
      <w:marTop w:val="0"/>
      <w:marBottom w:val="0"/>
      <w:divBdr>
        <w:top w:val="none" w:sz="0" w:space="0" w:color="auto"/>
        <w:left w:val="none" w:sz="0" w:space="0" w:color="auto"/>
        <w:bottom w:val="none" w:sz="0" w:space="0" w:color="auto"/>
        <w:right w:val="none" w:sz="0" w:space="0" w:color="auto"/>
      </w:divBdr>
    </w:div>
    <w:div w:id="231545111">
      <w:bodyDiv w:val="1"/>
      <w:marLeft w:val="0"/>
      <w:marRight w:val="0"/>
      <w:marTop w:val="0"/>
      <w:marBottom w:val="0"/>
      <w:divBdr>
        <w:top w:val="none" w:sz="0" w:space="0" w:color="auto"/>
        <w:left w:val="none" w:sz="0" w:space="0" w:color="auto"/>
        <w:bottom w:val="none" w:sz="0" w:space="0" w:color="auto"/>
        <w:right w:val="none" w:sz="0" w:space="0" w:color="auto"/>
      </w:divBdr>
    </w:div>
    <w:div w:id="250696739">
      <w:bodyDiv w:val="1"/>
      <w:marLeft w:val="0"/>
      <w:marRight w:val="0"/>
      <w:marTop w:val="0"/>
      <w:marBottom w:val="0"/>
      <w:divBdr>
        <w:top w:val="none" w:sz="0" w:space="0" w:color="auto"/>
        <w:left w:val="none" w:sz="0" w:space="0" w:color="auto"/>
        <w:bottom w:val="none" w:sz="0" w:space="0" w:color="auto"/>
        <w:right w:val="none" w:sz="0" w:space="0" w:color="auto"/>
      </w:divBdr>
    </w:div>
    <w:div w:id="263810492">
      <w:bodyDiv w:val="1"/>
      <w:marLeft w:val="0"/>
      <w:marRight w:val="0"/>
      <w:marTop w:val="0"/>
      <w:marBottom w:val="0"/>
      <w:divBdr>
        <w:top w:val="none" w:sz="0" w:space="0" w:color="auto"/>
        <w:left w:val="none" w:sz="0" w:space="0" w:color="auto"/>
        <w:bottom w:val="none" w:sz="0" w:space="0" w:color="auto"/>
        <w:right w:val="none" w:sz="0" w:space="0" w:color="auto"/>
      </w:divBdr>
    </w:div>
    <w:div w:id="275917066">
      <w:bodyDiv w:val="1"/>
      <w:marLeft w:val="0"/>
      <w:marRight w:val="0"/>
      <w:marTop w:val="0"/>
      <w:marBottom w:val="0"/>
      <w:divBdr>
        <w:top w:val="none" w:sz="0" w:space="0" w:color="auto"/>
        <w:left w:val="none" w:sz="0" w:space="0" w:color="auto"/>
        <w:bottom w:val="none" w:sz="0" w:space="0" w:color="auto"/>
        <w:right w:val="none" w:sz="0" w:space="0" w:color="auto"/>
      </w:divBdr>
    </w:div>
    <w:div w:id="280310716">
      <w:bodyDiv w:val="1"/>
      <w:marLeft w:val="0"/>
      <w:marRight w:val="0"/>
      <w:marTop w:val="0"/>
      <w:marBottom w:val="0"/>
      <w:divBdr>
        <w:top w:val="none" w:sz="0" w:space="0" w:color="auto"/>
        <w:left w:val="none" w:sz="0" w:space="0" w:color="auto"/>
        <w:bottom w:val="none" w:sz="0" w:space="0" w:color="auto"/>
        <w:right w:val="none" w:sz="0" w:space="0" w:color="auto"/>
      </w:divBdr>
    </w:div>
    <w:div w:id="284240724">
      <w:bodyDiv w:val="1"/>
      <w:marLeft w:val="0"/>
      <w:marRight w:val="0"/>
      <w:marTop w:val="0"/>
      <w:marBottom w:val="0"/>
      <w:divBdr>
        <w:top w:val="none" w:sz="0" w:space="0" w:color="auto"/>
        <w:left w:val="none" w:sz="0" w:space="0" w:color="auto"/>
        <w:bottom w:val="none" w:sz="0" w:space="0" w:color="auto"/>
        <w:right w:val="none" w:sz="0" w:space="0" w:color="auto"/>
      </w:divBdr>
    </w:div>
    <w:div w:id="288778774">
      <w:bodyDiv w:val="1"/>
      <w:marLeft w:val="0"/>
      <w:marRight w:val="0"/>
      <w:marTop w:val="0"/>
      <w:marBottom w:val="0"/>
      <w:divBdr>
        <w:top w:val="none" w:sz="0" w:space="0" w:color="auto"/>
        <w:left w:val="none" w:sz="0" w:space="0" w:color="auto"/>
        <w:bottom w:val="none" w:sz="0" w:space="0" w:color="auto"/>
        <w:right w:val="none" w:sz="0" w:space="0" w:color="auto"/>
      </w:divBdr>
    </w:div>
    <w:div w:id="290138551">
      <w:bodyDiv w:val="1"/>
      <w:marLeft w:val="0"/>
      <w:marRight w:val="0"/>
      <w:marTop w:val="0"/>
      <w:marBottom w:val="0"/>
      <w:divBdr>
        <w:top w:val="none" w:sz="0" w:space="0" w:color="auto"/>
        <w:left w:val="none" w:sz="0" w:space="0" w:color="auto"/>
        <w:bottom w:val="none" w:sz="0" w:space="0" w:color="auto"/>
        <w:right w:val="none" w:sz="0" w:space="0" w:color="auto"/>
      </w:divBdr>
    </w:div>
    <w:div w:id="294871111">
      <w:bodyDiv w:val="1"/>
      <w:marLeft w:val="0"/>
      <w:marRight w:val="0"/>
      <w:marTop w:val="0"/>
      <w:marBottom w:val="0"/>
      <w:divBdr>
        <w:top w:val="none" w:sz="0" w:space="0" w:color="auto"/>
        <w:left w:val="none" w:sz="0" w:space="0" w:color="auto"/>
        <w:bottom w:val="none" w:sz="0" w:space="0" w:color="auto"/>
        <w:right w:val="none" w:sz="0" w:space="0" w:color="auto"/>
      </w:divBdr>
    </w:div>
    <w:div w:id="298413196">
      <w:bodyDiv w:val="1"/>
      <w:marLeft w:val="0"/>
      <w:marRight w:val="0"/>
      <w:marTop w:val="0"/>
      <w:marBottom w:val="0"/>
      <w:divBdr>
        <w:top w:val="none" w:sz="0" w:space="0" w:color="auto"/>
        <w:left w:val="none" w:sz="0" w:space="0" w:color="auto"/>
        <w:bottom w:val="none" w:sz="0" w:space="0" w:color="auto"/>
        <w:right w:val="none" w:sz="0" w:space="0" w:color="auto"/>
      </w:divBdr>
    </w:div>
    <w:div w:id="303118185">
      <w:bodyDiv w:val="1"/>
      <w:marLeft w:val="0"/>
      <w:marRight w:val="0"/>
      <w:marTop w:val="0"/>
      <w:marBottom w:val="0"/>
      <w:divBdr>
        <w:top w:val="none" w:sz="0" w:space="0" w:color="auto"/>
        <w:left w:val="none" w:sz="0" w:space="0" w:color="auto"/>
        <w:bottom w:val="none" w:sz="0" w:space="0" w:color="auto"/>
        <w:right w:val="none" w:sz="0" w:space="0" w:color="auto"/>
      </w:divBdr>
    </w:div>
    <w:div w:id="303387257">
      <w:bodyDiv w:val="1"/>
      <w:marLeft w:val="0"/>
      <w:marRight w:val="0"/>
      <w:marTop w:val="0"/>
      <w:marBottom w:val="0"/>
      <w:divBdr>
        <w:top w:val="none" w:sz="0" w:space="0" w:color="auto"/>
        <w:left w:val="none" w:sz="0" w:space="0" w:color="auto"/>
        <w:bottom w:val="none" w:sz="0" w:space="0" w:color="auto"/>
        <w:right w:val="none" w:sz="0" w:space="0" w:color="auto"/>
      </w:divBdr>
    </w:div>
    <w:div w:id="312639133">
      <w:bodyDiv w:val="1"/>
      <w:marLeft w:val="0"/>
      <w:marRight w:val="0"/>
      <w:marTop w:val="0"/>
      <w:marBottom w:val="0"/>
      <w:divBdr>
        <w:top w:val="none" w:sz="0" w:space="0" w:color="auto"/>
        <w:left w:val="none" w:sz="0" w:space="0" w:color="auto"/>
        <w:bottom w:val="none" w:sz="0" w:space="0" w:color="auto"/>
        <w:right w:val="none" w:sz="0" w:space="0" w:color="auto"/>
      </w:divBdr>
    </w:div>
    <w:div w:id="327171685">
      <w:bodyDiv w:val="1"/>
      <w:marLeft w:val="0"/>
      <w:marRight w:val="0"/>
      <w:marTop w:val="0"/>
      <w:marBottom w:val="0"/>
      <w:divBdr>
        <w:top w:val="none" w:sz="0" w:space="0" w:color="auto"/>
        <w:left w:val="none" w:sz="0" w:space="0" w:color="auto"/>
        <w:bottom w:val="none" w:sz="0" w:space="0" w:color="auto"/>
        <w:right w:val="none" w:sz="0" w:space="0" w:color="auto"/>
      </w:divBdr>
    </w:div>
    <w:div w:id="329719645">
      <w:bodyDiv w:val="1"/>
      <w:marLeft w:val="0"/>
      <w:marRight w:val="0"/>
      <w:marTop w:val="0"/>
      <w:marBottom w:val="0"/>
      <w:divBdr>
        <w:top w:val="none" w:sz="0" w:space="0" w:color="auto"/>
        <w:left w:val="none" w:sz="0" w:space="0" w:color="auto"/>
        <w:bottom w:val="none" w:sz="0" w:space="0" w:color="auto"/>
        <w:right w:val="none" w:sz="0" w:space="0" w:color="auto"/>
      </w:divBdr>
    </w:div>
    <w:div w:id="332726612">
      <w:bodyDiv w:val="1"/>
      <w:marLeft w:val="0"/>
      <w:marRight w:val="0"/>
      <w:marTop w:val="0"/>
      <w:marBottom w:val="0"/>
      <w:divBdr>
        <w:top w:val="none" w:sz="0" w:space="0" w:color="auto"/>
        <w:left w:val="none" w:sz="0" w:space="0" w:color="auto"/>
        <w:bottom w:val="none" w:sz="0" w:space="0" w:color="auto"/>
        <w:right w:val="none" w:sz="0" w:space="0" w:color="auto"/>
      </w:divBdr>
    </w:div>
    <w:div w:id="350186589">
      <w:bodyDiv w:val="1"/>
      <w:marLeft w:val="0"/>
      <w:marRight w:val="0"/>
      <w:marTop w:val="0"/>
      <w:marBottom w:val="0"/>
      <w:divBdr>
        <w:top w:val="none" w:sz="0" w:space="0" w:color="auto"/>
        <w:left w:val="none" w:sz="0" w:space="0" w:color="auto"/>
        <w:bottom w:val="none" w:sz="0" w:space="0" w:color="auto"/>
        <w:right w:val="none" w:sz="0" w:space="0" w:color="auto"/>
      </w:divBdr>
    </w:div>
    <w:div w:id="357464741">
      <w:bodyDiv w:val="1"/>
      <w:marLeft w:val="0"/>
      <w:marRight w:val="0"/>
      <w:marTop w:val="0"/>
      <w:marBottom w:val="0"/>
      <w:divBdr>
        <w:top w:val="none" w:sz="0" w:space="0" w:color="auto"/>
        <w:left w:val="none" w:sz="0" w:space="0" w:color="auto"/>
        <w:bottom w:val="none" w:sz="0" w:space="0" w:color="auto"/>
        <w:right w:val="none" w:sz="0" w:space="0" w:color="auto"/>
      </w:divBdr>
    </w:div>
    <w:div w:id="370688055">
      <w:bodyDiv w:val="1"/>
      <w:marLeft w:val="0"/>
      <w:marRight w:val="0"/>
      <w:marTop w:val="0"/>
      <w:marBottom w:val="0"/>
      <w:divBdr>
        <w:top w:val="none" w:sz="0" w:space="0" w:color="auto"/>
        <w:left w:val="none" w:sz="0" w:space="0" w:color="auto"/>
        <w:bottom w:val="none" w:sz="0" w:space="0" w:color="auto"/>
        <w:right w:val="none" w:sz="0" w:space="0" w:color="auto"/>
      </w:divBdr>
    </w:div>
    <w:div w:id="381516849">
      <w:bodyDiv w:val="1"/>
      <w:marLeft w:val="0"/>
      <w:marRight w:val="0"/>
      <w:marTop w:val="0"/>
      <w:marBottom w:val="0"/>
      <w:divBdr>
        <w:top w:val="none" w:sz="0" w:space="0" w:color="auto"/>
        <w:left w:val="none" w:sz="0" w:space="0" w:color="auto"/>
        <w:bottom w:val="none" w:sz="0" w:space="0" w:color="auto"/>
        <w:right w:val="none" w:sz="0" w:space="0" w:color="auto"/>
      </w:divBdr>
    </w:div>
    <w:div w:id="387995316">
      <w:bodyDiv w:val="1"/>
      <w:marLeft w:val="0"/>
      <w:marRight w:val="0"/>
      <w:marTop w:val="0"/>
      <w:marBottom w:val="0"/>
      <w:divBdr>
        <w:top w:val="none" w:sz="0" w:space="0" w:color="auto"/>
        <w:left w:val="none" w:sz="0" w:space="0" w:color="auto"/>
        <w:bottom w:val="none" w:sz="0" w:space="0" w:color="auto"/>
        <w:right w:val="none" w:sz="0" w:space="0" w:color="auto"/>
      </w:divBdr>
    </w:div>
    <w:div w:id="395784228">
      <w:bodyDiv w:val="1"/>
      <w:marLeft w:val="0"/>
      <w:marRight w:val="0"/>
      <w:marTop w:val="0"/>
      <w:marBottom w:val="0"/>
      <w:divBdr>
        <w:top w:val="none" w:sz="0" w:space="0" w:color="auto"/>
        <w:left w:val="none" w:sz="0" w:space="0" w:color="auto"/>
        <w:bottom w:val="none" w:sz="0" w:space="0" w:color="auto"/>
        <w:right w:val="none" w:sz="0" w:space="0" w:color="auto"/>
      </w:divBdr>
    </w:div>
    <w:div w:id="401953239">
      <w:bodyDiv w:val="1"/>
      <w:marLeft w:val="0"/>
      <w:marRight w:val="0"/>
      <w:marTop w:val="0"/>
      <w:marBottom w:val="0"/>
      <w:divBdr>
        <w:top w:val="none" w:sz="0" w:space="0" w:color="auto"/>
        <w:left w:val="none" w:sz="0" w:space="0" w:color="auto"/>
        <w:bottom w:val="none" w:sz="0" w:space="0" w:color="auto"/>
        <w:right w:val="none" w:sz="0" w:space="0" w:color="auto"/>
      </w:divBdr>
    </w:div>
    <w:div w:id="405037580">
      <w:bodyDiv w:val="1"/>
      <w:marLeft w:val="0"/>
      <w:marRight w:val="0"/>
      <w:marTop w:val="0"/>
      <w:marBottom w:val="0"/>
      <w:divBdr>
        <w:top w:val="none" w:sz="0" w:space="0" w:color="auto"/>
        <w:left w:val="none" w:sz="0" w:space="0" w:color="auto"/>
        <w:bottom w:val="none" w:sz="0" w:space="0" w:color="auto"/>
        <w:right w:val="none" w:sz="0" w:space="0" w:color="auto"/>
      </w:divBdr>
    </w:div>
    <w:div w:id="416680743">
      <w:bodyDiv w:val="1"/>
      <w:marLeft w:val="0"/>
      <w:marRight w:val="0"/>
      <w:marTop w:val="0"/>
      <w:marBottom w:val="0"/>
      <w:divBdr>
        <w:top w:val="none" w:sz="0" w:space="0" w:color="auto"/>
        <w:left w:val="none" w:sz="0" w:space="0" w:color="auto"/>
        <w:bottom w:val="none" w:sz="0" w:space="0" w:color="auto"/>
        <w:right w:val="none" w:sz="0" w:space="0" w:color="auto"/>
      </w:divBdr>
    </w:div>
    <w:div w:id="424036392">
      <w:bodyDiv w:val="1"/>
      <w:marLeft w:val="0"/>
      <w:marRight w:val="0"/>
      <w:marTop w:val="0"/>
      <w:marBottom w:val="0"/>
      <w:divBdr>
        <w:top w:val="none" w:sz="0" w:space="0" w:color="auto"/>
        <w:left w:val="none" w:sz="0" w:space="0" w:color="auto"/>
        <w:bottom w:val="none" w:sz="0" w:space="0" w:color="auto"/>
        <w:right w:val="none" w:sz="0" w:space="0" w:color="auto"/>
      </w:divBdr>
    </w:div>
    <w:div w:id="424231800">
      <w:bodyDiv w:val="1"/>
      <w:marLeft w:val="0"/>
      <w:marRight w:val="0"/>
      <w:marTop w:val="0"/>
      <w:marBottom w:val="0"/>
      <w:divBdr>
        <w:top w:val="none" w:sz="0" w:space="0" w:color="auto"/>
        <w:left w:val="none" w:sz="0" w:space="0" w:color="auto"/>
        <w:bottom w:val="none" w:sz="0" w:space="0" w:color="auto"/>
        <w:right w:val="none" w:sz="0" w:space="0" w:color="auto"/>
      </w:divBdr>
    </w:div>
    <w:div w:id="428820600">
      <w:bodyDiv w:val="1"/>
      <w:marLeft w:val="0"/>
      <w:marRight w:val="0"/>
      <w:marTop w:val="0"/>
      <w:marBottom w:val="0"/>
      <w:divBdr>
        <w:top w:val="none" w:sz="0" w:space="0" w:color="auto"/>
        <w:left w:val="none" w:sz="0" w:space="0" w:color="auto"/>
        <w:bottom w:val="none" w:sz="0" w:space="0" w:color="auto"/>
        <w:right w:val="none" w:sz="0" w:space="0" w:color="auto"/>
      </w:divBdr>
    </w:div>
    <w:div w:id="429281949">
      <w:bodyDiv w:val="1"/>
      <w:marLeft w:val="0"/>
      <w:marRight w:val="0"/>
      <w:marTop w:val="0"/>
      <w:marBottom w:val="0"/>
      <w:divBdr>
        <w:top w:val="none" w:sz="0" w:space="0" w:color="auto"/>
        <w:left w:val="none" w:sz="0" w:space="0" w:color="auto"/>
        <w:bottom w:val="none" w:sz="0" w:space="0" w:color="auto"/>
        <w:right w:val="none" w:sz="0" w:space="0" w:color="auto"/>
      </w:divBdr>
    </w:div>
    <w:div w:id="448402991">
      <w:bodyDiv w:val="1"/>
      <w:marLeft w:val="0"/>
      <w:marRight w:val="0"/>
      <w:marTop w:val="0"/>
      <w:marBottom w:val="0"/>
      <w:divBdr>
        <w:top w:val="none" w:sz="0" w:space="0" w:color="auto"/>
        <w:left w:val="none" w:sz="0" w:space="0" w:color="auto"/>
        <w:bottom w:val="none" w:sz="0" w:space="0" w:color="auto"/>
        <w:right w:val="none" w:sz="0" w:space="0" w:color="auto"/>
      </w:divBdr>
    </w:div>
    <w:div w:id="460729032">
      <w:bodyDiv w:val="1"/>
      <w:marLeft w:val="0"/>
      <w:marRight w:val="0"/>
      <w:marTop w:val="0"/>
      <w:marBottom w:val="0"/>
      <w:divBdr>
        <w:top w:val="none" w:sz="0" w:space="0" w:color="auto"/>
        <w:left w:val="none" w:sz="0" w:space="0" w:color="auto"/>
        <w:bottom w:val="none" w:sz="0" w:space="0" w:color="auto"/>
        <w:right w:val="none" w:sz="0" w:space="0" w:color="auto"/>
      </w:divBdr>
    </w:div>
    <w:div w:id="462964333">
      <w:bodyDiv w:val="1"/>
      <w:marLeft w:val="0"/>
      <w:marRight w:val="0"/>
      <w:marTop w:val="0"/>
      <w:marBottom w:val="0"/>
      <w:divBdr>
        <w:top w:val="none" w:sz="0" w:space="0" w:color="auto"/>
        <w:left w:val="none" w:sz="0" w:space="0" w:color="auto"/>
        <w:bottom w:val="none" w:sz="0" w:space="0" w:color="auto"/>
        <w:right w:val="none" w:sz="0" w:space="0" w:color="auto"/>
      </w:divBdr>
    </w:div>
    <w:div w:id="467431126">
      <w:bodyDiv w:val="1"/>
      <w:marLeft w:val="0"/>
      <w:marRight w:val="0"/>
      <w:marTop w:val="0"/>
      <w:marBottom w:val="0"/>
      <w:divBdr>
        <w:top w:val="none" w:sz="0" w:space="0" w:color="auto"/>
        <w:left w:val="none" w:sz="0" w:space="0" w:color="auto"/>
        <w:bottom w:val="none" w:sz="0" w:space="0" w:color="auto"/>
        <w:right w:val="none" w:sz="0" w:space="0" w:color="auto"/>
      </w:divBdr>
    </w:div>
    <w:div w:id="472874698">
      <w:bodyDiv w:val="1"/>
      <w:marLeft w:val="0"/>
      <w:marRight w:val="0"/>
      <w:marTop w:val="0"/>
      <w:marBottom w:val="0"/>
      <w:divBdr>
        <w:top w:val="none" w:sz="0" w:space="0" w:color="auto"/>
        <w:left w:val="none" w:sz="0" w:space="0" w:color="auto"/>
        <w:bottom w:val="none" w:sz="0" w:space="0" w:color="auto"/>
        <w:right w:val="none" w:sz="0" w:space="0" w:color="auto"/>
      </w:divBdr>
    </w:div>
    <w:div w:id="473259359">
      <w:bodyDiv w:val="1"/>
      <w:marLeft w:val="0"/>
      <w:marRight w:val="0"/>
      <w:marTop w:val="0"/>
      <w:marBottom w:val="0"/>
      <w:divBdr>
        <w:top w:val="none" w:sz="0" w:space="0" w:color="auto"/>
        <w:left w:val="none" w:sz="0" w:space="0" w:color="auto"/>
        <w:bottom w:val="none" w:sz="0" w:space="0" w:color="auto"/>
        <w:right w:val="none" w:sz="0" w:space="0" w:color="auto"/>
      </w:divBdr>
    </w:div>
    <w:div w:id="475227477">
      <w:bodyDiv w:val="1"/>
      <w:marLeft w:val="0"/>
      <w:marRight w:val="0"/>
      <w:marTop w:val="0"/>
      <w:marBottom w:val="0"/>
      <w:divBdr>
        <w:top w:val="none" w:sz="0" w:space="0" w:color="auto"/>
        <w:left w:val="none" w:sz="0" w:space="0" w:color="auto"/>
        <w:bottom w:val="none" w:sz="0" w:space="0" w:color="auto"/>
        <w:right w:val="none" w:sz="0" w:space="0" w:color="auto"/>
      </w:divBdr>
    </w:div>
    <w:div w:id="477385929">
      <w:bodyDiv w:val="1"/>
      <w:marLeft w:val="0"/>
      <w:marRight w:val="0"/>
      <w:marTop w:val="0"/>
      <w:marBottom w:val="0"/>
      <w:divBdr>
        <w:top w:val="none" w:sz="0" w:space="0" w:color="auto"/>
        <w:left w:val="none" w:sz="0" w:space="0" w:color="auto"/>
        <w:bottom w:val="none" w:sz="0" w:space="0" w:color="auto"/>
        <w:right w:val="none" w:sz="0" w:space="0" w:color="auto"/>
      </w:divBdr>
    </w:div>
    <w:div w:id="478309886">
      <w:bodyDiv w:val="1"/>
      <w:marLeft w:val="0"/>
      <w:marRight w:val="0"/>
      <w:marTop w:val="0"/>
      <w:marBottom w:val="0"/>
      <w:divBdr>
        <w:top w:val="none" w:sz="0" w:space="0" w:color="auto"/>
        <w:left w:val="none" w:sz="0" w:space="0" w:color="auto"/>
        <w:bottom w:val="none" w:sz="0" w:space="0" w:color="auto"/>
        <w:right w:val="none" w:sz="0" w:space="0" w:color="auto"/>
      </w:divBdr>
    </w:div>
    <w:div w:id="478769151">
      <w:bodyDiv w:val="1"/>
      <w:marLeft w:val="0"/>
      <w:marRight w:val="0"/>
      <w:marTop w:val="0"/>
      <w:marBottom w:val="0"/>
      <w:divBdr>
        <w:top w:val="none" w:sz="0" w:space="0" w:color="auto"/>
        <w:left w:val="none" w:sz="0" w:space="0" w:color="auto"/>
        <w:bottom w:val="none" w:sz="0" w:space="0" w:color="auto"/>
        <w:right w:val="none" w:sz="0" w:space="0" w:color="auto"/>
      </w:divBdr>
    </w:div>
    <w:div w:id="481507089">
      <w:bodyDiv w:val="1"/>
      <w:marLeft w:val="0"/>
      <w:marRight w:val="0"/>
      <w:marTop w:val="0"/>
      <w:marBottom w:val="0"/>
      <w:divBdr>
        <w:top w:val="none" w:sz="0" w:space="0" w:color="auto"/>
        <w:left w:val="none" w:sz="0" w:space="0" w:color="auto"/>
        <w:bottom w:val="none" w:sz="0" w:space="0" w:color="auto"/>
        <w:right w:val="none" w:sz="0" w:space="0" w:color="auto"/>
      </w:divBdr>
    </w:div>
    <w:div w:id="487555025">
      <w:bodyDiv w:val="1"/>
      <w:marLeft w:val="0"/>
      <w:marRight w:val="0"/>
      <w:marTop w:val="0"/>
      <w:marBottom w:val="0"/>
      <w:divBdr>
        <w:top w:val="none" w:sz="0" w:space="0" w:color="auto"/>
        <w:left w:val="none" w:sz="0" w:space="0" w:color="auto"/>
        <w:bottom w:val="none" w:sz="0" w:space="0" w:color="auto"/>
        <w:right w:val="none" w:sz="0" w:space="0" w:color="auto"/>
      </w:divBdr>
    </w:div>
    <w:div w:id="496310148">
      <w:bodyDiv w:val="1"/>
      <w:marLeft w:val="0"/>
      <w:marRight w:val="0"/>
      <w:marTop w:val="0"/>
      <w:marBottom w:val="0"/>
      <w:divBdr>
        <w:top w:val="none" w:sz="0" w:space="0" w:color="auto"/>
        <w:left w:val="none" w:sz="0" w:space="0" w:color="auto"/>
        <w:bottom w:val="none" w:sz="0" w:space="0" w:color="auto"/>
        <w:right w:val="none" w:sz="0" w:space="0" w:color="auto"/>
      </w:divBdr>
    </w:div>
    <w:div w:id="512957926">
      <w:bodyDiv w:val="1"/>
      <w:marLeft w:val="0"/>
      <w:marRight w:val="0"/>
      <w:marTop w:val="0"/>
      <w:marBottom w:val="0"/>
      <w:divBdr>
        <w:top w:val="none" w:sz="0" w:space="0" w:color="auto"/>
        <w:left w:val="none" w:sz="0" w:space="0" w:color="auto"/>
        <w:bottom w:val="none" w:sz="0" w:space="0" w:color="auto"/>
        <w:right w:val="none" w:sz="0" w:space="0" w:color="auto"/>
      </w:divBdr>
    </w:div>
    <w:div w:id="513419814">
      <w:bodyDiv w:val="1"/>
      <w:marLeft w:val="0"/>
      <w:marRight w:val="0"/>
      <w:marTop w:val="0"/>
      <w:marBottom w:val="0"/>
      <w:divBdr>
        <w:top w:val="none" w:sz="0" w:space="0" w:color="auto"/>
        <w:left w:val="none" w:sz="0" w:space="0" w:color="auto"/>
        <w:bottom w:val="none" w:sz="0" w:space="0" w:color="auto"/>
        <w:right w:val="none" w:sz="0" w:space="0" w:color="auto"/>
      </w:divBdr>
    </w:div>
    <w:div w:id="526795688">
      <w:bodyDiv w:val="1"/>
      <w:marLeft w:val="0"/>
      <w:marRight w:val="0"/>
      <w:marTop w:val="0"/>
      <w:marBottom w:val="0"/>
      <w:divBdr>
        <w:top w:val="none" w:sz="0" w:space="0" w:color="auto"/>
        <w:left w:val="none" w:sz="0" w:space="0" w:color="auto"/>
        <w:bottom w:val="none" w:sz="0" w:space="0" w:color="auto"/>
        <w:right w:val="none" w:sz="0" w:space="0" w:color="auto"/>
      </w:divBdr>
    </w:div>
    <w:div w:id="531309867">
      <w:bodyDiv w:val="1"/>
      <w:marLeft w:val="0"/>
      <w:marRight w:val="0"/>
      <w:marTop w:val="0"/>
      <w:marBottom w:val="0"/>
      <w:divBdr>
        <w:top w:val="none" w:sz="0" w:space="0" w:color="auto"/>
        <w:left w:val="none" w:sz="0" w:space="0" w:color="auto"/>
        <w:bottom w:val="none" w:sz="0" w:space="0" w:color="auto"/>
        <w:right w:val="none" w:sz="0" w:space="0" w:color="auto"/>
      </w:divBdr>
    </w:div>
    <w:div w:id="533083125">
      <w:bodyDiv w:val="1"/>
      <w:marLeft w:val="0"/>
      <w:marRight w:val="0"/>
      <w:marTop w:val="0"/>
      <w:marBottom w:val="0"/>
      <w:divBdr>
        <w:top w:val="none" w:sz="0" w:space="0" w:color="auto"/>
        <w:left w:val="none" w:sz="0" w:space="0" w:color="auto"/>
        <w:bottom w:val="none" w:sz="0" w:space="0" w:color="auto"/>
        <w:right w:val="none" w:sz="0" w:space="0" w:color="auto"/>
      </w:divBdr>
    </w:div>
    <w:div w:id="540167278">
      <w:bodyDiv w:val="1"/>
      <w:marLeft w:val="0"/>
      <w:marRight w:val="0"/>
      <w:marTop w:val="0"/>
      <w:marBottom w:val="0"/>
      <w:divBdr>
        <w:top w:val="none" w:sz="0" w:space="0" w:color="auto"/>
        <w:left w:val="none" w:sz="0" w:space="0" w:color="auto"/>
        <w:bottom w:val="none" w:sz="0" w:space="0" w:color="auto"/>
        <w:right w:val="none" w:sz="0" w:space="0" w:color="auto"/>
      </w:divBdr>
    </w:div>
    <w:div w:id="544098622">
      <w:bodyDiv w:val="1"/>
      <w:marLeft w:val="0"/>
      <w:marRight w:val="0"/>
      <w:marTop w:val="0"/>
      <w:marBottom w:val="0"/>
      <w:divBdr>
        <w:top w:val="none" w:sz="0" w:space="0" w:color="auto"/>
        <w:left w:val="none" w:sz="0" w:space="0" w:color="auto"/>
        <w:bottom w:val="none" w:sz="0" w:space="0" w:color="auto"/>
        <w:right w:val="none" w:sz="0" w:space="0" w:color="auto"/>
      </w:divBdr>
    </w:div>
    <w:div w:id="552931462">
      <w:bodyDiv w:val="1"/>
      <w:marLeft w:val="0"/>
      <w:marRight w:val="0"/>
      <w:marTop w:val="0"/>
      <w:marBottom w:val="0"/>
      <w:divBdr>
        <w:top w:val="none" w:sz="0" w:space="0" w:color="auto"/>
        <w:left w:val="none" w:sz="0" w:space="0" w:color="auto"/>
        <w:bottom w:val="none" w:sz="0" w:space="0" w:color="auto"/>
        <w:right w:val="none" w:sz="0" w:space="0" w:color="auto"/>
      </w:divBdr>
    </w:div>
    <w:div w:id="563756606">
      <w:bodyDiv w:val="1"/>
      <w:marLeft w:val="0"/>
      <w:marRight w:val="0"/>
      <w:marTop w:val="0"/>
      <w:marBottom w:val="0"/>
      <w:divBdr>
        <w:top w:val="none" w:sz="0" w:space="0" w:color="auto"/>
        <w:left w:val="none" w:sz="0" w:space="0" w:color="auto"/>
        <w:bottom w:val="none" w:sz="0" w:space="0" w:color="auto"/>
        <w:right w:val="none" w:sz="0" w:space="0" w:color="auto"/>
      </w:divBdr>
    </w:div>
    <w:div w:id="568657809">
      <w:bodyDiv w:val="1"/>
      <w:marLeft w:val="0"/>
      <w:marRight w:val="0"/>
      <w:marTop w:val="0"/>
      <w:marBottom w:val="0"/>
      <w:divBdr>
        <w:top w:val="none" w:sz="0" w:space="0" w:color="auto"/>
        <w:left w:val="none" w:sz="0" w:space="0" w:color="auto"/>
        <w:bottom w:val="none" w:sz="0" w:space="0" w:color="auto"/>
        <w:right w:val="none" w:sz="0" w:space="0" w:color="auto"/>
      </w:divBdr>
    </w:div>
    <w:div w:id="580918446">
      <w:bodyDiv w:val="1"/>
      <w:marLeft w:val="0"/>
      <w:marRight w:val="0"/>
      <w:marTop w:val="0"/>
      <w:marBottom w:val="0"/>
      <w:divBdr>
        <w:top w:val="none" w:sz="0" w:space="0" w:color="auto"/>
        <w:left w:val="none" w:sz="0" w:space="0" w:color="auto"/>
        <w:bottom w:val="none" w:sz="0" w:space="0" w:color="auto"/>
        <w:right w:val="none" w:sz="0" w:space="0" w:color="auto"/>
      </w:divBdr>
    </w:div>
    <w:div w:id="587730901">
      <w:bodyDiv w:val="1"/>
      <w:marLeft w:val="0"/>
      <w:marRight w:val="0"/>
      <w:marTop w:val="0"/>
      <w:marBottom w:val="0"/>
      <w:divBdr>
        <w:top w:val="none" w:sz="0" w:space="0" w:color="auto"/>
        <w:left w:val="none" w:sz="0" w:space="0" w:color="auto"/>
        <w:bottom w:val="none" w:sz="0" w:space="0" w:color="auto"/>
        <w:right w:val="none" w:sz="0" w:space="0" w:color="auto"/>
      </w:divBdr>
    </w:div>
    <w:div w:id="615406327">
      <w:bodyDiv w:val="1"/>
      <w:marLeft w:val="0"/>
      <w:marRight w:val="0"/>
      <w:marTop w:val="0"/>
      <w:marBottom w:val="0"/>
      <w:divBdr>
        <w:top w:val="none" w:sz="0" w:space="0" w:color="auto"/>
        <w:left w:val="none" w:sz="0" w:space="0" w:color="auto"/>
        <w:bottom w:val="none" w:sz="0" w:space="0" w:color="auto"/>
        <w:right w:val="none" w:sz="0" w:space="0" w:color="auto"/>
      </w:divBdr>
    </w:div>
    <w:div w:id="617954311">
      <w:bodyDiv w:val="1"/>
      <w:marLeft w:val="0"/>
      <w:marRight w:val="0"/>
      <w:marTop w:val="0"/>
      <w:marBottom w:val="0"/>
      <w:divBdr>
        <w:top w:val="none" w:sz="0" w:space="0" w:color="auto"/>
        <w:left w:val="none" w:sz="0" w:space="0" w:color="auto"/>
        <w:bottom w:val="none" w:sz="0" w:space="0" w:color="auto"/>
        <w:right w:val="none" w:sz="0" w:space="0" w:color="auto"/>
      </w:divBdr>
    </w:div>
    <w:div w:id="621837787">
      <w:bodyDiv w:val="1"/>
      <w:marLeft w:val="0"/>
      <w:marRight w:val="0"/>
      <w:marTop w:val="0"/>
      <w:marBottom w:val="0"/>
      <w:divBdr>
        <w:top w:val="none" w:sz="0" w:space="0" w:color="auto"/>
        <w:left w:val="none" w:sz="0" w:space="0" w:color="auto"/>
        <w:bottom w:val="none" w:sz="0" w:space="0" w:color="auto"/>
        <w:right w:val="none" w:sz="0" w:space="0" w:color="auto"/>
      </w:divBdr>
    </w:div>
    <w:div w:id="633826044">
      <w:bodyDiv w:val="1"/>
      <w:marLeft w:val="0"/>
      <w:marRight w:val="0"/>
      <w:marTop w:val="0"/>
      <w:marBottom w:val="0"/>
      <w:divBdr>
        <w:top w:val="none" w:sz="0" w:space="0" w:color="auto"/>
        <w:left w:val="none" w:sz="0" w:space="0" w:color="auto"/>
        <w:bottom w:val="none" w:sz="0" w:space="0" w:color="auto"/>
        <w:right w:val="none" w:sz="0" w:space="0" w:color="auto"/>
      </w:divBdr>
    </w:div>
    <w:div w:id="641731671">
      <w:bodyDiv w:val="1"/>
      <w:marLeft w:val="0"/>
      <w:marRight w:val="0"/>
      <w:marTop w:val="0"/>
      <w:marBottom w:val="0"/>
      <w:divBdr>
        <w:top w:val="none" w:sz="0" w:space="0" w:color="auto"/>
        <w:left w:val="none" w:sz="0" w:space="0" w:color="auto"/>
        <w:bottom w:val="none" w:sz="0" w:space="0" w:color="auto"/>
        <w:right w:val="none" w:sz="0" w:space="0" w:color="auto"/>
      </w:divBdr>
    </w:div>
    <w:div w:id="645359546">
      <w:bodyDiv w:val="1"/>
      <w:marLeft w:val="0"/>
      <w:marRight w:val="0"/>
      <w:marTop w:val="0"/>
      <w:marBottom w:val="0"/>
      <w:divBdr>
        <w:top w:val="none" w:sz="0" w:space="0" w:color="auto"/>
        <w:left w:val="none" w:sz="0" w:space="0" w:color="auto"/>
        <w:bottom w:val="none" w:sz="0" w:space="0" w:color="auto"/>
        <w:right w:val="none" w:sz="0" w:space="0" w:color="auto"/>
      </w:divBdr>
    </w:div>
    <w:div w:id="649599438">
      <w:bodyDiv w:val="1"/>
      <w:marLeft w:val="0"/>
      <w:marRight w:val="0"/>
      <w:marTop w:val="0"/>
      <w:marBottom w:val="0"/>
      <w:divBdr>
        <w:top w:val="none" w:sz="0" w:space="0" w:color="auto"/>
        <w:left w:val="none" w:sz="0" w:space="0" w:color="auto"/>
        <w:bottom w:val="none" w:sz="0" w:space="0" w:color="auto"/>
        <w:right w:val="none" w:sz="0" w:space="0" w:color="auto"/>
      </w:divBdr>
    </w:div>
    <w:div w:id="651718908">
      <w:bodyDiv w:val="1"/>
      <w:marLeft w:val="0"/>
      <w:marRight w:val="0"/>
      <w:marTop w:val="0"/>
      <w:marBottom w:val="0"/>
      <w:divBdr>
        <w:top w:val="none" w:sz="0" w:space="0" w:color="auto"/>
        <w:left w:val="none" w:sz="0" w:space="0" w:color="auto"/>
        <w:bottom w:val="none" w:sz="0" w:space="0" w:color="auto"/>
        <w:right w:val="none" w:sz="0" w:space="0" w:color="auto"/>
      </w:divBdr>
    </w:div>
    <w:div w:id="657734387">
      <w:bodyDiv w:val="1"/>
      <w:marLeft w:val="0"/>
      <w:marRight w:val="0"/>
      <w:marTop w:val="0"/>
      <w:marBottom w:val="0"/>
      <w:divBdr>
        <w:top w:val="none" w:sz="0" w:space="0" w:color="auto"/>
        <w:left w:val="none" w:sz="0" w:space="0" w:color="auto"/>
        <w:bottom w:val="none" w:sz="0" w:space="0" w:color="auto"/>
        <w:right w:val="none" w:sz="0" w:space="0" w:color="auto"/>
      </w:divBdr>
    </w:div>
    <w:div w:id="658382890">
      <w:bodyDiv w:val="1"/>
      <w:marLeft w:val="0"/>
      <w:marRight w:val="0"/>
      <w:marTop w:val="0"/>
      <w:marBottom w:val="0"/>
      <w:divBdr>
        <w:top w:val="none" w:sz="0" w:space="0" w:color="auto"/>
        <w:left w:val="none" w:sz="0" w:space="0" w:color="auto"/>
        <w:bottom w:val="none" w:sz="0" w:space="0" w:color="auto"/>
        <w:right w:val="none" w:sz="0" w:space="0" w:color="auto"/>
      </w:divBdr>
    </w:div>
    <w:div w:id="666637483">
      <w:bodyDiv w:val="1"/>
      <w:marLeft w:val="0"/>
      <w:marRight w:val="0"/>
      <w:marTop w:val="0"/>
      <w:marBottom w:val="0"/>
      <w:divBdr>
        <w:top w:val="none" w:sz="0" w:space="0" w:color="auto"/>
        <w:left w:val="none" w:sz="0" w:space="0" w:color="auto"/>
        <w:bottom w:val="none" w:sz="0" w:space="0" w:color="auto"/>
        <w:right w:val="none" w:sz="0" w:space="0" w:color="auto"/>
      </w:divBdr>
    </w:div>
    <w:div w:id="671878867">
      <w:bodyDiv w:val="1"/>
      <w:marLeft w:val="0"/>
      <w:marRight w:val="0"/>
      <w:marTop w:val="0"/>
      <w:marBottom w:val="0"/>
      <w:divBdr>
        <w:top w:val="none" w:sz="0" w:space="0" w:color="auto"/>
        <w:left w:val="none" w:sz="0" w:space="0" w:color="auto"/>
        <w:bottom w:val="none" w:sz="0" w:space="0" w:color="auto"/>
        <w:right w:val="none" w:sz="0" w:space="0" w:color="auto"/>
      </w:divBdr>
    </w:div>
    <w:div w:id="679624586">
      <w:bodyDiv w:val="1"/>
      <w:marLeft w:val="0"/>
      <w:marRight w:val="0"/>
      <w:marTop w:val="0"/>
      <w:marBottom w:val="0"/>
      <w:divBdr>
        <w:top w:val="none" w:sz="0" w:space="0" w:color="auto"/>
        <w:left w:val="none" w:sz="0" w:space="0" w:color="auto"/>
        <w:bottom w:val="none" w:sz="0" w:space="0" w:color="auto"/>
        <w:right w:val="none" w:sz="0" w:space="0" w:color="auto"/>
      </w:divBdr>
    </w:div>
    <w:div w:id="694889050">
      <w:bodyDiv w:val="1"/>
      <w:marLeft w:val="0"/>
      <w:marRight w:val="0"/>
      <w:marTop w:val="0"/>
      <w:marBottom w:val="0"/>
      <w:divBdr>
        <w:top w:val="none" w:sz="0" w:space="0" w:color="auto"/>
        <w:left w:val="none" w:sz="0" w:space="0" w:color="auto"/>
        <w:bottom w:val="none" w:sz="0" w:space="0" w:color="auto"/>
        <w:right w:val="none" w:sz="0" w:space="0" w:color="auto"/>
      </w:divBdr>
    </w:div>
    <w:div w:id="698317563">
      <w:bodyDiv w:val="1"/>
      <w:marLeft w:val="0"/>
      <w:marRight w:val="0"/>
      <w:marTop w:val="0"/>
      <w:marBottom w:val="0"/>
      <w:divBdr>
        <w:top w:val="none" w:sz="0" w:space="0" w:color="auto"/>
        <w:left w:val="none" w:sz="0" w:space="0" w:color="auto"/>
        <w:bottom w:val="none" w:sz="0" w:space="0" w:color="auto"/>
        <w:right w:val="none" w:sz="0" w:space="0" w:color="auto"/>
      </w:divBdr>
    </w:div>
    <w:div w:id="699356487">
      <w:bodyDiv w:val="1"/>
      <w:marLeft w:val="0"/>
      <w:marRight w:val="0"/>
      <w:marTop w:val="0"/>
      <w:marBottom w:val="0"/>
      <w:divBdr>
        <w:top w:val="none" w:sz="0" w:space="0" w:color="auto"/>
        <w:left w:val="none" w:sz="0" w:space="0" w:color="auto"/>
        <w:bottom w:val="none" w:sz="0" w:space="0" w:color="auto"/>
        <w:right w:val="none" w:sz="0" w:space="0" w:color="auto"/>
      </w:divBdr>
    </w:div>
    <w:div w:id="700937197">
      <w:bodyDiv w:val="1"/>
      <w:marLeft w:val="0"/>
      <w:marRight w:val="0"/>
      <w:marTop w:val="0"/>
      <w:marBottom w:val="0"/>
      <w:divBdr>
        <w:top w:val="none" w:sz="0" w:space="0" w:color="auto"/>
        <w:left w:val="none" w:sz="0" w:space="0" w:color="auto"/>
        <w:bottom w:val="none" w:sz="0" w:space="0" w:color="auto"/>
        <w:right w:val="none" w:sz="0" w:space="0" w:color="auto"/>
      </w:divBdr>
    </w:div>
    <w:div w:id="722367064">
      <w:bodyDiv w:val="1"/>
      <w:marLeft w:val="0"/>
      <w:marRight w:val="0"/>
      <w:marTop w:val="0"/>
      <w:marBottom w:val="0"/>
      <w:divBdr>
        <w:top w:val="none" w:sz="0" w:space="0" w:color="auto"/>
        <w:left w:val="none" w:sz="0" w:space="0" w:color="auto"/>
        <w:bottom w:val="none" w:sz="0" w:space="0" w:color="auto"/>
        <w:right w:val="none" w:sz="0" w:space="0" w:color="auto"/>
      </w:divBdr>
    </w:div>
    <w:div w:id="739641406">
      <w:bodyDiv w:val="1"/>
      <w:marLeft w:val="0"/>
      <w:marRight w:val="0"/>
      <w:marTop w:val="0"/>
      <w:marBottom w:val="0"/>
      <w:divBdr>
        <w:top w:val="none" w:sz="0" w:space="0" w:color="auto"/>
        <w:left w:val="none" w:sz="0" w:space="0" w:color="auto"/>
        <w:bottom w:val="none" w:sz="0" w:space="0" w:color="auto"/>
        <w:right w:val="none" w:sz="0" w:space="0" w:color="auto"/>
      </w:divBdr>
    </w:div>
    <w:div w:id="740912599">
      <w:bodyDiv w:val="1"/>
      <w:marLeft w:val="0"/>
      <w:marRight w:val="0"/>
      <w:marTop w:val="0"/>
      <w:marBottom w:val="0"/>
      <w:divBdr>
        <w:top w:val="none" w:sz="0" w:space="0" w:color="auto"/>
        <w:left w:val="none" w:sz="0" w:space="0" w:color="auto"/>
        <w:bottom w:val="none" w:sz="0" w:space="0" w:color="auto"/>
        <w:right w:val="none" w:sz="0" w:space="0" w:color="auto"/>
      </w:divBdr>
    </w:div>
    <w:div w:id="743726013">
      <w:bodyDiv w:val="1"/>
      <w:marLeft w:val="0"/>
      <w:marRight w:val="0"/>
      <w:marTop w:val="0"/>
      <w:marBottom w:val="0"/>
      <w:divBdr>
        <w:top w:val="none" w:sz="0" w:space="0" w:color="auto"/>
        <w:left w:val="none" w:sz="0" w:space="0" w:color="auto"/>
        <w:bottom w:val="none" w:sz="0" w:space="0" w:color="auto"/>
        <w:right w:val="none" w:sz="0" w:space="0" w:color="auto"/>
      </w:divBdr>
    </w:div>
    <w:div w:id="743835865">
      <w:bodyDiv w:val="1"/>
      <w:marLeft w:val="0"/>
      <w:marRight w:val="0"/>
      <w:marTop w:val="0"/>
      <w:marBottom w:val="0"/>
      <w:divBdr>
        <w:top w:val="none" w:sz="0" w:space="0" w:color="auto"/>
        <w:left w:val="none" w:sz="0" w:space="0" w:color="auto"/>
        <w:bottom w:val="none" w:sz="0" w:space="0" w:color="auto"/>
        <w:right w:val="none" w:sz="0" w:space="0" w:color="auto"/>
      </w:divBdr>
    </w:div>
    <w:div w:id="766923162">
      <w:bodyDiv w:val="1"/>
      <w:marLeft w:val="0"/>
      <w:marRight w:val="0"/>
      <w:marTop w:val="0"/>
      <w:marBottom w:val="0"/>
      <w:divBdr>
        <w:top w:val="none" w:sz="0" w:space="0" w:color="auto"/>
        <w:left w:val="none" w:sz="0" w:space="0" w:color="auto"/>
        <w:bottom w:val="none" w:sz="0" w:space="0" w:color="auto"/>
        <w:right w:val="none" w:sz="0" w:space="0" w:color="auto"/>
      </w:divBdr>
    </w:div>
    <w:div w:id="768625592">
      <w:bodyDiv w:val="1"/>
      <w:marLeft w:val="0"/>
      <w:marRight w:val="0"/>
      <w:marTop w:val="0"/>
      <w:marBottom w:val="0"/>
      <w:divBdr>
        <w:top w:val="none" w:sz="0" w:space="0" w:color="auto"/>
        <w:left w:val="none" w:sz="0" w:space="0" w:color="auto"/>
        <w:bottom w:val="none" w:sz="0" w:space="0" w:color="auto"/>
        <w:right w:val="none" w:sz="0" w:space="0" w:color="auto"/>
      </w:divBdr>
    </w:div>
    <w:div w:id="784806389">
      <w:bodyDiv w:val="1"/>
      <w:marLeft w:val="0"/>
      <w:marRight w:val="0"/>
      <w:marTop w:val="0"/>
      <w:marBottom w:val="0"/>
      <w:divBdr>
        <w:top w:val="none" w:sz="0" w:space="0" w:color="auto"/>
        <w:left w:val="none" w:sz="0" w:space="0" w:color="auto"/>
        <w:bottom w:val="none" w:sz="0" w:space="0" w:color="auto"/>
        <w:right w:val="none" w:sz="0" w:space="0" w:color="auto"/>
      </w:divBdr>
    </w:div>
    <w:div w:id="794058301">
      <w:bodyDiv w:val="1"/>
      <w:marLeft w:val="0"/>
      <w:marRight w:val="0"/>
      <w:marTop w:val="0"/>
      <w:marBottom w:val="0"/>
      <w:divBdr>
        <w:top w:val="none" w:sz="0" w:space="0" w:color="auto"/>
        <w:left w:val="none" w:sz="0" w:space="0" w:color="auto"/>
        <w:bottom w:val="none" w:sz="0" w:space="0" w:color="auto"/>
        <w:right w:val="none" w:sz="0" w:space="0" w:color="auto"/>
      </w:divBdr>
    </w:div>
    <w:div w:id="803159271">
      <w:bodyDiv w:val="1"/>
      <w:marLeft w:val="0"/>
      <w:marRight w:val="0"/>
      <w:marTop w:val="0"/>
      <w:marBottom w:val="0"/>
      <w:divBdr>
        <w:top w:val="none" w:sz="0" w:space="0" w:color="auto"/>
        <w:left w:val="none" w:sz="0" w:space="0" w:color="auto"/>
        <w:bottom w:val="none" w:sz="0" w:space="0" w:color="auto"/>
        <w:right w:val="none" w:sz="0" w:space="0" w:color="auto"/>
      </w:divBdr>
    </w:div>
    <w:div w:id="803430010">
      <w:bodyDiv w:val="1"/>
      <w:marLeft w:val="0"/>
      <w:marRight w:val="0"/>
      <w:marTop w:val="0"/>
      <w:marBottom w:val="0"/>
      <w:divBdr>
        <w:top w:val="none" w:sz="0" w:space="0" w:color="auto"/>
        <w:left w:val="none" w:sz="0" w:space="0" w:color="auto"/>
        <w:bottom w:val="none" w:sz="0" w:space="0" w:color="auto"/>
        <w:right w:val="none" w:sz="0" w:space="0" w:color="auto"/>
      </w:divBdr>
    </w:div>
    <w:div w:id="804814026">
      <w:bodyDiv w:val="1"/>
      <w:marLeft w:val="0"/>
      <w:marRight w:val="0"/>
      <w:marTop w:val="0"/>
      <w:marBottom w:val="0"/>
      <w:divBdr>
        <w:top w:val="none" w:sz="0" w:space="0" w:color="auto"/>
        <w:left w:val="none" w:sz="0" w:space="0" w:color="auto"/>
        <w:bottom w:val="none" w:sz="0" w:space="0" w:color="auto"/>
        <w:right w:val="none" w:sz="0" w:space="0" w:color="auto"/>
      </w:divBdr>
    </w:div>
    <w:div w:id="830368329">
      <w:bodyDiv w:val="1"/>
      <w:marLeft w:val="0"/>
      <w:marRight w:val="0"/>
      <w:marTop w:val="0"/>
      <w:marBottom w:val="0"/>
      <w:divBdr>
        <w:top w:val="none" w:sz="0" w:space="0" w:color="auto"/>
        <w:left w:val="none" w:sz="0" w:space="0" w:color="auto"/>
        <w:bottom w:val="none" w:sz="0" w:space="0" w:color="auto"/>
        <w:right w:val="none" w:sz="0" w:space="0" w:color="auto"/>
      </w:divBdr>
    </w:div>
    <w:div w:id="856694369">
      <w:bodyDiv w:val="1"/>
      <w:marLeft w:val="0"/>
      <w:marRight w:val="0"/>
      <w:marTop w:val="0"/>
      <w:marBottom w:val="0"/>
      <w:divBdr>
        <w:top w:val="none" w:sz="0" w:space="0" w:color="auto"/>
        <w:left w:val="none" w:sz="0" w:space="0" w:color="auto"/>
        <w:bottom w:val="none" w:sz="0" w:space="0" w:color="auto"/>
        <w:right w:val="none" w:sz="0" w:space="0" w:color="auto"/>
      </w:divBdr>
    </w:div>
    <w:div w:id="862398293">
      <w:bodyDiv w:val="1"/>
      <w:marLeft w:val="0"/>
      <w:marRight w:val="0"/>
      <w:marTop w:val="0"/>
      <w:marBottom w:val="0"/>
      <w:divBdr>
        <w:top w:val="none" w:sz="0" w:space="0" w:color="auto"/>
        <w:left w:val="none" w:sz="0" w:space="0" w:color="auto"/>
        <w:bottom w:val="none" w:sz="0" w:space="0" w:color="auto"/>
        <w:right w:val="none" w:sz="0" w:space="0" w:color="auto"/>
      </w:divBdr>
    </w:div>
    <w:div w:id="864248326">
      <w:bodyDiv w:val="1"/>
      <w:marLeft w:val="0"/>
      <w:marRight w:val="0"/>
      <w:marTop w:val="0"/>
      <w:marBottom w:val="0"/>
      <w:divBdr>
        <w:top w:val="none" w:sz="0" w:space="0" w:color="auto"/>
        <w:left w:val="none" w:sz="0" w:space="0" w:color="auto"/>
        <w:bottom w:val="none" w:sz="0" w:space="0" w:color="auto"/>
        <w:right w:val="none" w:sz="0" w:space="0" w:color="auto"/>
      </w:divBdr>
    </w:div>
    <w:div w:id="869537329">
      <w:bodyDiv w:val="1"/>
      <w:marLeft w:val="0"/>
      <w:marRight w:val="0"/>
      <w:marTop w:val="0"/>
      <w:marBottom w:val="0"/>
      <w:divBdr>
        <w:top w:val="none" w:sz="0" w:space="0" w:color="auto"/>
        <w:left w:val="none" w:sz="0" w:space="0" w:color="auto"/>
        <w:bottom w:val="none" w:sz="0" w:space="0" w:color="auto"/>
        <w:right w:val="none" w:sz="0" w:space="0" w:color="auto"/>
      </w:divBdr>
    </w:div>
    <w:div w:id="871260465">
      <w:bodyDiv w:val="1"/>
      <w:marLeft w:val="0"/>
      <w:marRight w:val="0"/>
      <w:marTop w:val="0"/>
      <w:marBottom w:val="0"/>
      <w:divBdr>
        <w:top w:val="none" w:sz="0" w:space="0" w:color="auto"/>
        <w:left w:val="none" w:sz="0" w:space="0" w:color="auto"/>
        <w:bottom w:val="none" w:sz="0" w:space="0" w:color="auto"/>
        <w:right w:val="none" w:sz="0" w:space="0" w:color="auto"/>
      </w:divBdr>
    </w:div>
    <w:div w:id="874200268">
      <w:bodyDiv w:val="1"/>
      <w:marLeft w:val="0"/>
      <w:marRight w:val="0"/>
      <w:marTop w:val="0"/>
      <w:marBottom w:val="0"/>
      <w:divBdr>
        <w:top w:val="none" w:sz="0" w:space="0" w:color="auto"/>
        <w:left w:val="none" w:sz="0" w:space="0" w:color="auto"/>
        <w:bottom w:val="none" w:sz="0" w:space="0" w:color="auto"/>
        <w:right w:val="none" w:sz="0" w:space="0" w:color="auto"/>
      </w:divBdr>
    </w:div>
    <w:div w:id="876817824">
      <w:bodyDiv w:val="1"/>
      <w:marLeft w:val="0"/>
      <w:marRight w:val="0"/>
      <w:marTop w:val="0"/>
      <w:marBottom w:val="0"/>
      <w:divBdr>
        <w:top w:val="none" w:sz="0" w:space="0" w:color="auto"/>
        <w:left w:val="none" w:sz="0" w:space="0" w:color="auto"/>
        <w:bottom w:val="none" w:sz="0" w:space="0" w:color="auto"/>
        <w:right w:val="none" w:sz="0" w:space="0" w:color="auto"/>
      </w:divBdr>
    </w:div>
    <w:div w:id="880358474">
      <w:bodyDiv w:val="1"/>
      <w:marLeft w:val="0"/>
      <w:marRight w:val="0"/>
      <w:marTop w:val="0"/>
      <w:marBottom w:val="0"/>
      <w:divBdr>
        <w:top w:val="none" w:sz="0" w:space="0" w:color="auto"/>
        <w:left w:val="none" w:sz="0" w:space="0" w:color="auto"/>
        <w:bottom w:val="none" w:sz="0" w:space="0" w:color="auto"/>
        <w:right w:val="none" w:sz="0" w:space="0" w:color="auto"/>
      </w:divBdr>
    </w:div>
    <w:div w:id="888613423">
      <w:bodyDiv w:val="1"/>
      <w:marLeft w:val="0"/>
      <w:marRight w:val="0"/>
      <w:marTop w:val="0"/>
      <w:marBottom w:val="0"/>
      <w:divBdr>
        <w:top w:val="none" w:sz="0" w:space="0" w:color="auto"/>
        <w:left w:val="none" w:sz="0" w:space="0" w:color="auto"/>
        <w:bottom w:val="none" w:sz="0" w:space="0" w:color="auto"/>
        <w:right w:val="none" w:sz="0" w:space="0" w:color="auto"/>
      </w:divBdr>
    </w:div>
    <w:div w:id="892234378">
      <w:bodyDiv w:val="1"/>
      <w:marLeft w:val="0"/>
      <w:marRight w:val="0"/>
      <w:marTop w:val="0"/>
      <w:marBottom w:val="0"/>
      <w:divBdr>
        <w:top w:val="none" w:sz="0" w:space="0" w:color="auto"/>
        <w:left w:val="none" w:sz="0" w:space="0" w:color="auto"/>
        <w:bottom w:val="none" w:sz="0" w:space="0" w:color="auto"/>
        <w:right w:val="none" w:sz="0" w:space="0" w:color="auto"/>
      </w:divBdr>
    </w:div>
    <w:div w:id="892739961">
      <w:bodyDiv w:val="1"/>
      <w:marLeft w:val="0"/>
      <w:marRight w:val="0"/>
      <w:marTop w:val="0"/>
      <w:marBottom w:val="0"/>
      <w:divBdr>
        <w:top w:val="none" w:sz="0" w:space="0" w:color="auto"/>
        <w:left w:val="none" w:sz="0" w:space="0" w:color="auto"/>
        <w:bottom w:val="none" w:sz="0" w:space="0" w:color="auto"/>
        <w:right w:val="none" w:sz="0" w:space="0" w:color="auto"/>
      </w:divBdr>
    </w:div>
    <w:div w:id="900099426">
      <w:bodyDiv w:val="1"/>
      <w:marLeft w:val="0"/>
      <w:marRight w:val="0"/>
      <w:marTop w:val="0"/>
      <w:marBottom w:val="0"/>
      <w:divBdr>
        <w:top w:val="none" w:sz="0" w:space="0" w:color="auto"/>
        <w:left w:val="none" w:sz="0" w:space="0" w:color="auto"/>
        <w:bottom w:val="none" w:sz="0" w:space="0" w:color="auto"/>
        <w:right w:val="none" w:sz="0" w:space="0" w:color="auto"/>
      </w:divBdr>
    </w:div>
    <w:div w:id="917128636">
      <w:bodyDiv w:val="1"/>
      <w:marLeft w:val="0"/>
      <w:marRight w:val="0"/>
      <w:marTop w:val="0"/>
      <w:marBottom w:val="0"/>
      <w:divBdr>
        <w:top w:val="none" w:sz="0" w:space="0" w:color="auto"/>
        <w:left w:val="none" w:sz="0" w:space="0" w:color="auto"/>
        <w:bottom w:val="none" w:sz="0" w:space="0" w:color="auto"/>
        <w:right w:val="none" w:sz="0" w:space="0" w:color="auto"/>
      </w:divBdr>
    </w:div>
    <w:div w:id="932274686">
      <w:bodyDiv w:val="1"/>
      <w:marLeft w:val="0"/>
      <w:marRight w:val="0"/>
      <w:marTop w:val="0"/>
      <w:marBottom w:val="0"/>
      <w:divBdr>
        <w:top w:val="none" w:sz="0" w:space="0" w:color="auto"/>
        <w:left w:val="none" w:sz="0" w:space="0" w:color="auto"/>
        <w:bottom w:val="none" w:sz="0" w:space="0" w:color="auto"/>
        <w:right w:val="none" w:sz="0" w:space="0" w:color="auto"/>
      </w:divBdr>
    </w:div>
    <w:div w:id="940837342">
      <w:bodyDiv w:val="1"/>
      <w:marLeft w:val="0"/>
      <w:marRight w:val="0"/>
      <w:marTop w:val="0"/>
      <w:marBottom w:val="0"/>
      <w:divBdr>
        <w:top w:val="none" w:sz="0" w:space="0" w:color="auto"/>
        <w:left w:val="none" w:sz="0" w:space="0" w:color="auto"/>
        <w:bottom w:val="none" w:sz="0" w:space="0" w:color="auto"/>
        <w:right w:val="none" w:sz="0" w:space="0" w:color="auto"/>
      </w:divBdr>
    </w:div>
    <w:div w:id="943535810">
      <w:bodyDiv w:val="1"/>
      <w:marLeft w:val="0"/>
      <w:marRight w:val="0"/>
      <w:marTop w:val="0"/>
      <w:marBottom w:val="0"/>
      <w:divBdr>
        <w:top w:val="none" w:sz="0" w:space="0" w:color="auto"/>
        <w:left w:val="none" w:sz="0" w:space="0" w:color="auto"/>
        <w:bottom w:val="none" w:sz="0" w:space="0" w:color="auto"/>
        <w:right w:val="none" w:sz="0" w:space="0" w:color="auto"/>
      </w:divBdr>
    </w:div>
    <w:div w:id="946499734">
      <w:bodyDiv w:val="1"/>
      <w:marLeft w:val="0"/>
      <w:marRight w:val="0"/>
      <w:marTop w:val="0"/>
      <w:marBottom w:val="0"/>
      <w:divBdr>
        <w:top w:val="none" w:sz="0" w:space="0" w:color="auto"/>
        <w:left w:val="none" w:sz="0" w:space="0" w:color="auto"/>
        <w:bottom w:val="none" w:sz="0" w:space="0" w:color="auto"/>
        <w:right w:val="none" w:sz="0" w:space="0" w:color="auto"/>
      </w:divBdr>
    </w:div>
    <w:div w:id="948664164">
      <w:bodyDiv w:val="1"/>
      <w:marLeft w:val="0"/>
      <w:marRight w:val="0"/>
      <w:marTop w:val="0"/>
      <w:marBottom w:val="0"/>
      <w:divBdr>
        <w:top w:val="none" w:sz="0" w:space="0" w:color="auto"/>
        <w:left w:val="none" w:sz="0" w:space="0" w:color="auto"/>
        <w:bottom w:val="none" w:sz="0" w:space="0" w:color="auto"/>
        <w:right w:val="none" w:sz="0" w:space="0" w:color="auto"/>
      </w:divBdr>
    </w:div>
    <w:div w:id="950472603">
      <w:bodyDiv w:val="1"/>
      <w:marLeft w:val="0"/>
      <w:marRight w:val="0"/>
      <w:marTop w:val="0"/>
      <w:marBottom w:val="0"/>
      <w:divBdr>
        <w:top w:val="none" w:sz="0" w:space="0" w:color="auto"/>
        <w:left w:val="none" w:sz="0" w:space="0" w:color="auto"/>
        <w:bottom w:val="none" w:sz="0" w:space="0" w:color="auto"/>
        <w:right w:val="none" w:sz="0" w:space="0" w:color="auto"/>
      </w:divBdr>
    </w:div>
    <w:div w:id="975767627">
      <w:bodyDiv w:val="1"/>
      <w:marLeft w:val="0"/>
      <w:marRight w:val="0"/>
      <w:marTop w:val="0"/>
      <w:marBottom w:val="0"/>
      <w:divBdr>
        <w:top w:val="none" w:sz="0" w:space="0" w:color="auto"/>
        <w:left w:val="none" w:sz="0" w:space="0" w:color="auto"/>
        <w:bottom w:val="none" w:sz="0" w:space="0" w:color="auto"/>
        <w:right w:val="none" w:sz="0" w:space="0" w:color="auto"/>
      </w:divBdr>
    </w:div>
    <w:div w:id="986401991">
      <w:bodyDiv w:val="1"/>
      <w:marLeft w:val="0"/>
      <w:marRight w:val="0"/>
      <w:marTop w:val="0"/>
      <w:marBottom w:val="0"/>
      <w:divBdr>
        <w:top w:val="none" w:sz="0" w:space="0" w:color="auto"/>
        <w:left w:val="none" w:sz="0" w:space="0" w:color="auto"/>
        <w:bottom w:val="none" w:sz="0" w:space="0" w:color="auto"/>
        <w:right w:val="none" w:sz="0" w:space="0" w:color="auto"/>
      </w:divBdr>
    </w:div>
    <w:div w:id="998922411">
      <w:bodyDiv w:val="1"/>
      <w:marLeft w:val="0"/>
      <w:marRight w:val="0"/>
      <w:marTop w:val="0"/>
      <w:marBottom w:val="0"/>
      <w:divBdr>
        <w:top w:val="none" w:sz="0" w:space="0" w:color="auto"/>
        <w:left w:val="none" w:sz="0" w:space="0" w:color="auto"/>
        <w:bottom w:val="none" w:sz="0" w:space="0" w:color="auto"/>
        <w:right w:val="none" w:sz="0" w:space="0" w:color="auto"/>
      </w:divBdr>
    </w:div>
    <w:div w:id="1013075457">
      <w:bodyDiv w:val="1"/>
      <w:marLeft w:val="0"/>
      <w:marRight w:val="0"/>
      <w:marTop w:val="0"/>
      <w:marBottom w:val="0"/>
      <w:divBdr>
        <w:top w:val="none" w:sz="0" w:space="0" w:color="auto"/>
        <w:left w:val="none" w:sz="0" w:space="0" w:color="auto"/>
        <w:bottom w:val="none" w:sz="0" w:space="0" w:color="auto"/>
        <w:right w:val="none" w:sz="0" w:space="0" w:color="auto"/>
      </w:divBdr>
    </w:div>
    <w:div w:id="1023944884">
      <w:bodyDiv w:val="1"/>
      <w:marLeft w:val="0"/>
      <w:marRight w:val="0"/>
      <w:marTop w:val="0"/>
      <w:marBottom w:val="0"/>
      <w:divBdr>
        <w:top w:val="none" w:sz="0" w:space="0" w:color="auto"/>
        <w:left w:val="none" w:sz="0" w:space="0" w:color="auto"/>
        <w:bottom w:val="none" w:sz="0" w:space="0" w:color="auto"/>
        <w:right w:val="none" w:sz="0" w:space="0" w:color="auto"/>
      </w:divBdr>
    </w:div>
    <w:div w:id="1029991228">
      <w:bodyDiv w:val="1"/>
      <w:marLeft w:val="0"/>
      <w:marRight w:val="0"/>
      <w:marTop w:val="0"/>
      <w:marBottom w:val="0"/>
      <w:divBdr>
        <w:top w:val="none" w:sz="0" w:space="0" w:color="auto"/>
        <w:left w:val="none" w:sz="0" w:space="0" w:color="auto"/>
        <w:bottom w:val="none" w:sz="0" w:space="0" w:color="auto"/>
        <w:right w:val="none" w:sz="0" w:space="0" w:color="auto"/>
      </w:divBdr>
    </w:div>
    <w:div w:id="1044794657">
      <w:bodyDiv w:val="1"/>
      <w:marLeft w:val="0"/>
      <w:marRight w:val="0"/>
      <w:marTop w:val="0"/>
      <w:marBottom w:val="0"/>
      <w:divBdr>
        <w:top w:val="none" w:sz="0" w:space="0" w:color="auto"/>
        <w:left w:val="none" w:sz="0" w:space="0" w:color="auto"/>
        <w:bottom w:val="none" w:sz="0" w:space="0" w:color="auto"/>
        <w:right w:val="none" w:sz="0" w:space="0" w:color="auto"/>
      </w:divBdr>
    </w:div>
    <w:div w:id="1063218106">
      <w:bodyDiv w:val="1"/>
      <w:marLeft w:val="0"/>
      <w:marRight w:val="0"/>
      <w:marTop w:val="0"/>
      <w:marBottom w:val="0"/>
      <w:divBdr>
        <w:top w:val="none" w:sz="0" w:space="0" w:color="auto"/>
        <w:left w:val="none" w:sz="0" w:space="0" w:color="auto"/>
        <w:bottom w:val="none" w:sz="0" w:space="0" w:color="auto"/>
        <w:right w:val="none" w:sz="0" w:space="0" w:color="auto"/>
      </w:divBdr>
    </w:div>
    <w:div w:id="1065374255">
      <w:bodyDiv w:val="1"/>
      <w:marLeft w:val="0"/>
      <w:marRight w:val="0"/>
      <w:marTop w:val="0"/>
      <w:marBottom w:val="0"/>
      <w:divBdr>
        <w:top w:val="none" w:sz="0" w:space="0" w:color="auto"/>
        <w:left w:val="none" w:sz="0" w:space="0" w:color="auto"/>
        <w:bottom w:val="none" w:sz="0" w:space="0" w:color="auto"/>
        <w:right w:val="none" w:sz="0" w:space="0" w:color="auto"/>
      </w:divBdr>
    </w:div>
    <w:div w:id="1076325183">
      <w:bodyDiv w:val="1"/>
      <w:marLeft w:val="0"/>
      <w:marRight w:val="0"/>
      <w:marTop w:val="0"/>
      <w:marBottom w:val="0"/>
      <w:divBdr>
        <w:top w:val="none" w:sz="0" w:space="0" w:color="auto"/>
        <w:left w:val="none" w:sz="0" w:space="0" w:color="auto"/>
        <w:bottom w:val="none" w:sz="0" w:space="0" w:color="auto"/>
        <w:right w:val="none" w:sz="0" w:space="0" w:color="auto"/>
      </w:divBdr>
    </w:div>
    <w:div w:id="1082138061">
      <w:bodyDiv w:val="1"/>
      <w:marLeft w:val="0"/>
      <w:marRight w:val="0"/>
      <w:marTop w:val="0"/>
      <w:marBottom w:val="0"/>
      <w:divBdr>
        <w:top w:val="none" w:sz="0" w:space="0" w:color="auto"/>
        <w:left w:val="none" w:sz="0" w:space="0" w:color="auto"/>
        <w:bottom w:val="none" w:sz="0" w:space="0" w:color="auto"/>
        <w:right w:val="none" w:sz="0" w:space="0" w:color="auto"/>
      </w:divBdr>
    </w:div>
    <w:div w:id="1094667767">
      <w:bodyDiv w:val="1"/>
      <w:marLeft w:val="0"/>
      <w:marRight w:val="0"/>
      <w:marTop w:val="0"/>
      <w:marBottom w:val="0"/>
      <w:divBdr>
        <w:top w:val="none" w:sz="0" w:space="0" w:color="auto"/>
        <w:left w:val="none" w:sz="0" w:space="0" w:color="auto"/>
        <w:bottom w:val="none" w:sz="0" w:space="0" w:color="auto"/>
        <w:right w:val="none" w:sz="0" w:space="0" w:color="auto"/>
      </w:divBdr>
    </w:div>
    <w:div w:id="1113748776">
      <w:bodyDiv w:val="1"/>
      <w:marLeft w:val="0"/>
      <w:marRight w:val="0"/>
      <w:marTop w:val="0"/>
      <w:marBottom w:val="0"/>
      <w:divBdr>
        <w:top w:val="none" w:sz="0" w:space="0" w:color="auto"/>
        <w:left w:val="none" w:sz="0" w:space="0" w:color="auto"/>
        <w:bottom w:val="none" w:sz="0" w:space="0" w:color="auto"/>
        <w:right w:val="none" w:sz="0" w:space="0" w:color="auto"/>
      </w:divBdr>
    </w:div>
    <w:div w:id="1117261089">
      <w:bodyDiv w:val="1"/>
      <w:marLeft w:val="0"/>
      <w:marRight w:val="0"/>
      <w:marTop w:val="0"/>
      <w:marBottom w:val="0"/>
      <w:divBdr>
        <w:top w:val="none" w:sz="0" w:space="0" w:color="auto"/>
        <w:left w:val="none" w:sz="0" w:space="0" w:color="auto"/>
        <w:bottom w:val="none" w:sz="0" w:space="0" w:color="auto"/>
        <w:right w:val="none" w:sz="0" w:space="0" w:color="auto"/>
      </w:divBdr>
    </w:div>
    <w:div w:id="1122656170">
      <w:bodyDiv w:val="1"/>
      <w:marLeft w:val="0"/>
      <w:marRight w:val="0"/>
      <w:marTop w:val="0"/>
      <w:marBottom w:val="0"/>
      <w:divBdr>
        <w:top w:val="none" w:sz="0" w:space="0" w:color="auto"/>
        <w:left w:val="none" w:sz="0" w:space="0" w:color="auto"/>
        <w:bottom w:val="none" w:sz="0" w:space="0" w:color="auto"/>
        <w:right w:val="none" w:sz="0" w:space="0" w:color="auto"/>
      </w:divBdr>
    </w:div>
    <w:div w:id="1126045304">
      <w:bodyDiv w:val="1"/>
      <w:marLeft w:val="0"/>
      <w:marRight w:val="0"/>
      <w:marTop w:val="0"/>
      <w:marBottom w:val="0"/>
      <w:divBdr>
        <w:top w:val="none" w:sz="0" w:space="0" w:color="auto"/>
        <w:left w:val="none" w:sz="0" w:space="0" w:color="auto"/>
        <w:bottom w:val="none" w:sz="0" w:space="0" w:color="auto"/>
        <w:right w:val="none" w:sz="0" w:space="0" w:color="auto"/>
      </w:divBdr>
    </w:div>
    <w:div w:id="1129008853">
      <w:bodyDiv w:val="1"/>
      <w:marLeft w:val="0"/>
      <w:marRight w:val="0"/>
      <w:marTop w:val="0"/>
      <w:marBottom w:val="0"/>
      <w:divBdr>
        <w:top w:val="none" w:sz="0" w:space="0" w:color="auto"/>
        <w:left w:val="none" w:sz="0" w:space="0" w:color="auto"/>
        <w:bottom w:val="none" w:sz="0" w:space="0" w:color="auto"/>
        <w:right w:val="none" w:sz="0" w:space="0" w:color="auto"/>
      </w:divBdr>
    </w:div>
    <w:div w:id="1144927703">
      <w:bodyDiv w:val="1"/>
      <w:marLeft w:val="0"/>
      <w:marRight w:val="0"/>
      <w:marTop w:val="0"/>
      <w:marBottom w:val="0"/>
      <w:divBdr>
        <w:top w:val="none" w:sz="0" w:space="0" w:color="auto"/>
        <w:left w:val="none" w:sz="0" w:space="0" w:color="auto"/>
        <w:bottom w:val="none" w:sz="0" w:space="0" w:color="auto"/>
        <w:right w:val="none" w:sz="0" w:space="0" w:color="auto"/>
      </w:divBdr>
    </w:div>
    <w:div w:id="1163424509">
      <w:bodyDiv w:val="1"/>
      <w:marLeft w:val="0"/>
      <w:marRight w:val="0"/>
      <w:marTop w:val="0"/>
      <w:marBottom w:val="0"/>
      <w:divBdr>
        <w:top w:val="none" w:sz="0" w:space="0" w:color="auto"/>
        <w:left w:val="none" w:sz="0" w:space="0" w:color="auto"/>
        <w:bottom w:val="none" w:sz="0" w:space="0" w:color="auto"/>
        <w:right w:val="none" w:sz="0" w:space="0" w:color="auto"/>
      </w:divBdr>
    </w:div>
    <w:div w:id="1163621774">
      <w:bodyDiv w:val="1"/>
      <w:marLeft w:val="0"/>
      <w:marRight w:val="0"/>
      <w:marTop w:val="0"/>
      <w:marBottom w:val="0"/>
      <w:divBdr>
        <w:top w:val="none" w:sz="0" w:space="0" w:color="auto"/>
        <w:left w:val="none" w:sz="0" w:space="0" w:color="auto"/>
        <w:bottom w:val="none" w:sz="0" w:space="0" w:color="auto"/>
        <w:right w:val="none" w:sz="0" w:space="0" w:color="auto"/>
      </w:divBdr>
    </w:div>
    <w:div w:id="1180661234">
      <w:bodyDiv w:val="1"/>
      <w:marLeft w:val="0"/>
      <w:marRight w:val="0"/>
      <w:marTop w:val="0"/>
      <w:marBottom w:val="0"/>
      <w:divBdr>
        <w:top w:val="none" w:sz="0" w:space="0" w:color="auto"/>
        <w:left w:val="none" w:sz="0" w:space="0" w:color="auto"/>
        <w:bottom w:val="none" w:sz="0" w:space="0" w:color="auto"/>
        <w:right w:val="none" w:sz="0" w:space="0" w:color="auto"/>
      </w:divBdr>
    </w:div>
    <w:div w:id="1183663681">
      <w:bodyDiv w:val="1"/>
      <w:marLeft w:val="0"/>
      <w:marRight w:val="0"/>
      <w:marTop w:val="0"/>
      <w:marBottom w:val="0"/>
      <w:divBdr>
        <w:top w:val="none" w:sz="0" w:space="0" w:color="auto"/>
        <w:left w:val="none" w:sz="0" w:space="0" w:color="auto"/>
        <w:bottom w:val="none" w:sz="0" w:space="0" w:color="auto"/>
        <w:right w:val="none" w:sz="0" w:space="0" w:color="auto"/>
      </w:divBdr>
    </w:div>
    <w:div w:id="1187256010">
      <w:bodyDiv w:val="1"/>
      <w:marLeft w:val="0"/>
      <w:marRight w:val="0"/>
      <w:marTop w:val="0"/>
      <w:marBottom w:val="0"/>
      <w:divBdr>
        <w:top w:val="none" w:sz="0" w:space="0" w:color="auto"/>
        <w:left w:val="none" w:sz="0" w:space="0" w:color="auto"/>
        <w:bottom w:val="none" w:sz="0" w:space="0" w:color="auto"/>
        <w:right w:val="none" w:sz="0" w:space="0" w:color="auto"/>
      </w:divBdr>
    </w:div>
    <w:div w:id="1189757384">
      <w:bodyDiv w:val="1"/>
      <w:marLeft w:val="0"/>
      <w:marRight w:val="0"/>
      <w:marTop w:val="0"/>
      <w:marBottom w:val="0"/>
      <w:divBdr>
        <w:top w:val="none" w:sz="0" w:space="0" w:color="auto"/>
        <w:left w:val="none" w:sz="0" w:space="0" w:color="auto"/>
        <w:bottom w:val="none" w:sz="0" w:space="0" w:color="auto"/>
        <w:right w:val="none" w:sz="0" w:space="0" w:color="auto"/>
      </w:divBdr>
    </w:div>
    <w:div w:id="1209294733">
      <w:bodyDiv w:val="1"/>
      <w:marLeft w:val="0"/>
      <w:marRight w:val="0"/>
      <w:marTop w:val="0"/>
      <w:marBottom w:val="0"/>
      <w:divBdr>
        <w:top w:val="none" w:sz="0" w:space="0" w:color="auto"/>
        <w:left w:val="none" w:sz="0" w:space="0" w:color="auto"/>
        <w:bottom w:val="none" w:sz="0" w:space="0" w:color="auto"/>
        <w:right w:val="none" w:sz="0" w:space="0" w:color="auto"/>
      </w:divBdr>
    </w:div>
    <w:div w:id="1210873641">
      <w:bodyDiv w:val="1"/>
      <w:marLeft w:val="0"/>
      <w:marRight w:val="0"/>
      <w:marTop w:val="0"/>
      <w:marBottom w:val="0"/>
      <w:divBdr>
        <w:top w:val="none" w:sz="0" w:space="0" w:color="auto"/>
        <w:left w:val="none" w:sz="0" w:space="0" w:color="auto"/>
        <w:bottom w:val="none" w:sz="0" w:space="0" w:color="auto"/>
        <w:right w:val="none" w:sz="0" w:space="0" w:color="auto"/>
      </w:divBdr>
    </w:div>
    <w:div w:id="1219897390">
      <w:bodyDiv w:val="1"/>
      <w:marLeft w:val="0"/>
      <w:marRight w:val="0"/>
      <w:marTop w:val="0"/>
      <w:marBottom w:val="0"/>
      <w:divBdr>
        <w:top w:val="none" w:sz="0" w:space="0" w:color="auto"/>
        <w:left w:val="none" w:sz="0" w:space="0" w:color="auto"/>
        <w:bottom w:val="none" w:sz="0" w:space="0" w:color="auto"/>
        <w:right w:val="none" w:sz="0" w:space="0" w:color="auto"/>
      </w:divBdr>
    </w:div>
    <w:div w:id="1227573159">
      <w:bodyDiv w:val="1"/>
      <w:marLeft w:val="0"/>
      <w:marRight w:val="0"/>
      <w:marTop w:val="0"/>
      <w:marBottom w:val="0"/>
      <w:divBdr>
        <w:top w:val="none" w:sz="0" w:space="0" w:color="auto"/>
        <w:left w:val="none" w:sz="0" w:space="0" w:color="auto"/>
        <w:bottom w:val="none" w:sz="0" w:space="0" w:color="auto"/>
        <w:right w:val="none" w:sz="0" w:space="0" w:color="auto"/>
      </w:divBdr>
    </w:div>
    <w:div w:id="1229150872">
      <w:bodyDiv w:val="1"/>
      <w:marLeft w:val="0"/>
      <w:marRight w:val="0"/>
      <w:marTop w:val="0"/>
      <w:marBottom w:val="0"/>
      <w:divBdr>
        <w:top w:val="none" w:sz="0" w:space="0" w:color="auto"/>
        <w:left w:val="none" w:sz="0" w:space="0" w:color="auto"/>
        <w:bottom w:val="none" w:sz="0" w:space="0" w:color="auto"/>
        <w:right w:val="none" w:sz="0" w:space="0" w:color="auto"/>
      </w:divBdr>
    </w:div>
    <w:div w:id="1234580122">
      <w:bodyDiv w:val="1"/>
      <w:marLeft w:val="0"/>
      <w:marRight w:val="0"/>
      <w:marTop w:val="0"/>
      <w:marBottom w:val="0"/>
      <w:divBdr>
        <w:top w:val="none" w:sz="0" w:space="0" w:color="auto"/>
        <w:left w:val="none" w:sz="0" w:space="0" w:color="auto"/>
        <w:bottom w:val="none" w:sz="0" w:space="0" w:color="auto"/>
        <w:right w:val="none" w:sz="0" w:space="0" w:color="auto"/>
      </w:divBdr>
    </w:div>
    <w:div w:id="1236664836">
      <w:bodyDiv w:val="1"/>
      <w:marLeft w:val="0"/>
      <w:marRight w:val="0"/>
      <w:marTop w:val="0"/>
      <w:marBottom w:val="0"/>
      <w:divBdr>
        <w:top w:val="none" w:sz="0" w:space="0" w:color="auto"/>
        <w:left w:val="none" w:sz="0" w:space="0" w:color="auto"/>
        <w:bottom w:val="none" w:sz="0" w:space="0" w:color="auto"/>
        <w:right w:val="none" w:sz="0" w:space="0" w:color="auto"/>
      </w:divBdr>
    </w:div>
    <w:div w:id="1242720029">
      <w:bodyDiv w:val="1"/>
      <w:marLeft w:val="0"/>
      <w:marRight w:val="0"/>
      <w:marTop w:val="0"/>
      <w:marBottom w:val="0"/>
      <w:divBdr>
        <w:top w:val="none" w:sz="0" w:space="0" w:color="auto"/>
        <w:left w:val="none" w:sz="0" w:space="0" w:color="auto"/>
        <w:bottom w:val="none" w:sz="0" w:space="0" w:color="auto"/>
        <w:right w:val="none" w:sz="0" w:space="0" w:color="auto"/>
      </w:divBdr>
    </w:div>
    <w:div w:id="1243836623">
      <w:bodyDiv w:val="1"/>
      <w:marLeft w:val="0"/>
      <w:marRight w:val="0"/>
      <w:marTop w:val="0"/>
      <w:marBottom w:val="0"/>
      <w:divBdr>
        <w:top w:val="none" w:sz="0" w:space="0" w:color="auto"/>
        <w:left w:val="none" w:sz="0" w:space="0" w:color="auto"/>
        <w:bottom w:val="none" w:sz="0" w:space="0" w:color="auto"/>
        <w:right w:val="none" w:sz="0" w:space="0" w:color="auto"/>
      </w:divBdr>
    </w:div>
    <w:div w:id="1251349169">
      <w:bodyDiv w:val="1"/>
      <w:marLeft w:val="0"/>
      <w:marRight w:val="0"/>
      <w:marTop w:val="0"/>
      <w:marBottom w:val="0"/>
      <w:divBdr>
        <w:top w:val="none" w:sz="0" w:space="0" w:color="auto"/>
        <w:left w:val="none" w:sz="0" w:space="0" w:color="auto"/>
        <w:bottom w:val="none" w:sz="0" w:space="0" w:color="auto"/>
        <w:right w:val="none" w:sz="0" w:space="0" w:color="auto"/>
      </w:divBdr>
    </w:div>
    <w:div w:id="1256866344">
      <w:bodyDiv w:val="1"/>
      <w:marLeft w:val="0"/>
      <w:marRight w:val="0"/>
      <w:marTop w:val="0"/>
      <w:marBottom w:val="0"/>
      <w:divBdr>
        <w:top w:val="none" w:sz="0" w:space="0" w:color="auto"/>
        <w:left w:val="none" w:sz="0" w:space="0" w:color="auto"/>
        <w:bottom w:val="none" w:sz="0" w:space="0" w:color="auto"/>
        <w:right w:val="none" w:sz="0" w:space="0" w:color="auto"/>
      </w:divBdr>
    </w:div>
    <w:div w:id="1260865813">
      <w:bodyDiv w:val="1"/>
      <w:marLeft w:val="0"/>
      <w:marRight w:val="0"/>
      <w:marTop w:val="0"/>
      <w:marBottom w:val="0"/>
      <w:divBdr>
        <w:top w:val="none" w:sz="0" w:space="0" w:color="auto"/>
        <w:left w:val="none" w:sz="0" w:space="0" w:color="auto"/>
        <w:bottom w:val="none" w:sz="0" w:space="0" w:color="auto"/>
        <w:right w:val="none" w:sz="0" w:space="0" w:color="auto"/>
      </w:divBdr>
    </w:div>
    <w:div w:id="1272592597">
      <w:bodyDiv w:val="1"/>
      <w:marLeft w:val="0"/>
      <w:marRight w:val="0"/>
      <w:marTop w:val="0"/>
      <w:marBottom w:val="0"/>
      <w:divBdr>
        <w:top w:val="none" w:sz="0" w:space="0" w:color="auto"/>
        <w:left w:val="none" w:sz="0" w:space="0" w:color="auto"/>
        <w:bottom w:val="none" w:sz="0" w:space="0" w:color="auto"/>
        <w:right w:val="none" w:sz="0" w:space="0" w:color="auto"/>
      </w:divBdr>
    </w:div>
    <w:div w:id="1285892405">
      <w:bodyDiv w:val="1"/>
      <w:marLeft w:val="0"/>
      <w:marRight w:val="0"/>
      <w:marTop w:val="0"/>
      <w:marBottom w:val="0"/>
      <w:divBdr>
        <w:top w:val="none" w:sz="0" w:space="0" w:color="auto"/>
        <w:left w:val="none" w:sz="0" w:space="0" w:color="auto"/>
        <w:bottom w:val="none" w:sz="0" w:space="0" w:color="auto"/>
        <w:right w:val="none" w:sz="0" w:space="0" w:color="auto"/>
      </w:divBdr>
    </w:div>
    <w:div w:id="1287814129">
      <w:bodyDiv w:val="1"/>
      <w:marLeft w:val="0"/>
      <w:marRight w:val="0"/>
      <w:marTop w:val="0"/>
      <w:marBottom w:val="0"/>
      <w:divBdr>
        <w:top w:val="none" w:sz="0" w:space="0" w:color="auto"/>
        <w:left w:val="none" w:sz="0" w:space="0" w:color="auto"/>
        <w:bottom w:val="none" w:sz="0" w:space="0" w:color="auto"/>
        <w:right w:val="none" w:sz="0" w:space="0" w:color="auto"/>
      </w:divBdr>
    </w:div>
    <w:div w:id="1345940342">
      <w:bodyDiv w:val="1"/>
      <w:marLeft w:val="0"/>
      <w:marRight w:val="0"/>
      <w:marTop w:val="0"/>
      <w:marBottom w:val="0"/>
      <w:divBdr>
        <w:top w:val="none" w:sz="0" w:space="0" w:color="auto"/>
        <w:left w:val="none" w:sz="0" w:space="0" w:color="auto"/>
        <w:bottom w:val="none" w:sz="0" w:space="0" w:color="auto"/>
        <w:right w:val="none" w:sz="0" w:space="0" w:color="auto"/>
      </w:divBdr>
    </w:div>
    <w:div w:id="1348405908">
      <w:bodyDiv w:val="1"/>
      <w:marLeft w:val="0"/>
      <w:marRight w:val="0"/>
      <w:marTop w:val="0"/>
      <w:marBottom w:val="0"/>
      <w:divBdr>
        <w:top w:val="none" w:sz="0" w:space="0" w:color="auto"/>
        <w:left w:val="none" w:sz="0" w:space="0" w:color="auto"/>
        <w:bottom w:val="none" w:sz="0" w:space="0" w:color="auto"/>
        <w:right w:val="none" w:sz="0" w:space="0" w:color="auto"/>
      </w:divBdr>
    </w:div>
    <w:div w:id="1351953362">
      <w:bodyDiv w:val="1"/>
      <w:marLeft w:val="0"/>
      <w:marRight w:val="0"/>
      <w:marTop w:val="0"/>
      <w:marBottom w:val="0"/>
      <w:divBdr>
        <w:top w:val="none" w:sz="0" w:space="0" w:color="auto"/>
        <w:left w:val="none" w:sz="0" w:space="0" w:color="auto"/>
        <w:bottom w:val="none" w:sz="0" w:space="0" w:color="auto"/>
        <w:right w:val="none" w:sz="0" w:space="0" w:color="auto"/>
      </w:divBdr>
    </w:div>
    <w:div w:id="1362124161">
      <w:bodyDiv w:val="1"/>
      <w:marLeft w:val="0"/>
      <w:marRight w:val="0"/>
      <w:marTop w:val="0"/>
      <w:marBottom w:val="0"/>
      <w:divBdr>
        <w:top w:val="none" w:sz="0" w:space="0" w:color="auto"/>
        <w:left w:val="none" w:sz="0" w:space="0" w:color="auto"/>
        <w:bottom w:val="none" w:sz="0" w:space="0" w:color="auto"/>
        <w:right w:val="none" w:sz="0" w:space="0" w:color="auto"/>
      </w:divBdr>
    </w:div>
    <w:div w:id="1382053370">
      <w:bodyDiv w:val="1"/>
      <w:marLeft w:val="0"/>
      <w:marRight w:val="0"/>
      <w:marTop w:val="0"/>
      <w:marBottom w:val="0"/>
      <w:divBdr>
        <w:top w:val="none" w:sz="0" w:space="0" w:color="auto"/>
        <w:left w:val="none" w:sz="0" w:space="0" w:color="auto"/>
        <w:bottom w:val="none" w:sz="0" w:space="0" w:color="auto"/>
        <w:right w:val="none" w:sz="0" w:space="0" w:color="auto"/>
      </w:divBdr>
    </w:div>
    <w:div w:id="1387990557">
      <w:bodyDiv w:val="1"/>
      <w:marLeft w:val="0"/>
      <w:marRight w:val="0"/>
      <w:marTop w:val="0"/>
      <w:marBottom w:val="0"/>
      <w:divBdr>
        <w:top w:val="none" w:sz="0" w:space="0" w:color="auto"/>
        <w:left w:val="none" w:sz="0" w:space="0" w:color="auto"/>
        <w:bottom w:val="none" w:sz="0" w:space="0" w:color="auto"/>
        <w:right w:val="none" w:sz="0" w:space="0" w:color="auto"/>
      </w:divBdr>
    </w:div>
    <w:div w:id="1402017308">
      <w:bodyDiv w:val="1"/>
      <w:marLeft w:val="0"/>
      <w:marRight w:val="0"/>
      <w:marTop w:val="0"/>
      <w:marBottom w:val="0"/>
      <w:divBdr>
        <w:top w:val="none" w:sz="0" w:space="0" w:color="auto"/>
        <w:left w:val="none" w:sz="0" w:space="0" w:color="auto"/>
        <w:bottom w:val="none" w:sz="0" w:space="0" w:color="auto"/>
        <w:right w:val="none" w:sz="0" w:space="0" w:color="auto"/>
      </w:divBdr>
    </w:div>
    <w:div w:id="1403022660">
      <w:bodyDiv w:val="1"/>
      <w:marLeft w:val="0"/>
      <w:marRight w:val="0"/>
      <w:marTop w:val="0"/>
      <w:marBottom w:val="0"/>
      <w:divBdr>
        <w:top w:val="none" w:sz="0" w:space="0" w:color="auto"/>
        <w:left w:val="none" w:sz="0" w:space="0" w:color="auto"/>
        <w:bottom w:val="none" w:sz="0" w:space="0" w:color="auto"/>
        <w:right w:val="none" w:sz="0" w:space="0" w:color="auto"/>
      </w:divBdr>
    </w:div>
    <w:div w:id="1441418098">
      <w:bodyDiv w:val="1"/>
      <w:marLeft w:val="0"/>
      <w:marRight w:val="0"/>
      <w:marTop w:val="0"/>
      <w:marBottom w:val="0"/>
      <w:divBdr>
        <w:top w:val="none" w:sz="0" w:space="0" w:color="auto"/>
        <w:left w:val="none" w:sz="0" w:space="0" w:color="auto"/>
        <w:bottom w:val="none" w:sz="0" w:space="0" w:color="auto"/>
        <w:right w:val="none" w:sz="0" w:space="0" w:color="auto"/>
      </w:divBdr>
    </w:div>
    <w:div w:id="1444417568">
      <w:bodyDiv w:val="1"/>
      <w:marLeft w:val="0"/>
      <w:marRight w:val="0"/>
      <w:marTop w:val="0"/>
      <w:marBottom w:val="0"/>
      <w:divBdr>
        <w:top w:val="none" w:sz="0" w:space="0" w:color="auto"/>
        <w:left w:val="none" w:sz="0" w:space="0" w:color="auto"/>
        <w:bottom w:val="none" w:sz="0" w:space="0" w:color="auto"/>
        <w:right w:val="none" w:sz="0" w:space="0" w:color="auto"/>
      </w:divBdr>
    </w:div>
    <w:div w:id="1463574866">
      <w:bodyDiv w:val="1"/>
      <w:marLeft w:val="0"/>
      <w:marRight w:val="0"/>
      <w:marTop w:val="0"/>
      <w:marBottom w:val="0"/>
      <w:divBdr>
        <w:top w:val="none" w:sz="0" w:space="0" w:color="auto"/>
        <w:left w:val="none" w:sz="0" w:space="0" w:color="auto"/>
        <w:bottom w:val="none" w:sz="0" w:space="0" w:color="auto"/>
        <w:right w:val="none" w:sz="0" w:space="0" w:color="auto"/>
      </w:divBdr>
    </w:div>
    <w:div w:id="1474567488">
      <w:bodyDiv w:val="1"/>
      <w:marLeft w:val="0"/>
      <w:marRight w:val="0"/>
      <w:marTop w:val="0"/>
      <w:marBottom w:val="0"/>
      <w:divBdr>
        <w:top w:val="none" w:sz="0" w:space="0" w:color="auto"/>
        <w:left w:val="none" w:sz="0" w:space="0" w:color="auto"/>
        <w:bottom w:val="none" w:sz="0" w:space="0" w:color="auto"/>
        <w:right w:val="none" w:sz="0" w:space="0" w:color="auto"/>
      </w:divBdr>
    </w:div>
    <w:div w:id="1476140454">
      <w:bodyDiv w:val="1"/>
      <w:marLeft w:val="0"/>
      <w:marRight w:val="0"/>
      <w:marTop w:val="0"/>
      <w:marBottom w:val="0"/>
      <w:divBdr>
        <w:top w:val="none" w:sz="0" w:space="0" w:color="auto"/>
        <w:left w:val="none" w:sz="0" w:space="0" w:color="auto"/>
        <w:bottom w:val="none" w:sz="0" w:space="0" w:color="auto"/>
        <w:right w:val="none" w:sz="0" w:space="0" w:color="auto"/>
      </w:divBdr>
    </w:div>
    <w:div w:id="1481847396">
      <w:bodyDiv w:val="1"/>
      <w:marLeft w:val="0"/>
      <w:marRight w:val="0"/>
      <w:marTop w:val="0"/>
      <w:marBottom w:val="0"/>
      <w:divBdr>
        <w:top w:val="none" w:sz="0" w:space="0" w:color="auto"/>
        <w:left w:val="none" w:sz="0" w:space="0" w:color="auto"/>
        <w:bottom w:val="none" w:sz="0" w:space="0" w:color="auto"/>
        <w:right w:val="none" w:sz="0" w:space="0" w:color="auto"/>
      </w:divBdr>
    </w:div>
    <w:div w:id="1484394106">
      <w:bodyDiv w:val="1"/>
      <w:marLeft w:val="0"/>
      <w:marRight w:val="0"/>
      <w:marTop w:val="0"/>
      <w:marBottom w:val="0"/>
      <w:divBdr>
        <w:top w:val="none" w:sz="0" w:space="0" w:color="auto"/>
        <w:left w:val="none" w:sz="0" w:space="0" w:color="auto"/>
        <w:bottom w:val="none" w:sz="0" w:space="0" w:color="auto"/>
        <w:right w:val="none" w:sz="0" w:space="0" w:color="auto"/>
      </w:divBdr>
    </w:div>
    <w:div w:id="1486121379">
      <w:bodyDiv w:val="1"/>
      <w:marLeft w:val="0"/>
      <w:marRight w:val="0"/>
      <w:marTop w:val="0"/>
      <w:marBottom w:val="0"/>
      <w:divBdr>
        <w:top w:val="none" w:sz="0" w:space="0" w:color="auto"/>
        <w:left w:val="none" w:sz="0" w:space="0" w:color="auto"/>
        <w:bottom w:val="none" w:sz="0" w:space="0" w:color="auto"/>
        <w:right w:val="none" w:sz="0" w:space="0" w:color="auto"/>
      </w:divBdr>
    </w:div>
    <w:div w:id="1491364246">
      <w:bodyDiv w:val="1"/>
      <w:marLeft w:val="0"/>
      <w:marRight w:val="0"/>
      <w:marTop w:val="0"/>
      <w:marBottom w:val="0"/>
      <w:divBdr>
        <w:top w:val="none" w:sz="0" w:space="0" w:color="auto"/>
        <w:left w:val="none" w:sz="0" w:space="0" w:color="auto"/>
        <w:bottom w:val="none" w:sz="0" w:space="0" w:color="auto"/>
        <w:right w:val="none" w:sz="0" w:space="0" w:color="auto"/>
      </w:divBdr>
    </w:div>
    <w:div w:id="1495145255">
      <w:bodyDiv w:val="1"/>
      <w:marLeft w:val="0"/>
      <w:marRight w:val="0"/>
      <w:marTop w:val="0"/>
      <w:marBottom w:val="0"/>
      <w:divBdr>
        <w:top w:val="none" w:sz="0" w:space="0" w:color="auto"/>
        <w:left w:val="none" w:sz="0" w:space="0" w:color="auto"/>
        <w:bottom w:val="none" w:sz="0" w:space="0" w:color="auto"/>
        <w:right w:val="none" w:sz="0" w:space="0" w:color="auto"/>
      </w:divBdr>
    </w:div>
    <w:div w:id="1498110898">
      <w:bodyDiv w:val="1"/>
      <w:marLeft w:val="0"/>
      <w:marRight w:val="0"/>
      <w:marTop w:val="0"/>
      <w:marBottom w:val="0"/>
      <w:divBdr>
        <w:top w:val="none" w:sz="0" w:space="0" w:color="auto"/>
        <w:left w:val="none" w:sz="0" w:space="0" w:color="auto"/>
        <w:bottom w:val="none" w:sz="0" w:space="0" w:color="auto"/>
        <w:right w:val="none" w:sz="0" w:space="0" w:color="auto"/>
      </w:divBdr>
    </w:div>
    <w:div w:id="1523058365">
      <w:bodyDiv w:val="1"/>
      <w:marLeft w:val="0"/>
      <w:marRight w:val="0"/>
      <w:marTop w:val="0"/>
      <w:marBottom w:val="0"/>
      <w:divBdr>
        <w:top w:val="none" w:sz="0" w:space="0" w:color="auto"/>
        <w:left w:val="none" w:sz="0" w:space="0" w:color="auto"/>
        <w:bottom w:val="none" w:sz="0" w:space="0" w:color="auto"/>
        <w:right w:val="none" w:sz="0" w:space="0" w:color="auto"/>
      </w:divBdr>
    </w:div>
    <w:div w:id="1525971665">
      <w:bodyDiv w:val="1"/>
      <w:marLeft w:val="0"/>
      <w:marRight w:val="0"/>
      <w:marTop w:val="0"/>
      <w:marBottom w:val="0"/>
      <w:divBdr>
        <w:top w:val="none" w:sz="0" w:space="0" w:color="auto"/>
        <w:left w:val="none" w:sz="0" w:space="0" w:color="auto"/>
        <w:bottom w:val="none" w:sz="0" w:space="0" w:color="auto"/>
        <w:right w:val="none" w:sz="0" w:space="0" w:color="auto"/>
      </w:divBdr>
    </w:div>
    <w:div w:id="1530606809">
      <w:bodyDiv w:val="1"/>
      <w:marLeft w:val="0"/>
      <w:marRight w:val="0"/>
      <w:marTop w:val="0"/>
      <w:marBottom w:val="0"/>
      <w:divBdr>
        <w:top w:val="none" w:sz="0" w:space="0" w:color="auto"/>
        <w:left w:val="none" w:sz="0" w:space="0" w:color="auto"/>
        <w:bottom w:val="none" w:sz="0" w:space="0" w:color="auto"/>
        <w:right w:val="none" w:sz="0" w:space="0" w:color="auto"/>
      </w:divBdr>
    </w:div>
    <w:div w:id="1539857235">
      <w:bodyDiv w:val="1"/>
      <w:marLeft w:val="0"/>
      <w:marRight w:val="0"/>
      <w:marTop w:val="0"/>
      <w:marBottom w:val="0"/>
      <w:divBdr>
        <w:top w:val="none" w:sz="0" w:space="0" w:color="auto"/>
        <w:left w:val="none" w:sz="0" w:space="0" w:color="auto"/>
        <w:bottom w:val="none" w:sz="0" w:space="0" w:color="auto"/>
        <w:right w:val="none" w:sz="0" w:space="0" w:color="auto"/>
      </w:divBdr>
    </w:div>
    <w:div w:id="1540430524">
      <w:bodyDiv w:val="1"/>
      <w:marLeft w:val="0"/>
      <w:marRight w:val="0"/>
      <w:marTop w:val="0"/>
      <w:marBottom w:val="0"/>
      <w:divBdr>
        <w:top w:val="none" w:sz="0" w:space="0" w:color="auto"/>
        <w:left w:val="none" w:sz="0" w:space="0" w:color="auto"/>
        <w:bottom w:val="none" w:sz="0" w:space="0" w:color="auto"/>
        <w:right w:val="none" w:sz="0" w:space="0" w:color="auto"/>
      </w:divBdr>
    </w:div>
    <w:div w:id="1555117902">
      <w:bodyDiv w:val="1"/>
      <w:marLeft w:val="0"/>
      <w:marRight w:val="0"/>
      <w:marTop w:val="0"/>
      <w:marBottom w:val="0"/>
      <w:divBdr>
        <w:top w:val="none" w:sz="0" w:space="0" w:color="auto"/>
        <w:left w:val="none" w:sz="0" w:space="0" w:color="auto"/>
        <w:bottom w:val="none" w:sz="0" w:space="0" w:color="auto"/>
        <w:right w:val="none" w:sz="0" w:space="0" w:color="auto"/>
      </w:divBdr>
    </w:div>
    <w:div w:id="1557161046">
      <w:bodyDiv w:val="1"/>
      <w:marLeft w:val="0"/>
      <w:marRight w:val="0"/>
      <w:marTop w:val="0"/>
      <w:marBottom w:val="0"/>
      <w:divBdr>
        <w:top w:val="none" w:sz="0" w:space="0" w:color="auto"/>
        <w:left w:val="none" w:sz="0" w:space="0" w:color="auto"/>
        <w:bottom w:val="none" w:sz="0" w:space="0" w:color="auto"/>
        <w:right w:val="none" w:sz="0" w:space="0" w:color="auto"/>
      </w:divBdr>
    </w:div>
    <w:div w:id="1561675738">
      <w:bodyDiv w:val="1"/>
      <w:marLeft w:val="0"/>
      <w:marRight w:val="0"/>
      <w:marTop w:val="0"/>
      <w:marBottom w:val="0"/>
      <w:divBdr>
        <w:top w:val="none" w:sz="0" w:space="0" w:color="auto"/>
        <w:left w:val="none" w:sz="0" w:space="0" w:color="auto"/>
        <w:bottom w:val="none" w:sz="0" w:space="0" w:color="auto"/>
        <w:right w:val="none" w:sz="0" w:space="0" w:color="auto"/>
      </w:divBdr>
    </w:div>
    <w:div w:id="1564825583">
      <w:bodyDiv w:val="1"/>
      <w:marLeft w:val="0"/>
      <w:marRight w:val="0"/>
      <w:marTop w:val="0"/>
      <w:marBottom w:val="0"/>
      <w:divBdr>
        <w:top w:val="none" w:sz="0" w:space="0" w:color="auto"/>
        <w:left w:val="none" w:sz="0" w:space="0" w:color="auto"/>
        <w:bottom w:val="none" w:sz="0" w:space="0" w:color="auto"/>
        <w:right w:val="none" w:sz="0" w:space="0" w:color="auto"/>
      </w:divBdr>
    </w:div>
    <w:div w:id="1574703608">
      <w:bodyDiv w:val="1"/>
      <w:marLeft w:val="0"/>
      <w:marRight w:val="0"/>
      <w:marTop w:val="0"/>
      <w:marBottom w:val="0"/>
      <w:divBdr>
        <w:top w:val="none" w:sz="0" w:space="0" w:color="auto"/>
        <w:left w:val="none" w:sz="0" w:space="0" w:color="auto"/>
        <w:bottom w:val="none" w:sz="0" w:space="0" w:color="auto"/>
        <w:right w:val="none" w:sz="0" w:space="0" w:color="auto"/>
      </w:divBdr>
    </w:div>
    <w:div w:id="1576237808">
      <w:bodyDiv w:val="1"/>
      <w:marLeft w:val="0"/>
      <w:marRight w:val="0"/>
      <w:marTop w:val="0"/>
      <w:marBottom w:val="0"/>
      <w:divBdr>
        <w:top w:val="none" w:sz="0" w:space="0" w:color="auto"/>
        <w:left w:val="none" w:sz="0" w:space="0" w:color="auto"/>
        <w:bottom w:val="none" w:sz="0" w:space="0" w:color="auto"/>
        <w:right w:val="none" w:sz="0" w:space="0" w:color="auto"/>
      </w:divBdr>
    </w:div>
    <w:div w:id="1579942109">
      <w:bodyDiv w:val="1"/>
      <w:marLeft w:val="0"/>
      <w:marRight w:val="0"/>
      <w:marTop w:val="0"/>
      <w:marBottom w:val="0"/>
      <w:divBdr>
        <w:top w:val="none" w:sz="0" w:space="0" w:color="auto"/>
        <w:left w:val="none" w:sz="0" w:space="0" w:color="auto"/>
        <w:bottom w:val="none" w:sz="0" w:space="0" w:color="auto"/>
        <w:right w:val="none" w:sz="0" w:space="0" w:color="auto"/>
      </w:divBdr>
    </w:div>
    <w:div w:id="1583022887">
      <w:bodyDiv w:val="1"/>
      <w:marLeft w:val="0"/>
      <w:marRight w:val="0"/>
      <w:marTop w:val="0"/>
      <w:marBottom w:val="0"/>
      <w:divBdr>
        <w:top w:val="none" w:sz="0" w:space="0" w:color="auto"/>
        <w:left w:val="none" w:sz="0" w:space="0" w:color="auto"/>
        <w:bottom w:val="none" w:sz="0" w:space="0" w:color="auto"/>
        <w:right w:val="none" w:sz="0" w:space="0" w:color="auto"/>
      </w:divBdr>
    </w:div>
    <w:div w:id="1584797126">
      <w:bodyDiv w:val="1"/>
      <w:marLeft w:val="0"/>
      <w:marRight w:val="0"/>
      <w:marTop w:val="0"/>
      <w:marBottom w:val="0"/>
      <w:divBdr>
        <w:top w:val="none" w:sz="0" w:space="0" w:color="auto"/>
        <w:left w:val="none" w:sz="0" w:space="0" w:color="auto"/>
        <w:bottom w:val="none" w:sz="0" w:space="0" w:color="auto"/>
        <w:right w:val="none" w:sz="0" w:space="0" w:color="auto"/>
      </w:divBdr>
    </w:div>
    <w:div w:id="1605652609">
      <w:bodyDiv w:val="1"/>
      <w:marLeft w:val="0"/>
      <w:marRight w:val="0"/>
      <w:marTop w:val="0"/>
      <w:marBottom w:val="0"/>
      <w:divBdr>
        <w:top w:val="none" w:sz="0" w:space="0" w:color="auto"/>
        <w:left w:val="none" w:sz="0" w:space="0" w:color="auto"/>
        <w:bottom w:val="none" w:sz="0" w:space="0" w:color="auto"/>
        <w:right w:val="none" w:sz="0" w:space="0" w:color="auto"/>
      </w:divBdr>
    </w:div>
    <w:div w:id="1611010645">
      <w:bodyDiv w:val="1"/>
      <w:marLeft w:val="0"/>
      <w:marRight w:val="0"/>
      <w:marTop w:val="0"/>
      <w:marBottom w:val="0"/>
      <w:divBdr>
        <w:top w:val="none" w:sz="0" w:space="0" w:color="auto"/>
        <w:left w:val="none" w:sz="0" w:space="0" w:color="auto"/>
        <w:bottom w:val="none" w:sz="0" w:space="0" w:color="auto"/>
        <w:right w:val="none" w:sz="0" w:space="0" w:color="auto"/>
      </w:divBdr>
    </w:div>
    <w:div w:id="1622489397">
      <w:bodyDiv w:val="1"/>
      <w:marLeft w:val="0"/>
      <w:marRight w:val="0"/>
      <w:marTop w:val="0"/>
      <w:marBottom w:val="0"/>
      <w:divBdr>
        <w:top w:val="none" w:sz="0" w:space="0" w:color="auto"/>
        <w:left w:val="none" w:sz="0" w:space="0" w:color="auto"/>
        <w:bottom w:val="none" w:sz="0" w:space="0" w:color="auto"/>
        <w:right w:val="none" w:sz="0" w:space="0" w:color="auto"/>
      </w:divBdr>
    </w:div>
    <w:div w:id="1627930709">
      <w:bodyDiv w:val="1"/>
      <w:marLeft w:val="0"/>
      <w:marRight w:val="0"/>
      <w:marTop w:val="0"/>
      <w:marBottom w:val="0"/>
      <w:divBdr>
        <w:top w:val="none" w:sz="0" w:space="0" w:color="auto"/>
        <w:left w:val="none" w:sz="0" w:space="0" w:color="auto"/>
        <w:bottom w:val="none" w:sz="0" w:space="0" w:color="auto"/>
        <w:right w:val="none" w:sz="0" w:space="0" w:color="auto"/>
      </w:divBdr>
    </w:div>
    <w:div w:id="1632587126">
      <w:bodyDiv w:val="1"/>
      <w:marLeft w:val="0"/>
      <w:marRight w:val="0"/>
      <w:marTop w:val="0"/>
      <w:marBottom w:val="0"/>
      <w:divBdr>
        <w:top w:val="none" w:sz="0" w:space="0" w:color="auto"/>
        <w:left w:val="none" w:sz="0" w:space="0" w:color="auto"/>
        <w:bottom w:val="none" w:sz="0" w:space="0" w:color="auto"/>
        <w:right w:val="none" w:sz="0" w:space="0" w:color="auto"/>
      </w:divBdr>
    </w:div>
    <w:div w:id="1632707400">
      <w:bodyDiv w:val="1"/>
      <w:marLeft w:val="0"/>
      <w:marRight w:val="0"/>
      <w:marTop w:val="0"/>
      <w:marBottom w:val="0"/>
      <w:divBdr>
        <w:top w:val="none" w:sz="0" w:space="0" w:color="auto"/>
        <w:left w:val="none" w:sz="0" w:space="0" w:color="auto"/>
        <w:bottom w:val="none" w:sz="0" w:space="0" w:color="auto"/>
        <w:right w:val="none" w:sz="0" w:space="0" w:color="auto"/>
      </w:divBdr>
    </w:div>
    <w:div w:id="1640762735">
      <w:bodyDiv w:val="1"/>
      <w:marLeft w:val="0"/>
      <w:marRight w:val="0"/>
      <w:marTop w:val="0"/>
      <w:marBottom w:val="0"/>
      <w:divBdr>
        <w:top w:val="none" w:sz="0" w:space="0" w:color="auto"/>
        <w:left w:val="none" w:sz="0" w:space="0" w:color="auto"/>
        <w:bottom w:val="none" w:sz="0" w:space="0" w:color="auto"/>
        <w:right w:val="none" w:sz="0" w:space="0" w:color="auto"/>
      </w:divBdr>
    </w:div>
    <w:div w:id="1646080374">
      <w:bodyDiv w:val="1"/>
      <w:marLeft w:val="0"/>
      <w:marRight w:val="0"/>
      <w:marTop w:val="0"/>
      <w:marBottom w:val="0"/>
      <w:divBdr>
        <w:top w:val="none" w:sz="0" w:space="0" w:color="auto"/>
        <w:left w:val="none" w:sz="0" w:space="0" w:color="auto"/>
        <w:bottom w:val="none" w:sz="0" w:space="0" w:color="auto"/>
        <w:right w:val="none" w:sz="0" w:space="0" w:color="auto"/>
      </w:divBdr>
    </w:div>
    <w:div w:id="1651785684">
      <w:bodyDiv w:val="1"/>
      <w:marLeft w:val="0"/>
      <w:marRight w:val="0"/>
      <w:marTop w:val="0"/>
      <w:marBottom w:val="0"/>
      <w:divBdr>
        <w:top w:val="none" w:sz="0" w:space="0" w:color="auto"/>
        <w:left w:val="none" w:sz="0" w:space="0" w:color="auto"/>
        <w:bottom w:val="none" w:sz="0" w:space="0" w:color="auto"/>
        <w:right w:val="none" w:sz="0" w:space="0" w:color="auto"/>
      </w:divBdr>
    </w:div>
    <w:div w:id="1661078551">
      <w:bodyDiv w:val="1"/>
      <w:marLeft w:val="0"/>
      <w:marRight w:val="0"/>
      <w:marTop w:val="0"/>
      <w:marBottom w:val="0"/>
      <w:divBdr>
        <w:top w:val="none" w:sz="0" w:space="0" w:color="auto"/>
        <w:left w:val="none" w:sz="0" w:space="0" w:color="auto"/>
        <w:bottom w:val="none" w:sz="0" w:space="0" w:color="auto"/>
        <w:right w:val="none" w:sz="0" w:space="0" w:color="auto"/>
      </w:divBdr>
    </w:div>
    <w:div w:id="1667979448">
      <w:bodyDiv w:val="1"/>
      <w:marLeft w:val="0"/>
      <w:marRight w:val="0"/>
      <w:marTop w:val="0"/>
      <w:marBottom w:val="0"/>
      <w:divBdr>
        <w:top w:val="none" w:sz="0" w:space="0" w:color="auto"/>
        <w:left w:val="none" w:sz="0" w:space="0" w:color="auto"/>
        <w:bottom w:val="none" w:sz="0" w:space="0" w:color="auto"/>
        <w:right w:val="none" w:sz="0" w:space="0" w:color="auto"/>
      </w:divBdr>
    </w:div>
    <w:div w:id="1669206569">
      <w:bodyDiv w:val="1"/>
      <w:marLeft w:val="0"/>
      <w:marRight w:val="0"/>
      <w:marTop w:val="0"/>
      <w:marBottom w:val="0"/>
      <w:divBdr>
        <w:top w:val="none" w:sz="0" w:space="0" w:color="auto"/>
        <w:left w:val="none" w:sz="0" w:space="0" w:color="auto"/>
        <w:bottom w:val="none" w:sz="0" w:space="0" w:color="auto"/>
        <w:right w:val="none" w:sz="0" w:space="0" w:color="auto"/>
      </w:divBdr>
    </w:div>
    <w:div w:id="1676614105">
      <w:bodyDiv w:val="1"/>
      <w:marLeft w:val="0"/>
      <w:marRight w:val="0"/>
      <w:marTop w:val="0"/>
      <w:marBottom w:val="0"/>
      <w:divBdr>
        <w:top w:val="none" w:sz="0" w:space="0" w:color="auto"/>
        <w:left w:val="none" w:sz="0" w:space="0" w:color="auto"/>
        <w:bottom w:val="none" w:sz="0" w:space="0" w:color="auto"/>
        <w:right w:val="none" w:sz="0" w:space="0" w:color="auto"/>
      </w:divBdr>
    </w:div>
    <w:div w:id="1686636881">
      <w:bodyDiv w:val="1"/>
      <w:marLeft w:val="0"/>
      <w:marRight w:val="0"/>
      <w:marTop w:val="0"/>
      <w:marBottom w:val="0"/>
      <w:divBdr>
        <w:top w:val="none" w:sz="0" w:space="0" w:color="auto"/>
        <w:left w:val="none" w:sz="0" w:space="0" w:color="auto"/>
        <w:bottom w:val="none" w:sz="0" w:space="0" w:color="auto"/>
        <w:right w:val="none" w:sz="0" w:space="0" w:color="auto"/>
      </w:divBdr>
    </w:div>
    <w:div w:id="1699038659">
      <w:bodyDiv w:val="1"/>
      <w:marLeft w:val="0"/>
      <w:marRight w:val="0"/>
      <w:marTop w:val="0"/>
      <w:marBottom w:val="0"/>
      <w:divBdr>
        <w:top w:val="none" w:sz="0" w:space="0" w:color="auto"/>
        <w:left w:val="none" w:sz="0" w:space="0" w:color="auto"/>
        <w:bottom w:val="none" w:sz="0" w:space="0" w:color="auto"/>
        <w:right w:val="none" w:sz="0" w:space="0" w:color="auto"/>
      </w:divBdr>
    </w:div>
    <w:div w:id="1713840442">
      <w:bodyDiv w:val="1"/>
      <w:marLeft w:val="0"/>
      <w:marRight w:val="0"/>
      <w:marTop w:val="0"/>
      <w:marBottom w:val="0"/>
      <w:divBdr>
        <w:top w:val="none" w:sz="0" w:space="0" w:color="auto"/>
        <w:left w:val="none" w:sz="0" w:space="0" w:color="auto"/>
        <w:bottom w:val="none" w:sz="0" w:space="0" w:color="auto"/>
        <w:right w:val="none" w:sz="0" w:space="0" w:color="auto"/>
      </w:divBdr>
    </w:div>
    <w:div w:id="1734114255">
      <w:bodyDiv w:val="1"/>
      <w:marLeft w:val="0"/>
      <w:marRight w:val="0"/>
      <w:marTop w:val="0"/>
      <w:marBottom w:val="0"/>
      <w:divBdr>
        <w:top w:val="none" w:sz="0" w:space="0" w:color="auto"/>
        <w:left w:val="none" w:sz="0" w:space="0" w:color="auto"/>
        <w:bottom w:val="none" w:sz="0" w:space="0" w:color="auto"/>
        <w:right w:val="none" w:sz="0" w:space="0" w:color="auto"/>
      </w:divBdr>
    </w:div>
    <w:div w:id="1734621621">
      <w:bodyDiv w:val="1"/>
      <w:marLeft w:val="0"/>
      <w:marRight w:val="0"/>
      <w:marTop w:val="0"/>
      <w:marBottom w:val="0"/>
      <w:divBdr>
        <w:top w:val="none" w:sz="0" w:space="0" w:color="auto"/>
        <w:left w:val="none" w:sz="0" w:space="0" w:color="auto"/>
        <w:bottom w:val="none" w:sz="0" w:space="0" w:color="auto"/>
        <w:right w:val="none" w:sz="0" w:space="0" w:color="auto"/>
      </w:divBdr>
    </w:div>
    <w:div w:id="1741947243">
      <w:bodyDiv w:val="1"/>
      <w:marLeft w:val="0"/>
      <w:marRight w:val="0"/>
      <w:marTop w:val="0"/>
      <w:marBottom w:val="0"/>
      <w:divBdr>
        <w:top w:val="none" w:sz="0" w:space="0" w:color="auto"/>
        <w:left w:val="none" w:sz="0" w:space="0" w:color="auto"/>
        <w:bottom w:val="none" w:sz="0" w:space="0" w:color="auto"/>
        <w:right w:val="none" w:sz="0" w:space="0" w:color="auto"/>
      </w:divBdr>
    </w:div>
    <w:div w:id="1743914312">
      <w:bodyDiv w:val="1"/>
      <w:marLeft w:val="0"/>
      <w:marRight w:val="0"/>
      <w:marTop w:val="0"/>
      <w:marBottom w:val="0"/>
      <w:divBdr>
        <w:top w:val="none" w:sz="0" w:space="0" w:color="auto"/>
        <w:left w:val="none" w:sz="0" w:space="0" w:color="auto"/>
        <w:bottom w:val="none" w:sz="0" w:space="0" w:color="auto"/>
        <w:right w:val="none" w:sz="0" w:space="0" w:color="auto"/>
      </w:divBdr>
    </w:div>
    <w:div w:id="1745452519">
      <w:bodyDiv w:val="1"/>
      <w:marLeft w:val="0"/>
      <w:marRight w:val="0"/>
      <w:marTop w:val="0"/>
      <w:marBottom w:val="0"/>
      <w:divBdr>
        <w:top w:val="none" w:sz="0" w:space="0" w:color="auto"/>
        <w:left w:val="none" w:sz="0" w:space="0" w:color="auto"/>
        <w:bottom w:val="none" w:sz="0" w:space="0" w:color="auto"/>
        <w:right w:val="none" w:sz="0" w:space="0" w:color="auto"/>
      </w:divBdr>
    </w:div>
    <w:div w:id="1748304690">
      <w:bodyDiv w:val="1"/>
      <w:marLeft w:val="0"/>
      <w:marRight w:val="0"/>
      <w:marTop w:val="0"/>
      <w:marBottom w:val="0"/>
      <w:divBdr>
        <w:top w:val="none" w:sz="0" w:space="0" w:color="auto"/>
        <w:left w:val="none" w:sz="0" w:space="0" w:color="auto"/>
        <w:bottom w:val="none" w:sz="0" w:space="0" w:color="auto"/>
        <w:right w:val="none" w:sz="0" w:space="0" w:color="auto"/>
      </w:divBdr>
    </w:div>
    <w:div w:id="1759709009">
      <w:bodyDiv w:val="1"/>
      <w:marLeft w:val="0"/>
      <w:marRight w:val="0"/>
      <w:marTop w:val="0"/>
      <w:marBottom w:val="0"/>
      <w:divBdr>
        <w:top w:val="none" w:sz="0" w:space="0" w:color="auto"/>
        <w:left w:val="none" w:sz="0" w:space="0" w:color="auto"/>
        <w:bottom w:val="none" w:sz="0" w:space="0" w:color="auto"/>
        <w:right w:val="none" w:sz="0" w:space="0" w:color="auto"/>
      </w:divBdr>
    </w:div>
    <w:div w:id="1760250063">
      <w:bodyDiv w:val="1"/>
      <w:marLeft w:val="0"/>
      <w:marRight w:val="0"/>
      <w:marTop w:val="0"/>
      <w:marBottom w:val="0"/>
      <w:divBdr>
        <w:top w:val="none" w:sz="0" w:space="0" w:color="auto"/>
        <w:left w:val="none" w:sz="0" w:space="0" w:color="auto"/>
        <w:bottom w:val="none" w:sz="0" w:space="0" w:color="auto"/>
        <w:right w:val="none" w:sz="0" w:space="0" w:color="auto"/>
      </w:divBdr>
    </w:div>
    <w:div w:id="1776173228">
      <w:bodyDiv w:val="1"/>
      <w:marLeft w:val="0"/>
      <w:marRight w:val="0"/>
      <w:marTop w:val="0"/>
      <w:marBottom w:val="0"/>
      <w:divBdr>
        <w:top w:val="none" w:sz="0" w:space="0" w:color="auto"/>
        <w:left w:val="none" w:sz="0" w:space="0" w:color="auto"/>
        <w:bottom w:val="none" w:sz="0" w:space="0" w:color="auto"/>
        <w:right w:val="none" w:sz="0" w:space="0" w:color="auto"/>
      </w:divBdr>
    </w:div>
    <w:div w:id="1780444767">
      <w:bodyDiv w:val="1"/>
      <w:marLeft w:val="0"/>
      <w:marRight w:val="0"/>
      <w:marTop w:val="0"/>
      <w:marBottom w:val="0"/>
      <w:divBdr>
        <w:top w:val="none" w:sz="0" w:space="0" w:color="auto"/>
        <w:left w:val="none" w:sz="0" w:space="0" w:color="auto"/>
        <w:bottom w:val="none" w:sz="0" w:space="0" w:color="auto"/>
        <w:right w:val="none" w:sz="0" w:space="0" w:color="auto"/>
      </w:divBdr>
    </w:div>
    <w:div w:id="1784114100">
      <w:bodyDiv w:val="1"/>
      <w:marLeft w:val="0"/>
      <w:marRight w:val="0"/>
      <w:marTop w:val="0"/>
      <w:marBottom w:val="0"/>
      <w:divBdr>
        <w:top w:val="none" w:sz="0" w:space="0" w:color="auto"/>
        <w:left w:val="none" w:sz="0" w:space="0" w:color="auto"/>
        <w:bottom w:val="none" w:sz="0" w:space="0" w:color="auto"/>
        <w:right w:val="none" w:sz="0" w:space="0" w:color="auto"/>
      </w:divBdr>
    </w:div>
    <w:div w:id="1788619829">
      <w:bodyDiv w:val="1"/>
      <w:marLeft w:val="0"/>
      <w:marRight w:val="0"/>
      <w:marTop w:val="0"/>
      <w:marBottom w:val="0"/>
      <w:divBdr>
        <w:top w:val="none" w:sz="0" w:space="0" w:color="auto"/>
        <w:left w:val="none" w:sz="0" w:space="0" w:color="auto"/>
        <w:bottom w:val="none" w:sz="0" w:space="0" w:color="auto"/>
        <w:right w:val="none" w:sz="0" w:space="0" w:color="auto"/>
      </w:divBdr>
    </w:div>
    <w:div w:id="1789549629">
      <w:bodyDiv w:val="1"/>
      <w:marLeft w:val="0"/>
      <w:marRight w:val="0"/>
      <w:marTop w:val="0"/>
      <w:marBottom w:val="0"/>
      <w:divBdr>
        <w:top w:val="none" w:sz="0" w:space="0" w:color="auto"/>
        <w:left w:val="none" w:sz="0" w:space="0" w:color="auto"/>
        <w:bottom w:val="none" w:sz="0" w:space="0" w:color="auto"/>
        <w:right w:val="none" w:sz="0" w:space="0" w:color="auto"/>
      </w:divBdr>
    </w:div>
    <w:div w:id="1816987570">
      <w:bodyDiv w:val="1"/>
      <w:marLeft w:val="0"/>
      <w:marRight w:val="0"/>
      <w:marTop w:val="0"/>
      <w:marBottom w:val="0"/>
      <w:divBdr>
        <w:top w:val="none" w:sz="0" w:space="0" w:color="auto"/>
        <w:left w:val="none" w:sz="0" w:space="0" w:color="auto"/>
        <w:bottom w:val="none" w:sz="0" w:space="0" w:color="auto"/>
        <w:right w:val="none" w:sz="0" w:space="0" w:color="auto"/>
      </w:divBdr>
    </w:div>
    <w:div w:id="1831434760">
      <w:bodyDiv w:val="1"/>
      <w:marLeft w:val="0"/>
      <w:marRight w:val="0"/>
      <w:marTop w:val="0"/>
      <w:marBottom w:val="0"/>
      <w:divBdr>
        <w:top w:val="none" w:sz="0" w:space="0" w:color="auto"/>
        <w:left w:val="none" w:sz="0" w:space="0" w:color="auto"/>
        <w:bottom w:val="none" w:sz="0" w:space="0" w:color="auto"/>
        <w:right w:val="none" w:sz="0" w:space="0" w:color="auto"/>
      </w:divBdr>
    </w:div>
    <w:div w:id="1836678902">
      <w:bodyDiv w:val="1"/>
      <w:marLeft w:val="0"/>
      <w:marRight w:val="0"/>
      <w:marTop w:val="0"/>
      <w:marBottom w:val="0"/>
      <w:divBdr>
        <w:top w:val="none" w:sz="0" w:space="0" w:color="auto"/>
        <w:left w:val="none" w:sz="0" w:space="0" w:color="auto"/>
        <w:bottom w:val="none" w:sz="0" w:space="0" w:color="auto"/>
        <w:right w:val="none" w:sz="0" w:space="0" w:color="auto"/>
      </w:divBdr>
    </w:div>
    <w:div w:id="1841895560">
      <w:bodyDiv w:val="1"/>
      <w:marLeft w:val="0"/>
      <w:marRight w:val="0"/>
      <w:marTop w:val="0"/>
      <w:marBottom w:val="0"/>
      <w:divBdr>
        <w:top w:val="none" w:sz="0" w:space="0" w:color="auto"/>
        <w:left w:val="none" w:sz="0" w:space="0" w:color="auto"/>
        <w:bottom w:val="none" w:sz="0" w:space="0" w:color="auto"/>
        <w:right w:val="none" w:sz="0" w:space="0" w:color="auto"/>
      </w:divBdr>
    </w:div>
    <w:div w:id="1843858967">
      <w:bodyDiv w:val="1"/>
      <w:marLeft w:val="0"/>
      <w:marRight w:val="0"/>
      <w:marTop w:val="0"/>
      <w:marBottom w:val="0"/>
      <w:divBdr>
        <w:top w:val="none" w:sz="0" w:space="0" w:color="auto"/>
        <w:left w:val="none" w:sz="0" w:space="0" w:color="auto"/>
        <w:bottom w:val="none" w:sz="0" w:space="0" w:color="auto"/>
        <w:right w:val="none" w:sz="0" w:space="0" w:color="auto"/>
      </w:divBdr>
    </w:div>
    <w:div w:id="1854150376">
      <w:bodyDiv w:val="1"/>
      <w:marLeft w:val="0"/>
      <w:marRight w:val="0"/>
      <w:marTop w:val="0"/>
      <w:marBottom w:val="0"/>
      <w:divBdr>
        <w:top w:val="none" w:sz="0" w:space="0" w:color="auto"/>
        <w:left w:val="none" w:sz="0" w:space="0" w:color="auto"/>
        <w:bottom w:val="none" w:sz="0" w:space="0" w:color="auto"/>
        <w:right w:val="none" w:sz="0" w:space="0" w:color="auto"/>
      </w:divBdr>
    </w:div>
    <w:div w:id="1855530543">
      <w:bodyDiv w:val="1"/>
      <w:marLeft w:val="0"/>
      <w:marRight w:val="0"/>
      <w:marTop w:val="0"/>
      <w:marBottom w:val="0"/>
      <w:divBdr>
        <w:top w:val="none" w:sz="0" w:space="0" w:color="auto"/>
        <w:left w:val="none" w:sz="0" w:space="0" w:color="auto"/>
        <w:bottom w:val="none" w:sz="0" w:space="0" w:color="auto"/>
        <w:right w:val="none" w:sz="0" w:space="0" w:color="auto"/>
      </w:divBdr>
    </w:div>
    <w:div w:id="1857232613">
      <w:bodyDiv w:val="1"/>
      <w:marLeft w:val="0"/>
      <w:marRight w:val="0"/>
      <w:marTop w:val="0"/>
      <w:marBottom w:val="0"/>
      <w:divBdr>
        <w:top w:val="none" w:sz="0" w:space="0" w:color="auto"/>
        <w:left w:val="none" w:sz="0" w:space="0" w:color="auto"/>
        <w:bottom w:val="none" w:sz="0" w:space="0" w:color="auto"/>
        <w:right w:val="none" w:sz="0" w:space="0" w:color="auto"/>
      </w:divBdr>
    </w:div>
    <w:div w:id="1874031622">
      <w:bodyDiv w:val="1"/>
      <w:marLeft w:val="0"/>
      <w:marRight w:val="0"/>
      <w:marTop w:val="0"/>
      <w:marBottom w:val="0"/>
      <w:divBdr>
        <w:top w:val="none" w:sz="0" w:space="0" w:color="auto"/>
        <w:left w:val="none" w:sz="0" w:space="0" w:color="auto"/>
        <w:bottom w:val="none" w:sz="0" w:space="0" w:color="auto"/>
        <w:right w:val="none" w:sz="0" w:space="0" w:color="auto"/>
      </w:divBdr>
    </w:div>
    <w:div w:id="1879734871">
      <w:bodyDiv w:val="1"/>
      <w:marLeft w:val="0"/>
      <w:marRight w:val="0"/>
      <w:marTop w:val="0"/>
      <w:marBottom w:val="0"/>
      <w:divBdr>
        <w:top w:val="none" w:sz="0" w:space="0" w:color="auto"/>
        <w:left w:val="none" w:sz="0" w:space="0" w:color="auto"/>
        <w:bottom w:val="none" w:sz="0" w:space="0" w:color="auto"/>
        <w:right w:val="none" w:sz="0" w:space="0" w:color="auto"/>
      </w:divBdr>
    </w:div>
    <w:div w:id="1881428948">
      <w:bodyDiv w:val="1"/>
      <w:marLeft w:val="0"/>
      <w:marRight w:val="0"/>
      <w:marTop w:val="0"/>
      <w:marBottom w:val="0"/>
      <w:divBdr>
        <w:top w:val="none" w:sz="0" w:space="0" w:color="auto"/>
        <w:left w:val="none" w:sz="0" w:space="0" w:color="auto"/>
        <w:bottom w:val="none" w:sz="0" w:space="0" w:color="auto"/>
        <w:right w:val="none" w:sz="0" w:space="0" w:color="auto"/>
      </w:divBdr>
    </w:div>
    <w:div w:id="1890065300">
      <w:bodyDiv w:val="1"/>
      <w:marLeft w:val="0"/>
      <w:marRight w:val="0"/>
      <w:marTop w:val="0"/>
      <w:marBottom w:val="0"/>
      <w:divBdr>
        <w:top w:val="none" w:sz="0" w:space="0" w:color="auto"/>
        <w:left w:val="none" w:sz="0" w:space="0" w:color="auto"/>
        <w:bottom w:val="none" w:sz="0" w:space="0" w:color="auto"/>
        <w:right w:val="none" w:sz="0" w:space="0" w:color="auto"/>
      </w:divBdr>
    </w:div>
    <w:div w:id="1891767192">
      <w:bodyDiv w:val="1"/>
      <w:marLeft w:val="0"/>
      <w:marRight w:val="0"/>
      <w:marTop w:val="0"/>
      <w:marBottom w:val="0"/>
      <w:divBdr>
        <w:top w:val="none" w:sz="0" w:space="0" w:color="auto"/>
        <w:left w:val="none" w:sz="0" w:space="0" w:color="auto"/>
        <w:bottom w:val="none" w:sz="0" w:space="0" w:color="auto"/>
        <w:right w:val="none" w:sz="0" w:space="0" w:color="auto"/>
      </w:divBdr>
    </w:div>
    <w:div w:id="1893540509">
      <w:bodyDiv w:val="1"/>
      <w:marLeft w:val="0"/>
      <w:marRight w:val="0"/>
      <w:marTop w:val="0"/>
      <w:marBottom w:val="0"/>
      <w:divBdr>
        <w:top w:val="none" w:sz="0" w:space="0" w:color="auto"/>
        <w:left w:val="none" w:sz="0" w:space="0" w:color="auto"/>
        <w:bottom w:val="none" w:sz="0" w:space="0" w:color="auto"/>
        <w:right w:val="none" w:sz="0" w:space="0" w:color="auto"/>
      </w:divBdr>
    </w:div>
    <w:div w:id="1897819407">
      <w:bodyDiv w:val="1"/>
      <w:marLeft w:val="0"/>
      <w:marRight w:val="0"/>
      <w:marTop w:val="0"/>
      <w:marBottom w:val="0"/>
      <w:divBdr>
        <w:top w:val="none" w:sz="0" w:space="0" w:color="auto"/>
        <w:left w:val="none" w:sz="0" w:space="0" w:color="auto"/>
        <w:bottom w:val="none" w:sz="0" w:space="0" w:color="auto"/>
        <w:right w:val="none" w:sz="0" w:space="0" w:color="auto"/>
      </w:divBdr>
    </w:div>
    <w:div w:id="1909152104">
      <w:bodyDiv w:val="1"/>
      <w:marLeft w:val="0"/>
      <w:marRight w:val="0"/>
      <w:marTop w:val="0"/>
      <w:marBottom w:val="0"/>
      <w:divBdr>
        <w:top w:val="none" w:sz="0" w:space="0" w:color="auto"/>
        <w:left w:val="none" w:sz="0" w:space="0" w:color="auto"/>
        <w:bottom w:val="none" w:sz="0" w:space="0" w:color="auto"/>
        <w:right w:val="none" w:sz="0" w:space="0" w:color="auto"/>
      </w:divBdr>
    </w:div>
    <w:div w:id="1911380075">
      <w:bodyDiv w:val="1"/>
      <w:marLeft w:val="0"/>
      <w:marRight w:val="0"/>
      <w:marTop w:val="0"/>
      <w:marBottom w:val="0"/>
      <w:divBdr>
        <w:top w:val="none" w:sz="0" w:space="0" w:color="auto"/>
        <w:left w:val="none" w:sz="0" w:space="0" w:color="auto"/>
        <w:bottom w:val="none" w:sz="0" w:space="0" w:color="auto"/>
        <w:right w:val="none" w:sz="0" w:space="0" w:color="auto"/>
      </w:divBdr>
    </w:div>
    <w:div w:id="1918661634">
      <w:bodyDiv w:val="1"/>
      <w:marLeft w:val="0"/>
      <w:marRight w:val="0"/>
      <w:marTop w:val="0"/>
      <w:marBottom w:val="0"/>
      <w:divBdr>
        <w:top w:val="none" w:sz="0" w:space="0" w:color="auto"/>
        <w:left w:val="none" w:sz="0" w:space="0" w:color="auto"/>
        <w:bottom w:val="none" w:sz="0" w:space="0" w:color="auto"/>
        <w:right w:val="none" w:sz="0" w:space="0" w:color="auto"/>
      </w:divBdr>
    </w:div>
    <w:div w:id="1921593999">
      <w:bodyDiv w:val="1"/>
      <w:marLeft w:val="0"/>
      <w:marRight w:val="0"/>
      <w:marTop w:val="0"/>
      <w:marBottom w:val="0"/>
      <w:divBdr>
        <w:top w:val="none" w:sz="0" w:space="0" w:color="auto"/>
        <w:left w:val="none" w:sz="0" w:space="0" w:color="auto"/>
        <w:bottom w:val="none" w:sz="0" w:space="0" w:color="auto"/>
        <w:right w:val="none" w:sz="0" w:space="0" w:color="auto"/>
      </w:divBdr>
    </w:div>
    <w:div w:id="1925994477">
      <w:bodyDiv w:val="1"/>
      <w:marLeft w:val="0"/>
      <w:marRight w:val="0"/>
      <w:marTop w:val="0"/>
      <w:marBottom w:val="0"/>
      <w:divBdr>
        <w:top w:val="none" w:sz="0" w:space="0" w:color="auto"/>
        <w:left w:val="none" w:sz="0" w:space="0" w:color="auto"/>
        <w:bottom w:val="none" w:sz="0" w:space="0" w:color="auto"/>
        <w:right w:val="none" w:sz="0" w:space="0" w:color="auto"/>
      </w:divBdr>
    </w:div>
    <w:div w:id="1935702827">
      <w:bodyDiv w:val="1"/>
      <w:marLeft w:val="0"/>
      <w:marRight w:val="0"/>
      <w:marTop w:val="0"/>
      <w:marBottom w:val="0"/>
      <w:divBdr>
        <w:top w:val="none" w:sz="0" w:space="0" w:color="auto"/>
        <w:left w:val="none" w:sz="0" w:space="0" w:color="auto"/>
        <w:bottom w:val="none" w:sz="0" w:space="0" w:color="auto"/>
        <w:right w:val="none" w:sz="0" w:space="0" w:color="auto"/>
      </w:divBdr>
    </w:div>
    <w:div w:id="1937012509">
      <w:bodyDiv w:val="1"/>
      <w:marLeft w:val="0"/>
      <w:marRight w:val="0"/>
      <w:marTop w:val="0"/>
      <w:marBottom w:val="0"/>
      <w:divBdr>
        <w:top w:val="none" w:sz="0" w:space="0" w:color="auto"/>
        <w:left w:val="none" w:sz="0" w:space="0" w:color="auto"/>
        <w:bottom w:val="none" w:sz="0" w:space="0" w:color="auto"/>
        <w:right w:val="none" w:sz="0" w:space="0" w:color="auto"/>
      </w:divBdr>
    </w:div>
    <w:div w:id="1959874256">
      <w:bodyDiv w:val="1"/>
      <w:marLeft w:val="0"/>
      <w:marRight w:val="0"/>
      <w:marTop w:val="0"/>
      <w:marBottom w:val="0"/>
      <w:divBdr>
        <w:top w:val="none" w:sz="0" w:space="0" w:color="auto"/>
        <w:left w:val="none" w:sz="0" w:space="0" w:color="auto"/>
        <w:bottom w:val="none" w:sz="0" w:space="0" w:color="auto"/>
        <w:right w:val="none" w:sz="0" w:space="0" w:color="auto"/>
      </w:divBdr>
    </w:div>
    <w:div w:id="1969166834">
      <w:bodyDiv w:val="1"/>
      <w:marLeft w:val="0"/>
      <w:marRight w:val="0"/>
      <w:marTop w:val="0"/>
      <w:marBottom w:val="0"/>
      <w:divBdr>
        <w:top w:val="none" w:sz="0" w:space="0" w:color="auto"/>
        <w:left w:val="none" w:sz="0" w:space="0" w:color="auto"/>
        <w:bottom w:val="none" w:sz="0" w:space="0" w:color="auto"/>
        <w:right w:val="none" w:sz="0" w:space="0" w:color="auto"/>
      </w:divBdr>
    </w:div>
    <w:div w:id="1972008907">
      <w:bodyDiv w:val="1"/>
      <w:marLeft w:val="0"/>
      <w:marRight w:val="0"/>
      <w:marTop w:val="0"/>
      <w:marBottom w:val="0"/>
      <w:divBdr>
        <w:top w:val="none" w:sz="0" w:space="0" w:color="auto"/>
        <w:left w:val="none" w:sz="0" w:space="0" w:color="auto"/>
        <w:bottom w:val="none" w:sz="0" w:space="0" w:color="auto"/>
        <w:right w:val="none" w:sz="0" w:space="0" w:color="auto"/>
      </w:divBdr>
    </w:div>
    <w:div w:id="1981641999">
      <w:bodyDiv w:val="1"/>
      <w:marLeft w:val="0"/>
      <w:marRight w:val="0"/>
      <w:marTop w:val="0"/>
      <w:marBottom w:val="0"/>
      <w:divBdr>
        <w:top w:val="none" w:sz="0" w:space="0" w:color="auto"/>
        <w:left w:val="none" w:sz="0" w:space="0" w:color="auto"/>
        <w:bottom w:val="none" w:sz="0" w:space="0" w:color="auto"/>
        <w:right w:val="none" w:sz="0" w:space="0" w:color="auto"/>
      </w:divBdr>
    </w:div>
    <w:div w:id="2001081967">
      <w:bodyDiv w:val="1"/>
      <w:marLeft w:val="0"/>
      <w:marRight w:val="0"/>
      <w:marTop w:val="0"/>
      <w:marBottom w:val="0"/>
      <w:divBdr>
        <w:top w:val="none" w:sz="0" w:space="0" w:color="auto"/>
        <w:left w:val="none" w:sz="0" w:space="0" w:color="auto"/>
        <w:bottom w:val="none" w:sz="0" w:space="0" w:color="auto"/>
        <w:right w:val="none" w:sz="0" w:space="0" w:color="auto"/>
      </w:divBdr>
    </w:div>
    <w:div w:id="2001885583">
      <w:bodyDiv w:val="1"/>
      <w:marLeft w:val="0"/>
      <w:marRight w:val="0"/>
      <w:marTop w:val="0"/>
      <w:marBottom w:val="0"/>
      <w:divBdr>
        <w:top w:val="none" w:sz="0" w:space="0" w:color="auto"/>
        <w:left w:val="none" w:sz="0" w:space="0" w:color="auto"/>
        <w:bottom w:val="none" w:sz="0" w:space="0" w:color="auto"/>
        <w:right w:val="none" w:sz="0" w:space="0" w:color="auto"/>
      </w:divBdr>
    </w:div>
    <w:div w:id="2011249145">
      <w:bodyDiv w:val="1"/>
      <w:marLeft w:val="0"/>
      <w:marRight w:val="0"/>
      <w:marTop w:val="0"/>
      <w:marBottom w:val="0"/>
      <w:divBdr>
        <w:top w:val="none" w:sz="0" w:space="0" w:color="auto"/>
        <w:left w:val="none" w:sz="0" w:space="0" w:color="auto"/>
        <w:bottom w:val="none" w:sz="0" w:space="0" w:color="auto"/>
        <w:right w:val="none" w:sz="0" w:space="0" w:color="auto"/>
      </w:divBdr>
    </w:div>
    <w:div w:id="2017229510">
      <w:bodyDiv w:val="1"/>
      <w:marLeft w:val="0"/>
      <w:marRight w:val="0"/>
      <w:marTop w:val="0"/>
      <w:marBottom w:val="0"/>
      <w:divBdr>
        <w:top w:val="none" w:sz="0" w:space="0" w:color="auto"/>
        <w:left w:val="none" w:sz="0" w:space="0" w:color="auto"/>
        <w:bottom w:val="none" w:sz="0" w:space="0" w:color="auto"/>
        <w:right w:val="none" w:sz="0" w:space="0" w:color="auto"/>
      </w:divBdr>
    </w:div>
    <w:div w:id="2018076311">
      <w:bodyDiv w:val="1"/>
      <w:marLeft w:val="0"/>
      <w:marRight w:val="0"/>
      <w:marTop w:val="0"/>
      <w:marBottom w:val="0"/>
      <w:divBdr>
        <w:top w:val="none" w:sz="0" w:space="0" w:color="auto"/>
        <w:left w:val="none" w:sz="0" w:space="0" w:color="auto"/>
        <w:bottom w:val="none" w:sz="0" w:space="0" w:color="auto"/>
        <w:right w:val="none" w:sz="0" w:space="0" w:color="auto"/>
      </w:divBdr>
    </w:div>
    <w:div w:id="2019042805">
      <w:bodyDiv w:val="1"/>
      <w:marLeft w:val="0"/>
      <w:marRight w:val="0"/>
      <w:marTop w:val="0"/>
      <w:marBottom w:val="0"/>
      <w:divBdr>
        <w:top w:val="none" w:sz="0" w:space="0" w:color="auto"/>
        <w:left w:val="none" w:sz="0" w:space="0" w:color="auto"/>
        <w:bottom w:val="none" w:sz="0" w:space="0" w:color="auto"/>
        <w:right w:val="none" w:sz="0" w:space="0" w:color="auto"/>
      </w:divBdr>
    </w:div>
    <w:div w:id="2024938911">
      <w:bodyDiv w:val="1"/>
      <w:marLeft w:val="0"/>
      <w:marRight w:val="0"/>
      <w:marTop w:val="0"/>
      <w:marBottom w:val="0"/>
      <w:divBdr>
        <w:top w:val="none" w:sz="0" w:space="0" w:color="auto"/>
        <w:left w:val="none" w:sz="0" w:space="0" w:color="auto"/>
        <w:bottom w:val="none" w:sz="0" w:space="0" w:color="auto"/>
        <w:right w:val="none" w:sz="0" w:space="0" w:color="auto"/>
      </w:divBdr>
    </w:div>
    <w:div w:id="2031252051">
      <w:bodyDiv w:val="1"/>
      <w:marLeft w:val="0"/>
      <w:marRight w:val="0"/>
      <w:marTop w:val="0"/>
      <w:marBottom w:val="0"/>
      <w:divBdr>
        <w:top w:val="none" w:sz="0" w:space="0" w:color="auto"/>
        <w:left w:val="none" w:sz="0" w:space="0" w:color="auto"/>
        <w:bottom w:val="none" w:sz="0" w:space="0" w:color="auto"/>
        <w:right w:val="none" w:sz="0" w:space="0" w:color="auto"/>
      </w:divBdr>
    </w:div>
    <w:div w:id="2039113193">
      <w:bodyDiv w:val="1"/>
      <w:marLeft w:val="0"/>
      <w:marRight w:val="0"/>
      <w:marTop w:val="0"/>
      <w:marBottom w:val="0"/>
      <w:divBdr>
        <w:top w:val="none" w:sz="0" w:space="0" w:color="auto"/>
        <w:left w:val="none" w:sz="0" w:space="0" w:color="auto"/>
        <w:bottom w:val="none" w:sz="0" w:space="0" w:color="auto"/>
        <w:right w:val="none" w:sz="0" w:space="0" w:color="auto"/>
      </w:divBdr>
    </w:div>
    <w:div w:id="2040281395">
      <w:bodyDiv w:val="1"/>
      <w:marLeft w:val="0"/>
      <w:marRight w:val="0"/>
      <w:marTop w:val="0"/>
      <w:marBottom w:val="0"/>
      <w:divBdr>
        <w:top w:val="none" w:sz="0" w:space="0" w:color="auto"/>
        <w:left w:val="none" w:sz="0" w:space="0" w:color="auto"/>
        <w:bottom w:val="none" w:sz="0" w:space="0" w:color="auto"/>
        <w:right w:val="none" w:sz="0" w:space="0" w:color="auto"/>
      </w:divBdr>
    </w:div>
    <w:div w:id="2040734772">
      <w:bodyDiv w:val="1"/>
      <w:marLeft w:val="0"/>
      <w:marRight w:val="0"/>
      <w:marTop w:val="0"/>
      <w:marBottom w:val="0"/>
      <w:divBdr>
        <w:top w:val="none" w:sz="0" w:space="0" w:color="auto"/>
        <w:left w:val="none" w:sz="0" w:space="0" w:color="auto"/>
        <w:bottom w:val="none" w:sz="0" w:space="0" w:color="auto"/>
        <w:right w:val="none" w:sz="0" w:space="0" w:color="auto"/>
      </w:divBdr>
    </w:div>
    <w:div w:id="2048795958">
      <w:bodyDiv w:val="1"/>
      <w:marLeft w:val="0"/>
      <w:marRight w:val="0"/>
      <w:marTop w:val="0"/>
      <w:marBottom w:val="0"/>
      <w:divBdr>
        <w:top w:val="none" w:sz="0" w:space="0" w:color="auto"/>
        <w:left w:val="none" w:sz="0" w:space="0" w:color="auto"/>
        <w:bottom w:val="none" w:sz="0" w:space="0" w:color="auto"/>
        <w:right w:val="none" w:sz="0" w:space="0" w:color="auto"/>
      </w:divBdr>
    </w:div>
    <w:div w:id="2051227127">
      <w:bodyDiv w:val="1"/>
      <w:marLeft w:val="0"/>
      <w:marRight w:val="0"/>
      <w:marTop w:val="0"/>
      <w:marBottom w:val="0"/>
      <w:divBdr>
        <w:top w:val="none" w:sz="0" w:space="0" w:color="auto"/>
        <w:left w:val="none" w:sz="0" w:space="0" w:color="auto"/>
        <w:bottom w:val="none" w:sz="0" w:space="0" w:color="auto"/>
        <w:right w:val="none" w:sz="0" w:space="0" w:color="auto"/>
      </w:divBdr>
    </w:div>
    <w:div w:id="2072847285">
      <w:bodyDiv w:val="1"/>
      <w:marLeft w:val="0"/>
      <w:marRight w:val="0"/>
      <w:marTop w:val="0"/>
      <w:marBottom w:val="0"/>
      <w:divBdr>
        <w:top w:val="none" w:sz="0" w:space="0" w:color="auto"/>
        <w:left w:val="none" w:sz="0" w:space="0" w:color="auto"/>
        <w:bottom w:val="none" w:sz="0" w:space="0" w:color="auto"/>
        <w:right w:val="none" w:sz="0" w:space="0" w:color="auto"/>
      </w:divBdr>
    </w:div>
    <w:div w:id="2075857250">
      <w:bodyDiv w:val="1"/>
      <w:marLeft w:val="0"/>
      <w:marRight w:val="0"/>
      <w:marTop w:val="0"/>
      <w:marBottom w:val="0"/>
      <w:divBdr>
        <w:top w:val="none" w:sz="0" w:space="0" w:color="auto"/>
        <w:left w:val="none" w:sz="0" w:space="0" w:color="auto"/>
        <w:bottom w:val="none" w:sz="0" w:space="0" w:color="auto"/>
        <w:right w:val="none" w:sz="0" w:space="0" w:color="auto"/>
      </w:divBdr>
    </w:div>
    <w:div w:id="2080513747">
      <w:bodyDiv w:val="1"/>
      <w:marLeft w:val="0"/>
      <w:marRight w:val="0"/>
      <w:marTop w:val="0"/>
      <w:marBottom w:val="0"/>
      <w:divBdr>
        <w:top w:val="none" w:sz="0" w:space="0" w:color="auto"/>
        <w:left w:val="none" w:sz="0" w:space="0" w:color="auto"/>
        <w:bottom w:val="none" w:sz="0" w:space="0" w:color="auto"/>
        <w:right w:val="none" w:sz="0" w:space="0" w:color="auto"/>
      </w:divBdr>
    </w:div>
    <w:div w:id="2087025426">
      <w:bodyDiv w:val="1"/>
      <w:marLeft w:val="0"/>
      <w:marRight w:val="0"/>
      <w:marTop w:val="0"/>
      <w:marBottom w:val="0"/>
      <w:divBdr>
        <w:top w:val="none" w:sz="0" w:space="0" w:color="auto"/>
        <w:left w:val="none" w:sz="0" w:space="0" w:color="auto"/>
        <w:bottom w:val="none" w:sz="0" w:space="0" w:color="auto"/>
        <w:right w:val="none" w:sz="0" w:space="0" w:color="auto"/>
      </w:divBdr>
    </w:div>
    <w:div w:id="2088305863">
      <w:bodyDiv w:val="1"/>
      <w:marLeft w:val="0"/>
      <w:marRight w:val="0"/>
      <w:marTop w:val="0"/>
      <w:marBottom w:val="0"/>
      <w:divBdr>
        <w:top w:val="none" w:sz="0" w:space="0" w:color="auto"/>
        <w:left w:val="none" w:sz="0" w:space="0" w:color="auto"/>
        <w:bottom w:val="none" w:sz="0" w:space="0" w:color="auto"/>
        <w:right w:val="none" w:sz="0" w:space="0" w:color="auto"/>
      </w:divBdr>
    </w:div>
    <w:div w:id="2093966597">
      <w:bodyDiv w:val="1"/>
      <w:marLeft w:val="0"/>
      <w:marRight w:val="0"/>
      <w:marTop w:val="0"/>
      <w:marBottom w:val="0"/>
      <w:divBdr>
        <w:top w:val="none" w:sz="0" w:space="0" w:color="auto"/>
        <w:left w:val="none" w:sz="0" w:space="0" w:color="auto"/>
        <w:bottom w:val="none" w:sz="0" w:space="0" w:color="auto"/>
        <w:right w:val="none" w:sz="0" w:space="0" w:color="auto"/>
      </w:divBdr>
    </w:div>
    <w:div w:id="2102488720">
      <w:bodyDiv w:val="1"/>
      <w:marLeft w:val="0"/>
      <w:marRight w:val="0"/>
      <w:marTop w:val="0"/>
      <w:marBottom w:val="0"/>
      <w:divBdr>
        <w:top w:val="none" w:sz="0" w:space="0" w:color="auto"/>
        <w:left w:val="none" w:sz="0" w:space="0" w:color="auto"/>
        <w:bottom w:val="none" w:sz="0" w:space="0" w:color="auto"/>
        <w:right w:val="none" w:sz="0" w:space="0" w:color="auto"/>
      </w:divBdr>
    </w:div>
    <w:div w:id="2108765966">
      <w:bodyDiv w:val="1"/>
      <w:marLeft w:val="0"/>
      <w:marRight w:val="0"/>
      <w:marTop w:val="0"/>
      <w:marBottom w:val="0"/>
      <w:divBdr>
        <w:top w:val="none" w:sz="0" w:space="0" w:color="auto"/>
        <w:left w:val="none" w:sz="0" w:space="0" w:color="auto"/>
        <w:bottom w:val="none" w:sz="0" w:space="0" w:color="auto"/>
        <w:right w:val="none" w:sz="0" w:space="0" w:color="auto"/>
      </w:divBdr>
    </w:div>
    <w:div w:id="2115594419">
      <w:bodyDiv w:val="1"/>
      <w:marLeft w:val="0"/>
      <w:marRight w:val="0"/>
      <w:marTop w:val="0"/>
      <w:marBottom w:val="0"/>
      <w:divBdr>
        <w:top w:val="none" w:sz="0" w:space="0" w:color="auto"/>
        <w:left w:val="none" w:sz="0" w:space="0" w:color="auto"/>
        <w:bottom w:val="none" w:sz="0" w:space="0" w:color="auto"/>
        <w:right w:val="none" w:sz="0" w:space="0" w:color="auto"/>
      </w:divBdr>
    </w:div>
    <w:div w:id="2119370834">
      <w:bodyDiv w:val="1"/>
      <w:marLeft w:val="0"/>
      <w:marRight w:val="0"/>
      <w:marTop w:val="0"/>
      <w:marBottom w:val="0"/>
      <w:divBdr>
        <w:top w:val="none" w:sz="0" w:space="0" w:color="auto"/>
        <w:left w:val="none" w:sz="0" w:space="0" w:color="auto"/>
        <w:bottom w:val="none" w:sz="0" w:space="0" w:color="auto"/>
        <w:right w:val="none" w:sz="0" w:space="0" w:color="auto"/>
      </w:divBdr>
    </w:div>
    <w:div w:id="2119448016">
      <w:bodyDiv w:val="1"/>
      <w:marLeft w:val="0"/>
      <w:marRight w:val="0"/>
      <w:marTop w:val="0"/>
      <w:marBottom w:val="0"/>
      <w:divBdr>
        <w:top w:val="none" w:sz="0" w:space="0" w:color="auto"/>
        <w:left w:val="none" w:sz="0" w:space="0" w:color="auto"/>
        <w:bottom w:val="none" w:sz="0" w:space="0" w:color="auto"/>
        <w:right w:val="none" w:sz="0" w:space="0" w:color="auto"/>
      </w:divBdr>
    </w:div>
    <w:div w:id="2134204743">
      <w:bodyDiv w:val="1"/>
      <w:marLeft w:val="0"/>
      <w:marRight w:val="0"/>
      <w:marTop w:val="0"/>
      <w:marBottom w:val="0"/>
      <w:divBdr>
        <w:top w:val="none" w:sz="0" w:space="0" w:color="auto"/>
        <w:left w:val="none" w:sz="0" w:space="0" w:color="auto"/>
        <w:bottom w:val="none" w:sz="0" w:space="0" w:color="auto"/>
        <w:right w:val="none" w:sz="0" w:space="0" w:color="auto"/>
      </w:divBdr>
    </w:div>
    <w:div w:id="2141537118">
      <w:bodyDiv w:val="1"/>
      <w:marLeft w:val="0"/>
      <w:marRight w:val="0"/>
      <w:marTop w:val="0"/>
      <w:marBottom w:val="0"/>
      <w:divBdr>
        <w:top w:val="none" w:sz="0" w:space="0" w:color="auto"/>
        <w:left w:val="none" w:sz="0" w:space="0" w:color="auto"/>
        <w:bottom w:val="none" w:sz="0" w:space="0" w:color="auto"/>
        <w:right w:val="none" w:sz="0" w:space="0" w:color="auto"/>
      </w:divBdr>
    </w:div>
    <w:div w:id="2145195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a:t>TNT</a:t>
            </a:r>
            <a:r>
              <a:rPr lang="en-GB" baseline="0"/>
              <a:t> Shot Data- Confined</a:t>
            </a:r>
            <a:endParaRPr lang="en-GB"/>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GB"/>
        </a:p>
      </c:txPr>
    </c:title>
    <c:autoTitleDeleted val="0"/>
    <c:plotArea>
      <c:layout/>
      <c:scatterChart>
        <c:scatterStyle val="lineMarker"/>
        <c:varyColors val="0"/>
        <c:ser>
          <c:idx val="0"/>
          <c:order val="0"/>
          <c:tx>
            <c:strRef>
              <c:f>'[TNT Rate-Stick Data.xlsx]Sheet1'!$B$2</c:f>
              <c:strCache>
                <c:ptCount val="1"/>
                <c:pt idx="0">
                  <c:v>Diameter (cm)</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errBars>
            <c:errDir val="x"/>
            <c:errBarType val="both"/>
            <c:errValType val="stdErr"/>
            <c:noEndCap val="0"/>
            <c:spPr>
              <a:noFill/>
              <a:ln w="9525">
                <a:solidFill>
                  <a:schemeClr val="dk1">
                    <a:lumMod val="50000"/>
                    <a:lumOff val="50000"/>
                  </a:schemeClr>
                </a:solidFill>
              </a:ln>
              <a:effectLst/>
            </c:spPr>
          </c:errBars>
          <c:errBars>
            <c:errDir val="y"/>
            <c:errBarType val="both"/>
            <c:errValType val="stdErr"/>
            <c:noEndCap val="0"/>
            <c:spPr>
              <a:noFill/>
              <a:ln w="9525">
                <a:solidFill>
                  <a:schemeClr val="dk1">
                    <a:lumMod val="50000"/>
                    <a:lumOff val="50000"/>
                  </a:schemeClr>
                </a:solidFill>
              </a:ln>
              <a:effectLst/>
            </c:spPr>
          </c:errBars>
          <c:xVal>
            <c:numRef>
              <c:f>'[TNT Rate-Stick Data.xlsx]Sheet1'!$A$3:$A$41</c:f>
              <c:numCache>
                <c:formatCode>General</c:formatCode>
                <c:ptCount val="39"/>
                <c:pt idx="0">
                  <c:v>0.90090000000000003</c:v>
                </c:pt>
                <c:pt idx="4">
                  <c:v>1.0510999999999999</c:v>
                </c:pt>
                <c:pt idx="8">
                  <c:v>1.2008000000000001</c:v>
                </c:pt>
                <c:pt idx="12">
                  <c:v>1.3005</c:v>
                </c:pt>
                <c:pt idx="19">
                  <c:v>1.4470000000000001</c:v>
                </c:pt>
                <c:pt idx="27">
                  <c:v>1.5342</c:v>
                </c:pt>
                <c:pt idx="31">
                  <c:v>1.5694999999999999</c:v>
                </c:pt>
                <c:pt idx="35">
                  <c:v>1.6358999999999999</c:v>
                </c:pt>
              </c:numCache>
            </c:numRef>
          </c:xVal>
          <c:yVal>
            <c:numRef>
              <c:f>'[TNT Rate-Stick Data.xlsx]Sheet1'!$B$3:$B$41</c:f>
              <c:numCache>
                <c:formatCode>General</c:formatCode>
                <c:ptCount val="39"/>
                <c:pt idx="0">
                  <c:v>1.9510000000000001</c:v>
                </c:pt>
                <c:pt idx="1">
                  <c:v>2.6030000000000002</c:v>
                </c:pt>
                <c:pt idx="2">
                  <c:v>3.9060000000000001</c:v>
                </c:pt>
                <c:pt idx="3">
                  <c:v>7.8159999999999998</c:v>
                </c:pt>
                <c:pt idx="4">
                  <c:v>1.9510000000000001</c:v>
                </c:pt>
                <c:pt idx="5">
                  <c:v>2.6030000000000002</c:v>
                </c:pt>
                <c:pt idx="6">
                  <c:v>3.9060000000000001</c:v>
                </c:pt>
                <c:pt idx="7">
                  <c:v>7.8159999999999998</c:v>
                </c:pt>
                <c:pt idx="8">
                  <c:v>1.954</c:v>
                </c:pt>
                <c:pt idx="9">
                  <c:v>2.605</c:v>
                </c:pt>
                <c:pt idx="10">
                  <c:v>3.9079999999999999</c:v>
                </c:pt>
                <c:pt idx="11">
                  <c:v>7.8150000000000004</c:v>
                </c:pt>
                <c:pt idx="12">
                  <c:v>1.905</c:v>
                </c:pt>
                <c:pt idx="13">
                  <c:v>2.605</c:v>
                </c:pt>
                <c:pt idx="14">
                  <c:v>2.605</c:v>
                </c:pt>
                <c:pt idx="15">
                  <c:v>3.9079999999999999</c:v>
                </c:pt>
                <c:pt idx="16">
                  <c:v>3.9079999999999999</c:v>
                </c:pt>
                <c:pt idx="17">
                  <c:v>7.8150000000000004</c:v>
                </c:pt>
                <c:pt idx="18">
                  <c:v>7.8159999999999998</c:v>
                </c:pt>
                <c:pt idx="19">
                  <c:v>1.9510000000000001</c:v>
                </c:pt>
                <c:pt idx="20">
                  <c:v>1.9510000000000001</c:v>
                </c:pt>
                <c:pt idx="21">
                  <c:v>2.6030000000000002</c:v>
                </c:pt>
                <c:pt idx="22">
                  <c:v>2.6030000000000002</c:v>
                </c:pt>
                <c:pt idx="23">
                  <c:v>3.9079999999999999</c:v>
                </c:pt>
                <c:pt idx="24">
                  <c:v>3.9060000000000001</c:v>
                </c:pt>
                <c:pt idx="25">
                  <c:v>7.8159999999999998</c:v>
                </c:pt>
                <c:pt idx="26">
                  <c:v>7.8230000000000004</c:v>
                </c:pt>
                <c:pt idx="27">
                  <c:v>1.9510000000000001</c:v>
                </c:pt>
                <c:pt idx="28">
                  <c:v>2.6030000000000002</c:v>
                </c:pt>
                <c:pt idx="29">
                  <c:v>3.9060000000000001</c:v>
                </c:pt>
                <c:pt idx="30">
                  <c:v>7.8129999999999997</c:v>
                </c:pt>
                <c:pt idx="31">
                  <c:v>1.9510000000000001</c:v>
                </c:pt>
                <c:pt idx="32">
                  <c:v>2.6030000000000002</c:v>
                </c:pt>
                <c:pt idx="33">
                  <c:v>3.9060000000000001</c:v>
                </c:pt>
                <c:pt idx="34">
                  <c:v>7.8159999999999998</c:v>
                </c:pt>
                <c:pt idx="35">
                  <c:v>1.9510000000000001</c:v>
                </c:pt>
                <c:pt idx="36">
                  <c:v>2.6030000000000002</c:v>
                </c:pt>
                <c:pt idx="37">
                  <c:v>3.9089999999999998</c:v>
                </c:pt>
                <c:pt idx="38">
                  <c:v>7.8230000000000004</c:v>
                </c:pt>
              </c:numCache>
            </c:numRef>
          </c:yVal>
          <c:smooth val="0"/>
          <c:extLst>
            <c:ext xmlns:c16="http://schemas.microsoft.com/office/drawing/2014/chart" uri="{C3380CC4-5D6E-409C-BE32-E72D297353CC}">
              <c16:uniqueId val="{00000000-47D3-4717-9175-949FF385FF9A}"/>
            </c:ext>
          </c:extLst>
        </c:ser>
        <c:ser>
          <c:idx val="1"/>
          <c:order val="1"/>
          <c:tx>
            <c:strRef>
              <c:f>'[TNT Rate-Stick Data.xlsx]Sheet1'!$C$2</c:f>
              <c:strCache>
                <c:ptCount val="1"/>
                <c:pt idx="0">
                  <c:v>D (m/sec)</c:v>
                </c:pt>
              </c:strCache>
            </c:strRef>
          </c:tx>
          <c:spPr>
            <a:ln w="28575">
              <a:solidFill>
                <a:schemeClr val="accent2">
                  <a:alpha val="20000"/>
                </a:schemeClr>
              </a:solidFill>
            </a:ln>
            <a:effectLst/>
          </c:spPr>
          <c:marker>
            <c:symbol val="circle"/>
            <c:size val="4"/>
            <c:spPr>
              <a:solidFill>
                <a:schemeClr val="accent2"/>
              </a:solidFill>
              <a:ln w="9525" cap="flat" cmpd="sng" algn="ctr">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63500" cap="rnd" cmpd="sng" algn="ctr">
                <a:solidFill>
                  <a:schemeClr val="accent1">
                    <a:alpha val="25000"/>
                  </a:schemeClr>
                </a:solidFill>
                <a:round/>
              </a:ln>
              <a:effectLst/>
            </c:spPr>
            <c:trendlineType val="linear"/>
            <c:dispRSqr val="0"/>
            <c:dispEq val="0"/>
          </c:trendline>
          <c:errBars>
            <c:errDir val="x"/>
            <c:errBarType val="both"/>
            <c:errValType val="stdErr"/>
            <c:noEndCap val="0"/>
            <c:spPr>
              <a:noFill/>
              <a:ln w="9525">
                <a:solidFill>
                  <a:schemeClr val="dk1">
                    <a:lumMod val="50000"/>
                    <a:lumOff val="50000"/>
                  </a:schemeClr>
                </a:solidFill>
              </a:ln>
              <a:effectLst/>
            </c:spPr>
          </c:errBars>
          <c:errBars>
            <c:errDir val="y"/>
            <c:errBarType val="both"/>
            <c:errValType val="stdErr"/>
            <c:noEndCap val="0"/>
            <c:spPr>
              <a:noFill/>
              <a:ln w="9525">
                <a:solidFill>
                  <a:schemeClr val="dk1">
                    <a:lumMod val="50000"/>
                    <a:lumOff val="50000"/>
                  </a:schemeClr>
                </a:solidFill>
              </a:ln>
              <a:effectLst/>
            </c:spPr>
          </c:errBars>
          <c:xVal>
            <c:numRef>
              <c:f>'[TNT Rate-Stick Data.xlsx]Sheet1'!$A$3:$A$41</c:f>
              <c:numCache>
                <c:formatCode>General</c:formatCode>
                <c:ptCount val="39"/>
                <c:pt idx="0">
                  <c:v>0.90090000000000003</c:v>
                </c:pt>
                <c:pt idx="4">
                  <c:v>1.0510999999999999</c:v>
                </c:pt>
                <c:pt idx="8">
                  <c:v>1.2008000000000001</c:v>
                </c:pt>
                <c:pt idx="12">
                  <c:v>1.3005</c:v>
                </c:pt>
                <c:pt idx="19">
                  <c:v>1.4470000000000001</c:v>
                </c:pt>
                <c:pt idx="27">
                  <c:v>1.5342</c:v>
                </c:pt>
                <c:pt idx="31">
                  <c:v>1.5694999999999999</c:v>
                </c:pt>
                <c:pt idx="35">
                  <c:v>1.6358999999999999</c:v>
                </c:pt>
              </c:numCache>
            </c:numRef>
          </c:xVal>
          <c:yVal>
            <c:numRef>
              <c:f>'[TNT Rate-Stick Data.xlsx]Sheet1'!$C$3:$C$41</c:f>
              <c:numCache>
                <c:formatCode>General</c:formatCode>
                <c:ptCount val="39"/>
                <c:pt idx="0">
                  <c:v>4587.2</c:v>
                </c:pt>
                <c:pt idx="1">
                  <c:v>4632.3</c:v>
                </c:pt>
                <c:pt idx="2">
                  <c:v>4663.6000000000004</c:v>
                </c:pt>
                <c:pt idx="3">
                  <c:v>4713.3999999999996</c:v>
                </c:pt>
                <c:pt idx="4">
                  <c:v>5052.3999999999996</c:v>
                </c:pt>
                <c:pt idx="5">
                  <c:v>5103</c:v>
                </c:pt>
                <c:pt idx="6">
                  <c:v>5133.7</c:v>
                </c:pt>
                <c:pt idx="7">
                  <c:v>5180.8</c:v>
                </c:pt>
                <c:pt idx="8">
                  <c:v>5568.8</c:v>
                </c:pt>
                <c:pt idx="9">
                  <c:v>5598.3</c:v>
                </c:pt>
                <c:pt idx="10">
                  <c:v>5623.6</c:v>
                </c:pt>
                <c:pt idx="11">
                  <c:v>5662.1</c:v>
                </c:pt>
                <c:pt idx="12">
                  <c:v>5900</c:v>
                </c:pt>
                <c:pt idx="13">
                  <c:v>5926.9</c:v>
                </c:pt>
                <c:pt idx="14">
                  <c:v>5925.7</c:v>
                </c:pt>
                <c:pt idx="15">
                  <c:v>5951.9</c:v>
                </c:pt>
                <c:pt idx="16">
                  <c:v>5955.4</c:v>
                </c:pt>
                <c:pt idx="17">
                  <c:v>5990</c:v>
                </c:pt>
                <c:pt idx="18">
                  <c:v>5982.2</c:v>
                </c:pt>
                <c:pt idx="19">
                  <c:v>6401.2</c:v>
                </c:pt>
                <c:pt idx="20">
                  <c:v>6398.9</c:v>
                </c:pt>
                <c:pt idx="21">
                  <c:v>6417.7</c:v>
                </c:pt>
                <c:pt idx="22">
                  <c:v>6425.9</c:v>
                </c:pt>
                <c:pt idx="23">
                  <c:v>6442.1</c:v>
                </c:pt>
                <c:pt idx="24">
                  <c:v>6443.9</c:v>
                </c:pt>
                <c:pt idx="25">
                  <c:v>6466.9</c:v>
                </c:pt>
                <c:pt idx="26">
                  <c:v>6469.8</c:v>
                </c:pt>
                <c:pt idx="27">
                  <c:v>6732.9</c:v>
                </c:pt>
                <c:pt idx="28">
                  <c:v>6722</c:v>
                </c:pt>
                <c:pt idx="29">
                  <c:v>6742.2</c:v>
                </c:pt>
                <c:pt idx="30">
                  <c:v>6743.6</c:v>
                </c:pt>
                <c:pt idx="31">
                  <c:v>6816.5</c:v>
                </c:pt>
                <c:pt idx="32">
                  <c:v>6824.9</c:v>
                </c:pt>
                <c:pt idx="33">
                  <c:v>6833.9</c:v>
                </c:pt>
                <c:pt idx="34">
                  <c:v>6831.6</c:v>
                </c:pt>
                <c:pt idx="35">
                  <c:v>6933</c:v>
                </c:pt>
                <c:pt idx="36">
                  <c:v>6934.6</c:v>
                </c:pt>
                <c:pt idx="37">
                  <c:v>6938.5</c:v>
                </c:pt>
                <c:pt idx="38">
                  <c:v>6941.4</c:v>
                </c:pt>
              </c:numCache>
            </c:numRef>
          </c:yVal>
          <c:smooth val="0"/>
          <c:extLst>
            <c:ext xmlns:c16="http://schemas.microsoft.com/office/drawing/2014/chart" uri="{C3380CC4-5D6E-409C-BE32-E72D297353CC}">
              <c16:uniqueId val="{00000002-47D3-4717-9175-949FF385FF9A}"/>
            </c:ext>
          </c:extLst>
        </c:ser>
        <c:dLbls>
          <c:dLblPos val="t"/>
          <c:showLegendKey val="0"/>
          <c:showVal val="1"/>
          <c:showCatName val="0"/>
          <c:showSerName val="0"/>
          <c:showPercent val="0"/>
          <c:showBubbleSize val="0"/>
        </c:dLbls>
        <c:axId val="832972511"/>
        <c:axId val="832961471"/>
      </c:scatterChart>
      <c:valAx>
        <c:axId val="832972511"/>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US"/>
                  <a:t>Diameter (cm) and Density (g/cm3)</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832961471"/>
        <c:crosses val="autoZero"/>
        <c:crossBetween val="midCat"/>
      </c:valAx>
      <c:valAx>
        <c:axId val="832961471"/>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US"/>
                  <a:t>Velocity of Detonation (m/s)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832972511"/>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legend>
    <c:plotVisOnly val="1"/>
    <c:dispBlanksAs val="gap"/>
    <c:showDLblsOverMax val="0"/>
  </c:chart>
  <c:spPr>
    <a:solidFill>
      <a:schemeClr val="accent2">
        <a:lumMod val="20000"/>
        <a:lumOff val="80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Dav19</b:Tag>
    <b:SourceType>JournalArticle</b:SourceType>
    <b:Guid>{F69A3D8A-5E73-4128-9044-1FA1BA16557A}</b:Guid>
    <b:Author>
      <b:Author>
        <b:NameList>
          <b:Person>
            <b:Last>Pierre</b:Last>
            <b:First>David</b:First>
          </b:Person>
        </b:NameList>
      </b:Author>
    </b:Author>
    <b:Title>Acid-Base Titration</b:Title>
    <b:JournalName>Undergraduate Journal of Mathematical Modelling: One + Two</b:JournalName>
    <b:Year>2019</b:Year>
    <b:Pages>17</b:Pages>
    <b:Volume>10</b:Volume>
    <b:Issue>1</b:Issue>
    <b:RefOrder>21</b:RefOrder>
  </b:Source>
  <b:Source>
    <b:Tag>Nan13</b:Tag>
    <b:SourceType>JournalArticle</b:SourceType>
    <b:Guid>{25B8EEBA-CCDC-4D8B-B40C-BAED0AC2D1DF}</b:Guid>
    <b:Title>Assay of the Insensitive High Explosive 3-Nitro-1,2,4-triazol-5-one (NTO) by Acid-Base Titration</b:Title>
    <b:JournalName>Central European Journal of Energetic Materials</b:JournalName>
    <b:Year>2013</b:Year>
    <b:Pages>113-122</b:Pages>
    <b:Volume>10</b:Volume>
    <b:Issue>1</b:Issue>
    <b:Author>
      <b:Author>
        <b:NameList>
          <b:Person>
            <b:Last>Nandi</b:Last>
            <b:Middle>Kumar</b:Middle>
            <b:First>Amiya</b:First>
          </b:Person>
          <b:Person>
            <b:Last>Singh</b:Last>
            <b:Middle>Kumar</b:Middle>
            <b:First>Sunil</b:First>
          </b:Person>
        </b:NameList>
      </b:Author>
    </b:Author>
    <b:RefOrder>22</b:RefOrder>
  </b:Source>
  <b:Source>
    <b:Tag>Wal73</b:Tag>
    <b:SourceType>Report</b:SourceType>
    <b:Guid>{9EFC9B2B-BF61-41F6-B29F-59931188EB7D}</b:Guid>
    <b:Title>Some Analytical Methods for Explosives and Explosive Simulants, Part IV</b:Title>
    <b:Year>1973</b:Year>
    <b:Author>
      <b:Author>
        <b:NameList>
          <b:Person>
            <b:Last>Selig</b:Last>
            <b:First>Walter</b:First>
          </b:Person>
        </b:NameList>
      </b:Author>
    </b:Author>
    <b:Publisher>Lawrence Livermore Laboratory</b:Publisher>
    <b:City>Livermore</b:City>
    <b:RefOrder>23</b:RefOrder>
  </b:Source>
  <b:Source>
    <b:Tag>Üns22</b:Tag>
    <b:SourceType>JournalArticle</b:SourceType>
    <b:Guid>{05699328-B0C6-4A16-81CF-9C0C9D17F3E4}</b:Guid>
    <b:Title>Development and validation of a new RP-HPLC method for organic explosive compounds</b:Title>
    <b:Year>2022</b:Year>
    <b:JournalName>Turkish Journal of Chemistry</b:JournalName>
    <b:Pages>923-928</b:Pages>
    <b:Volume>46</b:Volume>
    <b:Issue>3</b:Issue>
    <b:Author>
      <b:Author>
        <b:NameList>
          <b:Person>
            <b:Last>Ünsal</b:Last>
            <b:Middle>Murat</b:Middle>
            <b:First>Salih</b:First>
          </b:Person>
          <b:Person>
            <b:Last>Erkan</b:Last>
            <b:First>Emre</b:First>
          </b:Person>
        </b:NameList>
      </b:Author>
    </b:Author>
    <b:RefOrder>24</b:RefOrder>
  </b:Source>
  <b:Source>
    <b:Tag>Akh221</b:Tag>
    <b:SourceType>Book</b:SourceType>
    <b:Guid>{22AD6756-761D-4915-BDF8-1B1A84BB6F73}</b:Guid>
    <b:Title>The Chemistry of Explosives</b:Title>
    <b:Year>2022</b:Year>
    <b:City>London</b:City>
    <b:Publisher>Royal Society of Chemistry</b:Publisher>
    <b:Author>
      <b:Author>
        <b:NameList>
          <b:Person>
            <b:Last>Akhavan</b:Last>
            <b:First>Jacqueline</b:First>
          </b:Person>
        </b:NameList>
      </b:Author>
    </b:Author>
    <b:RefOrder>17</b:RefOrder>
  </b:Source>
  <b:Source>
    <b:Tag>Don81</b:Tag>
    <b:SourceType>Report</b:SourceType>
    <b:Guid>{428AE810-52ED-4ACE-9628-3C2AB536B82B}</b:Guid>
    <b:Title>Critical Parameters for Detonation Propagation and Initiation of Solid Explosives</b:Title>
    <b:Year>1981</b:Year>
    <b:Author>
      <b:Author>
        <b:NameList>
          <b:Person>
            <b:Last>Price</b:Last>
            <b:First>Donna</b:First>
          </b:Person>
        </b:NameList>
      </b:Author>
    </b:Author>
    <b:Publisher>Naval Surface Weapons Center</b:Publisher>
    <b:City>White Oak</b:City>
    <b:RefOrder>9</b:RefOrder>
  </b:Source>
  <b:Source>
    <b:Tag>Rob21</b:Tag>
    <b:SourceType>Report</b:SourceType>
    <b:Guid>{E8EBB5E9-5C1C-40D4-8261-66C4F417B8B4}</b:Guid>
    <b:Title>Basic Chemistry of Explosives and Hazards of Home-Made Explosives and Chemical Precursors</b:Title>
    <b:Year>2021</b:Year>
    <b:Author>
      <b:Author>
        <b:NameList>
          <b:Person>
            <b:Last>Friedel</b:Last>
            <b:First>Robert</b:First>
          </b:Person>
        </b:NameList>
      </b:Author>
    </b:Author>
    <b:Publisher>Geneva International Centre for Humanitarian Demining</b:Publisher>
    <b:City>Geneva</b:City>
    <b:RefOrder>1</b:RefOrder>
  </b:Source>
  <b:Source>
    <b:Tag>Pet23</b:Tag>
    <b:SourceType>Report</b:SourceType>
    <b:Guid>{F00C0F8F-4ADA-4992-B377-410611723763}</b:Guid>
    <b:Author>
      <b:Author>
        <b:NameList>
          <b:Person>
            <b:Last>Norton</b:Last>
            <b:First>Pete</b:First>
          </b:Person>
        </b:NameList>
      </b:Author>
    </b:Author>
    <b:Title>Initiation of Explosives</b:Title>
    <b:Year>2023</b:Year>
    <b:Publisher>Cranfield University</b:Publisher>
    <b:City>Cranfield</b:City>
    <b:RefOrder>11</b:RefOrder>
  </b:Source>
  <b:Source>
    <b:Tag>Ank23</b:Tag>
    <b:SourceType>Report</b:SourceType>
    <b:Guid>{F09A428B-8654-4AD5-ABCB-6894186A2600}</b:Guid>
    <b:Author>
      <b:Author>
        <b:NameList>
          <b:Person>
            <b:Last>Verma</b:Last>
            <b:First>Ankush</b:First>
          </b:Person>
        </b:NameList>
      </b:Author>
    </b:Author>
    <b:Title>Shock to Detonation Transition of Explosives</b:Title>
    <b:Year>2023</b:Year>
    <b:Publisher>National Institute of Technology Hamirpur</b:Publisher>
    <b:City>Hamirpur</b:City>
    <b:RefOrder>14</b:RefOrder>
  </b:Source>
  <b:Source>
    <b:Tag>Yun22</b:Tag>
    <b:SourceType>JournalArticle</b:SourceType>
    <b:Guid>{6B3E2BE0-FB61-4FBF-AA90-5AD1519125C8}</b:Guid>
    <b:Title>Observations on Detonation Growth of Lead Azide at Microscale</b:Title>
    <b:Year>2022</b:Year>
    <b:Author>
      <b:Author>
        <b:NameList>
          <b:Person>
            <b:Last>Yunfei Mu</b:Last>
            <b:First>Wei</b:First>
            <b:Middle>Zhang, Ruigi Shen, Yinghua Ye</b:Middle>
          </b:Person>
        </b:NameList>
      </b:Author>
    </b:Author>
    <b:JournalName>Microsystems for Space and Defense Applications</b:JournalName>
    <b:Pages>8-10</b:Pages>
    <b:Volume>13</b:Volume>
    <b:Issue>451</b:Issue>
    <b:RefOrder>13</b:RefOrder>
  </b:Source>
  <b:Source>
    <b:Tag>Kar15</b:Tag>
    <b:SourceType>Report</b:SourceType>
    <b:Guid>{31379B5E-3464-4B93-95B1-23AEE57189A3}</b:Guid>
    <b:Title>Overview of Explosive Initiators</b:Title>
    <b:Year>2015</b:Year>
    <b:Author>
      <b:Author>
        <b:NameList>
          <b:Person>
            <b:Last>Karl D. Oyler</b:Last>
            <b:First>Neha</b:First>
            <b:Middle>Mehta, Gartung Cheng</b:Middle>
          </b:Person>
        </b:NameList>
      </b:Author>
    </b:Author>
    <b:Publisher>U.S. Army Armament Research, Development and Engineering Center</b:Publisher>
    <b:City>New Jersey</b:City>
    <b:RefOrder>2</b:RefOrder>
  </b:Source>
  <b:Source>
    <b:Tag>Lid07</b:Tag>
    <b:SourceType>Book</b:SourceType>
    <b:Guid>{4C65C189-CE60-4295-B53D-7433F15A8CA7}</b:Guid>
    <b:Title>CRC Handbook of Chemistry and Physics 88th Edition</b:Title>
    <b:Year>2007</b:Year>
    <b:Publisher>Taylor &amp; Francis</b:Publisher>
    <b:City>Boca Raton</b:City>
    <b:Author>
      <b:Author>
        <b:NameList>
          <b:Person>
            <b:Last>Lide</b:Last>
            <b:First>D.</b:First>
            <b:Middle>R.</b:Middle>
          </b:Person>
        </b:NameList>
      </b:Author>
    </b:Author>
    <b:RefOrder>3</b:RefOrder>
  </b:Source>
  <b:Source>
    <b:Tag>Jon03</b:Tag>
    <b:SourceType>Book</b:SourceType>
    <b:Guid>{EBAE5EE3-3687-440F-B61C-771AC53D97D9}</b:Guid>
    <b:Author>
      <b:Author>
        <b:NameList>
          <b:Person>
            <b:Last>Jonas A. Zukas</b:Last>
            <b:First>William</b:First>
            <b:Middle>P. Walters</b:Middle>
          </b:Person>
        </b:NameList>
      </b:Author>
    </b:Author>
    <b:Title>Explosive Effects and Applications</b:Title>
    <b:Year>2003</b:Year>
    <b:City>New York</b:City>
    <b:Publisher>Springer Science + Business Media</b:Publisher>
    <b:RefOrder>16</b:RefOrder>
  </b:Source>
  <b:Source>
    <b:Tag>Rob13</b:Tag>
    <b:SourceType>Book</b:SourceType>
    <b:Guid>{4A325545-27D5-4B70-94EF-DB14CA7680F0}</b:Guid>
    <b:Author>
      <b:Author>
        <b:NameList>
          <b:Person>
            <b:Last>Robert Matyas</b:Last>
            <b:First>Jiri</b:First>
            <b:Middle>Pachman</b:Middle>
          </b:Person>
        </b:NameList>
      </b:Author>
    </b:Author>
    <b:Title>Primary Explosives</b:Title>
    <b:Year>2013</b:Year>
    <b:City>Heidelberg</b:City>
    <b:Publisher>Springer Science + Business Media</b:Publisher>
    <b:RefOrder>15</b:RefOrder>
  </b:Source>
  <b:Source>
    <b:Tag>TRG80</b:Tag>
    <b:SourceType>Book</b:SourceType>
    <b:Guid>{4FC1B221-243D-4D55-9C73-72D75308D05A}</b:Guid>
    <b:Author>
      <b:Author>
        <b:NameList>
          <b:Person>
            <b:Last>T. R. Gibbs</b:Last>
            <b:First>A.</b:First>
            <b:Middle>Popolato</b:Middle>
          </b:Person>
        </b:NameList>
      </b:Author>
    </b:Author>
    <b:Title>LASL Explosive Property Data</b:Title>
    <b:Year>1980</b:Year>
    <b:City>Oakland</b:City>
    <b:Publisher>University of California Press</b:Publisher>
    <b:RefOrder>6</b:RefOrder>
  </b:Source>
  <b:Source>
    <b:Tag>BMD81</b:Tag>
    <b:SourceType>Book</b:SourceType>
    <b:Guid>{68D33697-DD97-4659-B7B5-5AFB0D609B91}</b:Guid>
    <b:Author>
      <b:Author>
        <b:NameList>
          <b:Person>
            <b:Last>Dobratz</b:Last>
            <b:First>B.</b:First>
            <b:Middle>M.</b:Middle>
          </b:Person>
        </b:NameList>
      </b:Author>
    </b:Author>
    <b:Title>LLNL Explosives Handbook</b:Title>
    <b:Year>1981</b:Year>
    <b:City>Livermore</b:City>
    <b:Publisher>Lawrence Livermore National Laboratory</b:Publisher>
    <b:RefOrder>7</b:RefOrder>
  </b:Source>
  <b:Source>
    <b:Tag>AWC75</b:Tag>
    <b:SourceType>Report</b:SourceType>
    <b:Guid>{99764672-BC5E-4066-89A7-33FE16FB1070}</b:Guid>
    <b:Title>Diameter Effect in High-Density Heterogeneous Explosives</b:Title>
    <b:Year>1975</b:Year>
    <b:City>Oakland</b:City>
    <b:Publisher>University of California Press</b:Publisher>
    <b:Author>
      <b:Author>
        <b:NameList>
          <b:Person>
            <b:Last>A. W. Campbell</b:Last>
            <b:First>Ray</b:First>
            <b:Middle>Engelke</b:Middle>
          </b:Person>
        </b:NameList>
      </b:Author>
    </b:Author>
    <b:RefOrder>8</b:RefOrder>
  </b:Source>
  <b:Source>
    <b:Tag>RWG43</b:Tag>
    <b:SourceType>Report</b:SourceType>
    <b:Guid>{1FCEE851-BB02-437F-ACC0-3D81FF5DBC05}</b:Guid>
    <b:Author>
      <b:Author>
        <b:NameList>
          <b:Person>
            <b:Last>Gurney</b:Last>
            <b:First>R.</b:First>
            <b:Middle>W.</b:Middle>
          </b:Person>
        </b:NameList>
      </b:Author>
    </b:Author>
    <b:Title>The Initial Velocities of Fragments from Bombs, Shells and Grenades</b:Title>
    <b:Year>1943</b:Year>
    <b:Publisher>Balistic Research Laboratory </b:Publisher>
    <b:City>Aberdeen</b:City>
    <b:RefOrder>10</b:RefOrder>
  </b:Source>
  <b:Source>
    <b:Tag>Moh20</b:Tag>
    <b:SourceType>JournalArticle</b:SourceType>
    <b:Guid>{B2210F0B-B83E-4B13-9576-CA8EF31DDC9E}</b:Guid>
    <b:Title>Determination Physical and Explosion Properties for Lead Azide and Dextrin Lead Azide</b:Title>
    <b:Year>2020</b:Year>
    <b:Author>
      <b:Author>
        <b:NameList>
          <b:Person>
            <b:Last>Mohammed Almuntaga Ahmed</b:Last>
            <b:First>Mohammed</b:First>
            <b:Middle>H. M. Abuuznien, Adil A. Mohammed</b:Middle>
          </b:Person>
        </b:NameList>
      </b:Author>
    </b:Author>
    <b:JournalName>European Academic Research</b:JournalName>
    <b:Pages>5626-5634</b:Pages>
    <b:Volume>VIII</b:Volume>
    <b:Issue>9</b:Issue>
    <b:RefOrder>4</b:RefOrder>
  </b:Source>
  <b:Source>
    <b:Tag>Pau96</b:Tag>
    <b:SourceType>Book</b:SourceType>
    <b:Guid>{77DA0BB0-7D20-4865-B1C7-35D44C67CE52}</b:Guid>
    <b:Title>Explosives Engineering</b:Title>
    <b:Year>1996</b:Year>
    <b:Author>
      <b:Author>
        <b:NameList>
          <b:Person>
            <b:Last>Cooper</b:Last>
            <b:First>Paul</b:First>
            <b:Middle>W.</b:Middle>
          </b:Person>
        </b:NameList>
      </b:Author>
    </b:Author>
    <b:City>Berlin</b:City>
    <b:Publisher>Wiley-VCH</b:Publisher>
    <b:RefOrder>5</b:RefOrder>
  </b:Source>
  <b:Source>
    <b:Tag>JHW23</b:Tag>
    <b:SourceType>ArticleInAPeriodical</b:SourceType>
    <b:Guid>{12E6C44B-B793-4688-AB81-4AE913A31142}</b:Guid>
    <b:Title>Critical shock initiation characteristics of TNT with different</b:Title>
    <b:Year>2023</b:Year>
    <b:Pages>39-49</b:Pages>
    <b:Author>
      <b:Author>
        <b:NameList>
          <b:Person>
            <b:Last>J. H. Wang</b:Last>
            <b:First>M.</b:First>
            <b:Middle>Xia, N. Jiang</b:Middle>
          </b:Person>
        </b:NameList>
      </b:Author>
    </b:Author>
    <b:PeriodicalTitle>Shock Waves</b:PeriodicalTitle>
    <b:Month>February</b:Month>
    <b:Day>6</b:Day>
    <b:RefOrder>18</b:RefOrder>
  </b:Source>
  <b:Source>
    <b:Tag>Law07</b:Tag>
    <b:SourceType>Book</b:SourceType>
    <b:Guid>{D82788D3-1026-44B7-AB04-706F4252AD95}</b:Guid>
    <b:Title>Selected Pyrotechnic Publications of K. L. and B. J. Kosanke (2003 and 2004) </b:Title>
    <b:Year>2007</b:Year>
    <b:Author>
      <b:Author>
        <b:NameList>
          <b:Person>
            <b:Last>Lawrence Weinman</b:Last>
            <b:First>K.</b:First>
            <b:Middle>L. Kosanke</b:Middle>
          </b:Person>
        </b:NameList>
      </b:Author>
    </b:Author>
    <b:City>Huntingdon</b:City>
    <b:Publisher>Journal of Pyrotechnics and CarnDu Ltd</b:Publisher>
    <b:RefOrder>12</b:RefOrder>
  </b:Source>
  <b:Source>
    <b:Tag>ALK99</b:Tag>
    <b:SourceType>ConferenceProceedings</b:SourceType>
    <b:Guid>{2D744E2E-9281-458B-B14C-0D934DAE44A7}</b:Guid>
    <b:Title>Combustion of TNT Products in a Confined Explosion</b:Title>
    <b:Year>1999</b:Year>
    <b:City>Heidelberg</b:City>
    <b:Author>
      <b:Author>
        <b:NameList>
          <b:Person>
            <b:Last>A. L. Kuhl</b:Last>
            <b:First>R.</b:First>
            <b:Middle>E. Ferguson, A. K. Oppenheim</b:Middle>
          </b:Person>
        </b:NameList>
      </b:Author>
    </b:Author>
    <b:ConferenceName>17th International Colloquium on Dynamics of Explosions &amp; Reactive Systems </b:ConferenceName>
    <b:RefOrder>19</b:RefOrder>
  </b:Source>
  <b:Source>
    <b:Tag>MJU61</b:Tag>
    <b:SourceType>ArticleInAPeriodical</b:SourceType>
    <b:Guid>{B953D7CA-BD1D-422E-9B62-147B818BBD7C}</b:Guid>
    <b:Title>Detonation Velocity of TNT</b:Title>
    <b:Year>1961</b:Year>
    <b:Author>
      <b:Author>
        <b:NameList>
          <b:Person>
            <b:Last>M. J. Urizar</b:Last>
            <b:First>E.</b:First>
            <b:Middle>James Jr., L. C. Smith</b:Middle>
          </b:Person>
        </b:NameList>
      </b:Author>
    </b:Author>
    <b:PeriodicalTitle>Physics of Fluids</b:PeriodicalTitle>
    <b:Month>February</b:Month>
    <b:Day>1</b:Day>
    <b:Pages>262-274</b:Pages>
    <b:RefOrder>20</b:RefOrder>
  </b:Source>
</b:Sources>
</file>

<file path=customXml/itemProps1.xml><?xml version="1.0" encoding="utf-8"?>
<ds:datastoreItem xmlns:ds="http://schemas.openxmlformats.org/officeDocument/2006/customXml" ds:itemID="{6BCEDE4A-7668-4196-B0C8-8678D973F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2672</Words>
  <Characters>15235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Principles of OME – Lee Maxwell</vt:lpstr>
    </vt:vector>
  </TitlesOfParts>
  <Company/>
  <LinksUpToDate>false</LinksUpToDate>
  <CharactersWithSpaces>17872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OME – Lee Maxwell</dc:title>
  <dc:subject/>
  <dc:creator>Lee Maxwell</dc:creator>
  <cp:keywords/>
  <dc:description/>
  <cp:lastModifiedBy>Lee Maxwell</cp:lastModifiedBy>
  <cp:revision>989</cp:revision>
  <dcterms:created xsi:type="dcterms:W3CDTF">2025-03-23T15:28:00Z</dcterms:created>
  <dcterms:modified xsi:type="dcterms:W3CDTF">2025-12-20T17:23:00Z</dcterms:modified>
</cp:coreProperties>
</file>