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343FC" w14:textId="509838F1" w:rsidR="00811E1E" w:rsidRPr="00811E1E" w:rsidRDefault="00811E1E" w:rsidP="00811E1E">
      <w:pPr>
        <w:jc w:val="center"/>
        <w:rPr>
          <w:sz w:val="32"/>
          <w:szCs w:val="32"/>
        </w:rPr>
      </w:pPr>
      <w:r>
        <w:rPr>
          <w:sz w:val="32"/>
        </w:rPr>
        <w:t xml:space="preserve">Organisational Culture: Individual Report on </w:t>
      </w:r>
      <w:r>
        <w:rPr>
          <w:b/>
          <w:sz w:val="32"/>
        </w:rPr>
        <w:t>Toyota</w:t>
      </w:r>
    </w:p>
    <w:p w14:paraId="36B415E1" w14:textId="77777777" w:rsidR="00811E1E" w:rsidRDefault="00811E1E" w:rsidP="00811E1E"/>
    <w:p w14:paraId="35B831FB" w14:textId="6BBDB35F" w:rsidR="00811E1E" w:rsidRDefault="00811E1E" w:rsidP="00811E1E">
      <w:pPr>
        <w:jc w:val="center"/>
      </w:pPr>
      <w:r>
        <w:t>Assessment Component 1</w:t>
      </w:r>
    </w:p>
    <w:p w14:paraId="76622A78" w14:textId="77777777" w:rsidR="00811E1E" w:rsidRDefault="00811E1E" w:rsidP="00811E1E"/>
    <w:p w14:paraId="2F0437F4" w14:textId="54C1B368" w:rsidR="00811E1E" w:rsidRDefault="00811E1E" w:rsidP="00811E1E">
      <w:pPr>
        <w:jc w:val="center"/>
      </w:pPr>
      <w:r>
        <w:t xml:space="preserve">Student Name: </w:t>
      </w:r>
      <w:r w:rsidRPr="00811E1E">
        <w:rPr>
          <w:b/>
          <w:bCs/>
        </w:rPr>
        <w:t>Toshko Trifonov</w:t>
      </w:r>
    </w:p>
    <w:p w14:paraId="4FE356F1" w14:textId="4ED5662D" w:rsidR="00811E1E" w:rsidRDefault="00811E1E" w:rsidP="00811E1E">
      <w:pPr>
        <w:jc w:val="center"/>
      </w:pPr>
      <w:r>
        <w:t xml:space="preserve">Student ID: </w:t>
      </w:r>
      <w:r w:rsidRPr="00811E1E">
        <w:rPr>
          <w:b/>
          <w:bCs/>
        </w:rPr>
        <w:t>2407602</w:t>
      </w:r>
    </w:p>
    <w:p w14:paraId="6CE8C176" w14:textId="5F8B4A71" w:rsidR="004424B8" w:rsidRDefault="00811E1E" w:rsidP="00811E1E">
      <w:pPr>
        <w:jc w:val="center"/>
      </w:pPr>
      <w:r>
        <w:t>Module: LCLM 5005 – Organisational Culture</w:t>
      </w:r>
    </w:p>
    <w:p w14:paraId="58AE3FD7" w14:textId="77777777" w:rsidR="004424B8" w:rsidRDefault="004424B8"/>
    <w:p w14:paraId="7399405D" w14:textId="77777777" w:rsidR="004424B8" w:rsidRDefault="004424B8"/>
    <w:p w14:paraId="1B452BDE" w14:textId="77777777" w:rsidR="004424B8" w:rsidRDefault="004424B8"/>
    <w:p w14:paraId="218610D5" w14:textId="77777777" w:rsidR="004424B8" w:rsidRPr="00C1245B" w:rsidRDefault="004424B8">
      <w:pPr>
        <w:rPr>
          <w:lang w:val="bg-BG"/>
        </w:rPr>
      </w:pPr>
    </w:p>
    <w:p w14:paraId="3C0AB100" w14:textId="77777777" w:rsidR="004424B8" w:rsidRDefault="004424B8"/>
    <w:p w14:paraId="6C84F5C7" w14:textId="77777777" w:rsidR="004424B8" w:rsidRDefault="004424B8"/>
    <w:p w14:paraId="7C9B525E" w14:textId="77777777" w:rsidR="004424B8" w:rsidRDefault="004424B8"/>
    <w:p w14:paraId="292E48F5" w14:textId="77777777" w:rsidR="004424B8" w:rsidRDefault="004424B8"/>
    <w:p w14:paraId="0E8619BB" w14:textId="77777777" w:rsidR="004424B8" w:rsidRDefault="004424B8"/>
    <w:p w14:paraId="1691BBFD" w14:textId="77777777" w:rsidR="004424B8" w:rsidRDefault="004424B8"/>
    <w:p w14:paraId="4E7DBC2A" w14:textId="6FC2023A" w:rsidR="004424B8" w:rsidRDefault="004424B8" w:rsidP="0083040F">
      <w:pPr>
        <w:pStyle w:val="ListNumber"/>
        <w:numPr>
          <w:ilvl w:val="0"/>
          <w:numId w:val="0"/>
        </w:numPr>
      </w:pPr>
    </w:p>
    <w:p w14:paraId="54AAE175" w14:textId="77777777" w:rsidR="009338F9" w:rsidRDefault="00DE0B79">
      <w:r>
        <w:br w:type="page"/>
      </w:r>
    </w:p>
    <w:sdt>
      <w:sdtPr>
        <w:rPr>
          <w:rFonts w:eastAsiaTheme="minorEastAsia" w:cstheme="minorBidi"/>
          <w:b w:val="0"/>
          <w:bCs w:val="0"/>
          <w:color w:val="auto"/>
          <w:sz w:val="24"/>
          <w:szCs w:val="22"/>
        </w:rPr>
        <w:id w:val="1996229865"/>
        <w:docPartObj>
          <w:docPartGallery w:val="Table of Contents"/>
          <w:docPartUnique/>
        </w:docPartObj>
      </w:sdtPr>
      <w:sdtEndPr>
        <w:rPr>
          <w:noProof/>
        </w:rPr>
      </w:sdtEndPr>
      <w:sdtContent>
        <w:p w14:paraId="01A5C04C" w14:textId="57376914" w:rsidR="0083040F" w:rsidRDefault="0083040F">
          <w:pPr>
            <w:pStyle w:val="TOCHeading"/>
          </w:pPr>
          <w:r>
            <w:t>Table of Contents</w:t>
          </w:r>
        </w:p>
        <w:p w14:paraId="6088FCBF" w14:textId="22AC2B79" w:rsidR="00763A62" w:rsidRDefault="0043612F">
          <w:pPr>
            <w:pStyle w:val="TOC1"/>
            <w:tabs>
              <w:tab w:val="left" w:pos="440"/>
              <w:tab w:val="right" w:leader="dot" w:pos="8630"/>
            </w:tabs>
            <w:rPr>
              <w:rFonts w:asciiTheme="minorHAnsi" w:hAnsiTheme="minorHAnsi"/>
              <w:noProof/>
              <w:sz w:val="22"/>
            </w:rPr>
          </w:pPr>
          <w:r>
            <w:fldChar w:fldCharType="begin"/>
          </w:r>
          <w:r>
            <w:instrText xml:space="preserve"> TOC \o "1-3" \h \z \u </w:instrText>
          </w:r>
          <w:r>
            <w:fldChar w:fldCharType="separate"/>
          </w:r>
          <w:hyperlink w:anchor="_Toc233044121" w:history="1">
            <w:r w:rsidR="00763A62" w:rsidRPr="00A6180B">
              <w:rPr>
                <w:rStyle w:val="Hyperlink"/>
                <w:noProof/>
              </w:rPr>
              <w:t>1.</w:t>
            </w:r>
            <w:r w:rsidR="00763A62">
              <w:rPr>
                <w:rFonts w:asciiTheme="minorHAnsi" w:hAnsiTheme="minorHAnsi"/>
                <w:noProof/>
                <w:sz w:val="22"/>
              </w:rPr>
              <w:tab/>
            </w:r>
            <w:r w:rsidR="00763A62" w:rsidRPr="00A6180B">
              <w:rPr>
                <w:rStyle w:val="Hyperlink"/>
                <w:noProof/>
              </w:rPr>
              <w:t>Introduction</w:t>
            </w:r>
            <w:r w:rsidR="00763A62">
              <w:rPr>
                <w:noProof/>
                <w:webHidden/>
              </w:rPr>
              <w:tab/>
            </w:r>
            <w:r w:rsidR="00763A62">
              <w:rPr>
                <w:noProof/>
                <w:webHidden/>
              </w:rPr>
              <w:fldChar w:fldCharType="begin"/>
            </w:r>
            <w:r w:rsidR="00763A62">
              <w:rPr>
                <w:noProof/>
                <w:webHidden/>
              </w:rPr>
              <w:instrText xml:space="preserve"> PAGEREF _Toc233044121 \h </w:instrText>
            </w:r>
            <w:r w:rsidR="00763A62">
              <w:rPr>
                <w:noProof/>
                <w:webHidden/>
              </w:rPr>
            </w:r>
            <w:r w:rsidR="00763A62">
              <w:rPr>
                <w:noProof/>
                <w:webHidden/>
              </w:rPr>
              <w:fldChar w:fldCharType="separate"/>
            </w:r>
            <w:r w:rsidR="00763A62">
              <w:rPr>
                <w:noProof/>
                <w:webHidden/>
              </w:rPr>
              <w:t>4</w:t>
            </w:r>
            <w:r w:rsidR="00763A62">
              <w:rPr>
                <w:noProof/>
                <w:webHidden/>
              </w:rPr>
              <w:fldChar w:fldCharType="end"/>
            </w:r>
          </w:hyperlink>
        </w:p>
        <w:p w14:paraId="0255187D" w14:textId="6DA19929" w:rsidR="00763A62" w:rsidRDefault="00763A62">
          <w:pPr>
            <w:pStyle w:val="TOC1"/>
            <w:tabs>
              <w:tab w:val="right" w:leader="dot" w:pos="8630"/>
            </w:tabs>
            <w:rPr>
              <w:rFonts w:asciiTheme="minorHAnsi" w:hAnsiTheme="minorHAnsi"/>
              <w:noProof/>
              <w:sz w:val="22"/>
            </w:rPr>
          </w:pPr>
          <w:hyperlink w:anchor="_Toc233044122" w:history="1">
            <w:r w:rsidRPr="00A6180B">
              <w:rPr>
                <w:rStyle w:val="Hyperlink"/>
                <w:noProof/>
              </w:rPr>
              <w:t>2. Organisational Culture of Toyota</w:t>
            </w:r>
            <w:r>
              <w:rPr>
                <w:noProof/>
                <w:webHidden/>
              </w:rPr>
              <w:tab/>
            </w:r>
            <w:r>
              <w:rPr>
                <w:noProof/>
                <w:webHidden/>
              </w:rPr>
              <w:fldChar w:fldCharType="begin"/>
            </w:r>
            <w:r>
              <w:rPr>
                <w:noProof/>
                <w:webHidden/>
              </w:rPr>
              <w:instrText xml:space="preserve"> PAGEREF _Toc233044122 \h </w:instrText>
            </w:r>
            <w:r>
              <w:rPr>
                <w:noProof/>
                <w:webHidden/>
              </w:rPr>
            </w:r>
            <w:r>
              <w:rPr>
                <w:noProof/>
                <w:webHidden/>
              </w:rPr>
              <w:fldChar w:fldCharType="separate"/>
            </w:r>
            <w:r>
              <w:rPr>
                <w:noProof/>
                <w:webHidden/>
              </w:rPr>
              <w:t>5</w:t>
            </w:r>
            <w:r>
              <w:rPr>
                <w:noProof/>
                <w:webHidden/>
              </w:rPr>
              <w:fldChar w:fldCharType="end"/>
            </w:r>
          </w:hyperlink>
        </w:p>
        <w:p w14:paraId="15991282" w14:textId="3C804EFE" w:rsidR="00763A62" w:rsidRDefault="00763A62">
          <w:pPr>
            <w:pStyle w:val="TOC1"/>
            <w:tabs>
              <w:tab w:val="right" w:leader="dot" w:pos="8630"/>
            </w:tabs>
            <w:rPr>
              <w:rFonts w:asciiTheme="minorHAnsi" w:hAnsiTheme="minorHAnsi"/>
              <w:noProof/>
              <w:sz w:val="22"/>
            </w:rPr>
          </w:pPr>
          <w:hyperlink w:anchor="_Toc233044123" w:history="1">
            <w:r w:rsidRPr="00A6180B">
              <w:rPr>
                <w:rStyle w:val="Hyperlink"/>
                <w:noProof/>
              </w:rPr>
              <w:t>3. Influence of Culture on Structure and Decision-Making</w:t>
            </w:r>
            <w:r>
              <w:rPr>
                <w:noProof/>
                <w:webHidden/>
              </w:rPr>
              <w:tab/>
            </w:r>
            <w:r>
              <w:rPr>
                <w:noProof/>
                <w:webHidden/>
              </w:rPr>
              <w:fldChar w:fldCharType="begin"/>
            </w:r>
            <w:r>
              <w:rPr>
                <w:noProof/>
                <w:webHidden/>
              </w:rPr>
              <w:instrText xml:space="preserve"> PAGEREF _Toc233044123 \h </w:instrText>
            </w:r>
            <w:r>
              <w:rPr>
                <w:noProof/>
                <w:webHidden/>
              </w:rPr>
            </w:r>
            <w:r>
              <w:rPr>
                <w:noProof/>
                <w:webHidden/>
              </w:rPr>
              <w:fldChar w:fldCharType="separate"/>
            </w:r>
            <w:r>
              <w:rPr>
                <w:noProof/>
                <w:webHidden/>
              </w:rPr>
              <w:t>7</w:t>
            </w:r>
            <w:r>
              <w:rPr>
                <w:noProof/>
                <w:webHidden/>
              </w:rPr>
              <w:fldChar w:fldCharType="end"/>
            </w:r>
          </w:hyperlink>
        </w:p>
        <w:p w14:paraId="2C67C751" w14:textId="429E720F" w:rsidR="00763A62" w:rsidRDefault="00763A62">
          <w:pPr>
            <w:pStyle w:val="TOC1"/>
            <w:tabs>
              <w:tab w:val="right" w:leader="dot" w:pos="8630"/>
            </w:tabs>
            <w:rPr>
              <w:rFonts w:asciiTheme="minorHAnsi" w:hAnsiTheme="minorHAnsi"/>
              <w:noProof/>
              <w:sz w:val="22"/>
            </w:rPr>
          </w:pPr>
          <w:hyperlink w:anchor="_Toc233044124" w:history="1">
            <w:r w:rsidRPr="00A6180B">
              <w:rPr>
                <w:rStyle w:val="Hyperlink"/>
                <w:noProof/>
              </w:rPr>
              <w:t>4. Cultural Types: Models and Frameworks</w:t>
            </w:r>
            <w:r>
              <w:rPr>
                <w:noProof/>
                <w:webHidden/>
              </w:rPr>
              <w:tab/>
            </w:r>
            <w:r>
              <w:rPr>
                <w:noProof/>
                <w:webHidden/>
              </w:rPr>
              <w:fldChar w:fldCharType="begin"/>
            </w:r>
            <w:r>
              <w:rPr>
                <w:noProof/>
                <w:webHidden/>
              </w:rPr>
              <w:instrText xml:space="preserve"> PAGEREF _Toc233044124 \h </w:instrText>
            </w:r>
            <w:r>
              <w:rPr>
                <w:noProof/>
                <w:webHidden/>
              </w:rPr>
            </w:r>
            <w:r>
              <w:rPr>
                <w:noProof/>
                <w:webHidden/>
              </w:rPr>
              <w:fldChar w:fldCharType="separate"/>
            </w:r>
            <w:r>
              <w:rPr>
                <w:noProof/>
                <w:webHidden/>
              </w:rPr>
              <w:t>9</w:t>
            </w:r>
            <w:r>
              <w:rPr>
                <w:noProof/>
                <w:webHidden/>
              </w:rPr>
              <w:fldChar w:fldCharType="end"/>
            </w:r>
          </w:hyperlink>
        </w:p>
        <w:p w14:paraId="245640D9" w14:textId="68141DC5" w:rsidR="00763A62" w:rsidRDefault="00763A62">
          <w:pPr>
            <w:pStyle w:val="TOC2"/>
            <w:tabs>
              <w:tab w:val="right" w:leader="dot" w:pos="8630"/>
            </w:tabs>
            <w:rPr>
              <w:rFonts w:asciiTheme="minorHAnsi" w:hAnsiTheme="minorHAnsi"/>
              <w:noProof/>
              <w:sz w:val="22"/>
            </w:rPr>
          </w:pPr>
          <w:hyperlink w:anchor="_Toc233044125" w:history="1">
            <w:r w:rsidRPr="00A6180B">
              <w:rPr>
                <w:rStyle w:val="Hyperlink"/>
                <w:noProof/>
              </w:rPr>
              <w:t>4.1 Schein Model</w:t>
            </w:r>
            <w:r>
              <w:rPr>
                <w:noProof/>
                <w:webHidden/>
              </w:rPr>
              <w:tab/>
            </w:r>
            <w:r>
              <w:rPr>
                <w:noProof/>
                <w:webHidden/>
              </w:rPr>
              <w:fldChar w:fldCharType="begin"/>
            </w:r>
            <w:r>
              <w:rPr>
                <w:noProof/>
                <w:webHidden/>
              </w:rPr>
              <w:instrText xml:space="preserve"> PAGEREF _Toc233044125 \h </w:instrText>
            </w:r>
            <w:r>
              <w:rPr>
                <w:noProof/>
                <w:webHidden/>
              </w:rPr>
            </w:r>
            <w:r>
              <w:rPr>
                <w:noProof/>
                <w:webHidden/>
              </w:rPr>
              <w:fldChar w:fldCharType="separate"/>
            </w:r>
            <w:r>
              <w:rPr>
                <w:noProof/>
                <w:webHidden/>
              </w:rPr>
              <w:t>9</w:t>
            </w:r>
            <w:r>
              <w:rPr>
                <w:noProof/>
                <w:webHidden/>
              </w:rPr>
              <w:fldChar w:fldCharType="end"/>
            </w:r>
          </w:hyperlink>
        </w:p>
        <w:p w14:paraId="1C02972E" w14:textId="100B767F" w:rsidR="00763A62" w:rsidRDefault="00763A62">
          <w:pPr>
            <w:pStyle w:val="TOC2"/>
            <w:tabs>
              <w:tab w:val="right" w:leader="dot" w:pos="8630"/>
            </w:tabs>
            <w:rPr>
              <w:rFonts w:asciiTheme="minorHAnsi" w:hAnsiTheme="minorHAnsi"/>
              <w:noProof/>
              <w:sz w:val="22"/>
            </w:rPr>
          </w:pPr>
          <w:hyperlink w:anchor="_Toc233044126" w:history="1">
            <w:r w:rsidRPr="00A6180B">
              <w:rPr>
                <w:rStyle w:val="Hyperlink"/>
                <w:noProof/>
              </w:rPr>
              <w:t>4.2 Hofstede (Japan Cultural Profile)</w:t>
            </w:r>
            <w:r>
              <w:rPr>
                <w:noProof/>
                <w:webHidden/>
              </w:rPr>
              <w:tab/>
            </w:r>
            <w:r>
              <w:rPr>
                <w:noProof/>
                <w:webHidden/>
              </w:rPr>
              <w:fldChar w:fldCharType="begin"/>
            </w:r>
            <w:r>
              <w:rPr>
                <w:noProof/>
                <w:webHidden/>
              </w:rPr>
              <w:instrText xml:space="preserve"> PAGEREF _Toc233044126 \h </w:instrText>
            </w:r>
            <w:r>
              <w:rPr>
                <w:noProof/>
                <w:webHidden/>
              </w:rPr>
            </w:r>
            <w:r>
              <w:rPr>
                <w:noProof/>
                <w:webHidden/>
              </w:rPr>
              <w:fldChar w:fldCharType="separate"/>
            </w:r>
            <w:r>
              <w:rPr>
                <w:noProof/>
                <w:webHidden/>
              </w:rPr>
              <w:t>10</w:t>
            </w:r>
            <w:r>
              <w:rPr>
                <w:noProof/>
                <w:webHidden/>
              </w:rPr>
              <w:fldChar w:fldCharType="end"/>
            </w:r>
          </w:hyperlink>
        </w:p>
        <w:p w14:paraId="2A6E8B17" w14:textId="1B02A68C" w:rsidR="00763A62" w:rsidRDefault="00763A62">
          <w:pPr>
            <w:pStyle w:val="TOC2"/>
            <w:tabs>
              <w:tab w:val="right" w:leader="dot" w:pos="8630"/>
            </w:tabs>
            <w:rPr>
              <w:rFonts w:asciiTheme="minorHAnsi" w:hAnsiTheme="minorHAnsi"/>
              <w:noProof/>
              <w:sz w:val="22"/>
            </w:rPr>
          </w:pPr>
          <w:hyperlink w:anchor="_Toc233044127" w:history="1">
            <w:r w:rsidRPr="00A6180B">
              <w:rPr>
                <w:rStyle w:val="Hyperlink"/>
                <w:noProof/>
              </w:rPr>
              <w:t>4.3 Handy’s Culture Type</w:t>
            </w:r>
            <w:r>
              <w:rPr>
                <w:noProof/>
                <w:webHidden/>
              </w:rPr>
              <w:tab/>
            </w:r>
            <w:r>
              <w:rPr>
                <w:noProof/>
                <w:webHidden/>
              </w:rPr>
              <w:fldChar w:fldCharType="begin"/>
            </w:r>
            <w:r>
              <w:rPr>
                <w:noProof/>
                <w:webHidden/>
              </w:rPr>
              <w:instrText xml:space="preserve"> PAGEREF _Toc233044127 \h </w:instrText>
            </w:r>
            <w:r>
              <w:rPr>
                <w:noProof/>
                <w:webHidden/>
              </w:rPr>
            </w:r>
            <w:r>
              <w:rPr>
                <w:noProof/>
                <w:webHidden/>
              </w:rPr>
              <w:fldChar w:fldCharType="separate"/>
            </w:r>
            <w:r>
              <w:rPr>
                <w:noProof/>
                <w:webHidden/>
              </w:rPr>
              <w:t>12</w:t>
            </w:r>
            <w:r>
              <w:rPr>
                <w:noProof/>
                <w:webHidden/>
              </w:rPr>
              <w:fldChar w:fldCharType="end"/>
            </w:r>
          </w:hyperlink>
        </w:p>
        <w:p w14:paraId="6DDAC0DA" w14:textId="49BD6DCC" w:rsidR="00763A62" w:rsidRDefault="00763A62">
          <w:pPr>
            <w:pStyle w:val="TOC1"/>
            <w:tabs>
              <w:tab w:val="right" w:leader="dot" w:pos="8630"/>
            </w:tabs>
            <w:rPr>
              <w:rFonts w:asciiTheme="minorHAnsi" w:hAnsiTheme="minorHAnsi"/>
              <w:noProof/>
              <w:sz w:val="22"/>
            </w:rPr>
          </w:pPr>
          <w:hyperlink w:anchor="_Toc233044128" w:history="1">
            <w:r w:rsidRPr="00A6180B">
              <w:rPr>
                <w:rStyle w:val="Hyperlink"/>
                <w:noProof/>
              </w:rPr>
              <w:t>5. Culture and External Environment</w:t>
            </w:r>
            <w:r>
              <w:rPr>
                <w:noProof/>
                <w:webHidden/>
              </w:rPr>
              <w:tab/>
            </w:r>
            <w:r>
              <w:rPr>
                <w:noProof/>
                <w:webHidden/>
              </w:rPr>
              <w:fldChar w:fldCharType="begin"/>
            </w:r>
            <w:r>
              <w:rPr>
                <w:noProof/>
                <w:webHidden/>
              </w:rPr>
              <w:instrText xml:space="preserve"> PAGEREF _Toc233044128 \h </w:instrText>
            </w:r>
            <w:r>
              <w:rPr>
                <w:noProof/>
                <w:webHidden/>
              </w:rPr>
            </w:r>
            <w:r>
              <w:rPr>
                <w:noProof/>
                <w:webHidden/>
              </w:rPr>
              <w:fldChar w:fldCharType="separate"/>
            </w:r>
            <w:r>
              <w:rPr>
                <w:noProof/>
                <w:webHidden/>
              </w:rPr>
              <w:t>13</w:t>
            </w:r>
            <w:r>
              <w:rPr>
                <w:noProof/>
                <w:webHidden/>
              </w:rPr>
              <w:fldChar w:fldCharType="end"/>
            </w:r>
          </w:hyperlink>
        </w:p>
        <w:p w14:paraId="7C2560AE" w14:textId="0E34451F" w:rsidR="00763A62" w:rsidRDefault="00763A62">
          <w:pPr>
            <w:pStyle w:val="TOC1"/>
            <w:tabs>
              <w:tab w:val="right" w:leader="dot" w:pos="8630"/>
            </w:tabs>
            <w:rPr>
              <w:rFonts w:asciiTheme="minorHAnsi" w:hAnsiTheme="minorHAnsi"/>
              <w:noProof/>
              <w:sz w:val="22"/>
            </w:rPr>
          </w:pPr>
          <w:hyperlink w:anchor="_Toc233044129" w:history="1">
            <w:r w:rsidRPr="00A6180B">
              <w:rPr>
                <w:rStyle w:val="Hyperlink"/>
                <w:noProof/>
              </w:rPr>
              <w:t>6. Organisational Culture as a Barrier</w:t>
            </w:r>
            <w:r>
              <w:rPr>
                <w:noProof/>
                <w:webHidden/>
              </w:rPr>
              <w:tab/>
            </w:r>
            <w:r>
              <w:rPr>
                <w:noProof/>
                <w:webHidden/>
              </w:rPr>
              <w:fldChar w:fldCharType="begin"/>
            </w:r>
            <w:r>
              <w:rPr>
                <w:noProof/>
                <w:webHidden/>
              </w:rPr>
              <w:instrText xml:space="preserve"> PAGEREF _Toc233044129 \h </w:instrText>
            </w:r>
            <w:r>
              <w:rPr>
                <w:noProof/>
                <w:webHidden/>
              </w:rPr>
            </w:r>
            <w:r>
              <w:rPr>
                <w:noProof/>
                <w:webHidden/>
              </w:rPr>
              <w:fldChar w:fldCharType="separate"/>
            </w:r>
            <w:r>
              <w:rPr>
                <w:noProof/>
                <w:webHidden/>
              </w:rPr>
              <w:t>14</w:t>
            </w:r>
            <w:r>
              <w:rPr>
                <w:noProof/>
                <w:webHidden/>
              </w:rPr>
              <w:fldChar w:fldCharType="end"/>
            </w:r>
          </w:hyperlink>
        </w:p>
        <w:p w14:paraId="40FAEC38" w14:textId="15DE0FB4" w:rsidR="00763A62" w:rsidRDefault="00763A62">
          <w:pPr>
            <w:pStyle w:val="TOC1"/>
            <w:tabs>
              <w:tab w:val="right" w:leader="dot" w:pos="8630"/>
            </w:tabs>
            <w:rPr>
              <w:rFonts w:asciiTheme="minorHAnsi" w:hAnsiTheme="minorHAnsi"/>
              <w:noProof/>
              <w:sz w:val="22"/>
            </w:rPr>
          </w:pPr>
          <w:hyperlink w:anchor="_Toc233044130" w:history="1">
            <w:r w:rsidRPr="00A6180B">
              <w:rPr>
                <w:rStyle w:val="Hyperlink"/>
                <w:noProof/>
              </w:rPr>
              <w:t>7. Impact of Culture on Organisational Performance</w:t>
            </w:r>
            <w:r>
              <w:rPr>
                <w:noProof/>
                <w:webHidden/>
              </w:rPr>
              <w:tab/>
            </w:r>
            <w:r>
              <w:rPr>
                <w:noProof/>
                <w:webHidden/>
              </w:rPr>
              <w:fldChar w:fldCharType="begin"/>
            </w:r>
            <w:r>
              <w:rPr>
                <w:noProof/>
                <w:webHidden/>
              </w:rPr>
              <w:instrText xml:space="preserve"> PAGEREF _Toc233044130 \h </w:instrText>
            </w:r>
            <w:r>
              <w:rPr>
                <w:noProof/>
                <w:webHidden/>
              </w:rPr>
            </w:r>
            <w:r>
              <w:rPr>
                <w:noProof/>
                <w:webHidden/>
              </w:rPr>
              <w:fldChar w:fldCharType="separate"/>
            </w:r>
            <w:r>
              <w:rPr>
                <w:noProof/>
                <w:webHidden/>
              </w:rPr>
              <w:t>15</w:t>
            </w:r>
            <w:r>
              <w:rPr>
                <w:noProof/>
                <w:webHidden/>
              </w:rPr>
              <w:fldChar w:fldCharType="end"/>
            </w:r>
          </w:hyperlink>
        </w:p>
        <w:p w14:paraId="245640D9" w14:textId="68141DC5" w:rsidR="00763A62" w:rsidRDefault="00763A62">
          <w:pPr>
            <w:pStyle w:val="TOC2"/>
            <w:tabs>
              <w:tab w:val="right" w:leader="dot" w:pos="8630"/>
            </w:tabs>
            <w:rPr>
              <w:rFonts w:asciiTheme="minorHAnsi" w:hAnsiTheme="minorHAnsi"/>
              <w:noProof/>
              <w:sz w:val="22"/>
            </w:rPr>
          </w:pPr>
          <w:hyperlink w:anchor="_Toc233044133" w:history="1">
            <w:r w:rsidRPr="00A6180B">
              <w:rPr>
                <w:rStyle w:val="Hyperlink"/>
                <w:noProof/>
              </w:rPr>
              <w:t>7.1 Theory-Informed, Evidence-Based Recommendations</w:t>
            </w:r>
            <w:r>
              <w:rPr>
                <w:noProof/>
                <w:webHidden/>
              </w:rPr>
              <w:tab/>
            </w:r>
            <w:r>
              <w:rPr>
                <w:noProof/>
                <w:webHidden/>
              </w:rPr>
              <w:fldChar w:fldCharType="begin"/>
            </w:r>
            <w:r>
              <w:rPr>
                <w:noProof/>
                <w:webHidden/>
              </w:rPr>
              <w:instrText xml:space="preserve"> PAGEREF _Toc233044133 \h </w:instrText>
            </w:r>
            <w:r>
              <w:rPr>
                <w:noProof/>
                <w:webHidden/>
              </w:rPr>
            </w:r>
            <w:r>
              <w:rPr>
                <w:noProof/>
                <w:webHidden/>
              </w:rPr>
              <w:fldChar w:fldCharType="separate"/>
            </w:r>
            <w:r>
              <w:rPr>
                <w:noProof/>
                <w:webHidden/>
              </w:rPr>
              <w:t>15</w:t>
            </w:r>
            <w:r>
              <w:rPr>
                <w:noProof/>
                <w:webHidden/>
              </w:rPr>
              <w:fldChar w:fldCharType="end"/>
            </w:r>
          </w:hyperlink>
        </w:p>
        <w:p w14:paraId="754507AB" w14:textId="108C6806" w:rsidR="00763A62" w:rsidRDefault="00763A62">
          <w:pPr>
            <w:pStyle w:val="TOC1"/>
            <w:tabs>
              <w:tab w:val="right" w:leader="dot" w:pos="8630"/>
            </w:tabs>
            <w:rPr>
              <w:rFonts w:asciiTheme="minorHAnsi" w:hAnsiTheme="minorHAnsi"/>
              <w:noProof/>
              <w:sz w:val="22"/>
            </w:rPr>
          </w:pPr>
          <w:hyperlink w:anchor="_Toc233044131" w:history="1">
            <w:r w:rsidRPr="00A6180B">
              <w:rPr>
                <w:rStyle w:val="Hyperlink"/>
                <w:noProof/>
              </w:rPr>
              <w:t>8. Conclusion</w:t>
            </w:r>
            <w:r>
              <w:rPr>
                <w:noProof/>
                <w:webHidden/>
              </w:rPr>
              <w:tab/>
            </w:r>
            <w:r>
              <w:rPr>
                <w:noProof/>
                <w:webHidden/>
              </w:rPr>
              <w:fldChar w:fldCharType="begin"/>
            </w:r>
            <w:r>
              <w:rPr>
                <w:noProof/>
                <w:webHidden/>
              </w:rPr>
              <w:instrText xml:space="preserve"> PAGEREF _Toc233044131 \h </w:instrText>
            </w:r>
            <w:r>
              <w:rPr>
                <w:noProof/>
                <w:webHidden/>
              </w:rPr>
            </w:r>
            <w:r>
              <w:rPr>
                <w:noProof/>
                <w:webHidden/>
              </w:rPr>
              <w:fldChar w:fldCharType="separate"/>
            </w:r>
            <w:r>
              <w:rPr>
                <w:noProof/>
                <w:webHidden/>
              </w:rPr>
              <w:t>17</w:t>
            </w:r>
            <w:r>
              <w:rPr>
                <w:noProof/>
                <w:webHidden/>
              </w:rPr>
              <w:fldChar w:fldCharType="end"/>
            </w:r>
          </w:hyperlink>
        </w:p>
        <w:p w14:paraId="74441777" w14:textId="0507FFC5" w:rsidR="00763A62" w:rsidRDefault="00763A62">
          <w:pPr>
            <w:pStyle w:val="TOC1"/>
            <w:tabs>
              <w:tab w:val="right" w:leader="dot" w:pos="8630"/>
            </w:tabs>
            <w:rPr>
              <w:rFonts w:asciiTheme="minorHAnsi" w:hAnsiTheme="minorHAnsi"/>
              <w:noProof/>
              <w:sz w:val="22"/>
            </w:rPr>
          </w:pPr>
          <w:hyperlink w:anchor="_Toc233044132" w:history="1">
            <w:r w:rsidRPr="00A6180B">
              <w:rPr>
                <w:rStyle w:val="Hyperlink"/>
                <w:noProof/>
              </w:rPr>
              <w:t>9. References</w:t>
            </w:r>
            <w:r>
              <w:rPr>
                <w:noProof/>
                <w:webHidden/>
              </w:rPr>
              <w:tab/>
            </w:r>
            <w:r>
              <w:rPr>
                <w:noProof/>
                <w:webHidden/>
              </w:rPr>
              <w:fldChar w:fldCharType="begin"/>
            </w:r>
            <w:r>
              <w:rPr>
                <w:noProof/>
                <w:webHidden/>
              </w:rPr>
              <w:instrText xml:space="preserve"> PAGEREF _Toc233044132 \h </w:instrText>
            </w:r>
            <w:r>
              <w:rPr>
                <w:noProof/>
                <w:webHidden/>
              </w:rPr>
            </w:r>
            <w:r>
              <w:rPr>
                <w:noProof/>
                <w:webHidden/>
              </w:rPr>
              <w:fldChar w:fldCharType="separate"/>
            </w:r>
            <w:r>
              <w:rPr>
                <w:noProof/>
                <w:webHidden/>
              </w:rPr>
              <w:t>18</w:t>
            </w:r>
            <w:r>
              <w:rPr>
                <w:noProof/>
                <w:webHidden/>
              </w:rPr>
              <w:fldChar w:fldCharType="end"/>
            </w:r>
          </w:hyperlink>
        </w:p>
        <w:p w14:paraId="4ECEDE6D" w14:textId="55CE25B2" w:rsidR="0083040F" w:rsidRDefault="0043612F">
          <w:r>
            <w:rPr>
              <w:b/>
              <w:bCs/>
              <w:noProof/>
            </w:rPr>
            <w:fldChar w:fldCharType="end"/>
          </w:r>
        </w:p>
      </w:sdtContent>
    </w:sdt>
    <w:p w14:paraId="00DC6C07" w14:textId="77777777" w:rsidR="0083040F" w:rsidRDefault="0083040F" w:rsidP="0083040F">
      <w:pPr>
        <w:pStyle w:val="ListNumber"/>
        <w:numPr>
          <w:ilvl w:val="0"/>
          <w:numId w:val="0"/>
        </w:numPr>
      </w:pPr>
    </w:p>
    <w:p w14:paraId="022FB070" w14:textId="77777777" w:rsidR="004424B8" w:rsidRDefault="004424B8" w:rsidP="004424B8">
      <w:pPr>
        <w:pStyle w:val="ListNumber"/>
        <w:numPr>
          <w:ilvl w:val="0"/>
          <w:numId w:val="0"/>
        </w:numPr>
        <w:ind w:left="360" w:hanging="360"/>
      </w:pPr>
    </w:p>
    <w:p w14:paraId="4FFFD69E" w14:textId="77777777" w:rsidR="00636B8E" w:rsidRDefault="00636B8E">
      <w:pPr>
        <w:spacing w:line="276" w:lineRule="auto"/>
        <w:jc w:val="left"/>
        <w:rPr>
          <w:b/>
        </w:rPr>
      </w:pPr>
      <w:r>
        <w:rPr>
          <w:b/>
        </w:rPr>
        <w:br w:type="page"/>
      </w:r>
    </w:p>
    <w:p w14:paraId="30F068D0" w14:textId="24D94AB6" w:rsidR="004424B8" w:rsidRDefault="00636B8E" w:rsidP="00636B8E">
      <w:pPr>
        <w:pStyle w:val="ListNumber"/>
        <w:numPr>
          <w:ilvl w:val="0"/>
          <w:numId w:val="0"/>
        </w:numPr>
        <w:rPr>
          <w:b/>
        </w:rPr>
      </w:pPr>
      <w:r w:rsidRPr="00636B8E">
        <w:rPr>
          <w:b/>
        </w:rPr>
        <w:lastRenderedPageBreak/>
        <w:t>List of Figures</w:t>
      </w:r>
    </w:p>
    <w:p w14:paraId="74A045FF" w14:textId="3D6E5330" w:rsidR="00636B8E" w:rsidRDefault="00636B8E">
      <w:pPr>
        <w:pStyle w:val="TableofFigures"/>
        <w:tabs>
          <w:tab w:val="right" w:leader="dot" w:pos="8630"/>
        </w:tabs>
        <w:rPr>
          <w:noProof/>
        </w:rPr>
      </w:pPr>
      <w:r>
        <w:t>Figure 1: Toyota</w:t>
      </w:r>
      <w:r>
        <w:tab/>
        <w:t>5</w:t>
      </w:r>
    </w:p>
    <w:p w14:paraId="43AA431E" w14:textId="3580F065" w:rsidR="00636B8E" w:rsidRDefault="00636B8E">
      <w:pPr>
        <w:pStyle w:val="TableofFigures"/>
        <w:tabs>
          <w:tab w:val="right" w:leader="dot" w:pos="8630"/>
        </w:tabs>
        <w:rPr>
          <w:noProof/>
        </w:rPr>
      </w:pPr>
      <w:r>
        <w:t>Figure 2: Kaizen Cycle</w:t>
      </w:r>
      <w:r>
        <w:tab/>
        <w:t>6</w:t>
      </w:r>
    </w:p>
    <w:p w14:paraId="75DDBCEC" w14:textId="10E5D22B" w:rsidR="00636B8E" w:rsidRDefault="00636B8E">
      <w:pPr>
        <w:pStyle w:val="TableofFigures"/>
        <w:tabs>
          <w:tab w:val="right" w:leader="dot" w:pos="8630"/>
        </w:tabs>
        <w:rPr>
          <w:noProof/>
        </w:rPr>
      </w:pPr>
      <w:r>
        <w:t>Figure 3: Schein’s Model of Organisational Culture</w:t>
      </w:r>
      <w:r>
        <w:tab/>
        <w:t>10</w:t>
      </w:r>
    </w:p>
    <w:p w14:paraId="56A5A092" w14:textId="5AC4DC04" w:rsidR="00636B8E" w:rsidRDefault="00636B8E">
      <w:pPr>
        <w:pStyle w:val="TableofFigures"/>
        <w:tabs>
          <w:tab w:val="right" w:leader="dot" w:pos="8630"/>
        </w:tabs>
        <w:rPr>
          <w:noProof/>
        </w:rPr>
      </w:pPr>
      <w:r>
        <w:t>Figure 4: Japan Cultural Profile</w:t>
      </w:r>
      <w:r>
        <w:tab/>
        <w:t>11</w:t>
      </w:r>
    </w:p>
    <w:p w14:paraId="2B0DDE2D" w14:textId="7E881B8D" w:rsidR="00636B8E" w:rsidRDefault="00636B8E">
      <w:pPr>
        <w:pStyle w:val="TableofFigures"/>
        <w:tabs>
          <w:tab w:val="right" w:leader="dot" w:pos="8630"/>
        </w:tabs>
        <w:rPr>
          <w:noProof/>
        </w:rPr>
      </w:pPr>
      <w:r>
        <w:t>Figure 5: Handy’s Model of Organisational Culture</w:t>
      </w:r>
      <w:r>
        <w:tab/>
        <w:t>12</w:t>
      </w:r>
    </w:p>
    <w:p w14:paraId="3F13DD64" w14:textId="4FF819E5" w:rsidR="00636B8E" w:rsidRDefault="00636B8E" w:rsidP="00636B8E">
      <w:pPr>
        <w:pStyle w:val="ListNumber"/>
        <w:numPr>
          <w:ilvl w:val="0"/>
          <w:numId w:val="0"/>
        </w:numPr>
        <w:rPr>
          <w:b/>
        </w:rPr>
      </w:pPr>
    </w:p>
    <w:p w14:paraId="028ECA84" w14:textId="4695F2AC" w:rsidR="00636B8E" w:rsidRDefault="00636B8E" w:rsidP="00636B8E">
      <w:pPr>
        <w:pStyle w:val="ListNumber"/>
        <w:numPr>
          <w:ilvl w:val="0"/>
          <w:numId w:val="0"/>
        </w:numPr>
        <w:rPr>
          <w:b/>
        </w:rPr>
      </w:pPr>
      <w:r w:rsidRPr="00636B8E">
        <w:rPr>
          <w:b/>
        </w:rPr>
        <w:t xml:space="preserve">List of </w:t>
      </w:r>
      <w:r>
        <w:rPr>
          <w:b/>
        </w:rPr>
        <w:t>Tables</w:t>
      </w:r>
    </w:p>
    <w:p w14:paraId="5195CADB" w14:textId="56DA1829" w:rsidR="00636B8E" w:rsidRDefault="00636B8E">
      <w:pPr>
        <w:pStyle w:val="TableofFigures"/>
        <w:tabs>
          <w:tab w:val="right" w:leader="dot" w:pos="8630"/>
        </w:tabs>
        <w:rPr>
          <w:rFonts w:asciiTheme="minorHAnsi" w:hAnsiTheme="minorHAnsi"/>
          <w:noProof/>
          <w:sz w:val="22"/>
        </w:rPr>
      </w:pPr>
      <w:r>
        <w:t>Table 1: Toyota Cultural Elements and Operational Impact</w:t>
      </w:r>
      <w:r>
        <w:tab/>
        <w:t>7</w:t>
      </w:r>
    </w:p>
    <w:p w14:paraId="7A941BA1" w14:textId="072E647B" w:rsidR="00636B8E" w:rsidRDefault="00636B8E">
      <w:pPr>
        <w:pStyle w:val="TableofFigures"/>
        <w:tabs>
          <w:tab w:val="right" w:leader="dot" w:pos="8630"/>
        </w:tabs>
        <w:rPr>
          <w:rFonts w:asciiTheme="minorHAnsi" w:hAnsiTheme="minorHAnsi"/>
          <w:noProof/>
          <w:sz w:val="22"/>
        </w:rPr>
      </w:pPr>
      <w:r>
        <w:t>Table 2: Culture, Structure and Decision-Making</w:t>
      </w:r>
      <w:r>
        <w:tab/>
        <w:t>8</w:t>
      </w:r>
    </w:p>
    <w:p w14:paraId="1EF4FB28" w14:textId="16DA9189" w:rsidR="00636B8E" w:rsidRDefault="00636B8E">
      <w:pPr>
        <w:pStyle w:val="TableofFigures"/>
        <w:tabs>
          <w:tab w:val="right" w:leader="dot" w:pos="8630"/>
        </w:tabs>
        <w:rPr>
          <w:rFonts w:asciiTheme="minorHAnsi" w:hAnsiTheme="minorHAnsi"/>
          <w:noProof/>
          <w:sz w:val="22"/>
        </w:rPr>
      </w:pPr>
      <w:r>
        <w:t>Table 3: Hofstede’s Dimensions and Toyota: A Cautious Interpretation</w:t>
      </w:r>
      <w:r>
        <w:tab/>
        <w:t>11</w:t>
      </w:r>
    </w:p>
    <w:p w14:paraId="3753F730" w14:textId="58B1EDE1" w:rsidR="00636B8E" w:rsidRDefault="00636B8E">
      <w:pPr>
        <w:pStyle w:val="TableofFigures"/>
        <w:keepNext/>
        <w:keepLines/>
        <w:tabs>
          <w:tab w:val="right" w:leader="dot" w:pos="8630"/>
        </w:tabs>
        <w:rPr>
          <w:rFonts w:asciiTheme="minorHAnsi" w:hAnsiTheme="minorHAnsi"/>
          <w:noProof/>
          <w:sz w:val="22"/>
        </w:rPr>
      </w:pPr>
      <w:r>
        <w:t>Table 4: Toyota Culture as an Enabler and Potential Barrier</w:t>
      </w:r>
      <w:r>
        <w:tab/>
        <w:t>14</w:t>
      </w:r>
    </w:p>
    <w:p w14:paraId="018B9378" w14:textId="7CA102C1" w:rsidR="00636B8E" w:rsidRPr="00636B8E" w:rsidRDefault="00636B8E" w:rsidP="00636B8E">
      <w:pPr>
        <w:pStyle w:val="ListNumber"/>
        <w:numPr>
          <w:ilvl w:val="0"/>
          <w:numId w:val="0"/>
        </w:numPr>
        <w:rPr>
          <w:b/>
        </w:rPr>
      </w:pPr>
    </w:p>
    <w:p w14:paraId="2A8D1C98" w14:textId="77777777" w:rsidR="00636B8E" w:rsidRPr="00636B8E" w:rsidRDefault="00636B8E" w:rsidP="00636B8E">
      <w:pPr>
        <w:pStyle w:val="ListNumber"/>
        <w:numPr>
          <w:ilvl w:val="0"/>
          <w:numId w:val="0"/>
        </w:numPr>
        <w:rPr>
          <w:b/>
        </w:rPr>
      </w:pPr>
    </w:p>
    <w:p w14:paraId="7FFAECC8" w14:textId="77777777" w:rsidR="004424B8" w:rsidRDefault="004424B8" w:rsidP="004424B8">
      <w:pPr>
        <w:pStyle w:val="ListNumber"/>
        <w:numPr>
          <w:ilvl w:val="0"/>
          <w:numId w:val="0"/>
        </w:numPr>
        <w:ind w:left="360" w:hanging="360"/>
      </w:pPr>
    </w:p>
    <w:p w14:paraId="2B68E734" w14:textId="77777777" w:rsidR="004424B8" w:rsidRDefault="004424B8" w:rsidP="004424B8">
      <w:pPr>
        <w:pStyle w:val="ListNumber"/>
        <w:numPr>
          <w:ilvl w:val="0"/>
          <w:numId w:val="0"/>
        </w:numPr>
        <w:ind w:left="360" w:hanging="360"/>
      </w:pPr>
    </w:p>
    <w:p w14:paraId="61C0B7ED" w14:textId="77777777" w:rsidR="004424B8" w:rsidRDefault="004424B8" w:rsidP="004424B8">
      <w:pPr>
        <w:pStyle w:val="ListNumber"/>
        <w:numPr>
          <w:ilvl w:val="0"/>
          <w:numId w:val="0"/>
        </w:numPr>
        <w:ind w:left="360" w:hanging="360"/>
      </w:pPr>
    </w:p>
    <w:p w14:paraId="3A4BBD3D" w14:textId="77777777" w:rsidR="004424B8" w:rsidRDefault="004424B8" w:rsidP="004424B8">
      <w:pPr>
        <w:pStyle w:val="ListNumber"/>
        <w:numPr>
          <w:ilvl w:val="0"/>
          <w:numId w:val="0"/>
        </w:numPr>
        <w:ind w:left="360" w:hanging="360"/>
      </w:pPr>
    </w:p>
    <w:p w14:paraId="68A1BDF7" w14:textId="3BD81ADA" w:rsidR="004424B8" w:rsidRDefault="004424B8" w:rsidP="004424B8">
      <w:pPr>
        <w:pStyle w:val="ListNumber"/>
        <w:numPr>
          <w:ilvl w:val="0"/>
          <w:numId w:val="0"/>
        </w:numPr>
        <w:ind w:left="360" w:hanging="360"/>
      </w:pPr>
    </w:p>
    <w:p w14:paraId="2850FBAB" w14:textId="77777777" w:rsidR="004424B8" w:rsidRDefault="004424B8" w:rsidP="004424B8">
      <w:pPr>
        <w:pStyle w:val="ListNumber"/>
        <w:numPr>
          <w:ilvl w:val="0"/>
          <w:numId w:val="0"/>
        </w:numPr>
        <w:ind w:left="360" w:hanging="360"/>
      </w:pPr>
    </w:p>
    <w:p w14:paraId="643F3473" w14:textId="77777777" w:rsidR="004424B8" w:rsidRDefault="004424B8" w:rsidP="004424B8">
      <w:pPr>
        <w:pStyle w:val="ListNumber"/>
        <w:numPr>
          <w:ilvl w:val="0"/>
          <w:numId w:val="0"/>
        </w:numPr>
        <w:ind w:left="360" w:hanging="360"/>
      </w:pPr>
    </w:p>
    <w:p w14:paraId="1C07FC76" w14:textId="77777777" w:rsidR="004424B8" w:rsidRDefault="004424B8" w:rsidP="004424B8">
      <w:pPr>
        <w:pStyle w:val="ListNumber"/>
        <w:numPr>
          <w:ilvl w:val="0"/>
          <w:numId w:val="0"/>
        </w:numPr>
        <w:ind w:left="360" w:hanging="360"/>
      </w:pPr>
    </w:p>
    <w:p w14:paraId="5B13E3C6" w14:textId="626362F5" w:rsidR="0083040F" w:rsidRDefault="0083040F">
      <w:pPr>
        <w:spacing w:line="276" w:lineRule="auto"/>
        <w:jc w:val="left"/>
        <w:rPr>
          <w:rFonts w:eastAsiaTheme="majorEastAsia" w:cstheme="majorBidi"/>
          <w:b/>
          <w:bCs/>
          <w:color w:val="365F91" w:themeColor="accent1" w:themeShade="BF"/>
          <w:sz w:val="28"/>
          <w:szCs w:val="28"/>
        </w:rPr>
      </w:pPr>
      <w:r>
        <w:br w:type="page"/>
      </w:r>
    </w:p>
    <w:p w14:paraId="786DD36B" w14:textId="73078F82" w:rsidR="005D44EA" w:rsidRPr="00FE5325" w:rsidRDefault="00AB345F" w:rsidP="00627832">
      <w:pPr>
        <w:pStyle w:val="Heading1"/>
        <w:numPr>
          <w:ilvl w:val="0"/>
          <w:numId w:val="12"/>
        </w:numPr>
      </w:pPr>
      <w:bookmarkStart w:id="0" w:name="_Toc233044121"/>
      <w:r w:rsidRPr="00FE5325">
        <w:lastRenderedPageBreak/>
        <w:t>Introduction</w:t>
      </w:r>
      <w:bookmarkEnd w:id="0"/>
    </w:p>
    <w:p w14:paraId="49F4BA0C" w14:textId="77777777" w:rsidR="00290BEC" w:rsidRDefault="00290BEC" w:rsidP="00290BEC">
      <w:pPr>
        <w:spacing w:after="120"/>
      </w:pPr>
      <w:r>
        <w:t>Organisational culture can be defined as the shared values, beliefs and assumptions that shape employee behaviour and influence how work is carried out within an organisation (Mullins and Christy, 2016). This directly reflects Mullins and Christy’s (2016, p. 574) argument that culture shapes ‘how things are done around here’ and influences organisational structure, decision-making, motivation and management control. Culture is reinforced through routines, leadership behaviour and responses to changes in the external environment (Schein, 2010).</w:t>
      </w:r>
    </w:p>
    <w:p w14:paraId="1E9FE3EE" w14:textId="77777777" w:rsidR="00290BEC" w:rsidRDefault="00290BEC" w:rsidP="00290BEC">
      <w:pPr>
        <w:spacing w:after="120"/>
      </w:pPr>
      <w:r>
        <w:t>Toyota provides a strong case for analysing these relationships because it is a global automotive manufacturer with long-established production and management systems. Toyota Way 2020 promotes continuous improvement, thorough observation and respect for people, while TPS is built around Just-in-Time, waste elimination and daily improvement (TMC, n.d.-a; TMC, n.d.-b). This makes Toyota useful for examining the advantages and limitations of a powerful organisational culture (TMC, 2025a).</w:t>
      </w:r>
    </w:p>
    <w:p w14:paraId="4153D78A" w14:textId="4614DDB6" w:rsidR="0083040F" w:rsidRDefault="00290BEC" w:rsidP="00290BEC">
      <w:pPr>
        <w:spacing w:after="120"/>
      </w:pPr>
      <w:r>
        <w:t>This report critically evaluates how Toyota’s culture influences its structure, decision-making processes and organisational performance. It applies Schein’s Model of Organisational Culture, Hofstede’s Cultural Dimensions and Handy’s Cultural Types to identify the prevailing culture and assess the limitations of each framework. It also examines adaptation to external pressures, including electrification, digitalisation and supply-chain uncertainty. The report argues that Toyota’s culture is primarily an enabler of quality, efficiency and employee-led learning; however, it can become a barrier when the organisation requires rapid strategic change. Theory-informed recommendations are proposed to preserve Toyota’s operational strengths while increasing strategic agility.</w:t>
      </w:r>
    </w:p>
    <w:p w14:paraId="20BED632" w14:textId="77777777" w:rsidR="00231F24" w:rsidRDefault="00231F24" w:rsidP="00231F24">
      <w:pPr>
        <w:keepNext/>
        <w:keepLines/>
        <w:jc w:val="center"/>
      </w:pPr>
      <w:r>
        <w:rPr>
          <w:noProof/>
        </w:rPr>
        <w:lastRenderedPageBreak/>
        <w:drawing>
          <wp:inline distT="0" distB="0" distL="0" distR="0" wp14:anchorId="028A80C4" wp14:editId="354C6885">
            <wp:extent cx="4563016" cy="3038511"/>
            <wp:effectExtent l="0" t="0" r="9525" b="0"/>
            <wp:docPr id="1" name="Picture 1" descr="ESG Case Study – Toyota Motor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G Case Study – Toyota Motor Corpor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7275" cy="3041347"/>
                    </a:xfrm>
                    <a:prstGeom prst="rect">
                      <a:avLst/>
                    </a:prstGeom>
                    <a:noFill/>
                    <a:ln>
                      <a:noFill/>
                    </a:ln>
                  </pic:spPr>
                </pic:pic>
              </a:graphicData>
            </a:graphic>
          </wp:inline>
        </w:drawing>
      </w:r>
    </w:p>
    <w:p w14:paraId="20A58DA1" w14:textId="133F2681" w:rsidR="00231F24" w:rsidRDefault="00231F24" w:rsidP="00231F24">
      <w:pPr>
        <w:pStyle w:val="Caption"/>
        <w:keepNext/>
        <w:keepLines/>
        <w:jc w:val="center"/>
      </w:pPr>
      <w:r>
        <w:t>Figure 1: Toyota</w:t>
      </w:r>
    </w:p>
    <w:p w14:paraId="072DD210" w14:textId="0EC112F1" w:rsidR="00231F24" w:rsidRPr="00231F24" w:rsidRDefault="00231F24" w:rsidP="00231F24">
      <w:pPr>
        <w:keepLines/>
        <w:spacing w:after="120" w:line="240" w:lineRule="auto"/>
        <w:jc w:val="center"/>
      </w:pPr>
      <w:r>
        <w:rPr>
          <w:sz w:val="20"/>
        </w:rPr>
        <w:t>Source: Advisory (2021).</w:t>
      </w:r>
    </w:p>
    <w:p w14:paraId="32C72998" w14:textId="77777777" w:rsidR="00627832" w:rsidRDefault="00627832" w:rsidP="00627832">
      <w:pPr>
        <w:pStyle w:val="Heading1"/>
      </w:pPr>
      <w:bookmarkStart w:id="1" w:name="_Toc233044122"/>
      <w:r w:rsidRPr="00627832">
        <w:t>2. Organisational Culture of Toyota</w:t>
      </w:r>
      <w:bookmarkEnd w:id="1"/>
      <w:r w:rsidRPr="00627832">
        <w:t xml:space="preserve"> </w:t>
      </w:r>
    </w:p>
    <w:p w14:paraId="2E132DEC" w14:textId="5AB41922" w:rsidR="00C2094F" w:rsidRDefault="0083040F" w:rsidP="00C2094F">
      <w:pPr>
        <w:spacing w:after="120"/>
      </w:pPr>
      <w:r>
        <w:t>Toyota’s culture is embedded in operating routines, leadership expectations and problem-solving practices. The Toyota Way positions continuous improvement, thorough observation and respect for people as shared behavioural expectations across the company (TMC, n.d.-a). Liker (2004) argues that these principles connect operational discipline with people development and collective performance.</w:t>
      </w:r>
    </w:p>
    <w:p w14:paraId="30D58D21" w14:textId="7211B439" w:rsidR="00C2094F" w:rsidRDefault="00C2094F" w:rsidP="00C2094F">
      <w:pPr>
        <w:spacing w:after="120"/>
      </w:pPr>
      <w:r>
        <w:t>TPS converts these cultural principles into organisational behaviour. Spear and Bowen (1999) show that Toyota’s operations are highly specified: work is standardised, links between people are clear, flows are simple and problems are addressed through structured experimentation. Just-in-Time reduces inventory and delays, while jidoka requires abnormalities to be addressed before defects are passed downstream (TMC, n.d.-b). Standards therefore provide a baseline from which employees can identify, test and embed improvements (Liker, 2004).</w:t>
      </w:r>
    </w:p>
    <w:p w14:paraId="3370975A" w14:textId="77777777" w:rsidR="003771CC" w:rsidRDefault="003771CC" w:rsidP="003771CC">
      <w:pPr>
        <w:keepNext/>
        <w:keepLines/>
        <w:jc w:val="center"/>
      </w:pPr>
      <w:r>
        <w:rPr>
          <w:noProof/>
        </w:rPr>
        <w:lastRenderedPageBreak/>
        <w:drawing>
          <wp:inline distT="0" distB="0" distL="0" distR="0" wp14:anchorId="086AD87E" wp14:editId="0DC64487">
            <wp:extent cx="4975655" cy="4019909"/>
            <wp:effectExtent l="0" t="0" r="0" b="0"/>
            <wp:docPr id="2" name="Picture 2" descr="Continuous Improvement (Kaizen): Putting it into Practice | Rollforming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tinuous Improvement (Kaizen): Putting it into Practice | Rollforming  Magaz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0333" cy="4023688"/>
                    </a:xfrm>
                    <a:prstGeom prst="rect">
                      <a:avLst/>
                    </a:prstGeom>
                    <a:noFill/>
                    <a:ln>
                      <a:noFill/>
                    </a:ln>
                  </pic:spPr>
                </pic:pic>
              </a:graphicData>
            </a:graphic>
          </wp:inline>
        </w:drawing>
      </w:r>
    </w:p>
    <w:p w14:paraId="2C3BE3BF" w14:textId="6650F5B1" w:rsidR="003771CC" w:rsidRDefault="003771CC" w:rsidP="003771CC">
      <w:pPr>
        <w:pStyle w:val="Caption"/>
        <w:keepNext/>
        <w:keepLines/>
        <w:jc w:val="center"/>
      </w:pPr>
      <w:r>
        <w:t>Figure 2: Kaizen Cycle</w:t>
      </w:r>
    </w:p>
    <w:p w14:paraId="4FD1F513" w14:textId="0DF4C544" w:rsidR="003771CC" w:rsidRPr="003771CC" w:rsidRDefault="003771CC" w:rsidP="003771CC">
      <w:pPr>
        <w:keepLines/>
        <w:spacing w:after="120" w:line="240" w:lineRule="auto"/>
        <w:jc w:val="center"/>
      </w:pPr>
      <w:r>
        <w:rPr>
          <w:sz w:val="20"/>
        </w:rPr>
        <w:t>Source: Schmid (2022). Kaizen analysis supported by Liker (2004) and Spear and Bowen (1999).</w:t>
      </w:r>
    </w:p>
    <w:p w14:paraId="0B93EF07" w14:textId="53DCC1F3" w:rsidR="00C2094F" w:rsidRDefault="00C2094F" w:rsidP="00C2094F">
      <w:pPr>
        <w:spacing w:after="120"/>
      </w:pPr>
      <w:r>
        <w:t>Figure 2 illustrates the cyclical nature of Kaizen: standard work makes problems visible, employees investigate root causes, test countermeasures and then standardise successful improvements. Kaizen therefore represents more than small cost-saving initiatives; it institutionalises the belief that no process is complete and that those closest to the work should participate in improvement (Liker, 2004; Spear and Bowen, 1999).</w:t>
      </w:r>
    </w:p>
    <w:p w14:paraId="1430B08D" w14:textId="18BE7D26" w:rsidR="0083040F" w:rsidRDefault="00C2094F" w:rsidP="00C2094F">
      <w:pPr>
        <w:spacing w:after="120"/>
      </w:pPr>
      <w:r>
        <w:t>Respect for People also has an operational meaning. Teams are expected to cooperate, leaders are expected to develop people, and problems should be surfaced rather than hidden. Dyer and Nobeoka (2000) demonstrate that Toyota extended this learning logic into its supplier network through institutionalised knowledge-sharing routines. However, a strong emphasis on disciplined incremental improvement may favour refinement of existing processes over experimentation with unfamiliar products, technologies or business models. March (1991) describes this as the tension between exploitation of proven knowledge and exploration of new possibilities.</w:t>
      </w:r>
    </w:p>
    <w:p w14:paraId="43FAAAAC" w14:textId="0C95D565" w:rsidR="00F77D7B" w:rsidRDefault="00F77D7B" w:rsidP="00F77D7B">
      <w:pPr>
        <w:pStyle w:val="Caption"/>
        <w:keepNext/>
        <w:keepLines/>
      </w:pPr>
      <w:r>
        <w:lastRenderedPageBreak/>
        <w:t>Table 1: Toyota Cultural Elements and Operational Impact</w:t>
      </w:r>
    </w:p>
    <w:tbl>
      <w:tblPr>
        <w:tblStyle w:val="GridTable5Dark-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66"/>
        <w:gridCol w:w="3930"/>
        <w:gridCol w:w="3334"/>
      </w:tblGrid>
      <w:tr w:rsidR="00F77D7B" w:rsidRPr="00F77D7B" w14:paraId="047E705B" w14:textId="77777777" w:rsidTr="00F77D7B">
        <w:trPr>
          <w:cnfStyle w:val="100000000000" w:firstRow="1" w:lastRow="0" w:firstColumn="0" w:lastColumn="0" w:oddVBand="0" w:evenVBand="0" w:oddHBand="0" w:evenHBand="0" w:firstRowFirstColumn="0" w:firstRowLastColumn="0" w:lastRowFirstColumn="0" w:lastRowLastColumn="0"/>
          <w:jc w:val="center"/>
          <w:tblHeader w:val="true"/>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vAlign w:val="center"/>
            <w:hideMark/>
          </w:tcPr>
          <w:p w14:paraId="0F6D7078" w14:textId="77777777" w:rsidR="00F77D7B" w:rsidRPr="00F77D7B" w:rsidRDefault="00F77D7B" w:rsidP="00F77D7B">
            <w:pPr>
              <w:spacing w:line="240" w:lineRule="auto"/>
              <w:jc w:val="left"/>
            </w:pPr>
            <w:r>
              <w:rPr>
                <w:sz w:val="21"/>
              </w:rPr>
              <w:t>Cultural Element</w:t>
            </w:r>
          </w:p>
        </w:tc>
        <w:tc>
          <w:tcPr>
            <w:tcW w:w="0" w:type="auto"/>
            <w:tcBorders>
              <w:top w:val="none" w:sz="0" w:space="0" w:color="auto"/>
              <w:left w:val="none" w:sz="0" w:space="0" w:color="auto"/>
              <w:right w:val="none" w:sz="0" w:space="0" w:color="auto"/>
            </w:tcBorders>
            <w:vAlign w:val="center"/>
            <w:hideMark/>
          </w:tcPr>
          <w:p w14:paraId="74806450" w14:textId="77777777" w:rsidR="00F77D7B" w:rsidRPr="00F77D7B" w:rsidRDefault="00F77D7B" w:rsidP="00F77D7B">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Operational Meaning</w:t>
            </w:r>
          </w:p>
        </w:tc>
        <w:tc>
          <w:tcPr>
            <w:tcW w:w="0" w:type="auto"/>
            <w:tcBorders>
              <w:top w:val="none" w:sz="0" w:space="0" w:color="auto"/>
              <w:left w:val="none" w:sz="0" w:space="0" w:color="auto"/>
              <w:right w:val="none" w:sz="0" w:space="0" w:color="auto"/>
            </w:tcBorders>
            <w:vAlign w:val="center"/>
            <w:hideMark/>
          </w:tcPr>
          <w:p w14:paraId="7C953E28" w14:textId="77777777" w:rsidR="00F77D7B" w:rsidRPr="00F77D7B" w:rsidRDefault="00F77D7B" w:rsidP="00F77D7B">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Impact on Organisational Performance</w:t>
            </w:r>
          </w:p>
        </w:tc>
      </w:tr>
      <w:tr w:rsidR="00F77D7B" w:rsidRPr="00F77D7B" w14:paraId="40EDD77C" w14:textId="77777777" w:rsidTr="00F77D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01A91539" w14:textId="77777777" w:rsidR="00F77D7B" w:rsidRPr="00F77D7B" w:rsidRDefault="00F77D7B" w:rsidP="00F77D7B">
            <w:pPr>
              <w:spacing w:line="240" w:lineRule="auto"/>
              <w:jc w:val="left"/>
            </w:pPr>
            <w:r>
              <w:rPr>
                <w:b w:val="0"/>
                <w:sz w:val="21"/>
              </w:rPr>
              <w:t>Kaizen</w:t>
            </w:r>
          </w:p>
        </w:tc>
        <w:tc>
          <w:tcPr>
            <w:tcW w:w="0" w:type="auto"/>
            <w:vAlign w:val="center"/>
            <w:hideMark/>
          </w:tcPr>
          <w:p w14:paraId="4E9FEE18" w14:textId="77777777" w:rsidR="00F77D7B" w:rsidRPr="00F77D7B" w:rsidRDefault="00F77D7B" w:rsidP="00F77D7B">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Employee-led, evidence-based improvement using standard work as a baseline.</w:t>
            </w:r>
          </w:p>
        </w:tc>
        <w:tc>
          <w:tcPr>
            <w:tcW w:w="0" w:type="auto"/>
            <w:vAlign w:val="center"/>
            <w:hideMark/>
          </w:tcPr>
          <w:p w14:paraId="687DE602" w14:textId="77777777" w:rsidR="00F77D7B" w:rsidRPr="00F77D7B" w:rsidRDefault="00F77D7B" w:rsidP="00F77D7B">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Supports learning, productivity and waste reduction.</w:t>
            </w:r>
          </w:p>
        </w:tc>
      </w:tr>
      <w:tr w:rsidR="00F77D7B" w:rsidRPr="00F77D7B" w14:paraId="4975F9E6" w14:textId="77777777" w:rsidTr="00F77D7B">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7F707414" w14:textId="77777777" w:rsidR="00F77D7B" w:rsidRPr="00F77D7B" w:rsidRDefault="00F77D7B" w:rsidP="00F77D7B">
            <w:pPr>
              <w:spacing w:line="240" w:lineRule="auto"/>
              <w:jc w:val="left"/>
            </w:pPr>
            <w:r>
              <w:rPr>
                <w:b w:val="0"/>
                <w:sz w:val="21"/>
              </w:rPr>
              <w:t>TPS</w:t>
            </w:r>
          </w:p>
        </w:tc>
        <w:tc>
          <w:tcPr>
            <w:tcW w:w="0" w:type="auto"/>
            <w:vAlign w:val="center"/>
            <w:hideMark/>
          </w:tcPr>
          <w:p w14:paraId="182220C6" w14:textId="77777777" w:rsidR="00F77D7B" w:rsidRPr="00F77D7B" w:rsidRDefault="00F77D7B" w:rsidP="00F77D7B">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Just-in-Time flow, jidoka and standardised work.</w:t>
            </w:r>
          </w:p>
        </w:tc>
        <w:tc>
          <w:tcPr>
            <w:tcW w:w="0" w:type="auto"/>
            <w:vAlign w:val="center"/>
            <w:hideMark/>
          </w:tcPr>
          <w:p w14:paraId="705008FE" w14:textId="77777777" w:rsidR="00F77D7B" w:rsidRPr="00F77D7B" w:rsidRDefault="00F77D7B" w:rsidP="00F77D7B">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Supports quality, efficiency and operational consistency.</w:t>
            </w:r>
          </w:p>
        </w:tc>
      </w:tr>
      <w:tr w:rsidR="00F77D7B" w:rsidRPr="00F77D7B" w14:paraId="5165DCB7" w14:textId="77777777" w:rsidTr="00F77D7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4E00CFAF" w14:textId="77777777" w:rsidR="00F77D7B" w:rsidRPr="00F77D7B" w:rsidRDefault="00F77D7B" w:rsidP="00F77D7B">
            <w:pPr>
              <w:spacing w:line="240" w:lineRule="auto"/>
              <w:jc w:val="left"/>
            </w:pPr>
            <w:r>
              <w:rPr>
                <w:b w:val="0"/>
                <w:sz w:val="21"/>
              </w:rPr>
              <w:t>Jidoka / andon</w:t>
            </w:r>
          </w:p>
        </w:tc>
        <w:tc>
          <w:tcPr>
            <w:tcW w:w="0" w:type="auto"/>
            <w:vAlign w:val="center"/>
            <w:hideMark/>
          </w:tcPr>
          <w:p w14:paraId="102C5255" w14:textId="77777777" w:rsidR="00F77D7B" w:rsidRPr="00F77D7B" w:rsidRDefault="00F77D7B" w:rsidP="00F77D7B">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Stops or escalates abnormalities at the point of work.</w:t>
            </w:r>
          </w:p>
        </w:tc>
        <w:tc>
          <w:tcPr>
            <w:tcW w:w="0" w:type="auto"/>
            <w:vAlign w:val="center"/>
            <w:hideMark/>
          </w:tcPr>
          <w:p w14:paraId="0F5F2D9F" w14:textId="77777777" w:rsidR="00F77D7B" w:rsidRPr="00F77D7B" w:rsidRDefault="00F77D7B" w:rsidP="00F77D7B">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Contains defects and strengthens root-cause learning.</w:t>
            </w:r>
          </w:p>
        </w:tc>
      </w:tr>
      <w:tr w:rsidR="00F77D7B" w:rsidRPr="00F77D7B" w14:paraId="38516128" w14:textId="77777777" w:rsidTr="00F77D7B">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vAlign w:val="center"/>
            <w:hideMark/>
          </w:tcPr>
          <w:p w14:paraId="4BD13BE9" w14:textId="77777777" w:rsidR="00F77D7B" w:rsidRPr="00F77D7B" w:rsidRDefault="00F77D7B" w:rsidP="00F77D7B">
            <w:pPr>
              <w:spacing w:line="240" w:lineRule="auto"/>
              <w:jc w:val="left"/>
            </w:pPr>
            <w:r>
              <w:rPr>
                <w:b w:val="0"/>
                <w:sz w:val="21"/>
              </w:rPr>
              <w:t>Respect for People</w:t>
            </w:r>
          </w:p>
        </w:tc>
        <w:tc>
          <w:tcPr>
            <w:tcW w:w="0" w:type="auto"/>
            <w:vAlign w:val="center"/>
            <w:hideMark/>
          </w:tcPr>
          <w:p w14:paraId="34F434E8" w14:textId="77777777" w:rsidR="00F77D7B" w:rsidRPr="00F77D7B" w:rsidRDefault="00F77D7B" w:rsidP="00F77D7B">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Teamwork, development, contribution and problem visibility.</w:t>
            </w:r>
          </w:p>
        </w:tc>
        <w:tc>
          <w:tcPr>
            <w:tcW w:w="0" w:type="auto"/>
            <w:vAlign w:val="center"/>
            <w:hideMark/>
          </w:tcPr>
          <w:p w14:paraId="179E8B44" w14:textId="77777777" w:rsidR="00F77D7B" w:rsidRPr="00F77D7B" w:rsidRDefault="00F77D7B" w:rsidP="00F77D7B">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Supports engagement, accountability and knowledge sharing.</w:t>
            </w:r>
          </w:p>
        </w:tc>
      </w:tr>
    </w:tbl>
    <w:p w14:paraId="3A98257D" w14:textId="77777777" w:rsidR="009338F9" w:rsidRDefault="00DE0B79">
      <w:pPr>
        <w:keepLines/>
        <w:spacing w:after="120" w:line="240" w:lineRule="auto"/>
        <w:jc w:val="left"/>
      </w:pPr>
      <w:r>
        <w:rPr>
          <w:sz w:val="20"/>
        </w:rPr>
        <w:t>Source: Author’s own analysis based on TMC (n.d.-a; n.d.-b), Spear and Bowen (1999), Liker (2004) and Dyer and Nobeoka (2000).</w:t>
      </w:r>
    </w:p>
    <w:p w14:paraId="061A83FF" w14:textId="77777777" w:rsidR="00F77D7B" w:rsidRDefault="00F77D7B" w:rsidP="0083040F"/>
    <w:p w14:paraId="07FFE8E7" w14:textId="77777777" w:rsidR="00627832" w:rsidRDefault="00627832" w:rsidP="00627832">
      <w:pPr>
        <w:pStyle w:val="Heading1"/>
      </w:pPr>
      <w:bookmarkStart w:id="2" w:name="_Toc233044123"/>
      <w:r w:rsidRPr="00627832">
        <w:t>3. Influence of Culture on Structure and Decision-Making</w:t>
      </w:r>
      <w:bookmarkEnd w:id="2"/>
      <w:r w:rsidRPr="00627832">
        <w:t xml:space="preserve"> </w:t>
      </w:r>
    </w:p>
    <w:p w14:paraId="501BCF70" w14:textId="46961DBE" w:rsidR="0083040F" w:rsidRDefault="0083040F" w:rsidP="0083040F">
      <w:pPr>
        <w:spacing w:after="120"/>
      </w:pPr>
      <w:r>
        <w:t>Toyota’s structure reflects the cultural requirement to combine control with local problem solving. Strategic direction is set by senior leaders, but many operational decisions are made close to the point of work. In TPS, employees and team leaders are expected to respond to abnormalities immediately, use visual controls, investigate root causes and standardise successful countermeasures. This creates decentralised problem solving within a centrally defined operating system (Spear and Bowen, 1999; Liker, 2004).</w:t>
      </w:r>
    </w:p>
    <w:p w14:paraId="005A82E4" w14:textId="7FC4A02A" w:rsidR="0083040F" w:rsidRDefault="00D96B7D" w:rsidP="0083040F">
      <w:pPr>
        <w:spacing w:after="120"/>
      </w:pPr>
      <w:r>
        <w:t>The andon principle illustrates this relationship. When an abnormality is identified, production can be stopped, or the issue can be escalated, so that the defect is contained and analysed. This is structurally significant because authority is not confined to managers; frontline employees have a recognised role in protecting quality. Spear and Bowen (1999) identify rapid problem detection and escalation as central to the Toyota production system. The cultural message is clear: exposing a problem is responsible behaviour, whereas allowing it to travel through the system is unacceptable. Standard work provides the formal structure, while Kaizen and Respect for People provide the behavioural norms that make escalation and learning legitimate.</w:t>
      </w:r>
    </w:p>
    <w:p w14:paraId="336D6A44" w14:textId="498DA373" w:rsidR="0083040F" w:rsidRDefault="00D96B7D" w:rsidP="0083040F">
      <w:pPr>
        <w:spacing w:after="120"/>
      </w:pPr>
      <w:r>
        <w:t xml:space="preserve">Toyota’s decision-making is neither wholly centralised nor wholly decentralised. It is centralised in relation to strategic priorities, governance and system standards, but decentralised in relation to diagnosis, local experimentation and continuous improvement. </w:t>
      </w:r>
      <w:r>
        <w:lastRenderedPageBreak/>
        <w:t>This hybrid arrangement offers consistency across a large organisation while enabling employees to solve operational problems within defined limits. It also allows improvements to be incorporated into standard processes and shared more widely through organisational routines and supplier networks (Dyer and Nobeoka, 2000).</w:t>
      </w:r>
    </w:p>
    <w:p w14:paraId="5713AA9C" w14:textId="037F07BF" w:rsidR="0083040F" w:rsidRDefault="00D96B7D" w:rsidP="0083040F">
      <w:pPr>
        <w:spacing w:after="120"/>
      </w:pPr>
      <w:r>
        <w:t>A common criticism is that standardisation necessarily makes Toyota inflexible. However, Adler, Goldoftas and Levine (1999) found that efficiency and flexibility could coexist in a Toyota production setting when metaroutines, employee participation, training, trust and differentiated units supported both routine and non-routine work. Toyota’s culture can therefore support flexibility when appropriate structures exist, although strategic adaptation may remain difficult when decisions require radical technologies, uncertain demand or a departure from established routines.</w:t>
      </w:r>
    </w:p>
    <w:p w14:paraId="6B5353AC" w14:textId="2261EC54" w:rsidR="0083040F" w:rsidRDefault="00D96B7D" w:rsidP="0083040F">
      <w:pPr>
        <w:spacing w:after="120"/>
      </w:pPr>
      <w:r>
        <w:t>Thus, culture influences decision quality in two ways. Positively, it creates fact-based, cross-functional and disciplined decisions with a high likelihood of implementation. Negatively, a strong preference for alignment, risk reduction and incremental learning may make rapid experimentation more difficult when evidence is incomplete. Toyota’s challenge is not to abandon disciplined decision-making, but to differentiate between decisions that benefit from deep alignment and those that require faster, reversible experiments. This distinction reflects March’s (1991) exploration-exploitation tension and O’Reilly and Tushman’s (2013) argument for organisational ambidexterity.</w:t>
      </w:r>
    </w:p>
    <w:p w14:paraId="435AC9F0" w14:textId="18B79B51" w:rsidR="00C3058D" w:rsidRDefault="00C3058D" w:rsidP="00C3058D">
      <w:pPr>
        <w:pStyle w:val="Caption"/>
        <w:keepNext/>
        <w:keepLines/>
      </w:pPr>
      <w:r>
        <w:t>Table 2: Culture, Structure and Decision-Making</w:t>
      </w:r>
    </w:p>
    <w:tbl>
      <w:tblPr>
        <w:tblStyle w:val="GridTable5Dark-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1"/>
        <w:gridCol w:w="3451"/>
        <w:gridCol w:w="3688"/>
      </w:tblGrid>
      <w:tr w:rsidR="00C3058D" w:rsidRPr="00C3058D" w14:paraId="120B6025" w14:textId="77777777" w:rsidTr="00C3058D">
        <w:trPr>
          <w:cnfStyle w:val="100000000000" w:firstRow="1" w:lastRow="0" w:firstColumn="0" w:lastColumn="0" w:oddVBand="0" w:evenVBand="0" w:oddHBand="0" w:evenHBand="0" w:firstRowFirstColumn="0" w:firstRowLastColumn="0" w:lastRowFirstColumn="0" w:lastRowLastColumn="0"/>
          <w:jc w:val="center"/>
          <w:tblHeader w:val="true"/>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vAlign w:val="center"/>
            <w:hideMark/>
          </w:tcPr>
          <w:p w14:paraId="37738193" w14:textId="77777777" w:rsidR="00C3058D" w:rsidRPr="00C3058D" w:rsidRDefault="00C3058D" w:rsidP="00C3058D">
            <w:pPr>
              <w:spacing w:line="240" w:lineRule="auto"/>
              <w:jc w:val="left"/>
            </w:pPr>
            <w:r>
              <w:rPr>
                <w:sz w:val="21"/>
              </w:rPr>
              <w:t>Cultural Principle</w:t>
            </w:r>
          </w:p>
        </w:tc>
        <w:tc>
          <w:tcPr>
            <w:tcW w:w="0" w:type="auto"/>
            <w:tcBorders>
              <w:top w:val="none" w:sz="0" w:space="0" w:color="auto"/>
              <w:left w:val="none" w:sz="0" w:space="0" w:color="auto"/>
              <w:right w:val="none" w:sz="0" w:space="0" w:color="auto"/>
            </w:tcBorders>
            <w:vAlign w:val="center"/>
            <w:hideMark/>
          </w:tcPr>
          <w:p w14:paraId="653EB180" w14:textId="77777777" w:rsidR="00C3058D" w:rsidRPr="00C3058D" w:rsidRDefault="00C3058D" w:rsidP="00C3058D">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Structural Expression</w:t>
            </w:r>
          </w:p>
        </w:tc>
        <w:tc>
          <w:tcPr>
            <w:tcW w:w="0" w:type="auto"/>
            <w:tcBorders>
              <w:top w:val="none" w:sz="0" w:space="0" w:color="auto"/>
              <w:left w:val="none" w:sz="0" w:space="0" w:color="auto"/>
              <w:right w:val="none" w:sz="0" w:space="0" w:color="auto"/>
            </w:tcBorders>
            <w:vAlign w:val="center"/>
            <w:hideMark/>
          </w:tcPr>
          <w:p w14:paraId="312C782F" w14:textId="77777777" w:rsidR="00C3058D" w:rsidRPr="00C3058D" w:rsidRDefault="00C3058D" w:rsidP="00C3058D">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Decision-Making Implication</w:t>
            </w:r>
          </w:p>
        </w:tc>
      </w:tr>
      <w:tr w:rsidR="00C3058D" w:rsidRPr="00C3058D" w14:paraId="0BF4620C" w14:textId="77777777" w:rsidTr="00C3058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59742057" w14:textId="77777777" w:rsidR="00C3058D" w:rsidRPr="00C3058D" w:rsidRDefault="00C3058D" w:rsidP="00C3058D">
            <w:pPr>
              <w:spacing w:line="240" w:lineRule="auto"/>
              <w:jc w:val="left"/>
            </w:pPr>
            <w:r>
              <w:rPr>
                <w:b w:val="0"/>
                <w:sz w:val="21"/>
              </w:rPr>
              <w:t>Standard work</w:t>
            </w:r>
          </w:p>
        </w:tc>
        <w:tc>
          <w:tcPr>
            <w:tcW w:w="0" w:type="auto"/>
            <w:vAlign w:val="center"/>
            <w:hideMark/>
          </w:tcPr>
          <w:p w14:paraId="57098C96" w14:textId="77777777" w:rsidR="00C3058D" w:rsidRPr="00C3058D" w:rsidRDefault="00C3058D" w:rsidP="00C3058D">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Common operating norms and clear escalation routes.</w:t>
            </w:r>
          </w:p>
        </w:tc>
        <w:tc>
          <w:tcPr>
            <w:tcW w:w="0" w:type="auto"/>
            <w:vAlign w:val="center"/>
            <w:hideMark/>
          </w:tcPr>
          <w:p w14:paraId="24632E4F" w14:textId="77777777" w:rsidR="00C3058D" w:rsidRPr="00C3058D" w:rsidRDefault="00C3058D" w:rsidP="00C3058D">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Consistent decisions and a visible baseline for improvement.</w:t>
            </w:r>
          </w:p>
        </w:tc>
      </w:tr>
      <w:tr w:rsidR="00C3058D" w:rsidRPr="00C3058D" w14:paraId="30AB113A" w14:textId="77777777" w:rsidTr="00C3058D">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39621591" w14:textId="77777777" w:rsidR="00C3058D" w:rsidRPr="00C3058D" w:rsidRDefault="00C3058D" w:rsidP="00C3058D">
            <w:pPr>
              <w:spacing w:line="240" w:lineRule="auto"/>
              <w:jc w:val="left"/>
            </w:pPr>
            <w:r>
              <w:rPr>
                <w:b w:val="0"/>
                <w:sz w:val="21"/>
              </w:rPr>
              <w:t>Jidoka / andon</w:t>
            </w:r>
          </w:p>
        </w:tc>
        <w:tc>
          <w:tcPr>
            <w:tcW w:w="0" w:type="auto"/>
            <w:vAlign w:val="center"/>
            <w:hideMark/>
          </w:tcPr>
          <w:p w14:paraId="02E21FCA" w14:textId="77777777" w:rsidR="00C3058D" w:rsidRPr="00C3058D" w:rsidRDefault="00C3058D" w:rsidP="00C3058D">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Frontline authority to stop or escalate abnormalities.</w:t>
            </w:r>
          </w:p>
        </w:tc>
        <w:tc>
          <w:tcPr>
            <w:tcW w:w="0" w:type="auto"/>
            <w:vAlign w:val="center"/>
            <w:hideMark/>
          </w:tcPr>
          <w:p w14:paraId="37EA4021" w14:textId="77777777" w:rsidR="00C3058D" w:rsidRPr="00C3058D" w:rsidRDefault="00C3058D" w:rsidP="00C3058D">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Quality is protected at source; problems are analysed quickly.</w:t>
            </w:r>
          </w:p>
        </w:tc>
      </w:tr>
      <w:tr w:rsidR="00C3058D" w:rsidRPr="00C3058D" w14:paraId="43FC0398" w14:textId="77777777" w:rsidTr="00C3058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2DC0A361" w14:textId="77777777" w:rsidR="00C3058D" w:rsidRPr="00C3058D" w:rsidRDefault="00C3058D" w:rsidP="00C3058D">
            <w:pPr>
              <w:spacing w:line="240" w:lineRule="auto"/>
              <w:jc w:val="left"/>
            </w:pPr>
            <w:r>
              <w:rPr>
                <w:b w:val="0"/>
                <w:sz w:val="21"/>
              </w:rPr>
              <w:t>Kaizen</w:t>
            </w:r>
          </w:p>
        </w:tc>
        <w:tc>
          <w:tcPr>
            <w:tcW w:w="0" w:type="auto"/>
            <w:vAlign w:val="center"/>
            <w:hideMark/>
          </w:tcPr>
          <w:p w14:paraId="52489AC0" w14:textId="77777777" w:rsidR="00C3058D" w:rsidRPr="00C3058D" w:rsidRDefault="00C3058D" w:rsidP="00C3058D">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Team and cross-functional improvement routines.</w:t>
            </w:r>
          </w:p>
        </w:tc>
        <w:tc>
          <w:tcPr>
            <w:tcW w:w="0" w:type="auto"/>
            <w:vAlign w:val="center"/>
            <w:hideMark/>
          </w:tcPr>
          <w:p w14:paraId="4665A1C6" w14:textId="77777777" w:rsidR="00C3058D" w:rsidRPr="00C3058D" w:rsidRDefault="00C3058D" w:rsidP="00C3058D">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Local changes are tested and incorporated into standards.</w:t>
            </w:r>
          </w:p>
        </w:tc>
      </w:tr>
      <w:tr w:rsidR="00C3058D" w:rsidRPr="00C3058D" w14:paraId="023915AB" w14:textId="77777777" w:rsidTr="00C3058D">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vAlign w:val="center"/>
            <w:hideMark/>
          </w:tcPr>
          <w:p w14:paraId="3622AFD1" w14:textId="77777777" w:rsidR="00C3058D" w:rsidRPr="00C3058D" w:rsidRDefault="00C3058D" w:rsidP="00C3058D">
            <w:pPr>
              <w:spacing w:line="240" w:lineRule="auto"/>
              <w:jc w:val="left"/>
            </w:pPr>
            <w:r>
              <w:rPr>
                <w:b w:val="0"/>
                <w:sz w:val="21"/>
              </w:rPr>
              <w:t>Respect for People</w:t>
            </w:r>
          </w:p>
        </w:tc>
        <w:tc>
          <w:tcPr>
            <w:tcW w:w="0" w:type="auto"/>
            <w:vAlign w:val="center"/>
            <w:hideMark/>
          </w:tcPr>
          <w:p w14:paraId="6BBFB758" w14:textId="77777777" w:rsidR="00C3058D" w:rsidRPr="00C3058D" w:rsidRDefault="00C3058D" w:rsidP="00C3058D">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Training, involvement and collaborative problem solving.</w:t>
            </w:r>
          </w:p>
        </w:tc>
        <w:tc>
          <w:tcPr>
            <w:tcW w:w="0" w:type="auto"/>
            <w:vAlign w:val="center"/>
            <w:hideMark/>
          </w:tcPr>
          <w:p w14:paraId="34E9A3AE" w14:textId="77777777" w:rsidR="00C3058D" w:rsidRPr="00C3058D" w:rsidRDefault="00C3058D" w:rsidP="00C3058D">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Employees are expected to raise concerns and contribute ideas.</w:t>
            </w:r>
          </w:p>
        </w:tc>
      </w:tr>
    </w:tbl>
    <w:p w14:paraId="79E2FA08" w14:textId="77777777" w:rsidR="009338F9" w:rsidRDefault="00DE0B79">
      <w:pPr>
        <w:keepLines/>
        <w:spacing w:after="120" w:line="240" w:lineRule="auto"/>
        <w:jc w:val="left"/>
      </w:pPr>
      <w:r>
        <w:rPr>
          <w:sz w:val="20"/>
        </w:rPr>
        <w:t>Source: Author’s own analysis based on Spear and Bowen (1999), Adler, Goldoftas and Levine (1999), Liker (2004) and Dyer and Nobeoka (2000).</w:t>
      </w:r>
    </w:p>
    <w:p w14:paraId="21B41787" w14:textId="77777777" w:rsidR="00C3058D" w:rsidRDefault="00C3058D" w:rsidP="0083040F"/>
    <w:p w14:paraId="6EA50B63" w14:textId="77777777" w:rsidR="00D96B7D" w:rsidRDefault="00D96B7D" w:rsidP="00D96B7D">
      <w:pPr>
        <w:pStyle w:val="Heading1"/>
      </w:pPr>
      <w:bookmarkStart w:id="3" w:name="_Toc233044124"/>
      <w:r w:rsidRPr="00D96B7D">
        <w:lastRenderedPageBreak/>
        <w:t>4. Cultural Types: Models and Frameworks</w:t>
      </w:r>
      <w:bookmarkEnd w:id="3"/>
      <w:r w:rsidRPr="00D96B7D">
        <w:t xml:space="preserve"> </w:t>
      </w:r>
    </w:p>
    <w:p w14:paraId="27AF929C" w14:textId="47FDCCC2" w:rsidR="0083040F" w:rsidRDefault="0083040F" w:rsidP="00D96B7D">
      <w:pPr>
        <w:pStyle w:val="Heading2"/>
      </w:pPr>
      <w:bookmarkStart w:id="4" w:name="_Toc233044125"/>
      <w:r>
        <w:t>4.1 Schein Model</w:t>
      </w:r>
      <w:bookmarkEnd w:id="4"/>
      <w:r>
        <w:t xml:space="preserve"> </w:t>
      </w:r>
    </w:p>
    <w:p w14:paraId="159824BF" w14:textId="2642744D" w:rsidR="0083040F" w:rsidRDefault="0083040F" w:rsidP="0083040F">
      <w:pPr>
        <w:spacing w:after="120"/>
      </w:pPr>
      <w:r>
        <w:t>Schein’s (2010) model distinguishes between artefacts, espoused values and underlying assumptions. Applied to Toyota, artefacts include visual management boards, standardised work documents, problem-solving routines, quality checks and andon signals. These are visible manifestations of an organisation in which process discipline and abnormality detection are taken seriously. At the level of espoused values, Toyota promotes continuous improvement, thorough observation and Respect for People (TMC, n.d.-a).</w:t>
      </w:r>
    </w:p>
    <w:p w14:paraId="7FDF0B38" w14:textId="205C1F32" w:rsidR="00D96B7D" w:rsidRDefault="00D96B7D" w:rsidP="0083040F">
      <w:pPr>
        <w:spacing w:after="120"/>
      </w:pPr>
      <w:r>
        <w:t>The deeper assumptions are less visible but more important. Toyota appears to assume that work can always be improved, that problems should be made visible, and that people are capable of contributing to improvement when they are trained and trusted. It also assumes that quality must be built into the process rather than inspected into the product afterwards. These assumptions explain why standardisation and employee involvement coexist: the standard is not the final answer; it is the current best known method that can be challenged through evidence (Schein, 2010; Liker, 2004).</w:t>
      </w:r>
    </w:p>
    <w:p w14:paraId="071BD1C3" w14:textId="31B798F6" w:rsidR="0083040F" w:rsidRDefault="00D96B7D" w:rsidP="0083040F">
      <w:pPr>
        <w:spacing w:after="120"/>
      </w:pPr>
      <w:r>
        <w:t>Schein’s model is particularly useful because it moves the analysis beyond slogans and shows how formal values are reinforced by artefacts and routines. However, it does not itself explain how cultural differences between functions, countries and subsidiaries affect implementation. In a global company, a common cultural core may be interpreted differently across local operations. The model should therefore be combined with context-sensitive evidence rather than used as a complete explanation.</w:t>
      </w:r>
    </w:p>
    <w:p w14:paraId="48B63749" w14:textId="77777777" w:rsidR="003771CC" w:rsidRDefault="003771CC" w:rsidP="003771CC">
      <w:pPr>
        <w:keepNext/>
        <w:keepLines/>
        <w:jc w:val="center"/>
      </w:pPr>
      <w:r>
        <w:rPr>
          <w:noProof/>
        </w:rPr>
        <w:lastRenderedPageBreak/>
        <w:drawing>
          <wp:inline distT="0" distB="0" distL="0" distR="0" wp14:anchorId="297E160C" wp14:editId="595CB7CB">
            <wp:extent cx="3785616" cy="3785616"/>
            <wp:effectExtent l="0" t="0" r="0" b="0"/>
            <wp:docPr id="4" name="Picture 4"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dgar Schein's Three Layers of Organisational Culture - Psych Safe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5616" cy="3785616"/>
                    </a:xfrm>
                    <a:prstGeom prst="rect">
                      <a:avLst/>
                    </a:prstGeom>
                    <a:noFill/>
                    <a:ln>
                      <a:noFill/>
                    </a:ln>
                  </pic:spPr>
                </pic:pic>
              </a:graphicData>
            </a:graphic>
          </wp:inline>
        </w:drawing>
      </w:r>
    </w:p>
    <w:p w14:paraId="6B73DBDF" w14:textId="33D94648" w:rsidR="003771CC" w:rsidRDefault="003771CC" w:rsidP="003771CC">
      <w:pPr>
        <w:pStyle w:val="Caption"/>
        <w:keepNext/>
        <w:keepLines/>
        <w:jc w:val="center"/>
      </w:pPr>
      <w:r>
        <w:t>Figure 3: Schein’s Model of Organisational Culture</w:t>
      </w:r>
    </w:p>
    <w:p w14:paraId="623BA2CE" w14:textId="28F4DDFD" w:rsidR="003771CC" w:rsidRPr="003771CC" w:rsidRDefault="003771CC" w:rsidP="003771CC">
      <w:pPr>
        <w:keepLines/>
        <w:spacing w:after="120" w:line="240" w:lineRule="auto"/>
        <w:jc w:val="center"/>
      </w:pPr>
      <w:r>
        <w:rPr>
          <w:sz w:val="20"/>
        </w:rPr>
        <w:t>Source: Geraghty (2023), based on Schein (2010).</w:t>
      </w:r>
    </w:p>
    <w:p w14:paraId="3CFBE711" w14:textId="6533707B" w:rsidR="0083040F" w:rsidRDefault="0083040F" w:rsidP="00D96B7D">
      <w:pPr>
        <w:pStyle w:val="Heading2"/>
      </w:pPr>
      <w:bookmarkStart w:id="5" w:name="_Toc233044126"/>
      <w:r>
        <w:t>4.2 Hofstede (Japan Cultural Profile)</w:t>
      </w:r>
      <w:bookmarkEnd w:id="5"/>
    </w:p>
    <w:p w14:paraId="26DC52F7" w14:textId="77777777" w:rsidR="0083040F" w:rsidRDefault="0083040F" w:rsidP="0083040F">
      <w:pPr>
        <w:spacing w:after="120"/>
      </w:pPr>
      <w:r>
        <w:t>Hofstede, Hofstede and Minkov (2010) provide a national-culture lens that can help explain why characteristics often associated with Japanese management - long-term orientation, collective responsibility and discomfort with uncertainty - appear compatible with Toyota’s emphasis on standardisation, teamwork and continuous improvement. The Japan country profile published by The Culture Factor Group (2025) provides useful background for understanding this historical context.</w:t>
      </w:r>
    </w:p>
    <w:p w14:paraId="39C2DE2C" w14:textId="49560FB4" w:rsidR="0083040F" w:rsidRDefault="00D96B7D" w:rsidP="0083040F">
      <w:pPr>
        <w:spacing w:after="120"/>
      </w:pPr>
      <w:r>
        <w:t>However, Hofstede should not be used to equate Japanese national culture with Toyota’s organisational culture. Toyota operates across many countries and employs people from multiple national backgrounds. It also contains occupational and operational subcultures. McSweeney (2002) cautions against treating national averages as if they determine individual or organisational behaviour. National profiles can offer context, but they cannot prove that a particular Toyota practice is caused by national culture.</w:t>
      </w:r>
    </w:p>
    <w:p w14:paraId="533B761B" w14:textId="4F89F787" w:rsidR="0083040F" w:rsidRDefault="00D96B7D" w:rsidP="0083040F">
      <w:pPr>
        <w:spacing w:after="120"/>
      </w:pPr>
      <w:r>
        <w:t>The most defensible interpretation is that Toyota has selectively institutionalised practices that are compatible with some Japanese cultural tendencies, while also applying them across global operations through common production and management systems. Toyota’s own guiding principles explicitly refer to respecting local cultures while developing individual creativity, teamwork, trust and respect (TMC, n.d.-c). Hofstede is therefore a supporting lens rather than the main diagnostic tool.</w:t>
      </w:r>
    </w:p>
    <w:p w14:paraId="37D23383" w14:textId="77777777" w:rsidR="001C45ED" w:rsidRDefault="001C45ED" w:rsidP="001C45ED">
      <w:pPr>
        <w:keepNext/>
        <w:keepLines/>
        <w:jc w:val="center"/>
      </w:pPr>
      <w:r w:rsidRPr="001C45ED">
        <w:rPr>
          <w:noProof/>
        </w:rPr>
        <w:drawing>
          <wp:inline distT="0" distB="0" distL="0" distR="0" wp14:anchorId="3913D959" wp14:editId="394DB063">
            <wp:extent cx="5150450" cy="2380891"/>
            <wp:effectExtent l="0" t="0" r="0" b="635"/>
            <wp:docPr id="5" name="Picture 5" descr="Bar chart showing Japan’s Hofstede cultural-dimension scores: power distance 54, individualism 62, achievement and success 95, uncertainty avoidance 92, long-term orientation 100, and indulgence 42." title="Japan cultural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52577" cy="2381874"/>
                    </a:xfrm>
                    <a:prstGeom prst="rect">
                      <a:avLst/>
                    </a:prstGeom>
                  </pic:spPr>
                </pic:pic>
              </a:graphicData>
            </a:graphic>
          </wp:inline>
        </w:drawing>
      </w:r>
    </w:p>
    <w:p w14:paraId="7AE9CC82" w14:textId="69F6A510" w:rsidR="001C45ED" w:rsidRDefault="001C45ED" w:rsidP="001C45ED">
      <w:pPr>
        <w:pStyle w:val="Caption"/>
        <w:keepNext/>
        <w:keepLines/>
        <w:jc w:val="center"/>
      </w:pPr>
      <w:r>
        <w:t>Figure 4: Japan Cultural Profile</w:t>
      </w:r>
    </w:p>
    <w:p w14:paraId="57458EB2" w14:textId="5FDDBA62" w:rsidR="001C45ED" w:rsidRPr="001C45ED" w:rsidRDefault="001C45ED" w:rsidP="001C45ED">
      <w:pPr>
        <w:keepLines/>
        <w:spacing w:after="120" w:line="240" w:lineRule="auto"/>
        <w:jc w:val="center"/>
      </w:pPr>
      <w:r>
        <w:rPr>
          <w:sz w:val="20"/>
        </w:rPr>
        <w:t>Source: The Culture Factor Group (2025); national context interpreted with caution using McSweeney (2002).</w:t>
      </w:r>
    </w:p>
    <w:p w14:paraId="06141F4B" w14:textId="364759A6" w:rsidR="008D1910" w:rsidRDefault="008D1910" w:rsidP="008D1910">
      <w:pPr>
        <w:pStyle w:val="Caption"/>
        <w:keepNext/>
        <w:keepLines/>
      </w:pPr>
      <w:r>
        <w:t>Table 3: Hofstede’s Dimensions and Toyota: A Cautious Interpretation</w:t>
      </w:r>
    </w:p>
    <w:tbl>
      <w:tblPr>
        <w:tblStyle w:val="GridTable5Dark-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37"/>
        <w:gridCol w:w="2764"/>
        <w:gridCol w:w="3929"/>
      </w:tblGrid>
      <w:tr w:rsidR="008D1910" w:rsidRPr="008D1910" w14:paraId="6C6E7701" w14:textId="77777777" w:rsidTr="008D1910">
        <w:trPr>
          <w:cnfStyle w:val="100000000000" w:firstRow="1" w:lastRow="0" w:firstColumn="0" w:lastColumn="0" w:oddVBand="0" w:evenVBand="0" w:oddHBand="0" w:evenHBand="0" w:firstRowFirstColumn="0" w:firstRowLastColumn="0" w:lastRowFirstColumn="0" w:lastRowLastColumn="0"/>
          <w:jc w:val="center"/>
          <w:tblHeader w:val="true"/>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vAlign w:val="center"/>
            <w:hideMark/>
          </w:tcPr>
          <w:p w14:paraId="4A573D8B" w14:textId="77777777" w:rsidR="008D1910" w:rsidRPr="008D1910" w:rsidRDefault="008D1910" w:rsidP="008D1910">
            <w:pPr>
              <w:spacing w:line="240" w:lineRule="auto"/>
              <w:jc w:val="left"/>
            </w:pPr>
            <w:r>
              <w:rPr>
                <w:sz w:val="21"/>
              </w:rPr>
              <w:t>Hofstede Dimension</w:t>
            </w:r>
          </w:p>
        </w:tc>
        <w:tc>
          <w:tcPr>
            <w:tcW w:w="0" w:type="auto"/>
            <w:tcBorders>
              <w:top w:val="none" w:sz="0" w:space="0" w:color="auto"/>
              <w:left w:val="none" w:sz="0" w:space="0" w:color="auto"/>
              <w:right w:val="none" w:sz="0" w:space="0" w:color="auto"/>
            </w:tcBorders>
            <w:vAlign w:val="center"/>
            <w:hideMark/>
          </w:tcPr>
          <w:p w14:paraId="0FE0D4DE" w14:textId="77777777" w:rsidR="008D1910" w:rsidRPr="008D1910" w:rsidRDefault="008D1910" w:rsidP="008D1910">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Possible Japanese Context</w:t>
            </w:r>
          </w:p>
        </w:tc>
        <w:tc>
          <w:tcPr>
            <w:tcW w:w="0" w:type="auto"/>
            <w:tcBorders>
              <w:top w:val="none" w:sz="0" w:space="0" w:color="auto"/>
              <w:left w:val="none" w:sz="0" w:space="0" w:color="auto"/>
              <w:right w:val="none" w:sz="0" w:space="0" w:color="auto"/>
            </w:tcBorders>
            <w:vAlign w:val="center"/>
            <w:hideMark/>
          </w:tcPr>
          <w:p w14:paraId="3F52F42F" w14:textId="77777777" w:rsidR="008D1910" w:rsidRPr="008D1910" w:rsidRDefault="008D1910" w:rsidP="008D1910">
            <w:pPr>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Cautious Interpretation for Toyota</w:t>
            </w:r>
          </w:p>
        </w:tc>
      </w:tr>
      <w:tr w:rsidR="008D1910" w:rsidRPr="008D1910" w14:paraId="60059470" w14:textId="77777777" w:rsidTr="008D19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64D84996" w14:textId="77777777" w:rsidR="008D1910" w:rsidRPr="008D1910" w:rsidRDefault="008D1910" w:rsidP="008D1910">
            <w:pPr>
              <w:spacing w:line="240" w:lineRule="auto"/>
              <w:jc w:val="left"/>
            </w:pPr>
            <w:r>
              <w:rPr>
                <w:b w:val="0"/>
                <w:sz w:val="21"/>
              </w:rPr>
              <w:t>Long-term orientation</w:t>
            </w:r>
          </w:p>
        </w:tc>
        <w:tc>
          <w:tcPr>
            <w:tcW w:w="0" w:type="auto"/>
            <w:vAlign w:val="center"/>
            <w:hideMark/>
          </w:tcPr>
          <w:p w14:paraId="588BF2CE" w14:textId="77777777" w:rsidR="008D1910" w:rsidRPr="008D1910" w:rsidRDefault="008D1910" w:rsidP="008D1910">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Persistence and future-oriented improvement.</w:t>
            </w:r>
          </w:p>
        </w:tc>
        <w:tc>
          <w:tcPr>
            <w:tcW w:w="0" w:type="auto"/>
            <w:vAlign w:val="center"/>
            <w:hideMark/>
          </w:tcPr>
          <w:p w14:paraId="0BEEB795" w14:textId="77777777" w:rsidR="008D1910" w:rsidRPr="008D1910" w:rsidRDefault="008D1910" w:rsidP="008D1910">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Compatible with continuous improvement, but practices are applied globally.</w:t>
            </w:r>
          </w:p>
        </w:tc>
      </w:tr>
      <w:tr w:rsidR="008D1910" w:rsidRPr="008D1910" w14:paraId="0EC88611" w14:textId="77777777" w:rsidTr="008D1910">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511C6733" w14:textId="77777777" w:rsidR="008D1910" w:rsidRPr="008D1910" w:rsidRDefault="008D1910" w:rsidP="008D1910">
            <w:pPr>
              <w:spacing w:line="240" w:lineRule="auto"/>
              <w:jc w:val="left"/>
            </w:pPr>
            <w:r>
              <w:rPr>
                <w:b w:val="0"/>
                <w:sz w:val="21"/>
              </w:rPr>
              <w:t>Uncertainty avoidance</w:t>
            </w:r>
          </w:p>
        </w:tc>
        <w:tc>
          <w:tcPr>
            <w:tcW w:w="0" w:type="auto"/>
            <w:vAlign w:val="center"/>
            <w:hideMark/>
          </w:tcPr>
          <w:p w14:paraId="49AFF98D" w14:textId="77777777" w:rsidR="008D1910" w:rsidRPr="008D1910" w:rsidRDefault="008D1910" w:rsidP="008D1910">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Preference for clarity and structured procedures.</w:t>
            </w:r>
          </w:p>
        </w:tc>
        <w:tc>
          <w:tcPr>
            <w:tcW w:w="0" w:type="auto"/>
            <w:vAlign w:val="center"/>
            <w:hideMark/>
          </w:tcPr>
          <w:p w14:paraId="7F0570E2" w14:textId="77777777" w:rsidR="008D1910" w:rsidRPr="008D1910" w:rsidRDefault="008D1910" w:rsidP="008D1910">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Compatible with standard work; it is not the sole explanation for TPS.</w:t>
            </w:r>
          </w:p>
        </w:tc>
      </w:tr>
      <w:tr w:rsidR="008D1910" w:rsidRPr="008D1910" w14:paraId="4E41A3FD" w14:textId="77777777" w:rsidTr="008D191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3DCBE64F" w14:textId="77777777" w:rsidR="008D1910" w:rsidRPr="008D1910" w:rsidRDefault="008D1910" w:rsidP="008D1910">
            <w:pPr>
              <w:spacing w:line="240" w:lineRule="auto"/>
              <w:jc w:val="left"/>
            </w:pPr>
            <w:r>
              <w:rPr>
                <w:b w:val="0"/>
                <w:sz w:val="21"/>
              </w:rPr>
              <w:t>Individualism / collectivism</w:t>
            </w:r>
          </w:p>
        </w:tc>
        <w:tc>
          <w:tcPr>
            <w:tcW w:w="0" w:type="auto"/>
            <w:vAlign w:val="center"/>
            <w:hideMark/>
          </w:tcPr>
          <w:p w14:paraId="524F3E03" w14:textId="77777777" w:rsidR="008D1910" w:rsidRPr="008D1910" w:rsidRDefault="008D1910" w:rsidP="008D1910">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Collective responsibility and group coordination.</w:t>
            </w:r>
          </w:p>
        </w:tc>
        <w:tc>
          <w:tcPr>
            <w:tcW w:w="0" w:type="auto"/>
            <w:vAlign w:val="center"/>
            <w:hideMark/>
          </w:tcPr>
          <w:p w14:paraId="450AE6B6" w14:textId="77777777" w:rsidR="008D1910" w:rsidRPr="008D1910" w:rsidRDefault="008D1910" w:rsidP="008D1910">
            <w:pPr>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Compatible with teamwork and employee contribution.</w:t>
            </w:r>
          </w:p>
        </w:tc>
      </w:tr>
      <w:tr w:rsidR="008D1910" w:rsidRPr="008D1910" w14:paraId="308102A4" w14:textId="77777777" w:rsidTr="008D1910">
        <w:trPr>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vAlign w:val="center"/>
            <w:hideMark/>
          </w:tcPr>
          <w:p w14:paraId="473D12E0" w14:textId="77777777" w:rsidR="008D1910" w:rsidRPr="008D1910" w:rsidRDefault="008D1910" w:rsidP="008D1910">
            <w:pPr>
              <w:spacing w:line="240" w:lineRule="auto"/>
              <w:jc w:val="left"/>
            </w:pPr>
            <w:r>
              <w:rPr>
                <w:b w:val="0"/>
                <w:sz w:val="21"/>
              </w:rPr>
              <w:t>Power distance</w:t>
            </w:r>
          </w:p>
        </w:tc>
        <w:tc>
          <w:tcPr>
            <w:tcW w:w="0" w:type="auto"/>
            <w:vAlign w:val="center"/>
            <w:hideMark/>
          </w:tcPr>
          <w:p w14:paraId="0D09FFC8" w14:textId="77777777" w:rsidR="008D1910" w:rsidRPr="008D1910" w:rsidRDefault="008D1910" w:rsidP="008D1910">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Formal hierarchy and respect for authority.</w:t>
            </w:r>
          </w:p>
        </w:tc>
        <w:tc>
          <w:tcPr>
            <w:tcW w:w="0" w:type="auto"/>
            <w:vAlign w:val="center"/>
            <w:hideMark/>
          </w:tcPr>
          <w:p w14:paraId="53A65E6B" w14:textId="77777777" w:rsidR="008D1910" w:rsidRPr="008D1910" w:rsidRDefault="008D1910" w:rsidP="008D1910">
            <w:pPr>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Strategic control coexists with local problem solving.</w:t>
            </w:r>
          </w:p>
        </w:tc>
      </w:tr>
    </w:tbl>
    <w:p w14:paraId="139F0C01" w14:textId="77777777" w:rsidR="009338F9" w:rsidRDefault="00DE0B79">
      <w:pPr>
        <w:keepLines/>
        <w:spacing w:after="120" w:line="240" w:lineRule="auto"/>
        <w:jc w:val="left"/>
      </w:pPr>
      <w:r>
        <w:rPr>
          <w:sz w:val="20"/>
        </w:rPr>
        <w:t>Source: Author’s own cautious application based on Hofstede, Hofstede and Minkov (2010), McSweeney (2002) and TMC (n.d.-c).</w:t>
      </w:r>
    </w:p>
    <w:p w14:paraId="4E9D2871" w14:textId="77777777" w:rsidR="008D1910" w:rsidRDefault="008D1910" w:rsidP="0083040F"/>
    <w:p w14:paraId="3B87AF50" w14:textId="057F9A6A" w:rsidR="0083040F" w:rsidRDefault="0083040F" w:rsidP="00D96B7D">
      <w:pPr>
        <w:pStyle w:val="Heading2"/>
      </w:pPr>
      <w:bookmarkStart w:id="6" w:name="_Toc233044127"/>
      <w:r>
        <w:t>4.3 Handy’s Culture Type</w:t>
      </w:r>
      <w:bookmarkEnd w:id="6"/>
      <w:r>
        <w:t xml:space="preserve"> </w:t>
      </w:r>
    </w:p>
    <w:p w14:paraId="5F5D7391" w14:textId="34C6051B" w:rsidR="0083040F" w:rsidRDefault="0083040F" w:rsidP="0083040F">
      <w:pPr>
        <w:spacing w:after="120"/>
      </w:pPr>
      <w:r>
        <w:t xml:space="preserve">Handy’s (1993) cultural typology categorises organisations as power, role, task or person cultures. Toyota is best described as predominantly a role culture, because responsibilities, </w:t>
      </w:r>
      <w:r>
        <w:lastRenderedPageBreak/>
        <w:t>procedures, escalation routes and performance standards are clearly defined. This provides predictability, coordination and quality control in a complex manufacturing system. A role-culture interpretation is particularly visible in standardised work, formal quality processes and the importance of common operating methods.</w:t>
      </w:r>
    </w:p>
    <w:p w14:paraId="40A03BE3" w14:textId="58AAC77F" w:rsidR="0083040F" w:rsidRDefault="00D96B7D" w:rsidP="0083040F">
      <w:pPr>
        <w:spacing w:after="120"/>
      </w:pPr>
      <w:r>
        <w:t>Yet Toyota also displays features of task culture. Kaizen activities and cross-functional problem-solving bring employees together around a specific operational challenge, allowing expertise rather than hierarchy alone to shape the solution. In addition, senior leadership retains substantial influence over long-term direction, so a limited element of power culture also exists. The prevailing culture is therefore hybrid rather than pure: a role culture forms the stable operating core, while task-culture practices enable continuous improvement (Handy, 1993; Spear and Bowen, 1999).</w:t>
      </w:r>
    </w:p>
    <w:p w14:paraId="308B4743" w14:textId="15CFF218" w:rsidR="0083040F" w:rsidRDefault="0083040F" w:rsidP="00D96B7D">
      <w:pPr>
        <w:spacing w:after="120"/>
        <w:ind w:firstLine="720"/>
      </w:pPr>
      <w:r>
        <w:t>Handy’s model is simple and accessible, but that simplicity is its limitation. It does not fully capture global supply networks, digital ecosystems or the difference between operational and strategic work. Consequently, it is best used as a concise classification tool. Schein provides deeper insight into values and assumptions, while Hofstede provides limited national context.</w:t>
      </w:r>
    </w:p>
    <w:p w14:paraId="3E8BCCED" w14:textId="77777777" w:rsidR="000F6CA5" w:rsidRDefault="000F6CA5" w:rsidP="000F6CA5">
      <w:pPr>
        <w:keepNext/>
        <w:keepLines/>
        <w:jc w:val="center"/>
      </w:pPr>
      <w:r>
        <w:rPr>
          <w:noProof/>
        </w:rPr>
        <w:drawing>
          <wp:inline distT="0" distB="0" distL="0" distR="0" wp14:anchorId="7F5B56A0" wp14:editId="570C0A88">
            <wp:extent cx="4318690" cy="2321368"/>
            <wp:effectExtent l="0" t="0" r="2540" b="0"/>
            <wp:docPr id="7" name="Picture 7" descr="Handy Model of Organisational Cultur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andy Model of Organisational Culture - Toolshero"/>
                    <pic:cNvPicPr>
                      <a:picLocks noChangeAspect="1" noChangeArrowheads="1"/>
                    </pic:cNvPicPr>
                  </pic:nvPicPr>
                  <pic:blipFill rotWithShape="1">
                    <a:blip r:embed="rId12">
                      <a:extLst>
                        <a:ext uri="{28A0092B-C50C-407E-A947-70E740481C1C}">
                          <a14:useLocalDpi xmlns:a14="http://schemas.microsoft.com/office/drawing/2010/main" val="0"/>
                        </a:ext>
                      </a:extLst>
                    </a:blip>
                    <a:srcRect t="15809" b="12523"/>
                    <a:stretch/>
                  </pic:blipFill>
                  <pic:spPr bwMode="auto">
                    <a:xfrm>
                      <a:off x="0" y="0"/>
                      <a:ext cx="4318690" cy="2321368"/>
                    </a:xfrm>
                    <a:prstGeom prst="rect">
                      <a:avLst/>
                    </a:prstGeom>
                    <a:noFill/>
                    <a:ln>
                      <a:noFill/>
                    </a:ln>
                    <a:extLst>
                      <a:ext uri="{53640926-AAD7-44D8-BBD7-CCE9431645EC}">
                        <a14:shadowObscured xmlns:a14="http://schemas.microsoft.com/office/drawing/2010/main"/>
                      </a:ext>
                    </a:extLst>
                  </pic:spPr>
                </pic:pic>
              </a:graphicData>
            </a:graphic>
          </wp:inline>
        </w:drawing>
      </w:r>
    </w:p>
    <w:p w14:paraId="65873824" w14:textId="42F992F5" w:rsidR="000F6CA5" w:rsidRDefault="000F6CA5" w:rsidP="000F6CA5">
      <w:pPr>
        <w:pStyle w:val="Caption"/>
        <w:keepNext/>
        <w:keepLines/>
        <w:jc w:val="center"/>
      </w:pPr>
      <w:r>
        <w:t>Figure 5: Handy’s Model of Organisational Culture</w:t>
      </w:r>
    </w:p>
    <w:p w14:paraId="7B878EC7" w14:textId="777A2844" w:rsidR="000F6CA5" w:rsidRPr="000F6CA5" w:rsidRDefault="000F6CA5" w:rsidP="000F6CA5">
      <w:pPr>
        <w:keepLines/>
        <w:spacing w:after="120" w:line="240" w:lineRule="auto"/>
        <w:jc w:val="center"/>
      </w:pPr>
      <w:r>
        <w:rPr>
          <w:sz w:val="20"/>
        </w:rPr>
        <w:t>Source: Mulder (2023), based on Handy (1993).</w:t>
      </w:r>
    </w:p>
    <w:p w14:paraId="0ED07E0A" w14:textId="77777777" w:rsidR="00D96B7D" w:rsidRDefault="00D96B7D" w:rsidP="00D96B7D">
      <w:pPr>
        <w:pStyle w:val="Heading1"/>
      </w:pPr>
      <w:bookmarkStart w:id="7" w:name="_Toc233044128"/>
      <w:r w:rsidRPr="00D96B7D">
        <w:lastRenderedPageBreak/>
        <w:t>5. Culture and External Environment</w:t>
      </w:r>
      <w:bookmarkEnd w:id="7"/>
      <w:r w:rsidRPr="00D96B7D">
        <w:t xml:space="preserve"> </w:t>
      </w:r>
    </w:p>
    <w:p w14:paraId="49911BFC" w14:textId="5A9E87E7" w:rsidR="0083040F" w:rsidRDefault="0083040F" w:rsidP="0083040F">
      <w:pPr>
        <w:spacing w:after="120"/>
      </w:pPr>
      <w:r>
        <w:t>Toyota operates in an automotive environment shaped by electrification, software-defined vehicles, global competition and supply-chain uncertainty. The IEA (2025) identifies battery supply chains, charging infrastructure, policy developments and changing competitive conditions as major forces shaping the electric-vehicle transition. These pressures require technical investment, organisational learning and faster resource reallocation.</w:t>
      </w:r>
    </w:p>
    <w:p w14:paraId="0A506FF9" w14:textId="77D38DA7" w:rsidR="0083040F" w:rsidRDefault="00D96B7D" w:rsidP="0083040F">
      <w:pPr>
        <w:spacing w:after="120"/>
      </w:pPr>
      <w:r>
        <w:t>Toyota’s culture supports adaptation through Kaizen, direct observation and fact-based problem solving. Dyer and Nobeoka’s (2000) Toyota case shows how knowledge-sharing routines diffuse learning across organisational boundaries. Woven City officially launched in September 2025 as a test course for mobility, providing a protected setting for new technologies and services to be tested in use (TMC, 2025b).</w:t>
      </w:r>
    </w:p>
    <w:p w14:paraId="3A120664" w14:textId="77CECD19" w:rsidR="0083040F" w:rsidRDefault="00D96B7D" w:rsidP="0083040F">
      <w:pPr>
        <w:spacing w:after="120"/>
      </w:pPr>
      <w:r>
        <w:t>However, external adaptation is not identical to incremental improvement. Electrification and digital mobility can demand new capabilities, partnerships and business models. Toyota Battery Manufacturing North Carolina began shipping batteries in June 2025 and is expected to operate 14 production lines when full capacity is reached, supporting hybrid, battery-electric and plug-in hybrid vehicles (Toyota Motor North America, 2025). March (1991) warns that over-reliance on exploitation may restrict exploration, while O’Reilly and Tushman (2013) argue that mature organisations need both. Just-in-Time also reduces waste but low buffers can expose critical components; resilience requires selective buffers, visibility and alternative capacity (Ivanov and Dolgui, 2020).</w:t>
      </w:r>
    </w:p>
    <w:p w14:paraId="3F859B94" w14:textId="03744E0E" w:rsidR="008D1910" w:rsidRDefault="008D1910" w:rsidP="008D1910">
      <w:pPr>
        <w:pStyle w:val="Caption"/>
        <w:keepNext/>
        <w:keepLines/>
      </w:pPr>
      <w:r>
        <w:t>Table 4: Toyota Culture as an Enabler and Potential Barrier</w:t>
      </w:r>
    </w:p>
    <w:tbl>
      <w:tblPr>
        <w:tblStyle w:val="GridTable5Dark-Accent6"/>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10"/>
        <w:gridCol w:w="2805"/>
        <w:gridCol w:w="3815"/>
      </w:tblGrid>
      <w:tr w:rsidR="008D1910" w:rsidRPr="008D1910" w14:paraId="229CBA52" w14:textId="77777777" w:rsidTr="008D1910">
        <w:trPr>
          <w:cnfStyle w:val="100000000000" w:firstRow="1" w:lastRow="0" w:firstColumn="0" w:lastColumn="0" w:oddVBand="0" w:evenVBand="0" w:oddHBand="0" w:evenHBand="0" w:firstRowFirstColumn="0" w:firstRowLastColumn="0" w:lastRowFirstColumn="0" w:lastRowLastColumn="0"/>
          <w:cantSplit/>
          <w:jc w:val="center"/>
          <w:tblHeader w:val="true"/>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vAlign w:val="center"/>
            <w:hideMark/>
          </w:tcPr>
          <w:p w14:paraId="63D129E9" w14:textId="77777777" w:rsidR="008D1910" w:rsidRPr="008D1910" w:rsidRDefault="008D1910" w:rsidP="008D1910">
            <w:pPr>
              <w:keepNext/>
              <w:keepLines/>
              <w:spacing w:line="240" w:lineRule="auto"/>
              <w:jc w:val="left"/>
            </w:pPr>
            <w:r>
              <w:rPr>
                <w:sz w:val="21"/>
              </w:rPr>
              <w:t>Cultural Mechanism</w:t>
            </w:r>
          </w:p>
        </w:tc>
        <w:tc>
          <w:tcPr>
            <w:tcW w:w="0" w:type="auto"/>
            <w:tcBorders>
              <w:top w:val="none" w:sz="0" w:space="0" w:color="auto"/>
              <w:left w:val="none" w:sz="0" w:space="0" w:color="auto"/>
              <w:right w:val="none" w:sz="0" w:space="0" w:color="auto"/>
            </w:tcBorders>
            <w:vAlign w:val="center"/>
            <w:hideMark/>
          </w:tcPr>
          <w:p w14:paraId="6A41B672" w14:textId="77777777" w:rsidR="008D1910" w:rsidRPr="008D1910" w:rsidRDefault="008D1910" w:rsidP="008D1910">
            <w:pPr>
              <w:keepNext/>
              <w:keepLines/>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Enabling Effect</w:t>
            </w:r>
          </w:p>
        </w:tc>
        <w:tc>
          <w:tcPr>
            <w:tcW w:w="0" w:type="auto"/>
            <w:tcBorders>
              <w:top w:val="none" w:sz="0" w:space="0" w:color="auto"/>
              <w:left w:val="none" w:sz="0" w:space="0" w:color="auto"/>
              <w:right w:val="none" w:sz="0" w:space="0" w:color="auto"/>
            </w:tcBorders>
            <w:vAlign w:val="center"/>
            <w:hideMark/>
          </w:tcPr>
          <w:p w14:paraId="76011558" w14:textId="77777777" w:rsidR="008D1910" w:rsidRPr="008D1910" w:rsidRDefault="008D1910" w:rsidP="008D1910">
            <w:pPr>
              <w:keepNext/>
              <w:keepLines/>
              <w:spacing w:line="240" w:lineRule="auto"/>
              <w:jc w:val="left"/>
              <w:cnfStyle w:val="100000000000" w:firstRow="1" w:lastRow="0" w:firstColumn="0" w:lastColumn="0" w:oddVBand="0" w:evenVBand="0" w:oddHBand="0" w:evenHBand="0" w:firstRowFirstColumn="0" w:firstRowLastColumn="0" w:lastRowFirstColumn="0" w:lastRowLastColumn="0"/>
            </w:pPr>
            <w:r>
              <w:rPr>
                <w:sz w:val="21"/>
              </w:rPr>
              <w:t>Potential Risk</w:t>
            </w:r>
          </w:p>
        </w:tc>
      </w:tr>
      <w:tr w:rsidR="008D1910" w:rsidRPr="008D1910" w14:paraId="77019038" w14:textId="77777777" w:rsidTr="008D1910">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71A49E3F" w14:textId="77777777" w:rsidR="008D1910" w:rsidRPr="008D1910" w:rsidRDefault="008D1910" w:rsidP="008D1910">
            <w:pPr>
              <w:keepNext/>
              <w:keepLines/>
              <w:spacing w:line="240" w:lineRule="auto"/>
              <w:jc w:val="left"/>
            </w:pPr>
            <w:r>
              <w:rPr>
                <w:b w:val="0"/>
                <w:sz w:val="21"/>
              </w:rPr>
              <w:t>Standardisation</w:t>
            </w:r>
          </w:p>
        </w:tc>
        <w:tc>
          <w:tcPr>
            <w:tcW w:w="0" w:type="auto"/>
            <w:vAlign w:val="center"/>
            <w:hideMark/>
          </w:tcPr>
          <w:p w14:paraId="5357DB82" w14:textId="77777777" w:rsidR="008D1910" w:rsidRPr="008D1910" w:rsidRDefault="008D1910" w:rsidP="008D1910">
            <w:pPr>
              <w:keepNext/>
              <w:keepLines/>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Stable quality, coordination and repeatability.</w:t>
            </w:r>
          </w:p>
        </w:tc>
        <w:tc>
          <w:tcPr>
            <w:tcW w:w="0" w:type="auto"/>
            <w:vAlign w:val="center"/>
            <w:hideMark/>
          </w:tcPr>
          <w:p w14:paraId="6C8CF78B" w14:textId="77777777" w:rsidR="008D1910" w:rsidRPr="008D1910" w:rsidRDefault="008D1910" w:rsidP="008D1910">
            <w:pPr>
              <w:keepNext/>
              <w:keepLines/>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May favour familiar solutions when technologies change quickly.</w:t>
            </w:r>
          </w:p>
        </w:tc>
      </w:tr>
      <w:tr w:rsidR="008D1910" w:rsidRPr="008D1910" w14:paraId="249092B7" w14:textId="77777777" w:rsidTr="008D1910">
        <w:trPr>
          <w:cantSplit/>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1206B6F2" w14:textId="77777777" w:rsidR="008D1910" w:rsidRPr="008D1910" w:rsidRDefault="008D1910" w:rsidP="008D1910">
            <w:pPr>
              <w:keepNext/>
              <w:keepLines/>
              <w:spacing w:line="240" w:lineRule="auto"/>
              <w:jc w:val="left"/>
            </w:pPr>
            <w:r>
              <w:rPr>
                <w:b w:val="0"/>
                <w:sz w:val="21"/>
              </w:rPr>
              <w:t>Kaizen</w:t>
            </w:r>
          </w:p>
        </w:tc>
        <w:tc>
          <w:tcPr>
            <w:tcW w:w="0" w:type="auto"/>
            <w:vAlign w:val="center"/>
            <w:hideMark/>
          </w:tcPr>
          <w:p w14:paraId="26A52C78" w14:textId="77777777" w:rsidR="008D1910" w:rsidRPr="008D1910" w:rsidRDefault="008D1910" w:rsidP="008D1910">
            <w:pPr>
              <w:keepNext/>
              <w:keepLines/>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Continuous learning and waste reduction.</w:t>
            </w:r>
          </w:p>
        </w:tc>
        <w:tc>
          <w:tcPr>
            <w:tcW w:w="0" w:type="auto"/>
            <w:vAlign w:val="center"/>
            <w:hideMark/>
          </w:tcPr>
          <w:p w14:paraId="29A7C72B" w14:textId="77777777" w:rsidR="008D1910" w:rsidRPr="008D1910" w:rsidRDefault="008D1910" w:rsidP="008D1910">
            <w:pPr>
              <w:keepNext/>
              <w:keepLines/>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May over-emphasise exploitation over exploration.</w:t>
            </w:r>
          </w:p>
        </w:tc>
      </w:tr>
      <w:tr w:rsidR="008D1910" w:rsidRPr="008D1910" w14:paraId="753E8E95" w14:textId="77777777" w:rsidTr="008D1910">
        <w:trPr>
          <w:cnfStyle w:val="000000100000" w:firstRow="0" w:lastRow="0" w:firstColumn="0" w:lastColumn="0" w:oddVBand="0" w:evenVBand="0" w:oddHBand="1" w:evenHBand="0" w:firstRowFirstColumn="0" w:firstRowLastColumn="0" w:lastRowFirstColumn="0" w:lastRowLastColumn="0"/>
          <w:cantSplit/>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59594501" w14:textId="77777777" w:rsidR="008D1910" w:rsidRPr="008D1910" w:rsidRDefault="008D1910" w:rsidP="008D1910">
            <w:pPr>
              <w:keepNext/>
              <w:keepLines/>
              <w:spacing w:line="240" w:lineRule="auto"/>
              <w:jc w:val="left"/>
            </w:pPr>
            <w:r>
              <w:rPr>
                <w:b w:val="0"/>
                <w:sz w:val="21"/>
              </w:rPr>
              <w:t>Cross-functional alignment</w:t>
            </w:r>
          </w:p>
        </w:tc>
        <w:tc>
          <w:tcPr>
            <w:tcW w:w="0" w:type="auto"/>
            <w:vAlign w:val="center"/>
            <w:hideMark/>
          </w:tcPr>
          <w:p w14:paraId="50B91EFD" w14:textId="77777777" w:rsidR="008D1910" w:rsidRPr="008D1910" w:rsidRDefault="008D1910" w:rsidP="008D1910">
            <w:pPr>
              <w:keepNext/>
              <w:keepLines/>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Shared understanding and implementation.</w:t>
            </w:r>
          </w:p>
        </w:tc>
        <w:tc>
          <w:tcPr>
            <w:tcW w:w="0" w:type="auto"/>
            <w:vAlign w:val="center"/>
            <w:hideMark/>
          </w:tcPr>
          <w:p w14:paraId="68E6B1C4" w14:textId="77777777" w:rsidR="008D1910" w:rsidRPr="008D1910" w:rsidRDefault="008D1910" w:rsidP="008D1910">
            <w:pPr>
              <w:keepNext/>
              <w:keepLines/>
              <w:spacing w:line="240" w:lineRule="auto"/>
              <w:jc w:val="left"/>
              <w:cnfStyle w:val="000000100000" w:firstRow="0" w:lastRow="0" w:firstColumn="0" w:lastColumn="0" w:oddVBand="0" w:evenVBand="0" w:oddHBand="1" w:evenHBand="0" w:firstRowFirstColumn="0" w:firstRowLastColumn="0" w:lastRowFirstColumn="0" w:lastRowLastColumn="0"/>
            </w:pPr>
            <w:r>
              <w:rPr>
                <w:sz w:val="21"/>
              </w:rPr>
              <w:t>May slow time-critical experiments if all decisions follow the same route.</w:t>
            </w:r>
          </w:p>
        </w:tc>
      </w:tr>
      <w:tr w:rsidR="008D1910" w:rsidRPr="008D1910" w14:paraId="42D0F29D" w14:textId="77777777" w:rsidTr="008D1910">
        <w:trPr>
          <w:cantSplit/>
          <w:jc w:val="center"/>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vAlign w:val="center"/>
            <w:hideMark/>
          </w:tcPr>
          <w:p w14:paraId="7BF0D6EC" w14:textId="77777777" w:rsidR="008D1910" w:rsidRPr="008D1910" w:rsidRDefault="008D1910" w:rsidP="008D1910">
            <w:pPr>
              <w:keepLines/>
              <w:spacing w:line="240" w:lineRule="auto"/>
              <w:jc w:val="left"/>
            </w:pPr>
            <w:r>
              <w:rPr>
                <w:b w:val="0"/>
                <w:sz w:val="21"/>
              </w:rPr>
              <w:t>Just-in-Time</w:t>
            </w:r>
          </w:p>
        </w:tc>
        <w:tc>
          <w:tcPr>
            <w:tcW w:w="0" w:type="auto"/>
            <w:vAlign w:val="center"/>
            <w:hideMark/>
          </w:tcPr>
          <w:p w14:paraId="6172120B" w14:textId="77777777" w:rsidR="008D1910" w:rsidRPr="008D1910" w:rsidRDefault="008D1910" w:rsidP="008D1910">
            <w:pPr>
              <w:keepLines/>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Lower inventory and efficient flow.</w:t>
            </w:r>
          </w:p>
        </w:tc>
        <w:tc>
          <w:tcPr>
            <w:tcW w:w="0" w:type="auto"/>
            <w:vAlign w:val="center"/>
            <w:hideMark/>
          </w:tcPr>
          <w:p w14:paraId="702B2901" w14:textId="77777777" w:rsidR="008D1910" w:rsidRPr="008D1910" w:rsidRDefault="008D1910" w:rsidP="008D1910">
            <w:pPr>
              <w:keepLines/>
              <w:spacing w:line="240" w:lineRule="auto"/>
              <w:jc w:val="left"/>
              <w:cnfStyle w:val="000000000000" w:firstRow="0" w:lastRow="0" w:firstColumn="0" w:lastColumn="0" w:oddVBand="0" w:evenVBand="0" w:oddHBand="0" w:evenHBand="0" w:firstRowFirstColumn="0" w:firstRowLastColumn="0" w:lastRowFirstColumn="0" w:lastRowLastColumn="0"/>
            </w:pPr>
            <w:r>
              <w:rPr>
                <w:sz w:val="21"/>
              </w:rPr>
              <w:t>Low buffers can increase supply-shock exposure.</w:t>
            </w:r>
          </w:p>
        </w:tc>
      </w:tr>
    </w:tbl>
    <w:p w14:paraId="579C4905" w14:textId="77777777" w:rsidR="009338F9" w:rsidRDefault="00DE0B79">
      <w:pPr>
        <w:keepLines/>
        <w:spacing w:after="120" w:line="240" w:lineRule="auto"/>
        <w:jc w:val="left"/>
      </w:pPr>
      <w:r>
        <w:rPr>
          <w:sz w:val="20"/>
        </w:rPr>
        <w:t>Source: Author’s own analysis based on March (1991), O’Reilly and Tushman (2013) and Ivanov and Dolgui (2020).</w:t>
      </w:r>
    </w:p>
    <w:p w14:paraId="40FA4FFA" w14:textId="77777777" w:rsidR="008D1910" w:rsidRDefault="008D1910" w:rsidP="0083040F"/>
    <w:p w14:paraId="73CB56D8" w14:textId="2D5035F5" w:rsidR="0083040F" w:rsidRDefault="00D96B7D" w:rsidP="00D96B7D">
      <w:pPr>
        <w:pStyle w:val="Heading1"/>
      </w:pPr>
      <w:bookmarkStart w:id="8" w:name="_Toc233044129"/>
      <w:r w:rsidRPr="00D96B7D">
        <w:lastRenderedPageBreak/>
        <w:t>6. Organisational Culture as a Barrier</w:t>
      </w:r>
      <w:bookmarkEnd w:id="8"/>
    </w:p>
    <w:p w14:paraId="747FD460" w14:textId="47A76222" w:rsidR="00694392" w:rsidRDefault="0083040F" w:rsidP="00694392">
      <w:pPr>
        <w:spacing w:after="120"/>
      </w:pPr>
      <w:r>
        <w:t>Toyota’s culture should be assessed as both an enabler and a potential barrier, although it is more accurate to describe it as an enabler whose benefits depend on fit with the environment. It enables effective functioning because it connects employee involvement, standardisation, quality and learning. MacDuffie (1995) found that productivity and quality benefits in the automotive industry were stronger when human-resource practices were integrated with manufacturing systems rather than introduced separately.</w:t>
      </w:r>
    </w:p>
    <w:p w14:paraId="016BE7C8" w14:textId="0E281445" w:rsidR="0083040F" w:rsidRDefault="00694392" w:rsidP="00694392">
      <w:pPr>
        <w:spacing w:after="120"/>
      </w:pPr>
      <w:r>
        <w:t>The strongest enabling mechanisms are operational discipline, shared problem-solving language, quality at source and a willingness to make problems visible. These mechanisms reduce ambiguity in routine work and support reliable execution at scale. Adler, Goldoftas and Levine (1999) show that bureaucracy and standardisation do not inevitably prevent flexibility; when supported by training, trust and routines for changing routines, they can enable both efficiency and responsiveness.</w:t>
      </w:r>
    </w:p>
    <w:p w14:paraId="1BA9A3E1" w14:textId="6464884B" w:rsidR="0083040F" w:rsidRDefault="001051B7" w:rsidP="0083040F">
      <w:pPr>
        <w:spacing w:after="120"/>
      </w:pPr>
      <w:r>
        <w:t>The cultural risk occurs when a historically successful routine becomes difficult to question. An organisation that rewards certainty, process compliance and incremental gains may hesitate to fund unproven technologies or accept short-term inefficiency in exchange for long-term learning. This is the exploitation trap described by March (1991). The barrier is therefore not Kaizen or standardisation itself; it emerges when a culture designed for high-reliability operations is applied unchanged to decisions that require experimentation, speed and tolerance of failure. O’Reilly and Tushman (2013) describe the required response as organisational ambidexterity: maintaining established capabilities while exploring new technologies and markets.</w:t>
      </w:r>
    </w:p>
    <w:p w14:paraId="72925BAF" w14:textId="3444D4B0" w:rsidR="0083040F" w:rsidRDefault="0083040F" w:rsidP="001051B7">
      <w:pPr>
        <w:pStyle w:val="Heading1"/>
      </w:pPr>
      <w:bookmarkStart w:id="9" w:name="_Toc233044130"/>
      <w:r>
        <w:t>7. Impact of Cultur</w:t>
      </w:r>
      <w:r w:rsidR="001051B7">
        <w:t>e on Organisational Performance</w:t>
      </w:r>
      <w:bookmarkEnd w:id="9"/>
    </w:p>
    <w:p w14:paraId="73D4313F" w14:textId="77777777" w:rsidR="0083040F" w:rsidRDefault="0083040F" w:rsidP="0083040F">
      <w:pPr>
        <w:spacing w:after="120"/>
      </w:pPr>
      <w:r>
        <w:t xml:space="preserve">Organisational culture influences Toyota’s performance through several connected pathways. TPS supports operational performance by reducing defects, variation and waste while creating fast feedback at the point of production (Spear and Bowen, 1999). Employee involvement and problem-solving contribute to productivity and quality when they are integrated with the manufacturing system rather than treated as isolated human-resource initiatives (MacDuffie, 1995). Toyota’s knowledge-sharing routines can also strengthen </w:t>
      </w:r>
      <w:r>
        <w:lastRenderedPageBreak/>
        <w:t>learning beyond its own boundaries, including in relationships with suppliers (Dyer and Nobeoka, 2000).</w:t>
      </w:r>
    </w:p>
    <w:p w14:paraId="0E965A65" w14:textId="0CB2AD89" w:rsidR="0083040F" w:rsidRDefault="001051B7" w:rsidP="00BC3198">
      <w:pPr>
        <w:spacing w:after="120"/>
      </w:pPr>
      <w:r>
        <w:t>However, culture is not a single measurable cause of financial or market performance. Product design, technology choices, supply conditions, regulation, customer demand and competitive actions also affect results. Toyota appears particularly strong in consistency, quality management and operational learning. Its future advantage will depend on giving comparable attention to adaptability in electrification, software-defined mobility and supply-chain resilience (TMC, 2025a; IEA, 2025).</w:t>
      </w:r>
    </w:p>
    <w:p w14:paraId="349CCB49" w14:textId="616EFFB0" w:rsidR="0083040F" w:rsidRDefault="001051B7" w:rsidP="0083040F">
      <w:pPr>
        <w:spacing w:after="120"/>
      </w:pPr>
      <w:r>
        <w:t>The aim should be to add strategic agility to operational excellence rather than trade one for the other. The following recommendations are designed to strengthen Toyota’s ability to respond to disruption while preserving its core production discipline.</w:t>
      </w:r>
    </w:p>
    <w:p w14:paraId="21AA29AC" w14:textId="77777777" w:rsidR="009338F9" w:rsidRDefault="00DE0B79">
      <w:pPr>
        <w:pStyle w:val="Heading2"/>
      </w:pPr>
      <w:bookmarkStart w:id="12" w:name="_Toc233044133"/>
      <w:r>
        <w:rPr>
          <w:b w:val="0"/>
        </w:rPr>
        <w:t>7.1 Theory-Informed, Evidence-Based Recommendations</w:t>
      </w:r>
      <w:bookmarkEnd w:id="12"/>
    </w:p>
    <w:p w14:paraId="180D71B2" w14:textId="77777777" w:rsidR="009338F9" w:rsidRDefault="00DE0B79">
      <w:pPr>
        <w:spacing w:after="120"/>
      </w:pPr>
      <w:r>
        <w:t>Recommendation 1: Establish protected exploration units for high-uncertainty technologies while keeping strong links to the core business. Toyota should use cross-functional teams for software-defined vehicles, advanced batteries and new mobility services, with defined budgets, faster decision rights and learning-based milestones. This follows organisational ambidexterity: mature organisations must exploit existing capabilities while exploring new markets through differentiated but integrated units (O’Reilly and Tushman, 2013; March, 1991). Woven City provides a practical model for this protected experimentation environment (TMC, 2025b). A senior group should review prototype-to-test time, validated learning and transfer to core operations quarterly.</w:t>
      </w:r>
    </w:p>
    <w:p w14:paraId="56CF74B5" w14:textId="77777777" w:rsidR="009338F9" w:rsidRDefault="00DE0B79">
      <w:pPr>
        <w:spacing w:after="120"/>
      </w:pPr>
      <w:r>
        <w:t>Recommendation 2: Introduce a fast-track, evidence-based protocol for time-critical strategic experiments. Toyota should retain consultation for irreversible high-risk decisions, but delegate lower-cost and reversible experiments to named owners with short approval cycles, escalation thresholds and a decision deadline. A concise A3-style evidence summary and mandatory learning review would preserve fact-based decision-making while limiting delay. This is consistent with TPS experimentation and Toyota metaroutines (Spear and Bowen, 1999; Adler, Goldoftas and Levine, 1999). A cross-functional innovation group should report decision-cycle time and validated experiments monthly.</w:t>
      </w:r>
    </w:p>
    <w:p w14:paraId="6FBD22AF" w14:textId="77777777" w:rsidR="009338F9" w:rsidRDefault="00DE0B79">
      <w:pPr>
        <w:spacing w:after="120"/>
      </w:pPr>
      <w:r>
        <w:lastRenderedPageBreak/>
        <w:t>Recommendation 3: Redesign Just-in-Time as risk-sensitive flow for critical technologies and suppliers. Toyota should distinguish between ordinary inventory waste and strategic exposure. For components with a high disruption impact, it should develop multi-sourcing, end-to-end supplier visibility, predefined substitution plans and carefully targeted buffers. Leaders should measure resilience indicators alongside cost, quality and delivery. This recommendation is evidence-based because supply-network viability depends on the capacity to withstand and recover from severe disruption, not solely on normal-condition efficiency (Ivanov and Dolgui, 2020). Procurement and supply-chain leaders should report risk exposure and recovery readiness at least every quarter.</w:t>
      </w:r>
    </w:p>
    <w:p w14:paraId="45E89919" w14:textId="77777777" w:rsidR="009338F9" w:rsidRDefault="00DE0B79">
      <w:pPr>
        <w:spacing w:after="120"/>
      </w:pPr>
      <w:r>
        <w:t>Recommendation 4: Measure cultural adaptability as rigorously as operational discipline. Toyota should complement established operational metrics with indicators such as time from customer insight to experiment, the number of validated learning cycles, employees’ psychological safety in escalating strategic concerns, and the transfer of learning between digital and manufacturing units. Senior leaders should review these measures alongside safety, quality, cost and delivery. This would make adaptability visible and reinforce it as an expected cultural behaviour, supporting the balance between operational consistency and strategic exploration identified by O’Reilly and Tushman (2013).</w:t>
      </w:r>
    </w:p>
    <w:p w14:paraId="01AC94FA" w14:textId="5B2FAA11" w:rsidR="0083040F" w:rsidRDefault="0083040F" w:rsidP="0083040F">
      <w:pPr>
        <w:pStyle w:val="Heading1"/>
      </w:pPr>
      <w:bookmarkStart w:id="10" w:name="_Toc233044131"/>
      <w:r>
        <w:t>8. Conclusion</w:t>
      </w:r>
      <w:bookmarkEnd w:id="10"/>
    </w:p>
    <w:p w14:paraId="54DBE4B4" w14:textId="77777777" w:rsidR="0083040F" w:rsidRDefault="0083040F" w:rsidP="0083040F">
      <w:pPr>
        <w:spacing w:after="120"/>
      </w:pPr>
      <w:r>
        <w:t>Toyota’s organisational culture is a major source of its operational capability. Through the Toyota Way and TPS, Continuous Improvement and Respect for People are embedded in standard work, quality systems, employee involvement and knowledge sharing (TMC, n.d.-a; Spear and Bowen, 1999; Dyer and Nobeoka, 2000). The analysis shows that Toyota is not simply hierarchical or bureaucratic: it combines strategic control with local problem solving. Schein’s model reveals the alignment between artefacts, values and assumptions; Hofstede offers limited national context but should not be used to explain a global organisation; and Handy identifies a predominantly role culture enhanced by task-culture problem solving.</w:t>
      </w:r>
    </w:p>
    <w:p w14:paraId="78EFE78A" w14:textId="0CB0F655" w:rsidR="0083040F" w:rsidRDefault="0083040F" w:rsidP="0083040F">
      <w:pPr>
        <w:spacing w:after="120"/>
      </w:pPr>
      <w:r>
        <w:t>Overall, Toyota’s culture is primarily an enabler of effective organisational functioning because it supports quality, coordination, learning and disciplined improvement. It becomes a barrier only when it over-prioritises exploitation and familiar routines in environments that require rapid exploration. The most credible path forward is organisational ambidexterity at the cultural level: preserve TPS in core operations while creating faster, protected and measurable pathways for strategic experimentation and supply resilience.</w:t>
      </w:r>
    </w:p>
    <w:p w14:paraId="38F2B2C7" w14:textId="046BE1CB" w:rsidR="00AB345F" w:rsidRDefault="0083040F" w:rsidP="0083040F">
      <w:pPr>
        <w:spacing w:after="120"/>
      </w:pPr>
      <w:r>
        <w:t>This would allow Toyota to retain the strengths that make its culture valuable while improving its ability to adapt to external change.</w:t>
      </w:r>
    </w:p>
    <w:p w14:paraId="59A8286B" w14:textId="77777777" w:rsidR="00C85FDB" w:rsidRDefault="00C85FDB" w:rsidP="00C85FDB">
      <w:pPr>
        <w:spacing w:line="276" w:lineRule="auto"/>
        <w:jc w:val="left"/>
      </w:pPr>
    </w:p>
    <w:p w14:paraId="218AD0BD" w14:textId="77777777" w:rsidR="00C85FDB" w:rsidRDefault="00C85FDB" w:rsidP="00C85FDB">
      <w:pPr>
        <w:spacing w:line="276" w:lineRule="auto"/>
        <w:jc w:val="left"/>
      </w:pPr>
    </w:p>
    <w:p w14:paraId="73D52545" w14:textId="23236FF5" w:rsidR="005D44EA" w:rsidRPr="00FE5325" w:rsidRDefault="00C85FDB" w:rsidP="00C85FDB">
      <w:pPr>
        <w:pStyle w:val="Heading1"/>
        <w:pageBreakBefore/>
      </w:pPr>
      <w:bookmarkStart w:id="11" w:name="_Toc233044132"/>
      <w:bookmarkEnd w:id="11"/>
      <w:r>
        <w:rPr>
          <w:sz w:val="24"/>
        </w:rPr>
        <w:lastRenderedPageBreak/>
        <w:t>9. References</w:t>
      </w:r>
    </w:p>
    <w:p w14:paraId="074621F0" w14:textId="77777777" w:rsidR="009338F9" w:rsidRDefault="00DE0B79">
      <w:pPr>
        <w:spacing w:line="240" w:lineRule="auto"/>
        <w:ind w:left="720" w:hanging="720"/>
        <w:jc w:val="left"/>
      </w:pPr>
      <w:r>
        <w:t xml:space="preserve">Adler, P.S., Goldoftas, B. and Levine, D.I. (1999) ‘Flexibility versus efficiency? A case study of model changeovers in the Toyota Production System’, </w:t>
      </w:r>
      <w:r>
        <w:rPr>
          <w:i/>
        </w:rPr>
        <w:t>Organization Science</w:t>
      </w:r>
      <w:r>
        <w:t xml:space="preserve">, 10(1), pp.43-68. doi: </w:t>
      </w:r>
      <w:hyperlink r:id="rId13">
        <w:r>
          <w:rPr>
            <w:color w:val="0000FF"/>
            <w:u w:val="single"/>
          </w:rPr>
          <w:t>https://doi.org/10.1287/orsc.10.1.43</w:t>
        </w:r>
      </w:hyperlink>
      <w:r>
        <w:t>.</w:t>
      </w:r>
    </w:p>
    <w:p w14:paraId="28909D1A" w14:textId="77777777" w:rsidR="009338F9" w:rsidRDefault="00DE0B79">
      <w:pPr>
        <w:spacing w:line="240" w:lineRule="auto"/>
        <w:ind w:left="720" w:hanging="720"/>
        <w:jc w:val="left"/>
      </w:pPr>
      <w:r>
        <w:t xml:space="preserve">Dyer, J.H. and Nobeoka, K. (2000) ‘Creating and managing a high-performance knowledge-sharing network: The Toyota case’, </w:t>
      </w:r>
      <w:r>
        <w:rPr>
          <w:i/>
        </w:rPr>
        <w:t>Strategic Management Journal</w:t>
      </w:r>
      <w:r>
        <w:t xml:space="preserve">, 21(3), pp.345-367. doi: </w:t>
      </w:r>
      <w:hyperlink r:id="rId14">
        <w:r>
          <w:rPr>
            <w:color w:val="0000FF"/>
            <w:u w:val="single"/>
          </w:rPr>
          <w:t>https://doi.org/10.1002/(SICI)1097-0266(200003)21:3&lt;345::AID-SMJ96&gt;3.0.CO;2-N</w:t>
        </w:r>
      </w:hyperlink>
      <w:r>
        <w:t>.</w:t>
      </w:r>
    </w:p>
    <w:p w14:paraId="4EE7A8AA" w14:textId="77777777" w:rsidR="009338F9" w:rsidRDefault="00DE0B79">
      <w:pPr>
        <w:spacing w:line="240" w:lineRule="auto"/>
        <w:ind w:left="720" w:hanging="720"/>
        <w:jc w:val="left"/>
      </w:pPr>
      <w:r>
        <w:t xml:space="preserve">Handy, C. (1993) </w:t>
      </w:r>
      <w:r>
        <w:rPr>
          <w:i/>
        </w:rPr>
        <w:t>Understanding Organizations</w:t>
      </w:r>
      <w:r>
        <w:t>. 4th edn. London: Penguin Books.</w:t>
      </w:r>
    </w:p>
    <w:p w14:paraId="283E60C5" w14:textId="77777777" w:rsidR="009338F9" w:rsidRDefault="00DE0B79">
      <w:pPr>
        <w:spacing w:line="240" w:lineRule="auto"/>
        <w:ind w:left="720" w:hanging="720"/>
        <w:jc w:val="left"/>
      </w:pPr>
      <w:r>
        <w:t xml:space="preserve">Hofstede, G., Hofstede, G.J. and Minkov, M. (2010) </w:t>
      </w:r>
      <w:r>
        <w:rPr>
          <w:i/>
        </w:rPr>
        <w:t>Cultures and Organizations: Software of the Mind</w:t>
      </w:r>
      <w:r>
        <w:t>. 3rd edn. New York: McGraw-Hill.</w:t>
      </w:r>
    </w:p>
    <w:p w14:paraId="7C132554" w14:textId="77777777" w:rsidR="009338F9" w:rsidRDefault="00DE0B79">
      <w:pPr>
        <w:spacing w:line="240" w:lineRule="auto"/>
        <w:ind w:left="720" w:hanging="720"/>
        <w:jc w:val="left"/>
      </w:pPr>
      <w:r>
        <w:t xml:space="preserve">International Energy Agency (IEA) (2025) </w:t>
      </w:r>
      <w:r>
        <w:rPr>
          <w:i/>
        </w:rPr>
        <w:t>Global EV Outlook 2025: Expanding sales in diverse markets</w:t>
      </w:r>
      <w:r>
        <w:t xml:space="preserve">. Paris: IEA. Available at: </w:t>
      </w:r>
      <w:hyperlink r:id="rId15">
        <w:r>
          <w:rPr>
            <w:color w:val="0000FF"/>
            <w:u w:val="single"/>
          </w:rPr>
          <w:t>https://www.iea.org/reports/global-ev-outlook-2025</w:t>
        </w:r>
      </w:hyperlink>
      <w:r>
        <w:t xml:space="preserve"> (Accessed: 2 July 2026).</w:t>
      </w:r>
    </w:p>
    <w:p w14:paraId="058BF776" w14:textId="77777777" w:rsidR="009338F9" w:rsidRDefault="00DE0B79">
      <w:pPr>
        <w:spacing w:line="240" w:lineRule="auto"/>
        <w:ind w:left="720" w:hanging="720"/>
        <w:jc w:val="left"/>
      </w:pPr>
      <w:r>
        <w:t xml:space="preserve">Ivanov, D. and Dolgui, A. (2020) ‘Viability of intertwined supply networks: Extending the supply chain resilience angles towards survivability. A position paper motivated by COVID-19 outbreak’, </w:t>
      </w:r>
      <w:r>
        <w:rPr>
          <w:i/>
        </w:rPr>
        <w:t>International Journal of Production Research</w:t>
      </w:r>
      <w:r>
        <w:t xml:space="preserve">, 58(10), pp.2904-2915. doi: </w:t>
      </w:r>
      <w:hyperlink r:id="rId16">
        <w:r>
          <w:rPr>
            <w:color w:val="0000FF"/>
            <w:u w:val="single"/>
          </w:rPr>
          <w:t>https://doi.org/10.1080/00207543.2020.1750727</w:t>
        </w:r>
      </w:hyperlink>
      <w:r>
        <w:t>.</w:t>
      </w:r>
    </w:p>
    <w:p w14:paraId="65A12BBA" w14:textId="77777777" w:rsidR="009338F9" w:rsidRDefault="00DE0B79">
      <w:pPr>
        <w:spacing w:line="240" w:lineRule="auto"/>
        <w:ind w:left="720" w:hanging="720"/>
        <w:jc w:val="left"/>
      </w:pPr>
      <w:r>
        <w:t xml:space="preserve">Liker, J.K. (2004) </w:t>
      </w:r>
      <w:r>
        <w:rPr>
          <w:i/>
        </w:rPr>
        <w:t>The Toyota Way: 14 Management Principles from the World’s Greatest Manufacturer</w:t>
      </w:r>
      <w:r>
        <w:t>. New York: McGraw-Hill.</w:t>
      </w:r>
    </w:p>
    <w:p w14:paraId="731771CF" w14:textId="77777777" w:rsidR="009338F9" w:rsidRDefault="00DE0B79">
      <w:pPr>
        <w:spacing w:line="240" w:lineRule="auto"/>
        <w:ind w:left="720" w:hanging="720"/>
        <w:jc w:val="left"/>
      </w:pPr>
      <w:r>
        <w:t xml:space="preserve">MacDuffie, J.P. (1995) ‘Human resource bundles and manufacturing performance: Organizational logic and flexible production systems in the world auto industry’, </w:t>
      </w:r>
      <w:r>
        <w:rPr>
          <w:i/>
        </w:rPr>
        <w:t>ILR Review</w:t>
      </w:r>
      <w:r>
        <w:t xml:space="preserve">, 48(2), pp.197-221. doi: </w:t>
      </w:r>
      <w:hyperlink r:id="rId17">
        <w:r>
          <w:rPr>
            <w:color w:val="0000FF"/>
            <w:u w:val="single"/>
          </w:rPr>
          <w:t>https://doi.org/10.1177/001979399504800201</w:t>
        </w:r>
      </w:hyperlink>
      <w:r>
        <w:t>.</w:t>
      </w:r>
    </w:p>
    <w:p w14:paraId="6575F9F9" w14:textId="77777777" w:rsidR="009338F9" w:rsidRDefault="00DE0B79">
      <w:pPr>
        <w:spacing w:line="240" w:lineRule="auto"/>
        <w:ind w:left="720" w:hanging="720"/>
        <w:jc w:val="left"/>
      </w:pPr>
      <w:r>
        <w:t xml:space="preserve">March, J.G. (1991) ‘Exploration and exploitation in organizational learning’, </w:t>
      </w:r>
      <w:r>
        <w:rPr>
          <w:i/>
        </w:rPr>
        <w:t>Organization Science</w:t>
      </w:r>
      <w:r>
        <w:t xml:space="preserve">, 2(1), pp.71-87. doi: </w:t>
      </w:r>
      <w:hyperlink r:id="rId18">
        <w:r>
          <w:rPr>
            <w:color w:val="0000FF"/>
            <w:u w:val="single"/>
          </w:rPr>
          <w:t>https://doi.org/10.1287/orsc.2.1.71</w:t>
        </w:r>
      </w:hyperlink>
      <w:r>
        <w:t>.</w:t>
      </w:r>
    </w:p>
    <w:p w14:paraId="7A03B552" w14:textId="77777777" w:rsidR="009338F9" w:rsidRDefault="00DE0B79">
      <w:pPr>
        <w:spacing w:line="240" w:lineRule="auto"/>
        <w:ind w:left="720" w:hanging="720"/>
        <w:jc w:val="left"/>
      </w:pPr>
      <w:r>
        <w:t xml:space="preserve">McSweeney, B. (2002) ‘Hofstede’s model of national cultural differences and their consequences: A triumph of faith - a failure of analysis’, </w:t>
      </w:r>
      <w:r>
        <w:rPr>
          <w:i/>
        </w:rPr>
        <w:t>Human Relations</w:t>
      </w:r>
      <w:r>
        <w:t xml:space="preserve">, 55(1), pp.89-118. doi: </w:t>
      </w:r>
      <w:hyperlink r:id="rId19">
        <w:r>
          <w:rPr>
            <w:color w:val="0000FF"/>
            <w:u w:val="single"/>
          </w:rPr>
          <w:t>https://doi.org/10.1177/0018726702551004</w:t>
        </w:r>
      </w:hyperlink>
      <w:r>
        <w:t>.</w:t>
      </w:r>
    </w:p>
    <w:p w14:paraId="7B501242" w14:textId="77777777" w:rsidR="009338F9" w:rsidRDefault="00DE0B79">
      <w:pPr>
        <w:spacing w:line="240" w:lineRule="auto"/>
        <w:ind w:left="720" w:hanging="720"/>
        <w:jc w:val="left"/>
      </w:pPr>
      <w:r>
        <w:t xml:space="preserve">Mullins, L.J. and Christy, G. (2016) </w:t>
      </w:r>
      <w:r>
        <w:rPr>
          <w:i/>
        </w:rPr>
        <w:t>Management and Organisational Behaviour</w:t>
      </w:r>
      <w:r>
        <w:t>. 11th edn. Harlow: Pearson.</w:t>
      </w:r>
    </w:p>
    <w:p w14:paraId="49D95767" w14:textId="77777777" w:rsidR="009338F9" w:rsidRDefault="00DE0B79">
      <w:pPr>
        <w:spacing w:line="240" w:lineRule="auto"/>
        <w:ind w:left="720" w:hanging="720"/>
        <w:jc w:val="left"/>
      </w:pPr>
      <w:r>
        <w:t xml:space="preserve">O’Reilly, C.A. and Tushman, M.L. (2013) ‘Organizational ambidexterity: Past, present, and future’, </w:t>
      </w:r>
      <w:r>
        <w:rPr>
          <w:i/>
        </w:rPr>
        <w:t>Academy of Management Perspectives</w:t>
      </w:r>
      <w:r>
        <w:t xml:space="preserve">, 27(4), pp.324-338. doi: </w:t>
      </w:r>
      <w:hyperlink r:id="rId20">
        <w:r>
          <w:rPr>
            <w:color w:val="0000FF"/>
            <w:u w:val="single"/>
          </w:rPr>
          <w:t>https://doi.org/10.5465/amp.2013.0025</w:t>
        </w:r>
      </w:hyperlink>
      <w:r>
        <w:t>.</w:t>
      </w:r>
    </w:p>
    <w:p w14:paraId="31FAD3C6" w14:textId="77777777" w:rsidR="009338F9" w:rsidRDefault="00DE0B79">
      <w:pPr>
        <w:spacing w:line="240" w:lineRule="auto"/>
        <w:ind w:left="720" w:hanging="720"/>
        <w:jc w:val="left"/>
      </w:pPr>
      <w:r>
        <w:t xml:space="preserve">Schein, E.H. (2010) </w:t>
      </w:r>
      <w:r>
        <w:rPr>
          <w:i/>
        </w:rPr>
        <w:t>Organizational Culture and Leadership</w:t>
      </w:r>
      <w:r>
        <w:t>. 4th edn. San Francisco, CA: Jossey-Bass.</w:t>
      </w:r>
    </w:p>
    <w:p w14:paraId="7E9B2619" w14:textId="77777777" w:rsidR="009338F9" w:rsidRDefault="00DE0B79">
      <w:pPr>
        <w:spacing w:line="240" w:lineRule="auto"/>
        <w:ind w:left="720" w:hanging="720"/>
        <w:jc w:val="left"/>
      </w:pPr>
      <w:r>
        <w:lastRenderedPageBreak/>
        <w:t xml:space="preserve">Spear, S. and Bowen, H.K. (1999) ‘Decoding the DNA of the Toyota Production System’, </w:t>
      </w:r>
      <w:r>
        <w:rPr>
          <w:i/>
        </w:rPr>
        <w:t>Harvard Business Review</w:t>
      </w:r>
      <w:r>
        <w:t>, 77(5), pp.96-106.</w:t>
      </w:r>
    </w:p>
    <w:p w14:paraId="21117EC0" w14:textId="77777777" w:rsidR="009338F9" w:rsidRDefault="00DE0B79">
      <w:pPr>
        <w:spacing w:line="240" w:lineRule="auto"/>
        <w:ind w:left="720" w:hanging="720"/>
        <w:jc w:val="left"/>
      </w:pPr>
      <w:r>
        <w:t xml:space="preserve">Toyota Motor Corporation (TMC) (n.d.-a) </w:t>
      </w:r>
      <w:r>
        <w:rPr>
          <w:i/>
        </w:rPr>
        <w:t>Toyota Way 2020 / Toyota Code of Conduct</w:t>
      </w:r>
      <w:r>
        <w:t xml:space="preserve">. Available at: </w:t>
      </w:r>
      <w:hyperlink r:id="rId21">
        <w:r>
          <w:rPr>
            <w:color w:val="0000FF"/>
            <w:u w:val="single"/>
          </w:rPr>
          <w:t>https://global.toyota/en/company/vision-and-philosophy/toyotaway_code-of-conduct/index.html</w:t>
        </w:r>
      </w:hyperlink>
      <w:r>
        <w:t xml:space="preserve"> (Accessed: 2 July 2026).</w:t>
      </w:r>
    </w:p>
    <w:p w14:paraId="3738545B" w14:textId="77777777" w:rsidR="009338F9" w:rsidRDefault="00DE0B79">
      <w:pPr>
        <w:spacing w:line="240" w:lineRule="auto"/>
        <w:ind w:left="720" w:hanging="720"/>
        <w:jc w:val="left"/>
      </w:pPr>
      <w:r>
        <w:t xml:space="preserve">Toyota Motor Corporation (TMC) (n.d.-b) </w:t>
      </w:r>
      <w:r>
        <w:rPr>
          <w:i/>
        </w:rPr>
        <w:t>Toyota Production System</w:t>
      </w:r>
      <w:r>
        <w:t xml:space="preserve">. Available at: </w:t>
      </w:r>
      <w:hyperlink r:id="rId22">
        <w:r>
          <w:rPr>
            <w:color w:val="0000FF"/>
            <w:u w:val="single"/>
          </w:rPr>
          <w:t>https://global.toyota/en/company/vision-and-philosophy/production-system/index.html</w:t>
        </w:r>
      </w:hyperlink>
      <w:r>
        <w:t xml:space="preserve"> (Accessed: 2 July 2026).</w:t>
      </w:r>
    </w:p>
    <w:p w14:paraId="07090147" w14:textId="77777777" w:rsidR="009338F9" w:rsidRDefault="00DE0B79">
      <w:pPr>
        <w:spacing w:line="240" w:lineRule="auto"/>
        <w:ind w:left="720" w:hanging="720"/>
        <w:jc w:val="left"/>
      </w:pPr>
      <w:r>
        <w:t xml:space="preserve">Toyota Motor Corporation (TMC) (n.d.-c) </w:t>
      </w:r>
      <w:r>
        <w:rPr>
          <w:i/>
        </w:rPr>
        <w:t>Guiding Principles</w:t>
      </w:r>
      <w:r>
        <w:t xml:space="preserve">. Available at: </w:t>
      </w:r>
      <w:hyperlink r:id="rId23">
        <w:r>
          <w:rPr>
            <w:color w:val="0000FF"/>
            <w:u w:val="single"/>
          </w:rPr>
          <w:t>https://global.toyota/en/company/vision-and-philosophy/guiding-principles/index.html</w:t>
        </w:r>
      </w:hyperlink>
      <w:r>
        <w:t xml:space="preserve"> (Accessed: 2 July 2026).</w:t>
      </w:r>
    </w:p>
    <w:p w14:paraId="7F82A894" w14:textId="77777777" w:rsidR="009338F9" w:rsidRDefault="00DE0B79">
      <w:pPr>
        <w:spacing w:line="240" w:lineRule="auto"/>
        <w:ind w:left="720" w:hanging="720"/>
        <w:jc w:val="left"/>
      </w:pPr>
      <w:r>
        <w:t xml:space="preserve">Toyota Motor Corporation (TMC) (2025a) </w:t>
      </w:r>
      <w:r>
        <w:rPr>
          <w:i/>
        </w:rPr>
        <w:t>Integrated Report 2025</w:t>
      </w:r>
      <w:r>
        <w:t xml:space="preserve">. Available at: </w:t>
      </w:r>
      <w:hyperlink r:id="rId24">
        <w:r>
          <w:rPr>
            <w:color w:val="0000FF"/>
            <w:u w:val="single"/>
          </w:rPr>
          <w:t>https://global.toyota/pages/global_toyota/ir/library/annual/2025_001_integrated_en.pdf</w:t>
        </w:r>
      </w:hyperlink>
      <w:r>
        <w:t xml:space="preserve"> (Accessed: 2 July 2026).</w:t>
      </w:r>
    </w:p>
    <w:p w14:paraId="528A20EA" w14:textId="77777777" w:rsidR="009338F9" w:rsidRDefault="00DE0B79">
      <w:pPr>
        <w:spacing w:line="240" w:lineRule="auto"/>
        <w:ind w:left="720" w:hanging="720"/>
        <w:jc w:val="left"/>
      </w:pPr>
      <w:r>
        <w:t>Toyota Motor Corporation (TMC) (2025b) ‘</w:t>
      </w:r>
      <w:r>
        <w:rPr>
          <w:i/>
        </w:rPr>
        <w:t>Toyota Woven City Officially Launches as a Test Course for the Future of Mobility</w:t>
      </w:r>
      <w:r>
        <w:t xml:space="preserve">’. Available at: </w:t>
      </w:r>
      <w:hyperlink r:id="rId25">
        <w:r>
          <w:rPr>
            <w:color w:val="0000FF"/>
            <w:u w:val="single"/>
          </w:rPr>
          <w:t>https://global.toyota/en/newsroom/corporate/43347785.html</w:t>
        </w:r>
      </w:hyperlink>
      <w:r>
        <w:t xml:space="preserve"> (Accessed: 2 July 2026).</w:t>
      </w:r>
    </w:p>
    <w:p w14:paraId="181D8142" w14:textId="77777777" w:rsidR="009338F9" w:rsidRDefault="00DE0B79">
      <w:pPr>
        <w:spacing w:line="240" w:lineRule="auto"/>
        <w:ind w:left="720" w:hanging="720"/>
        <w:jc w:val="left"/>
      </w:pPr>
      <w:r>
        <w:t xml:space="preserve">Toyota Motor North America (2025) </w:t>
      </w:r>
      <w:r>
        <w:rPr>
          <w:i/>
        </w:rPr>
        <w:t>Toyota Battery Manufacturing North Carolina</w:t>
      </w:r>
      <w:r>
        <w:t xml:space="preserve">. Available at: </w:t>
      </w:r>
      <w:hyperlink r:id="rId26">
        <w:r>
          <w:rPr>
            <w:color w:val="0000FF"/>
            <w:u w:val="single"/>
          </w:rPr>
          <w:t>https://pressroom.toyota.com/facility/toyota-battery-manufacturing-north-carolina/</w:t>
        </w:r>
      </w:hyperlink>
      <w:r>
        <w:t xml:space="preserve"> (Accessed: 2 July 2026).</w:t>
      </w:r>
    </w:p>
    <w:p w14:paraId="463AD43F" w14:textId="77777777" w:rsidR="009338F9" w:rsidRDefault="00DE0B79">
      <w:pPr>
        <w:keepNext/>
        <w:spacing w:before="120" w:after="0" w:line="240" w:lineRule="auto"/>
        <w:ind w:left="720" w:hanging="720"/>
        <w:jc w:val="left"/>
      </w:pPr>
      <w:r>
        <w:rPr>
          <w:b/>
          <w:sz w:val="22"/>
        </w:rPr>
        <w:t>Figure Sources (visual attribution only)</w:t>
      </w:r>
    </w:p>
    <w:p w14:paraId="59ED5FE2" w14:textId="77777777" w:rsidR="009338F9" w:rsidRDefault="00DE0B79">
      <w:pPr>
        <w:spacing w:after="0" w:line="240" w:lineRule="auto"/>
        <w:ind w:left="720" w:hanging="720"/>
        <w:jc w:val="left"/>
      </w:pPr>
      <w:r>
        <w:rPr>
          <w:sz w:val="20"/>
        </w:rPr>
        <w:t>Advisory, S. (2021) ‘</w:t>
      </w:r>
      <w:r>
        <w:rPr>
          <w:i/>
          <w:sz w:val="20"/>
        </w:rPr>
        <w:t>ESG Case Study - Toyota Motor Corporation</w:t>
      </w:r>
      <w:r>
        <w:rPr>
          <w:sz w:val="20"/>
        </w:rPr>
        <w:t xml:space="preserve">’, </w:t>
      </w:r>
      <w:r>
        <w:rPr>
          <w:i/>
          <w:sz w:val="20"/>
        </w:rPr>
        <w:t>ETF Database</w:t>
      </w:r>
      <w:r>
        <w:rPr>
          <w:sz w:val="20"/>
        </w:rPr>
        <w:t xml:space="preserve">. Available at: </w:t>
      </w:r>
      <w:hyperlink r:id="rId28">
        <w:r>
          <w:rPr>
            <w:color w:val="0000FF"/>
            <w:sz w:val="20"/>
            <w:u w:val="single"/>
          </w:rPr>
          <w:t>https://etfdb.com/esg-content-hub/esg-case-study-toyota/</w:t>
        </w:r>
      </w:hyperlink>
      <w:r>
        <w:rPr>
          <w:sz w:val="20"/>
        </w:rPr>
        <w:t xml:space="preserve"> (Accessed: 2 July 2026).</w:t>
      </w:r>
    </w:p>
    <w:p w14:paraId="028449A1" w14:textId="77777777" w:rsidR="009338F9" w:rsidRDefault="00DE0B79">
      <w:pPr>
        <w:spacing w:after="0" w:line="240" w:lineRule="auto"/>
        <w:ind w:left="720" w:hanging="720"/>
        <w:jc w:val="left"/>
      </w:pPr>
      <w:r>
        <w:rPr>
          <w:sz w:val="20"/>
        </w:rPr>
        <w:t>Geraghty, T. (2023) ‘</w:t>
      </w:r>
      <w:r>
        <w:rPr>
          <w:i/>
          <w:sz w:val="20"/>
        </w:rPr>
        <w:t>Edgar Schein’s Three Layers of Organisational Culture</w:t>
      </w:r>
      <w:r>
        <w:rPr>
          <w:sz w:val="20"/>
        </w:rPr>
        <w:t xml:space="preserve">’, </w:t>
      </w:r>
      <w:r>
        <w:rPr>
          <w:i/>
          <w:sz w:val="20"/>
        </w:rPr>
        <w:t>Psych Safety</w:t>
      </w:r>
      <w:r>
        <w:rPr>
          <w:sz w:val="20"/>
        </w:rPr>
        <w:t xml:space="preserve">. Available at: </w:t>
      </w:r>
      <w:hyperlink r:id="rId29">
        <w:r>
          <w:rPr>
            <w:color w:val="0000FF"/>
            <w:sz w:val="20"/>
            <w:u w:val="single"/>
          </w:rPr>
          <w:t>https://psychsafety.com/psychological-safety-edgar-scheins-three-layers-of-organisational-culture/</w:t>
        </w:r>
      </w:hyperlink>
      <w:r>
        <w:rPr>
          <w:sz w:val="20"/>
        </w:rPr>
        <w:t xml:space="preserve"> (Accessed: 2 July 2026).</w:t>
      </w:r>
    </w:p>
    <w:p w14:paraId="280967E0" w14:textId="77777777" w:rsidR="009338F9" w:rsidRDefault="00DE0B79">
      <w:pPr>
        <w:spacing w:after="0" w:line="240" w:lineRule="auto"/>
        <w:ind w:left="720" w:hanging="720"/>
        <w:jc w:val="left"/>
      </w:pPr>
      <w:r>
        <w:rPr>
          <w:sz w:val="20"/>
        </w:rPr>
        <w:t>Mulder, P. (2023) ‘</w:t>
      </w:r>
      <w:r>
        <w:rPr>
          <w:i/>
          <w:sz w:val="20"/>
        </w:rPr>
        <w:t>Handy Model of Organisational Culture</w:t>
      </w:r>
      <w:r>
        <w:rPr>
          <w:sz w:val="20"/>
        </w:rPr>
        <w:t xml:space="preserve">’, </w:t>
      </w:r>
      <w:r>
        <w:rPr>
          <w:i/>
          <w:sz w:val="20"/>
        </w:rPr>
        <w:t>ToolsHero</w:t>
      </w:r>
      <w:r>
        <w:rPr>
          <w:sz w:val="20"/>
        </w:rPr>
        <w:t xml:space="preserve">. Available at: </w:t>
      </w:r>
      <w:hyperlink r:id="rId30">
        <w:r>
          <w:rPr>
            <w:color w:val="0000FF"/>
            <w:sz w:val="20"/>
            <w:u w:val="single"/>
          </w:rPr>
          <w:t>https://www.toolshero.com/management/handy-model/</w:t>
        </w:r>
      </w:hyperlink>
      <w:r>
        <w:rPr>
          <w:sz w:val="20"/>
        </w:rPr>
        <w:t xml:space="preserve"> (Accessed: 2 July 2026).</w:t>
      </w:r>
    </w:p>
    <w:p w14:paraId="0BE2D3AC" w14:textId="77777777" w:rsidR="009338F9" w:rsidRDefault="00DE0B79">
      <w:pPr>
        <w:spacing w:after="0" w:line="240" w:lineRule="auto"/>
        <w:ind w:left="720" w:hanging="720"/>
        <w:jc w:val="left"/>
      </w:pPr>
      <w:r>
        <w:rPr>
          <w:sz w:val="20"/>
        </w:rPr>
        <w:t>Schmid, L. (2022) ‘</w:t>
      </w:r>
      <w:r>
        <w:rPr>
          <w:i/>
          <w:sz w:val="20"/>
        </w:rPr>
        <w:t>Continuous Improvement (Kaizen): Putting it into Practice</w:t>
      </w:r>
      <w:r>
        <w:rPr>
          <w:sz w:val="20"/>
        </w:rPr>
        <w:t xml:space="preserve">’, </w:t>
      </w:r>
      <w:r>
        <w:rPr>
          <w:i/>
          <w:sz w:val="20"/>
        </w:rPr>
        <w:t>Rollforming Magazine</w:t>
      </w:r>
      <w:r>
        <w:rPr>
          <w:sz w:val="20"/>
        </w:rPr>
        <w:t xml:space="preserve">. Available at: </w:t>
      </w:r>
      <w:hyperlink r:id="rId31">
        <w:r>
          <w:rPr>
            <w:color w:val="0000FF"/>
            <w:sz w:val="20"/>
            <w:u w:val="single"/>
          </w:rPr>
          <w:t>https://rollformingmagazine.com/continuous-improvement-kaizen-putting-it-into-practice/</w:t>
        </w:r>
      </w:hyperlink>
      <w:r>
        <w:rPr>
          <w:sz w:val="20"/>
        </w:rPr>
        <w:t xml:space="preserve"> (Accessed: 2 July 2026).</w:t>
      </w:r>
    </w:p>
    <w:p w14:paraId="17DF290E" w14:textId="77777777" w:rsidR="009338F9" w:rsidRDefault="00DE0B79">
      <w:pPr>
        <w:spacing w:after="0" w:line="240" w:lineRule="auto"/>
        <w:ind w:left="720" w:hanging="720"/>
        <w:jc w:val="left"/>
      </w:pPr>
      <w:r>
        <w:rPr>
          <w:sz w:val="20"/>
        </w:rPr>
        <w:t xml:space="preserve">The Culture Factor Group (2025) </w:t>
      </w:r>
      <w:r>
        <w:rPr>
          <w:i/>
          <w:sz w:val="20"/>
        </w:rPr>
        <w:t>Country Comparison Tool: Japan</w:t>
      </w:r>
      <w:r>
        <w:rPr>
          <w:sz w:val="20"/>
        </w:rPr>
        <w:t xml:space="preserve">. Available at: </w:t>
      </w:r>
      <w:hyperlink r:id="rId32">
        <w:r>
          <w:rPr>
            <w:color w:val="0000FF"/>
            <w:sz w:val="20"/>
            <w:u w:val="single"/>
          </w:rPr>
          <w:t>https://www.theculturefactor.com/country-comparison-tool?countries=japan</w:t>
        </w:r>
      </w:hyperlink>
      <w:r>
        <w:rPr>
          <w:sz w:val="20"/>
        </w:rPr>
        <w:t xml:space="preserve"> (Accessed: 2 July 2026).</w:t>
      </w:r>
    </w:p>
    <w:sectPr w:rsidR="009338F9" w:rsidSect="00034616">
      <w:headerReference w:type="default" r:id="rId33"/>
      <w:footerReference w:type="default" r:id="rId3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44B8B" w14:textId="77777777" w:rsidR="00220383" w:rsidRDefault="00220383" w:rsidP="00D73641">
      <w:pPr>
        <w:spacing w:after="0" w:line="240" w:lineRule="auto"/>
      </w:pPr>
      <w:r>
        <w:separator/>
      </w:r>
    </w:p>
  </w:endnote>
  <w:endnote w:type="continuationSeparator" w:id="0">
    <w:p w14:paraId="4AFD8573" w14:textId="77777777" w:rsidR="00220383" w:rsidRDefault="00220383" w:rsidP="00D73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C0D62" w14:textId="3BE5014D" w:rsidR="009338F9" w:rsidRDefault="00DE0B79">
    <w:pPr>
      <w:pStyle w:val="Footer"/>
      <w:jc w:val="center"/>
    </w:pPr>
    <w:r>
      <w:rPr>
        <w:sz w:val="20"/>
      </w:rPr>
      <w:t xml:space="preserve">Page </w:t>
    </w:r>
    <w:r>
      <w:rPr>
        <w:sz w:val="20"/>
      </w:rPr>
      <w:fldChar w:fldCharType="begin"/>
    </w:r>
    <w:r>
      <w:rPr>
        <w:sz w:val="20"/>
      </w:rPr>
      <w:instrText>PAGE</w:instrText>
    </w:r>
    <w:r>
      <w:rPr>
        <w:sz w:val="20"/>
      </w:rPr>
      <w:fldChar w:fldCharType="separate"/>
    </w:r>
    <w:r w:rsidR="00795FF3">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74D2AE" w14:textId="77777777" w:rsidR="00220383" w:rsidRDefault="00220383" w:rsidP="00D73641">
      <w:pPr>
        <w:spacing w:after="0" w:line="240" w:lineRule="auto"/>
      </w:pPr>
      <w:r>
        <w:separator/>
      </w:r>
    </w:p>
  </w:footnote>
  <w:footnote w:type="continuationSeparator" w:id="0">
    <w:p w14:paraId="209EABF2" w14:textId="77777777" w:rsidR="00220383" w:rsidRDefault="00220383" w:rsidP="00D73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9B837" w14:textId="77777777" w:rsidR="009338F9" w:rsidRDefault="009338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0E6A45BA"/>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195F6E"/>
    <w:multiLevelType w:val="hybridMultilevel"/>
    <w:tmpl w:val="97ECA5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1"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003246">
    <w:abstractNumId w:val="8"/>
  </w:num>
  <w:num w:numId="2" w16cid:durableId="2052074637">
    <w:abstractNumId w:val="6"/>
  </w:num>
  <w:num w:numId="3" w16cid:durableId="397703573">
    <w:abstractNumId w:val="5"/>
  </w:num>
  <w:num w:numId="4" w16cid:durableId="238176441">
    <w:abstractNumId w:val="4"/>
  </w:num>
  <w:num w:numId="5" w16cid:durableId="897397702">
    <w:abstractNumId w:val="7"/>
  </w:num>
  <w:num w:numId="6" w16cid:durableId="1029840795">
    <w:abstractNumId w:val="3"/>
  </w:num>
  <w:num w:numId="7" w16cid:durableId="2063865757">
    <w:abstractNumId w:val="2"/>
  </w:num>
  <w:num w:numId="8" w16cid:durableId="878929626">
    <w:abstractNumId w:val="1"/>
  </w:num>
  <w:num w:numId="9" w16cid:durableId="91439305">
    <w:abstractNumId w:val="0"/>
  </w:num>
  <w:num w:numId="10" w16cid:durableId="910429173">
    <w:abstractNumId w:val="10"/>
  </w:num>
  <w:num w:numId="11" w16cid:durableId="582763385">
    <w:abstractNumId w:val="11"/>
  </w:num>
  <w:num w:numId="12" w16cid:durableId="18269694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O1sDSwMDC2MDAzNjZS0lEKTi0uzszPAykwqwUAkWdqNiwAAAA="/>
  </w:docVars>
  <w:rsids>
    <w:rsidRoot w:val="00B47730"/>
    <w:rsid w:val="00027721"/>
    <w:rsid w:val="00034616"/>
    <w:rsid w:val="0006063C"/>
    <w:rsid w:val="00071DF5"/>
    <w:rsid w:val="000B2A5C"/>
    <w:rsid w:val="000F6CA5"/>
    <w:rsid w:val="001051B7"/>
    <w:rsid w:val="0015074B"/>
    <w:rsid w:val="001672F0"/>
    <w:rsid w:val="00181308"/>
    <w:rsid w:val="00185AA4"/>
    <w:rsid w:val="001C45ED"/>
    <w:rsid w:val="00210A26"/>
    <w:rsid w:val="00220383"/>
    <w:rsid w:val="00231F24"/>
    <w:rsid w:val="00290BEC"/>
    <w:rsid w:val="0029639D"/>
    <w:rsid w:val="002F5ED1"/>
    <w:rsid w:val="00326F90"/>
    <w:rsid w:val="00370350"/>
    <w:rsid w:val="00376D76"/>
    <w:rsid w:val="003771CC"/>
    <w:rsid w:val="0043612F"/>
    <w:rsid w:val="004424B8"/>
    <w:rsid w:val="0050217E"/>
    <w:rsid w:val="0057191B"/>
    <w:rsid w:val="005A3305"/>
    <w:rsid w:val="005B62ED"/>
    <w:rsid w:val="005D44EA"/>
    <w:rsid w:val="005F2B07"/>
    <w:rsid w:val="0061046A"/>
    <w:rsid w:val="00627832"/>
    <w:rsid w:val="00636B8E"/>
    <w:rsid w:val="00640929"/>
    <w:rsid w:val="00694392"/>
    <w:rsid w:val="00763A62"/>
    <w:rsid w:val="00780B08"/>
    <w:rsid w:val="00790379"/>
    <w:rsid w:val="00795FF3"/>
    <w:rsid w:val="007B7B42"/>
    <w:rsid w:val="00811E1E"/>
    <w:rsid w:val="00823D11"/>
    <w:rsid w:val="0083040F"/>
    <w:rsid w:val="00865E75"/>
    <w:rsid w:val="008901D2"/>
    <w:rsid w:val="008914A5"/>
    <w:rsid w:val="008B176C"/>
    <w:rsid w:val="008C311C"/>
    <w:rsid w:val="008D1910"/>
    <w:rsid w:val="009338F9"/>
    <w:rsid w:val="009A214C"/>
    <w:rsid w:val="00A6490D"/>
    <w:rsid w:val="00A976B5"/>
    <w:rsid w:val="00AA1D8D"/>
    <w:rsid w:val="00AB345F"/>
    <w:rsid w:val="00B47730"/>
    <w:rsid w:val="00B83B7B"/>
    <w:rsid w:val="00BC3198"/>
    <w:rsid w:val="00C1245B"/>
    <w:rsid w:val="00C2094F"/>
    <w:rsid w:val="00C3058D"/>
    <w:rsid w:val="00C33095"/>
    <w:rsid w:val="00C71958"/>
    <w:rsid w:val="00C73AD1"/>
    <w:rsid w:val="00C81E74"/>
    <w:rsid w:val="00C85FDB"/>
    <w:rsid w:val="00CB0664"/>
    <w:rsid w:val="00D53181"/>
    <w:rsid w:val="00D5462D"/>
    <w:rsid w:val="00D73641"/>
    <w:rsid w:val="00D87F62"/>
    <w:rsid w:val="00D96B7D"/>
    <w:rsid w:val="00DE0B79"/>
    <w:rsid w:val="00DE774B"/>
    <w:rsid w:val="00EA0218"/>
    <w:rsid w:val="00EC2A14"/>
    <w:rsid w:val="00EF7819"/>
    <w:rsid w:val="00F302D2"/>
    <w:rsid w:val="00F77D7B"/>
    <w:rsid w:val="00FA5DD5"/>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45DB2B0"/>
  <w14:defaultImageDpi w14:val="330"/>
  <w:updateFields w:val="tru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40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040F"/>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3040F"/>
    <w:pPr>
      <w:keepNext/>
      <w:keepLines/>
      <w:spacing w:before="200" w:after="0"/>
      <w:outlineLvl w:val="1"/>
    </w:pPr>
    <w:rPr>
      <w:rFonts w:eastAsiaTheme="majorEastAsia" w:cstheme="majorBidi"/>
      <w:b/>
      <w:bCs/>
      <w:color w:val="4F81BD" w:themeColor="accent1"/>
      <w:szCs w:val="26"/>
      <w:u w:val="single"/>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83040F"/>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3040F"/>
    <w:rPr>
      <w:rFonts w:ascii="Times New Roman" w:eastAsiaTheme="majorEastAsia" w:hAnsi="Times New Roman" w:cstheme="majorBidi"/>
      <w:b/>
      <w:bCs/>
      <w:color w:val="4F81BD" w:themeColor="accent1"/>
      <w:sz w:val="24"/>
      <w:szCs w:val="26"/>
      <w:u w:val="single"/>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table" w:styleId="GridTable5Dark-Accent6">
    <w:name w:val="Grid Table 5 Dark Accent 6"/>
    <w:basedOn w:val="TableNormal"/>
    <w:uiPriority w:val="50"/>
    <w:rsid w:val="00F77D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3">
    <w:name w:val="Grid Table 5 Dark Accent 3"/>
    <w:basedOn w:val="TableNormal"/>
    <w:uiPriority w:val="50"/>
    <w:rsid w:val="00F77D7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TOC1">
    <w:name w:val="toc 1"/>
    <w:basedOn w:val="Normal"/>
    <w:next w:val="Normal"/>
    <w:autoRedefine/>
    <w:uiPriority w:val="39"/>
    <w:unhideWhenUsed/>
    <w:rsid w:val="00231F24"/>
    <w:pPr>
      <w:spacing w:after="100"/>
    </w:pPr>
  </w:style>
  <w:style w:type="paragraph" w:styleId="TOC2">
    <w:name w:val="toc 2"/>
    <w:basedOn w:val="Normal"/>
    <w:next w:val="Normal"/>
    <w:autoRedefine/>
    <w:uiPriority w:val="39"/>
    <w:unhideWhenUsed/>
    <w:rsid w:val="00231F24"/>
    <w:pPr>
      <w:spacing w:after="100"/>
      <w:ind w:left="240"/>
    </w:pPr>
  </w:style>
  <w:style w:type="character" w:styleId="Hyperlink">
    <w:name w:val="Hyperlink"/>
    <w:basedOn w:val="DefaultParagraphFont"/>
    <w:uiPriority w:val="99"/>
    <w:unhideWhenUsed/>
    <w:rsid w:val="00231F24"/>
    <w:rPr>
      <w:color w:val="0000FF" w:themeColor="hyperlink"/>
      <w:u w:val="single"/>
    </w:rPr>
  </w:style>
  <w:style w:type="paragraph" w:styleId="TableofFigures">
    <w:name w:val="table of figures"/>
    <w:basedOn w:val="Normal"/>
    <w:next w:val="Normal"/>
    <w:uiPriority w:val="99"/>
    <w:unhideWhenUsed/>
    <w:rsid w:val="00636B8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333419">
      <w:bodyDiv w:val="1"/>
      <w:marLeft w:val="0"/>
      <w:marRight w:val="0"/>
      <w:marTop w:val="0"/>
      <w:marBottom w:val="0"/>
      <w:divBdr>
        <w:top w:val="none" w:sz="0" w:space="0" w:color="auto"/>
        <w:left w:val="none" w:sz="0" w:space="0" w:color="auto"/>
        <w:bottom w:val="none" w:sz="0" w:space="0" w:color="auto"/>
        <w:right w:val="none" w:sz="0" w:space="0" w:color="auto"/>
      </w:divBdr>
    </w:div>
    <w:div w:id="783231175">
      <w:bodyDiv w:val="1"/>
      <w:marLeft w:val="0"/>
      <w:marRight w:val="0"/>
      <w:marTop w:val="0"/>
      <w:marBottom w:val="0"/>
      <w:divBdr>
        <w:top w:val="none" w:sz="0" w:space="0" w:color="auto"/>
        <w:left w:val="none" w:sz="0" w:space="0" w:color="auto"/>
        <w:bottom w:val="none" w:sz="0" w:space="0" w:color="auto"/>
        <w:right w:val="none" w:sz="0" w:space="0" w:color="auto"/>
      </w:divBdr>
    </w:div>
    <w:div w:id="840315732">
      <w:bodyDiv w:val="1"/>
      <w:marLeft w:val="0"/>
      <w:marRight w:val="0"/>
      <w:marTop w:val="0"/>
      <w:marBottom w:val="0"/>
      <w:divBdr>
        <w:top w:val="none" w:sz="0" w:space="0" w:color="auto"/>
        <w:left w:val="none" w:sz="0" w:space="0" w:color="auto"/>
        <w:bottom w:val="none" w:sz="0" w:space="0" w:color="auto"/>
        <w:right w:val="none" w:sz="0" w:space="0" w:color="auto"/>
      </w:divBdr>
    </w:div>
    <w:div w:id="1344627609">
      <w:bodyDiv w:val="1"/>
      <w:marLeft w:val="0"/>
      <w:marRight w:val="0"/>
      <w:marTop w:val="0"/>
      <w:marBottom w:val="0"/>
      <w:divBdr>
        <w:top w:val="none" w:sz="0" w:space="0" w:color="auto"/>
        <w:left w:val="none" w:sz="0" w:space="0" w:color="auto"/>
        <w:bottom w:val="none" w:sz="0" w:space="0" w:color="auto"/>
        <w:right w:val="none" w:sz="0" w:space="0" w:color="auto"/>
      </w:divBdr>
    </w:div>
    <w:div w:id="1717655699">
      <w:bodyDiv w:val="1"/>
      <w:marLeft w:val="0"/>
      <w:marRight w:val="0"/>
      <w:marTop w:val="0"/>
      <w:marBottom w:val="0"/>
      <w:divBdr>
        <w:top w:val="none" w:sz="0" w:space="0" w:color="auto"/>
        <w:left w:val="none" w:sz="0" w:space="0" w:color="auto"/>
        <w:bottom w:val="none" w:sz="0" w:space="0" w:color="auto"/>
        <w:right w:val="none" w:sz="0" w:space="0" w:color="auto"/>
      </w:divBdr>
      <w:divsChild>
        <w:div w:id="296029795">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87/orsc.10.1.43" TargetMode="External"/><Relationship Id="rId18" Type="http://schemas.openxmlformats.org/officeDocument/2006/relationships/hyperlink" Target="https://doi.org/10.1287/orsc.2.1.71" TargetMode="External"/><Relationship Id="rId26" Type="http://schemas.openxmlformats.org/officeDocument/2006/relationships/hyperlink" Target="https://pressroom.toyota.com/facility/toyota-battery-manufacturing-north-carolina/" TargetMode="External"/><Relationship Id="rId3" Type="http://schemas.openxmlformats.org/officeDocument/2006/relationships/styles" Target="styles.xml"/><Relationship Id="rId21" Type="http://schemas.openxmlformats.org/officeDocument/2006/relationships/hyperlink" Target="https://global.toyota/en/company/vision-and-philosophy/toyotaway_code-of-conduct/index.html"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177/001979399504800201" TargetMode="External"/><Relationship Id="rId25" Type="http://schemas.openxmlformats.org/officeDocument/2006/relationships/hyperlink" Target="https://global.toyota/en/newsroom/corporate/43347785.html"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80/00207543.2020.1750727" TargetMode="External"/><Relationship Id="rId20" Type="http://schemas.openxmlformats.org/officeDocument/2006/relationships/hyperlink" Target="https://doi.org/10.5465/amp.2013.0025" TargetMode="External"/><Relationship Id="rId29" Type="http://schemas.openxmlformats.org/officeDocument/2006/relationships/hyperlink" Target="https://psychsafety.com/psychological-safety-edgar-scheins-three-layers-of-organisational-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global.toyota/pages/global_toyota/ir/library/annual/2025_001_integrated_en.pdf" TargetMode="External"/><Relationship Id="rId32" Type="http://schemas.openxmlformats.org/officeDocument/2006/relationships/hyperlink" Target="https://www.theculturefactor.com/country-comparison-tool?countries=japan" TargetMode="External"/><Relationship Id="rId5" Type="http://schemas.openxmlformats.org/officeDocument/2006/relationships/webSettings" Target="webSettings.xml"/><Relationship Id="rId15" Type="http://schemas.openxmlformats.org/officeDocument/2006/relationships/hyperlink" Target="https://www.iea.org/reports/global-ev-outlook-2025" TargetMode="External"/><Relationship Id="rId23" Type="http://schemas.openxmlformats.org/officeDocument/2006/relationships/hyperlink" Target="https://global.toyota/en/company/vision-and-philosophy/guiding-principles/index.html" TargetMode="External"/><Relationship Id="rId28" Type="http://schemas.openxmlformats.org/officeDocument/2006/relationships/hyperlink" Target="https://etfdb.com/esg-content-hub/esg-case-study-toyota/"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177/0018726702551004" TargetMode="External"/><Relationship Id="rId31" Type="http://schemas.openxmlformats.org/officeDocument/2006/relationships/hyperlink" Target="https://rollformingmagazine.com/continuous-improvement-kaizen-putting-it-into-practi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02/(SICI)1097-0266(200003)21:3%3c345::AID-SMJ96%3e3.0.CO;2-N" TargetMode="External"/><Relationship Id="rId22" Type="http://schemas.openxmlformats.org/officeDocument/2006/relationships/hyperlink" Target="https://global.toyota/en/company/vision-and-philosophy/production-system/index.html" TargetMode="External"/><Relationship Id="rId27" Type="http://schemas.openxmlformats.org/officeDocument/2006/relationships/hyperlink" Target="https://doi.org/10.1080/00207543.2026.2656950" TargetMode="External"/><Relationship Id="rId30" Type="http://schemas.openxmlformats.org/officeDocument/2006/relationships/hyperlink" Target="https://www.toolshero.com/management/handy-model/"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137F1-55B0-459A-92F5-1F55CF943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4904</Words>
  <Characters>27957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32796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Individual Report on Toyota</dc:title>
  <dc:subject>LCLM 5005 – Organisational Culture</dc:subject>
  <dc:creator>Toshko Trifonov</dc:creator>
  <cp:keywords/>
  <dc:description>Final grammar, academic structure, logic and referencing check completed.</dc:description>
  <cp:lastModifiedBy/>
  <cp:revision>1</cp:revision>
  <dcterms:created xsi:type="dcterms:W3CDTF">2026-06-22T06:01:00Z</dcterms:created>
  <dcterms:modified xsi:type="dcterms:W3CDTF">2026-07-04T11:43:00Z</dcterms:modified>
  <cp:category/>
</cp:coreProperties>
</file>