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55EEE1" w14:textId="77777777" w:rsidR="00A635DF" w:rsidRDefault="00A635DF" w:rsidP="002E6B9C">
      <w:pPr>
        <w:jc w:val="center"/>
        <w:rPr>
          <w:u w:val="single"/>
        </w:rPr>
      </w:pPr>
    </w:p>
    <w:p w14:paraId="6B47CACF" w14:textId="77777777" w:rsidR="00A635DF" w:rsidRDefault="00A635DF" w:rsidP="002E6B9C">
      <w:pPr>
        <w:jc w:val="center"/>
        <w:rPr>
          <w:u w:val="single"/>
        </w:rPr>
      </w:pPr>
    </w:p>
    <w:p w14:paraId="25DBF00C" w14:textId="77777777" w:rsidR="00A635DF" w:rsidRDefault="00A635DF" w:rsidP="002E6B9C">
      <w:pPr>
        <w:jc w:val="center"/>
      </w:pPr>
      <w:r>
        <w:t>I acknowledge the use of Grammarly (https://www.grammarly.com/) on 10 February 2024 to check my work using the prompt(s):</w:t>
      </w:r>
    </w:p>
    <w:p w14:paraId="4107CC75" w14:textId="633B737A" w:rsidR="00A635DF" w:rsidRDefault="00A635DF" w:rsidP="00A635DF">
      <w:pPr>
        <w:pStyle w:val="ListParagraph"/>
        <w:numPr>
          <w:ilvl w:val="0"/>
          <w:numId w:val="1"/>
        </w:numPr>
        <w:jc w:val="center"/>
      </w:pPr>
      <w:r>
        <w:t>Please check the following text for readability, grammar and syntax.</w:t>
      </w:r>
    </w:p>
    <w:p w14:paraId="4842BD29" w14:textId="77777777" w:rsidR="00A635DF" w:rsidRDefault="00A635DF" w:rsidP="00A635DF">
      <w:pPr>
        <w:pStyle w:val="ListParagraph"/>
        <w:ind w:left="408"/>
      </w:pPr>
    </w:p>
    <w:p w14:paraId="6F66E511" w14:textId="20C1DCDD" w:rsidR="00A635DF" w:rsidRPr="00A635DF" w:rsidRDefault="00A635DF" w:rsidP="00A635DF">
      <w:pPr>
        <w:pStyle w:val="ListParagraph"/>
        <w:ind w:left="408"/>
        <w:rPr>
          <w:u w:val="single"/>
        </w:rPr>
      </w:pPr>
      <w:r>
        <w:t xml:space="preserve"> I confirm that I have not presented any AI generated text as my own work. I confirm I have copies of my drafts, notes, and other resources I used before, and after the use of AI tools which I may be asked to provide in evidence.</w:t>
      </w:r>
    </w:p>
    <w:p w14:paraId="05254970" w14:textId="77777777" w:rsidR="00A635DF" w:rsidRDefault="00A635DF" w:rsidP="002E6B9C">
      <w:pPr>
        <w:jc w:val="center"/>
        <w:rPr>
          <w:u w:val="single"/>
        </w:rPr>
      </w:pPr>
    </w:p>
    <w:p w14:paraId="5FA3FFAD" w14:textId="77777777" w:rsidR="00A635DF" w:rsidRDefault="00A635DF" w:rsidP="002E6B9C">
      <w:pPr>
        <w:jc w:val="center"/>
        <w:rPr>
          <w:u w:val="single"/>
        </w:rPr>
      </w:pPr>
    </w:p>
    <w:p w14:paraId="26B2C196" w14:textId="77777777" w:rsidR="00A635DF" w:rsidRDefault="00A635DF" w:rsidP="002E6B9C">
      <w:pPr>
        <w:jc w:val="center"/>
        <w:rPr>
          <w:u w:val="single"/>
        </w:rPr>
      </w:pPr>
    </w:p>
    <w:p w14:paraId="0DDEEB55" w14:textId="77777777" w:rsidR="00A635DF" w:rsidRDefault="00A635DF" w:rsidP="002E6B9C">
      <w:pPr>
        <w:jc w:val="center"/>
        <w:rPr>
          <w:u w:val="single"/>
        </w:rPr>
      </w:pPr>
    </w:p>
    <w:p w14:paraId="0707A187" w14:textId="77777777" w:rsidR="00A635DF" w:rsidRDefault="00A635DF" w:rsidP="002E6B9C">
      <w:pPr>
        <w:jc w:val="center"/>
        <w:rPr>
          <w:u w:val="single"/>
        </w:rPr>
      </w:pPr>
    </w:p>
    <w:p w14:paraId="1E4E6A1D" w14:textId="77777777" w:rsidR="00A635DF" w:rsidRDefault="00A635DF" w:rsidP="002E6B9C">
      <w:pPr>
        <w:jc w:val="center"/>
        <w:rPr>
          <w:u w:val="single"/>
        </w:rPr>
      </w:pPr>
    </w:p>
    <w:p w14:paraId="3F274BC3" w14:textId="77777777" w:rsidR="00A635DF" w:rsidRDefault="00A635DF" w:rsidP="002E6B9C">
      <w:pPr>
        <w:jc w:val="center"/>
        <w:rPr>
          <w:u w:val="single"/>
        </w:rPr>
      </w:pPr>
    </w:p>
    <w:p w14:paraId="429CB12E" w14:textId="77777777" w:rsidR="00A635DF" w:rsidRDefault="00A635DF" w:rsidP="002E6B9C">
      <w:pPr>
        <w:jc w:val="center"/>
        <w:rPr>
          <w:u w:val="single"/>
        </w:rPr>
      </w:pPr>
    </w:p>
    <w:p w14:paraId="6A1EF2ED" w14:textId="77777777" w:rsidR="00A635DF" w:rsidRDefault="00A635DF" w:rsidP="002E6B9C">
      <w:pPr>
        <w:jc w:val="center"/>
        <w:rPr>
          <w:u w:val="single"/>
        </w:rPr>
      </w:pPr>
    </w:p>
    <w:p w14:paraId="67661BBB" w14:textId="77777777" w:rsidR="00A635DF" w:rsidRDefault="00A635DF" w:rsidP="002E6B9C">
      <w:pPr>
        <w:jc w:val="center"/>
        <w:rPr>
          <w:u w:val="single"/>
        </w:rPr>
      </w:pPr>
    </w:p>
    <w:p w14:paraId="42541B4A" w14:textId="77777777" w:rsidR="00A635DF" w:rsidRDefault="00A635DF" w:rsidP="002E6B9C">
      <w:pPr>
        <w:jc w:val="center"/>
        <w:rPr>
          <w:u w:val="single"/>
        </w:rPr>
      </w:pPr>
    </w:p>
    <w:p w14:paraId="50423B96" w14:textId="77777777" w:rsidR="00A635DF" w:rsidRDefault="00A635DF" w:rsidP="002E6B9C">
      <w:pPr>
        <w:jc w:val="center"/>
        <w:rPr>
          <w:u w:val="single"/>
        </w:rPr>
      </w:pPr>
    </w:p>
    <w:p w14:paraId="261E4CB9" w14:textId="77777777" w:rsidR="00A635DF" w:rsidRDefault="00A635DF" w:rsidP="002E6B9C">
      <w:pPr>
        <w:jc w:val="center"/>
        <w:rPr>
          <w:u w:val="single"/>
        </w:rPr>
      </w:pPr>
    </w:p>
    <w:p w14:paraId="7ADA9B30" w14:textId="77777777" w:rsidR="00A635DF" w:rsidRDefault="00A635DF" w:rsidP="002E6B9C">
      <w:pPr>
        <w:jc w:val="center"/>
        <w:rPr>
          <w:u w:val="single"/>
        </w:rPr>
      </w:pPr>
    </w:p>
    <w:p w14:paraId="6FDF64CE" w14:textId="77777777" w:rsidR="00A635DF" w:rsidRDefault="00A635DF" w:rsidP="002E6B9C">
      <w:pPr>
        <w:jc w:val="center"/>
        <w:rPr>
          <w:u w:val="single"/>
        </w:rPr>
      </w:pPr>
    </w:p>
    <w:p w14:paraId="5AD389A7" w14:textId="77777777" w:rsidR="00A635DF" w:rsidRDefault="00A635DF" w:rsidP="002E6B9C">
      <w:pPr>
        <w:jc w:val="center"/>
        <w:rPr>
          <w:u w:val="single"/>
        </w:rPr>
      </w:pPr>
    </w:p>
    <w:p w14:paraId="4E0A339C" w14:textId="77777777" w:rsidR="00A635DF" w:rsidRDefault="00A635DF" w:rsidP="002E6B9C">
      <w:pPr>
        <w:jc w:val="center"/>
        <w:rPr>
          <w:u w:val="single"/>
        </w:rPr>
      </w:pPr>
    </w:p>
    <w:p w14:paraId="31C287D5" w14:textId="77777777" w:rsidR="00A635DF" w:rsidRDefault="00A635DF" w:rsidP="002E6B9C">
      <w:pPr>
        <w:jc w:val="center"/>
        <w:rPr>
          <w:u w:val="single"/>
        </w:rPr>
      </w:pPr>
    </w:p>
    <w:p w14:paraId="0C8BBD1D" w14:textId="77777777" w:rsidR="00A635DF" w:rsidRDefault="00A635DF" w:rsidP="002E6B9C">
      <w:pPr>
        <w:jc w:val="center"/>
        <w:rPr>
          <w:u w:val="single"/>
        </w:rPr>
      </w:pPr>
    </w:p>
    <w:p w14:paraId="7EE54A28" w14:textId="77777777" w:rsidR="00A635DF" w:rsidRDefault="00A635DF" w:rsidP="002E6B9C">
      <w:pPr>
        <w:jc w:val="center"/>
        <w:rPr>
          <w:u w:val="single"/>
        </w:rPr>
      </w:pPr>
    </w:p>
    <w:p w14:paraId="235DB7E0" w14:textId="67E2B276" w:rsidR="002E6B9C" w:rsidRPr="000F7B99" w:rsidRDefault="002E6B9C" w:rsidP="002E6B9C">
      <w:pPr>
        <w:jc w:val="center"/>
        <w:rPr>
          <w:u w:val="single"/>
        </w:rPr>
      </w:pPr>
      <w:r w:rsidRPr="000F7B99">
        <w:rPr>
          <w:u w:val="single"/>
        </w:rPr>
        <w:lastRenderedPageBreak/>
        <w:t>Amira’s Case Study</w:t>
      </w:r>
      <w:r>
        <w:rPr>
          <w:u w:val="single"/>
        </w:rPr>
        <w:t xml:space="preserve"> </w:t>
      </w:r>
    </w:p>
    <w:p w14:paraId="5D63D86D" w14:textId="77777777" w:rsidR="002E6B9C" w:rsidRDefault="002E6B9C" w:rsidP="002E6B9C"/>
    <w:p w14:paraId="7DA7CD2C" w14:textId="093F95EF" w:rsidR="002E6B9C" w:rsidRDefault="002E6B9C" w:rsidP="002E6B9C">
      <w:r>
        <w:t>Amira is an eight-year-old pupil in her third year of primary school who has experienced significant adversity in her early childhood, including neglect and parental alcohol misuse. Her recent transition to live with her grandparents presents both an opportunity for stability and a period of potential emotional vulnerability. This essay critically explores how Amira can be supported during this transition while continuing her attendance at the same school, focusing on interventions that safeguard her social, emotional, and mental health development into adolescence and adulthood. In addition, it considers the responsibilities of practitioners working with children who have experienced significant trauma, reflecting on strategies to maintain psychological resilience, implement effective self-care, and prevent burnout while delivering ethically responsible, high-quality support. By integrating contemporary UK-based research, policy guidance, and theoretical perspectives, particularly trauma-informed practice, attachment theory, and the literature surrounding Adverse Childhood Experiences (ACEs). This discussion provides a critical, evidence-informed analysis of child-centred interventions and professional strategies that support the well-being of both Amira and the practitioners working with her.</w:t>
      </w:r>
    </w:p>
    <w:p w14:paraId="5939B17F" w14:textId="77777777" w:rsidR="003B1741" w:rsidRDefault="003B1741" w:rsidP="002E6B9C"/>
    <w:p w14:paraId="0BC4E91A" w14:textId="155B2863" w:rsidR="003B1741" w:rsidRDefault="002E6B9C" w:rsidP="002E6B9C">
      <w:r>
        <w:t>Research from Public Health Wales (2015) and Bellis et al. (2015) demonstrates that children exposed to multiple ACEs are at increased risk of poor mental health outcomes,</w:t>
      </w:r>
      <w:r w:rsidRPr="000F7B99">
        <w:t xml:space="preserve"> challenges in forming secure attachments</w:t>
      </w:r>
      <w:r>
        <w:t>,</w:t>
      </w:r>
      <w:r w:rsidRPr="000F7B99">
        <w:t xml:space="preserve"> and difficulties with school engagement</w:t>
      </w:r>
      <w:r>
        <w:t xml:space="preserve">. </w:t>
      </w:r>
      <w:r w:rsidRPr="000E4E22">
        <w:t>However, ACEs do not determine a child’s future; they highlight areas of potential vulnerability rather than unavoidable outcomes</w:t>
      </w:r>
      <w:r w:rsidR="001170CA">
        <w:t xml:space="preserve"> (Public Health Wales, 2015)</w:t>
      </w:r>
      <w:r>
        <w:t>.</w:t>
      </w:r>
      <w:r w:rsidRPr="00E254D0">
        <w:t xml:space="preserve"> Early, consistent, and relationship-focused interventions can reduce negative developmental outcomes and help children build adaptive coping skills, resilience, and positive relational patterns (</w:t>
      </w:r>
      <w:r w:rsidR="00B63F6E" w:rsidRPr="00E254D0">
        <w:t>Early Intervention Foundation, 2018</w:t>
      </w:r>
      <w:r w:rsidR="00B63F6E">
        <w:t xml:space="preserve">; </w:t>
      </w:r>
      <w:r w:rsidRPr="00E254D0">
        <w:t>Smith &amp; Pollak, 2021).</w:t>
      </w:r>
      <w:r>
        <w:t xml:space="preserve"> </w:t>
      </w:r>
      <w:r w:rsidRPr="000E4E22">
        <w:t>For Amira, this requires a comprehensive approach that meets her immediate physiological, emotional, and social needs while promoting protective factors that support her long-term development.</w:t>
      </w:r>
      <w:r>
        <w:t xml:space="preserve"> Trauma-informed practice recognises that children like Amira may present with behavioural withdrawal, hyper-vigilance, or emotional dysregulation as adaptive responses to overwhelming stress, reflecting disruptions in the autonomic nervous system (ANS) and altered functioning of the amygdala, hippocampus, and prefrontal cortex (</w:t>
      </w:r>
      <w:r w:rsidR="00915B83" w:rsidRPr="0070473D">
        <w:t>Perry &amp; Hambrick, 2008</w:t>
      </w:r>
      <w:r w:rsidR="00915B83">
        <w:t xml:space="preserve">; </w:t>
      </w:r>
      <w:r>
        <w:t xml:space="preserve">Van der Kolk, 2014). </w:t>
      </w:r>
      <w:r w:rsidRPr="000E4E22">
        <w:t>Recognising these behaviours as adaptive survival strategies rather than defiance enables practitioners to respond with tailored, supportive interventions instead of punitive measures, helping to prevent re-traumatisation and promote emotional regulation (</w:t>
      </w:r>
      <w:r w:rsidR="00686FB1" w:rsidRPr="000E4E22">
        <w:t>Early Intervention Foundation, 2018</w:t>
      </w:r>
      <w:r w:rsidR="00686FB1">
        <w:t xml:space="preserve">; </w:t>
      </w:r>
      <w:r w:rsidRPr="000E4E22">
        <w:t>NICE, 2018).</w:t>
      </w:r>
    </w:p>
    <w:p w14:paraId="16CA6324" w14:textId="3600AF58" w:rsidR="002E6B9C" w:rsidRDefault="002E6B9C" w:rsidP="002E6B9C">
      <w:r w:rsidRPr="000E4E22">
        <w:lastRenderedPageBreak/>
        <w:t xml:space="preserve">Maintaining school attendance provides Amira with a consistent daily environment and access to </w:t>
      </w:r>
      <w:r>
        <w:t>supportive</w:t>
      </w:r>
      <w:r w:rsidRPr="000E4E22">
        <w:t xml:space="preserve"> adults and peer relationships</w:t>
      </w:r>
      <w:r>
        <w:t>,</w:t>
      </w:r>
      <w:r w:rsidRPr="000E4E22">
        <w:t xml:space="preserve"> all of which can serve as protective factors</w:t>
      </w:r>
      <w:r w:rsidR="00FF61B4">
        <w:t xml:space="preserve"> (</w:t>
      </w:r>
      <w:r w:rsidR="00DB4437">
        <w:t>SCIE, n.d.</w:t>
      </w:r>
      <w:r w:rsidR="00FF61B4">
        <w:t>)</w:t>
      </w:r>
      <w:r w:rsidRPr="000E4E22">
        <w:t>. Evidence from Wales shows that having trusted, stable relationships and positive school experiences can significantly shield against the long-term negative effects of childhood adversity (Bellis et</w:t>
      </w:r>
      <w:r w:rsidRPr="000E4E22">
        <w:rPr>
          <w:rFonts w:ascii="Arial" w:hAnsi="Arial" w:cs="Arial"/>
        </w:rPr>
        <w:t> </w:t>
      </w:r>
      <w:r w:rsidRPr="000E4E22">
        <w:t>al., 2018; Public Health Wales, 2025).</w:t>
      </w:r>
      <w:r>
        <w:t xml:space="preserve"> </w:t>
      </w:r>
      <w:r w:rsidRPr="00DF2FB6">
        <w:t>Trauma-informed</w:t>
      </w:r>
      <w:r>
        <w:t xml:space="preserve"> frameworks in the UK emphasise that predictable, relationally stable environments serve as protective factors, reducing the likelihood of further harm and fostering a sense of safety essential for children who have experienced early adversity (</w:t>
      </w:r>
      <w:r w:rsidR="00DB4437">
        <w:t>Bath Spa University, 20</w:t>
      </w:r>
      <w:r w:rsidR="00B32C27">
        <w:t>14</w:t>
      </w:r>
      <w:r w:rsidR="00DB4437">
        <w:t xml:space="preserve">; </w:t>
      </w:r>
      <w:r>
        <w:t xml:space="preserve">SCIE, n.d.). </w:t>
      </w:r>
      <w:r w:rsidRPr="000E4E22">
        <w:t>Stability within her home, provided by her grandparents, complements the consistency offered by the school environment, creating two interrelated contexts in which Amira can experience predictable routines, familiar care, and supportive relationships. These dual environments allow her to develop relational security and gradually build articulate internal models of trust and safety, which are essential for healthy emotional regulation, attachment formation, and resilience following early adversity (Howe, 2011; Hughes, 201</w:t>
      </w:r>
      <w:r>
        <w:t>7</w:t>
      </w:r>
      <w:r w:rsidRPr="000E4E22">
        <w:t xml:space="preserve">; Public Health Wales, 2015). By reinforcing safe and responsive interactions across home and school, Amira is more likely to consolidate protective experiences that </w:t>
      </w:r>
      <w:r w:rsidR="00520386">
        <w:t xml:space="preserve">offer </w:t>
      </w:r>
      <w:r w:rsidRPr="000E4E22">
        <w:t>defence against the long-term effects of ACEs and support her social, emotional, and cognitive development.</w:t>
      </w:r>
    </w:p>
    <w:p w14:paraId="6D4A1732" w14:textId="77777777" w:rsidR="002E6B9C" w:rsidRDefault="002E6B9C" w:rsidP="002E6B9C"/>
    <w:p w14:paraId="4E68BF11" w14:textId="16D403DF" w:rsidR="002E6B9C" w:rsidRDefault="002E6B9C" w:rsidP="002E6B9C">
      <w:r>
        <w:t>Neurobiological considerations are central to understanding Amira’s presentation and informing intervention strategies. Prolonged exposure to neglect and household dysfunction can disrupt the development of the HPA axis, leading to prolonged sympathetic nervous system activation and increased secretion of stress hormones such as cortisol and adrenaline (</w:t>
      </w:r>
      <w:r w:rsidRPr="0070473D">
        <w:t>Perry &amp; Hambrick, 2008</w:t>
      </w:r>
      <w:r>
        <w:t>). Th</w:t>
      </w:r>
      <w:r w:rsidR="005F70B6">
        <w:t>ey suggest this</w:t>
      </w:r>
      <w:r>
        <w:t xml:space="preserve"> dysregulation manifests as hyperarousal, hyper-vigilance, difficulties concentrating, and heightened emotional reactivity, which may explain Amira’s withdrawal and reluctance to engage with peers. T</w:t>
      </w:r>
      <w:r w:rsidR="005F70B6">
        <w:t xml:space="preserve">hey further </w:t>
      </w:r>
      <w:r w:rsidR="00B53918">
        <w:t>claim</w:t>
      </w:r>
      <w:r w:rsidR="005F70B6">
        <w:t xml:space="preserve"> that t</w:t>
      </w:r>
      <w:r>
        <w:t>rauma-informed practice recognises that these responses are adaptive and that interventions must address both behavioural and physiological dysregulation. Incorporating grounding exercises, breathwork, mindfulness, and structured routines provides children with strategies to downregulate arousal, restore autonomic balance, and improve readiness to learn and engage socially (</w:t>
      </w:r>
      <w:r w:rsidRPr="0070473D">
        <w:t>Perry &amp; Hambrick, 2008</w:t>
      </w:r>
      <w:r>
        <w:t>; Van der Kolk, 2014). Research suggests that embedding these practices consistently in both school and home contexts enhances emotional regulation, attentional focus, and supports academic functioning (NICE, 2018).</w:t>
      </w:r>
    </w:p>
    <w:p w14:paraId="2376CA37" w14:textId="77777777" w:rsidR="002E6B9C" w:rsidRDefault="002E6B9C" w:rsidP="002E6B9C"/>
    <w:p w14:paraId="1F386E0F" w14:textId="77777777" w:rsidR="002E6B9C" w:rsidRDefault="002E6B9C" w:rsidP="002E6B9C"/>
    <w:p w14:paraId="52E2F344" w14:textId="77777777" w:rsidR="002E6B9C" w:rsidRDefault="002E6B9C" w:rsidP="002E6B9C"/>
    <w:p w14:paraId="679B4BEC" w14:textId="60244579" w:rsidR="002E6B9C" w:rsidRDefault="002E6B9C" w:rsidP="002E6B9C">
      <w:r w:rsidRPr="00F46022">
        <w:lastRenderedPageBreak/>
        <w:t>During early childhood and adolescence, the brain develops rapidly and is highly influenced by experience</w:t>
      </w:r>
      <w:r w:rsidR="00262CAC">
        <w:t xml:space="preserve"> (NSPCC Learning</w:t>
      </w:r>
      <w:r w:rsidR="00F84843">
        <w:t>, 2021)</w:t>
      </w:r>
      <w:r w:rsidRPr="00F46022">
        <w:t>. Thousands of neural connections form, and through a process called synaptic pruning, frequently used connections are strengthened while unused ones are removed, helping the brain become more efficient and specialised (NSPCC Learning, 2021; Teicher, Anderson, &amp; Polcari, 2012). This neuroplasticity makes children’s brains very sensitive to their environment</w:t>
      </w:r>
      <w:r w:rsidR="008666A7">
        <w:t>,</w:t>
      </w:r>
      <w:r w:rsidRPr="00F46022">
        <w:t xml:space="preserve"> nurturing relationships, stable routines, and consistent emotional and cognitive support help develop circuits that underpin emotion regulation, learning, social understanding, and self-control (NSPCC Learning, 2021; Teicher et al.</w:t>
      </w:r>
      <w:r w:rsidR="00F84843">
        <w:t>).</w:t>
      </w:r>
      <w:r w:rsidR="008666A7">
        <w:t xml:space="preserve"> </w:t>
      </w:r>
    </w:p>
    <w:p w14:paraId="726C9AC8" w14:textId="77777777" w:rsidR="003B1741" w:rsidRDefault="003B1741" w:rsidP="002E6B9C"/>
    <w:p w14:paraId="761FEC1B" w14:textId="1E0B0AB0" w:rsidR="002E6B9C" w:rsidRDefault="002E6B9C" w:rsidP="002E6B9C">
      <w:r w:rsidRPr="001F6F46">
        <w:t xml:space="preserve">For a </w:t>
      </w:r>
      <w:proofErr w:type="spellStart"/>
      <w:r w:rsidRPr="001F6F46">
        <w:t>child like</w:t>
      </w:r>
      <w:proofErr w:type="spellEnd"/>
      <w:r w:rsidRPr="001F6F46">
        <w:t xml:space="preserve"> Amira, who has experienced early neglect and household instability, the principles of rapid brain development highlight why her emotional, social, and cognitive functioning may be particularly vulnerable. Disruptions in early </w:t>
      </w:r>
      <w:r>
        <w:t>parenting</w:t>
      </w:r>
      <w:r w:rsidRPr="001F6F46">
        <w:t xml:space="preserve"> can interfere with the normal development of the amygdala, hippocampus, and prefrontal cortex brain regions critical for processing emotion, forming memories, and regulating stress responses (</w:t>
      </w:r>
      <w:r w:rsidRPr="0070473D">
        <w:t>Perry &amp; Hambrick, 2008</w:t>
      </w:r>
      <w:r w:rsidRPr="001F6F46">
        <w:t>; Van der Kolk, 2014). This can manifest as hyper-vigilance, heightened emotional reactivity, withdrawal, or difficulties concentrating in the classroom, reflecting adaptive responses of a brain shaped by chronic stress rather than intrinsic behavioural problems (NSPCC Learning, 2021). Crucially, the brain’s continuing flexibility during development allows timely, consistent, and relationship-focused interventions to repair and strengthen neural pathways, helping to barrier the impact of early adversity</w:t>
      </w:r>
      <w:r w:rsidR="005A7D0E">
        <w:t xml:space="preserve"> </w:t>
      </w:r>
      <w:r w:rsidR="00265C9A">
        <w:t>(NSPCC, 2021)</w:t>
      </w:r>
      <w:r>
        <w:t xml:space="preserve">. </w:t>
      </w:r>
      <w:r w:rsidRPr="001F6F46">
        <w:t xml:space="preserve">By providing stable caregiving through her grandparents, alongside supportive school environments and trauma-informed therapeutic approaches, Amira </w:t>
      </w:r>
      <w:proofErr w:type="gramStart"/>
      <w:r w:rsidRPr="001F6F46">
        <w:t>has the opportunity to</w:t>
      </w:r>
      <w:proofErr w:type="gramEnd"/>
      <w:r w:rsidRPr="001F6F46">
        <w:t xml:space="preserve"> develop secure attachment patterns, strengthen executive function, and improve emotional regulation (Hughes, 2017; SCIE, n.d.). This underlines the rationale for multi-modal interventions that integrate home, school, and therapeutic supports, which can capitalise on neural plasticity to foster resilience and adaptive coping, thereby reducing the long-term impact of her adverse childhood experiences.</w:t>
      </w:r>
    </w:p>
    <w:p w14:paraId="7786BCAD" w14:textId="77777777" w:rsidR="003B1741" w:rsidRDefault="003B1741" w:rsidP="002E6B9C"/>
    <w:p w14:paraId="41B1B581" w14:textId="598D626B" w:rsidR="002E6B9C" w:rsidRDefault="002E6B9C" w:rsidP="002E6B9C">
      <w:r>
        <w:t xml:space="preserve">Attachment theory provides a </w:t>
      </w:r>
      <w:r w:rsidR="007A49B8">
        <w:t>corresponding</w:t>
      </w:r>
      <w:r>
        <w:t xml:space="preserve"> framework for understanding Amira’s needs. Children who have experienced disrupted care or neglect are at risk of insecure or disorganised attachment patterns, which can impair emotional regulation, social competence, and the ability to form trusting relationships (Howe, 2011). Interventions that prioritise secure, consistent relationships with caregivers and key adults in school facilitate the development of “earned security,” enabling children to internalise models of trust despite early relational disruption</w:t>
      </w:r>
      <w:r w:rsidR="00E41491">
        <w:t xml:space="preserve"> (Howe, 2011)</w:t>
      </w:r>
      <w:r>
        <w:t xml:space="preserve">. Evidence from Dyadic Developmental Practice (DDP) and therapeutic caregiving programmes indicates that relational interventions grounded in empathy and curiosity support emotional </w:t>
      </w:r>
      <w:r>
        <w:lastRenderedPageBreak/>
        <w:t xml:space="preserve">regulation, reduce behavioural difficulties, and consolidate secure attachment patterns (Hughes, 2017; SCIE, n.d.). These approaches </w:t>
      </w:r>
      <w:r w:rsidR="00F30A0E">
        <w:t>are likely to be</w:t>
      </w:r>
      <w:r>
        <w:t xml:space="preserve"> particularly effective when combined with stable routines, co-regulation strategies, and responsive caregiving within both home and school environments.</w:t>
      </w:r>
    </w:p>
    <w:p w14:paraId="0C4F06A1" w14:textId="77777777" w:rsidR="007A49B8" w:rsidRDefault="007A49B8" w:rsidP="002E6B9C"/>
    <w:p w14:paraId="6B49E7CC" w14:textId="1D8F9186" w:rsidR="007A49B8" w:rsidRDefault="007A49B8" w:rsidP="002E6B9C">
      <w:r w:rsidRPr="007A49B8">
        <w:t>A limitation of attachment-focused interventions, including DDP and therapeutic caregiving, is that their effectiveness is highly dependent on the consistency and engagement of caregivers. In situations where caregivers face significant stress, mental health challenges, or competing responsibilities, it may be difficult to maintain the level of attuned responsiveness required for these interventions to achieve optimal outcomes (</w:t>
      </w:r>
      <w:proofErr w:type="spellStart"/>
      <w:r w:rsidRPr="007A49B8">
        <w:t>Bakermans</w:t>
      </w:r>
      <w:proofErr w:type="spellEnd"/>
      <w:r w:rsidRPr="007A49B8">
        <w:t xml:space="preserve">-Kranenburg, van </w:t>
      </w:r>
      <w:proofErr w:type="spellStart"/>
      <w:r w:rsidRPr="007A49B8">
        <w:t>IJzendoorn</w:t>
      </w:r>
      <w:proofErr w:type="spellEnd"/>
      <w:r w:rsidRPr="007A49B8">
        <w:t>, &amp; Juffer, 2003). Additionally, while these programmes are well-supported by clinical experience, the empirical evidence base remains relatively limited compared with more widely researched interventions such as TF-CBT, particularly in terms of large-scale, long-term outcome studies. This highlights the need for ongoing evaluation and integration with complementary evidence-based strategies to ensure consistent support for children like Amira</w:t>
      </w:r>
      <w:r w:rsidR="000033CC">
        <w:t>.</w:t>
      </w:r>
    </w:p>
    <w:p w14:paraId="598CECB4" w14:textId="77777777" w:rsidR="002E6B9C" w:rsidRDefault="002E6B9C" w:rsidP="002E6B9C"/>
    <w:p w14:paraId="0E61A33D" w14:textId="69C2B9CA" w:rsidR="002E6B9C" w:rsidRDefault="002E6B9C" w:rsidP="002E6B9C">
      <w:r>
        <w:t xml:space="preserve">School-based interventions are also crucial. The Mental Health in Schools Programme (Department for Education &amp; NHS England, 2021) and nurture group models (Boxall, 2002) provide structured settings where children can develop social, emotional, and behavioural </w:t>
      </w:r>
      <w:r w:rsidR="00473FBD">
        <w:t>capabilities</w:t>
      </w:r>
      <w:r>
        <w:t xml:space="preserve"> in predictable and safe contexts. Emotional Literacy Support Assistants (ELSAs) and school counsellors can provide consistent check-</w:t>
      </w:r>
      <w:proofErr w:type="gramStart"/>
      <w:r>
        <w:t>ins,  protecting</w:t>
      </w:r>
      <w:proofErr w:type="gramEnd"/>
      <w:r>
        <w:t xml:space="preserve"> emotional understanding and providing safe spaces for children to explore their feelings related to transitions or trauma. Narrative and play-based interventions, including life-story work and therapeutic storytelling, allow children to process experiences symbolically and integrate past events without pressure for verbal disclosure, which is particularly important for those with disrupted attachment histories (Ryan &amp; Walker, 2007; British Association of Play Therapists, </w:t>
      </w:r>
      <w:proofErr w:type="spellStart"/>
      <w:r>
        <w:t>n.d</w:t>
      </w:r>
      <w:proofErr w:type="spellEnd"/>
      <w:r>
        <w:t xml:space="preserve">). </w:t>
      </w:r>
      <w:r w:rsidRPr="00BB3414">
        <w:t>These interventions facilitate co-regulation and relational repair, helping Amira gradually develop a richer emotional vocabulary and a greater capacity to identify, express, and manage her feelings. By providing structured opportunities to practise these skills in safe, predictable interactions, they foster self-awareness, adaptive coping strategies, and emotional resilience that can generalise to her relationships with peers and adults, as well as supporting sustained engagement and success in academic settings over time (Ryan &amp; Walker, 20</w:t>
      </w:r>
      <w:r>
        <w:t>07</w:t>
      </w:r>
      <w:r w:rsidRPr="00BB3414">
        <w:t>; Hughes, 201</w:t>
      </w:r>
      <w:r>
        <w:t>7</w:t>
      </w:r>
      <w:r w:rsidRPr="00BB3414">
        <w:t>).</w:t>
      </w:r>
    </w:p>
    <w:p w14:paraId="52C01993" w14:textId="77777777" w:rsidR="002E6B9C" w:rsidRDefault="002E6B9C" w:rsidP="002E6B9C"/>
    <w:p w14:paraId="3839AAE4" w14:textId="77777777" w:rsidR="005B09F7" w:rsidRDefault="005B09F7" w:rsidP="002E6B9C"/>
    <w:p w14:paraId="2EA20202" w14:textId="303D3C29" w:rsidR="002E6B9C" w:rsidRDefault="002E6B9C" w:rsidP="002E6B9C">
      <w:r>
        <w:lastRenderedPageBreak/>
        <w:t xml:space="preserve">Cultural sensitivity </w:t>
      </w:r>
      <w:r w:rsidR="00B00B6E">
        <w:t>supports</w:t>
      </w:r>
      <w:r>
        <w:t xml:space="preserve"> all intervention work with children like Amira. Recognising how familial, community, and cultural context shape experience and behaviour promotes relational trust, reduces misinterpretation of behaviours, and enhances the relevance and effectiveness of support (Department for Education, 2023; NSPCC, 2022). Engaging grandparents in culturally meaningful routines, respecting family structures, and liaising with community supports ensures that interventions are tailored to Amira’s lived reality, reinforcing the stability provided by her home and school environments. Multi-agency collaboration further strengthens protective frameworks. Coordinated planning and communication between social services, educational staff, mental health professionals, and caregivers ensures that strategies are consistent across settings and that all aspects of the child’s emotional, social, cognitive, and physical needs are addressed (DfE, 2023). Collaboration enables access to additional resources, including enrichment programmes, therapeutic services, and wider social support networks, mitigating the impact of ACEs and promoting long-term development (Early Intervention Foundation, 2018; Bellis et al., 2017). This approach aligns with Ungar’s social-ecological model, recognising that resilience emerges from interactions between the child and supportive social and environmental systems (Ungar, 2012).</w:t>
      </w:r>
    </w:p>
    <w:p w14:paraId="1833C5E5" w14:textId="77777777" w:rsidR="002E6B9C" w:rsidRDefault="002E6B9C" w:rsidP="002E6B9C"/>
    <w:p w14:paraId="153B9A64" w14:textId="77777777" w:rsidR="002E6B9C" w:rsidRDefault="002E6B9C" w:rsidP="002E6B9C">
      <w:r>
        <w:t>Targeted therapeutic interventions are essential to address Amira’s complex trauma. Trauma-focused cognitive behavioural therapy (TF-CBT) has demonstrated efficacy in children exposed to neglect, abuse, or household dysfunction by providing structured opportunities to process traumatic memories, reframe maladaptive cognitions, and develop coping strategies (Cohen et al., 2017; NICE, 2018). For Amira, TF-CBT can be adapted to her developmental level, incorporating play and narrative elements to facilitate engagement while supporting emotional regulation and attentional focus. Dyadic Developmental Psychotherapy (DDP) and therapeutic caregiving emphasise empathetic, attuned interactions between child and caregiver, promoting co-regulation and repair of disrupted attachment patterns (Hughes, 2017; SCIE, n.d.). Engagement with her grandparents in structured DDP sessions can reinforce relational security and complement school-based interventions.</w:t>
      </w:r>
    </w:p>
    <w:p w14:paraId="56386AFC" w14:textId="77777777" w:rsidR="003B1741" w:rsidRDefault="003B1741" w:rsidP="00723CD2"/>
    <w:p w14:paraId="515F81B2" w14:textId="77777777" w:rsidR="00B00B6E" w:rsidRDefault="00723CD2" w:rsidP="00723CD2">
      <w:r>
        <w:t xml:space="preserve">Given Amira’s early experiences of unpredictability and emotional insecurity, interventions that </w:t>
      </w:r>
      <w:r w:rsidR="00B00B6E">
        <w:t>centre</w:t>
      </w:r>
      <w:r>
        <w:t xml:space="preserve"> relational safety and co-regulation are especially appropriate. </w:t>
      </w:r>
      <w:r w:rsidR="003B1741">
        <w:t>Thera play</w:t>
      </w:r>
      <w:r>
        <w:t xml:space="preserve">, an attachment-based, play-centred model, aims to rebuild trust and emotional </w:t>
      </w:r>
      <w:proofErr w:type="spellStart"/>
      <w:r w:rsidR="00B00B6E">
        <w:t>attunement</w:t>
      </w:r>
      <w:proofErr w:type="spellEnd"/>
      <w:r>
        <w:t xml:space="preserve"> through structured activities that promote shared joy, nurturance and regulation. This is highly relevant for Amira, whose hyperarousal and difficulties with emotional expression suggest an underdeveloped capacity for safe relational engagement. Evidence indicates that </w:t>
      </w:r>
      <w:r w:rsidR="003B1741">
        <w:t>Thera play</w:t>
      </w:r>
      <w:r>
        <w:t xml:space="preserve"> can strengthen attachment behaviours and improve emotional regulation in children who have experienced trauma</w:t>
      </w:r>
    </w:p>
    <w:p w14:paraId="3FCD26AB" w14:textId="2484A498" w:rsidR="00723CD2" w:rsidRDefault="00723CD2" w:rsidP="00723CD2">
      <w:r>
        <w:lastRenderedPageBreak/>
        <w:t xml:space="preserve">(Hughes, 2017; Perry &amp; Hambrick, 2008). However, its effectiveness is </w:t>
      </w:r>
      <w:r w:rsidR="00B00B6E">
        <w:t>dependent</w:t>
      </w:r>
      <w:r>
        <w:t xml:space="preserve"> on consistent caregiver participation</w:t>
      </w:r>
      <w:r w:rsidR="00B00B6E">
        <w:t>;</w:t>
      </w:r>
      <w:r>
        <w:t xml:space="preserve"> for families experiencing ongoing stress or limited capacity, benefits may be reduced. Additionally, although promising, empirical evaluation of </w:t>
      </w:r>
      <w:r w:rsidR="00B00B6E">
        <w:t>Thera play</w:t>
      </w:r>
      <w:r>
        <w:t xml:space="preserve"> remains comparatively limited, making it essential to integrate it alongside other trauma-informed strategies.</w:t>
      </w:r>
    </w:p>
    <w:p w14:paraId="3C514929" w14:textId="77777777" w:rsidR="00723CD2" w:rsidRDefault="00723CD2" w:rsidP="00723CD2"/>
    <w:p w14:paraId="05BE9DD0" w14:textId="4E15A5D3" w:rsidR="00723CD2" w:rsidRDefault="00723CD2" w:rsidP="002E6B9C">
      <w:r>
        <w:t>A second intervention appropriate for Amira is Child-Parent Psychotherapy (CPP), which focuses on helping caregivers understand the meaning behind a child’s emotional and behavioural responses while repairing disrupted attachment patterns. CPP is well-supported empirically, particularly for young children exposed to domestic violence and early adversity (Lieberman et al., 201</w:t>
      </w:r>
      <w:r w:rsidR="00830432">
        <w:t>7</w:t>
      </w:r>
      <w:r>
        <w:t>). For Amira, whose symptoms</w:t>
      </w:r>
      <w:r w:rsidR="00B00B6E">
        <w:t xml:space="preserve"> are </w:t>
      </w:r>
      <w:r>
        <w:t>nightmares, hypervigilance, and anxious attachment</w:t>
      </w:r>
      <w:r w:rsidR="00B00B6E">
        <w:t xml:space="preserve">, they </w:t>
      </w:r>
      <w:r>
        <w:t>reflect trauma held within the caregiver–child relationship, CPP offers a structured way to process traumatic experiences within a safe dyadic space. A strength of CPP is its emphasis on strengthening the caregiver’s reflective capacity, which may help Amira’s mother respond more sensitively to her cues. Nonetheless, CPP is resource-intensive and requires long-term engagement, which can limit accessibility in overstretched services. Furthermore, change may occur gradually, making it less suited for situations requiring rapid stabilisation.</w:t>
      </w:r>
    </w:p>
    <w:p w14:paraId="3CB25D14" w14:textId="77777777" w:rsidR="003B1741" w:rsidRDefault="003B1741" w:rsidP="002E6B9C"/>
    <w:p w14:paraId="78379F6A" w14:textId="21A99CB6" w:rsidR="002E6B9C" w:rsidRDefault="002E6B9C" w:rsidP="002E6B9C">
      <w:r>
        <w:t>Integration of these interventions requires careful attention to Amira’s developmental stage, neurobiological profile, cultural context, and the availability of school and home resources.</w:t>
      </w:r>
      <w:r w:rsidR="00723CD2" w:rsidRPr="00723CD2">
        <w:t xml:space="preserve"> </w:t>
      </w:r>
      <w:r w:rsidR="00723CD2">
        <w:t>T</w:t>
      </w:r>
      <w:r w:rsidR="00723CD2" w:rsidRPr="00723CD2">
        <w:t>hese interventions highlight the importance of trauma-informed, relationship-based work that recognises both the child’s neurobiological vulnerabilities and the central role of caregiving systems in recovery</w:t>
      </w:r>
      <w:r w:rsidR="003B1741">
        <w:t>.</w:t>
      </w:r>
      <w:r>
        <w:t xml:space="preserve"> Evidence emphasises that therapeutic efficacy is dependent on practitioner skill, relational consistency, and reinforcement across multiple contexts (NICE, 2018; Early Intervention Foundation, 2018). In practice, this may involve blending TF-CBT with play and narrative methods, integrating DDP and PCIT strategies with grandparents, and embedding grounding and self-regulation techniques in daily routines. This approach ensures that interventions are developmentally appropriate and responsive to Amira’s evolving needs.</w:t>
      </w:r>
    </w:p>
    <w:p w14:paraId="57AE0840" w14:textId="77777777" w:rsidR="003B1741" w:rsidRDefault="003B1741" w:rsidP="002E6B9C"/>
    <w:p w14:paraId="04B8A555" w14:textId="77777777" w:rsidR="0095045A" w:rsidRDefault="002E6B9C" w:rsidP="002E6B9C">
      <w:r>
        <w:t xml:space="preserve">By adopting a comprehensive, multi-modal strategy, practitioners can address Amira’s immediate emotional, behavioural, and relational needs while fostering resilience, agency, and secure relational patterns that support long-term wellbeing. This integrated approach, informed by trauma-informed practice, attachment </w:t>
      </w:r>
      <w:proofErr w:type="gramStart"/>
      <w:r>
        <w:t>theory,  and</w:t>
      </w:r>
      <w:proofErr w:type="gramEnd"/>
      <w:r>
        <w:t xml:space="preserve"> social-ecological principles, ensures that protective factors are strengthened, ACE-related vulnerabilities are mitigated, and Amira is supported to engage in meaningful, safe relationships across home, school, and community contexts.</w:t>
      </w:r>
    </w:p>
    <w:p w14:paraId="08EB9B60" w14:textId="3940C454" w:rsidR="002E6B9C" w:rsidRDefault="002E6B9C" w:rsidP="002E6B9C">
      <w:r>
        <w:lastRenderedPageBreak/>
        <w:t xml:space="preserve"> Through sustained, relationally focused interventions and consistent multi-agency collaboration, Amira’s experiences of early adversity can be buffered, enabling her to develop emotional regulation skills, secure attachments, and a clear sense of self that will support her development into adolescence and adulthood.</w:t>
      </w:r>
    </w:p>
    <w:p w14:paraId="0B67E64F" w14:textId="77777777" w:rsidR="00582E62" w:rsidRDefault="00582E62" w:rsidP="002E6B9C"/>
    <w:p w14:paraId="140507F6" w14:textId="1805563A" w:rsidR="003B1741" w:rsidRDefault="00582E62" w:rsidP="002E6B9C">
      <w:r w:rsidRPr="00582E62">
        <w:t>Practitioners working with children who have experienced complex trauma, such as Amira, must balance their professional responsibility to provide emotional containment with the need to maintain their own well-being. Engaging closely with disclosures of neglect, instability, and parental substance misuse can be emotionally demanding, and research consistently shows that practitioners in education, social care, and community roles are at elevated risk of compassion fatigue, vicarious trauma, and burnout if adequate self-care measures are not embedded into practice (BASW, 202</w:t>
      </w:r>
      <w:r w:rsidR="00B32C27">
        <w:t>0</w:t>
      </w:r>
      <w:r w:rsidRPr="00582E62">
        <w:t>; SCIE, n.d.; Cocker &amp; Joss, 2016; Rose &amp; Forrester, 2020). The ability to support a child effectively therefore depends not only on professional skill and trauma-informed competence but also on the practitioner’s capacity to regulate their own emotional responses, reflect critically on their practice, and remain psychologically grounded (Cocker &amp; Joss, 2016; Research in Practice, n.d.). Without these elements, even the best-intended support risks becoming inconsistent, emotionally detached, or inadvertently re-traumatising for the child (Cocker &amp; Joss, 2016; Rose &amp; Forrester, 2020).</w:t>
      </w:r>
    </w:p>
    <w:p w14:paraId="5B7C40C7" w14:textId="77777777" w:rsidR="00582E62" w:rsidRDefault="00582E62" w:rsidP="002E6B9C"/>
    <w:p w14:paraId="6062D610" w14:textId="1A51CD99" w:rsidR="002E6B9C" w:rsidRPr="008D5FC0" w:rsidRDefault="002E6B9C" w:rsidP="002E6B9C">
      <w:r w:rsidRPr="008D5FC0">
        <w:t xml:space="preserve">Reflective practice is central to sustaining resilience in this context. UK frameworks such as Working Together to Safeguard Children emphasise that regular reflection improves judgement, reduces emotional overwhelm, and enhances a practitioner’s ability to respond sensitively to children who have experienced abuse or neglect (DfE, 2023). Supervision forms a critical component of this. Evidence from SCIE </w:t>
      </w:r>
      <w:r w:rsidR="004759CC">
        <w:t xml:space="preserve">(n.d.) </w:t>
      </w:r>
      <w:r w:rsidRPr="008D5FC0">
        <w:t>highlights that high-quality, emotionally containing supervision mitigates the impact of vicarious trauma by allowing practitioners to process distressing material, explore emotional responses safely, and receive guidance from experienced colleagues. In practice, a practitioner supporting Amira would need consistent access to reflective supervision to explore the emotional weight of her disclosures, the complexities surrounding her mother’s alcohol dependence, and the potentially distressing living conditions identified during the home visit. These sessions would allow the practitioner to acknowledge feelings of sadness, anger, or helplessness without allowing those emotions to interfere with professional boundaries or decision-making.</w:t>
      </w:r>
    </w:p>
    <w:p w14:paraId="7D924BD0" w14:textId="77777777" w:rsidR="003B1741" w:rsidRDefault="003B1741" w:rsidP="002E6B9C"/>
    <w:p w14:paraId="19F72485" w14:textId="77777777" w:rsidR="0095045A" w:rsidRDefault="0095045A" w:rsidP="002E6B9C"/>
    <w:p w14:paraId="0A4449D7" w14:textId="3AAB670D" w:rsidR="003B1741" w:rsidRDefault="00582E62" w:rsidP="002E6B9C">
      <w:r w:rsidRPr="00582E62">
        <w:lastRenderedPageBreak/>
        <w:t>Maintaining psychological resilience also requires an understanding of one’s own emotional triggers and internal stress responses (Cocker &amp; Joss, 2016; Rose &amp; Forrester, 2020). NICE (2018) emphasises that practitioners working in trauma-exposed environments must be able to recognise early signs of stress, including emotional numbing, irritability, sleep disturbance, or feelings of professional inadequacy. Increased awareness enables early intervention rather than waiting until such responses escalate into burnout (BASW, 202</w:t>
      </w:r>
      <w:r w:rsidR="00B32C27">
        <w:t>0</w:t>
      </w:r>
      <w:r w:rsidRPr="00582E62">
        <w:t>; Research in Practice, n.d.</w:t>
      </w:r>
      <w:proofErr w:type="gramStart"/>
      <w:r w:rsidRPr="00582E62">
        <w:t>).</w:t>
      </w:r>
      <w:r w:rsidR="002E6B9C" w:rsidRPr="008D5FC0">
        <w:t>In</w:t>
      </w:r>
      <w:proofErr w:type="gramEnd"/>
      <w:r w:rsidR="002E6B9C" w:rsidRPr="008D5FC0">
        <w:t xml:space="preserve"> practical terms, a practitioner may notice physical tension or emotional heaviness after supporting Amira during difficult conversations about hunger or being left alone at home. By recognising these </w:t>
      </w:r>
      <w:r w:rsidR="002E6B9C">
        <w:t>emotions</w:t>
      </w:r>
      <w:r w:rsidR="002E6B9C" w:rsidRPr="008D5FC0">
        <w:t xml:space="preserve"> early, they can implement grounding techniques, mindfulness strategies, or brief regulation exercises before returning to the next task. </w:t>
      </w:r>
      <w:r w:rsidR="002E6B9C">
        <w:t xml:space="preserve">These </w:t>
      </w:r>
      <w:r w:rsidR="002E6B9C" w:rsidRPr="008D5FC0">
        <w:t>responses not only protect practitioner wellbeing but model emotional regulation, which is central to trauma-informed work.</w:t>
      </w:r>
    </w:p>
    <w:p w14:paraId="14109C04" w14:textId="77777777" w:rsidR="0095045A" w:rsidRDefault="0095045A" w:rsidP="002E6B9C"/>
    <w:p w14:paraId="1773E34F" w14:textId="4E52E9FE" w:rsidR="003B1741" w:rsidRDefault="00582E62" w:rsidP="002E6B9C">
      <w:r w:rsidRPr="00582E62">
        <w:t>Boundaries form another essential aspect of sustainable practice. Children like Amira require warm, attuned, and consistent relationships, yet practitioners must avoid becoming over-involved or feeling solely responsible for the child’s recovery (Cocker &amp; Joss, 2016; Rose &amp; Forrester, 2020). The Health and Care Professions Council (HCPC, 2023) highlights emotional boundaries as a professional requirement, helping practitioners avoid compassion fatigue and maintain objectivity. For a practitioner supporting Amira, this may involve recognising that while they play a crucial role in her school-based emotional support, the broader safeguarding, therapeutic, and familial responsibilities are shared across a multi-agency team. Understanding the limits of one’s role reduces guilt, prevents overwhelming responsibility, and supports collaborative rather than individualised care (BASW, 202</w:t>
      </w:r>
      <w:r w:rsidR="00B32C27">
        <w:t>0</w:t>
      </w:r>
      <w:r w:rsidRPr="00582E62">
        <w:t>; Research in Practice, n.d.).</w:t>
      </w:r>
    </w:p>
    <w:p w14:paraId="2E246292" w14:textId="77777777" w:rsidR="0029130F" w:rsidRDefault="0029130F" w:rsidP="002E6B9C"/>
    <w:p w14:paraId="103EC49D" w14:textId="54BB3D1D" w:rsidR="002E6B9C" w:rsidRPr="008D5FC0" w:rsidRDefault="0029130F" w:rsidP="002E6B9C">
      <w:r w:rsidRPr="0029130F">
        <w:t xml:space="preserve"> </w:t>
      </w:r>
      <w:r w:rsidRPr="0029130F">
        <w:t>Multi-agency collaboration also serves as a protective factor for practitioners. When responsibility is shared between social workers, school staff, mental health practitioners, educational psychologists, and family support workers, the emotional and practical load is distributed more evenly, reducing stress and supporting more effective decision-making (Research in Practice, 2021</w:t>
      </w:r>
      <w:r w:rsidR="002E6B9C" w:rsidRPr="008D5FC0">
        <w:t xml:space="preserve"> Public Health Wales (2025) emphasises that collaborative safeguarding frameworks reduce individual stress and improve decision-making through shared expertise. For example, a practitioner may feel emotionally impacted upon learning that Amira frequently lacked food or adequate bedding. Knowing that social services are addressing home conditions, mental health services are supporting emotional needs, and the school is creating consistent routines prevents the practitioner from feeling that the burden rests solely on their shoulders.</w:t>
      </w:r>
    </w:p>
    <w:p w14:paraId="70AB8360" w14:textId="77777777" w:rsidR="003B1741" w:rsidRDefault="003B1741" w:rsidP="002E6B9C"/>
    <w:p w14:paraId="5309781A" w14:textId="530A5709" w:rsidR="002E6B9C" w:rsidRPr="008D5FC0" w:rsidRDefault="002E6B9C" w:rsidP="002E6B9C">
      <w:r w:rsidRPr="008D5FC0">
        <w:lastRenderedPageBreak/>
        <w:t>Work-life balance is another critical dimension of resilience. Research from the NHS Health Education England (2020) highlights that restorative activities</w:t>
      </w:r>
      <w:r>
        <w:t xml:space="preserve"> </w:t>
      </w:r>
      <w:r w:rsidRPr="008D5FC0">
        <w:t>such as sleep, exercise, relationships, time outdoors, and hobbies</w:t>
      </w:r>
      <w:r>
        <w:t xml:space="preserve"> </w:t>
      </w:r>
      <w:r w:rsidRPr="008D5FC0">
        <w:t xml:space="preserve">directly support psychological recovery from emotionally demanding work. </w:t>
      </w:r>
      <w:r w:rsidR="00C26478" w:rsidRPr="00C26478">
        <w:t xml:space="preserve">Practitioners who fail to protect time for rest and personal life are significantly more likely to experience burnout (Health Education England, 2020). Someone supporting Amira may find themselves thinking about her situation outside working hours, particularly in the early stages of the case. Recognising this pattern early and implementing boundaries such as scheduled reflection times, disconnecting from work devices after hours, and engaging in </w:t>
      </w:r>
      <w:r w:rsidR="0095045A" w:rsidRPr="00C26478">
        <w:t>healing</w:t>
      </w:r>
      <w:r w:rsidR="00C26478" w:rsidRPr="00C26478">
        <w:t xml:space="preserve"> non-work activities is essential to maintaining long-term effectiveness (BASW, 202</w:t>
      </w:r>
      <w:r w:rsidR="00B32C27">
        <w:t>0</w:t>
      </w:r>
      <w:r w:rsidR="00C26478" w:rsidRPr="00C26478">
        <w:t>; Research in Practice, 2021).</w:t>
      </w:r>
    </w:p>
    <w:p w14:paraId="05174B80" w14:textId="77777777" w:rsidR="0029130F" w:rsidRDefault="0029130F" w:rsidP="002E6B9C"/>
    <w:p w14:paraId="0D82F5C4" w14:textId="1F15DA0E" w:rsidR="00C26478" w:rsidRPr="00C26478" w:rsidRDefault="002E6B9C" w:rsidP="00C26478">
      <w:r w:rsidRPr="008D5FC0">
        <w:t xml:space="preserve">Self-compassion plays a vital role in sustaining resilience. UK-based resilience research indicates that practitioners who respond to their own emotional struggles with kindness, rather than self-criticism, demonstrate higher levels of emotional stability and reduced burnout (Neff &amp; Germer, 2018; adopted widely in NHS wellbeing programmes). In practice, if a practitioner feels emotional distress after hearing Amira describe being hungry or alone, acknowledging that such responses are normal and human helps prevent </w:t>
      </w:r>
      <w:proofErr w:type="gramStart"/>
      <w:r w:rsidRPr="008D5FC0">
        <w:t>shame</w:t>
      </w:r>
      <w:r w:rsidR="0095045A">
        <w:t xml:space="preserve"> </w:t>
      </w:r>
      <w:r w:rsidRPr="008D5FC0">
        <w:t>based</w:t>
      </w:r>
      <w:proofErr w:type="gramEnd"/>
      <w:r w:rsidRPr="008D5FC0">
        <w:t xml:space="preserve"> reactions that undermine resilience. </w:t>
      </w:r>
      <w:proofErr w:type="spellStart"/>
      <w:r w:rsidR="00C26478" w:rsidRPr="00C26478">
        <w:t>Self</w:t>
      </w:r>
      <w:r w:rsidR="0095045A">
        <w:t xml:space="preserve"> </w:t>
      </w:r>
      <w:r w:rsidR="00C26478" w:rsidRPr="00C26478">
        <w:t>compassion</w:t>
      </w:r>
      <w:proofErr w:type="spellEnd"/>
      <w:r w:rsidR="00C26478" w:rsidRPr="00C26478">
        <w:t xml:space="preserve"> also supports practitioners in seeking help when needed, rather than perceiving vulnerability as a professional failing (Neff &amp; Germer, 2018; Health Education England, 2020).</w:t>
      </w:r>
    </w:p>
    <w:p w14:paraId="2D5158B6" w14:textId="741B21FD" w:rsidR="002E6B9C" w:rsidRPr="008D5FC0" w:rsidRDefault="002E6B9C" w:rsidP="002E6B9C"/>
    <w:p w14:paraId="24C4FABC" w14:textId="00BA8910" w:rsidR="002E6B9C" w:rsidRPr="008D5FC0" w:rsidRDefault="002E6B9C" w:rsidP="002E6B9C">
      <w:r w:rsidRPr="008D5FC0">
        <w:t>Trauma-informed practice also emphasises the need for emotional regulation within the practitioner themselves (Bath Spa University, 20</w:t>
      </w:r>
      <w:r w:rsidR="00B32C27">
        <w:t>14</w:t>
      </w:r>
      <w:r w:rsidRPr="008D5FC0">
        <w:t xml:space="preserve">). </w:t>
      </w:r>
      <w:r w:rsidR="00C26478" w:rsidRPr="00C26478">
        <w:t>If a practitioner remains calm</w:t>
      </w:r>
      <w:r w:rsidR="00C26478">
        <w:t xml:space="preserve"> and </w:t>
      </w:r>
      <w:r w:rsidR="00C26478" w:rsidRPr="00C26478">
        <w:t>grounded, the child benefits from co-regulation</w:t>
      </w:r>
      <w:r w:rsidR="00C26478">
        <w:t xml:space="preserve">, </w:t>
      </w:r>
      <w:r w:rsidR="00C26478" w:rsidRPr="00C26478">
        <w:t>if the practitioner is overwhelmed, anxious, or emotionally distant, the child may interpret this as unsafe (Bath Spa University, 20</w:t>
      </w:r>
      <w:r w:rsidR="00B32C27">
        <w:t>14</w:t>
      </w:r>
      <w:r w:rsidR="00C26478" w:rsidRPr="00C26478">
        <w:t>; Perry &amp; Hambrick, 2008). This ensures personal regulation is not an optional self-care strategy but a core part of professional responsibility. That might involve brief grounding exercises before meeting Amira, such as steady breathing or sensory anchoring, to ensure the practitioner is in a regulated state and able to provide attuned support (Porges, 2017; Perry &amp; Hambrick, 2008).</w:t>
      </w:r>
    </w:p>
    <w:p w14:paraId="0A43B9F7" w14:textId="77777777" w:rsidR="000033CC" w:rsidRDefault="000033CC" w:rsidP="002E6B9C"/>
    <w:p w14:paraId="33D3D61D" w14:textId="6823919E" w:rsidR="002E6B9C" w:rsidRPr="008D5FC0" w:rsidRDefault="002E6B9C" w:rsidP="002E6B9C">
      <w:r w:rsidRPr="008D5FC0">
        <w:t xml:space="preserve">Finally, ethical responsibility </w:t>
      </w:r>
      <w:r w:rsidR="0095045A" w:rsidRPr="008D5FC0">
        <w:t>highlights</w:t>
      </w:r>
      <w:r w:rsidRPr="008D5FC0">
        <w:t xml:space="preserve"> all self-care strategies. The British Association of Social Workers (2021) states that practitioners have an ethical duty to maintain their wellbeing because impaired judgement can compromise children’s safety. In this sense, self-care is not </w:t>
      </w:r>
      <w:proofErr w:type="gramStart"/>
      <w:r w:rsidRPr="008D5FC0">
        <w:t>self-indulgent</w:t>
      </w:r>
      <w:proofErr w:type="gramEnd"/>
      <w:r w:rsidR="0095045A">
        <w:t xml:space="preserve"> but</w:t>
      </w:r>
      <w:r w:rsidRPr="008D5FC0">
        <w:t xml:space="preserve"> it is safeguarding. Supporting Amira requires emotional availability, clear thinking, and sustained relational presence</w:t>
      </w:r>
      <w:r w:rsidR="0095045A">
        <w:t xml:space="preserve">, </w:t>
      </w:r>
      <w:r w:rsidRPr="008D5FC0">
        <w:t xml:space="preserve">all of which </w:t>
      </w:r>
      <w:r w:rsidRPr="008D5FC0">
        <w:lastRenderedPageBreak/>
        <w:t>depend on the practitioner being psychologically and emotionally well enough to engage fully. Protecting one’s wellbeing therefore becomes integral to protecting the child.</w:t>
      </w:r>
    </w:p>
    <w:p w14:paraId="5725D1E8" w14:textId="77777777" w:rsidR="003B1741" w:rsidRDefault="003B1741" w:rsidP="002E6B9C"/>
    <w:p w14:paraId="60C9EBE0" w14:textId="58192178" w:rsidR="002E6B9C" w:rsidRPr="008D5FC0" w:rsidRDefault="002E6B9C" w:rsidP="002E6B9C">
      <w:r w:rsidRPr="008D5FC0">
        <w:t>By integrating reflective supervision, emotional boundaries, collaborative working, personal regulation strategies, and restorative self-care, practitioners can provide consistent, trauma-informed support to children like Amira while safeguarding their own wellbeing. This dual focus ensures that the practitioner remains grounded, effective, and emotionally present, while the child receives stable, attuned, and ethically responsible care that supports recovery and long-term resilience.</w:t>
      </w:r>
    </w:p>
    <w:p w14:paraId="56C6D3CA" w14:textId="77777777" w:rsidR="003B1741" w:rsidRDefault="003B1741" w:rsidP="002E6B9C"/>
    <w:p w14:paraId="3D6AEC4F" w14:textId="375A4DAA" w:rsidR="002E6B9C" w:rsidRDefault="002E6B9C" w:rsidP="002E6B9C">
      <w:r>
        <w:t>Despite the range of strategies and interventions available to support Amira, several limitations must be acknowledged. Practical constraints, such as time pressures, high caseloads, and limited resources, can restrict the consistency and intensity of relational and therapeutic support, potentially reducing the effectiveness of interventions (Early Intervention Foundation, 2021; NSPCC, 2020).</w:t>
      </w:r>
      <w:r w:rsidR="00C26478" w:rsidRPr="00C26478">
        <w:t xml:space="preserve"> </w:t>
      </w:r>
      <w:r w:rsidR="00C26478" w:rsidRPr="00C26478">
        <w:t>Evidence-based approaches, including trauma-focused cognitive behavioural therapy (TF-CBT) and Dyadic Developmental Practice (DDP), rely on highly trained practitioners, ongoing supervision, and integration across both home and school environments (Cohen et al., 2017; Hughes, 2017; SCIE, n.d.).</w:t>
      </w:r>
      <w:r>
        <w:t xml:space="preserve"> Without these conditions, outcomes may be less predictable and measurable progress more difficult to achieve (NICE, 2018; Public Health Wales, 2022). Multi-agency collaboration, while essential, can also be hampered by differences in professional perspectives, competing priorities, and delays in communication, which may limit the consistency of support and create gaps in provision (SCIE, n.d.).</w:t>
      </w:r>
    </w:p>
    <w:p w14:paraId="49F856CF" w14:textId="77777777" w:rsidR="002E6B9C" w:rsidRDefault="002E6B9C" w:rsidP="002E6B9C"/>
    <w:p w14:paraId="1335B2F0" w14:textId="37964A1F" w:rsidR="002E6B9C" w:rsidRDefault="002E6B9C" w:rsidP="002E6B9C">
      <w:r>
        <w:t>Furthermore, there is a potential for assumptions, misinterpretations, or unconscious bias to influence the assessment of a child’s behaviour, even when culturally sensitive approaches are applied, emphasising the need for continuous reflective practice and professional supervision (Department for Education, 2023). Interventions may also be limited by the child’s developmental stage, engagement, and capacity to participate in structured therapeutic activities, particularly in the presence of complex trauma or disrupted attachment histories (Hughes, 2017; Van der Kolk, 2014).</w:t>
      </w:r>
      <w:r w:rsidR="00C26478" w:rsidRPr="00C26478">
        <w:t xml:space="preserve"> </w:t>
      </w:r>
      <w:r w:rsidR="00C26478" w:rsidRPr="00C26478">
        <w:t>While protective relationships and carefully implemented interventions can mitigate the negative effects of early adversity, they cannot eliminate the long-term risks associated with multiple adverse childhood experiences (Bellis et al., 2018).</w:t>
      </w:r>
      <w:r>
        <w:t xml:space="preserve"> This highlights the importance of sustained, multi-contextual support over time, involving home, school, and community resources, to promote ongoing resilience, emotional regulation, and relational security </w:t>
      </w:r>
      <w:r>
        <w:lastRenderedPageBreak/>
        <w:t>throughout childhood and into adolescence (Bellis et al., 2018; Ungar, 2012; Early Intervention Foundation, 2018).</w:t>
      </w:r>
      <w:r w:rsidR="003B1741">
        <w:t xml:space="preserve"> </w:t>
      </w:r>
      <w:r>
        <w:t>Recognising these limitations ensures that practitioners remain realistic in their expectations and continue to adapt interventions to meet the evolving needs of the child, maintaining a balance between ambition for recovery and the practical realities of service provision.</w:t>
      </w:r>
    </w:p>
    <w:p w14:paraId="19EE1B96" w14:textId="77777777" w:rsidR="0095045A" w:rsidRDefault="0095045A" w:rsidP="002E6B9C"/>
    <w:p w14:paraId="3A668852" w14:textId="4A446F57" w:rsidR="003B1741" w:rsidRDefault="002E6B9C" w:rsidP="002E6B9C">
      <w:r>
        <w:t>In conclusion, supporting Amira through her transition to a new home while maintaining school attendance requires a comprehensive, multi-layered approach that addresses both immediate needs and long-term development. Trauma-informed, attachment-based, and play- or narrative-focused interventions, combined with school- and home-based support, provide the foundation for fostering emotional regulation, relational security, resilience, and adaptive coping strategies. Multi-agency collaboration, culturally sensitive practice, and consistent reinforcement across environments are essential to optimise protective factors and mitigate the potential effects of adverse childhood experiences (Bellis et al., 2018; SCIE, n.d.; Early Intervention Foundation, 2022).</w:t>
      </w:r>
      <w:r w:rsidR="003B1741">
        <w:t xml:space="preserve"> </w:t>
      </w:r>
    </w:p>
    <w:p w14:paraId="34362797" w14:textId="77777777" w:rsidR="003B1741" w:rsidRDefault="003B1741" w:rsidP="002E6B9C"/>
    <w:p w14:paraId="2B7614EE" w14:textId="1C99A732" w:rsidR="002E6B9C" w:rsidRDefault="002E6B9C" w:rsidP="002E6B9C">
      <w:r>
        <w:t>While these strategies offer significant benefits, limitations such as resource constraints, practitioner capacity, engagement challenges, and the enduring effects of early adversity highlight the need for realistic expectations and ongoing adaptation of interventions. Sustained support across home, school, and community contexts remains vital to enable the consolidation of protective experiences, the development of self-confidence, and the formation of secure, trusting relationships, which collectively underpin long-term wellbeing and social, emotional, and academic development (Public Health Wales, 2022; NICE, 2018).</w:t>
      </w:r>
    </w:p>
    <w:p w14:paraId="6C0DC706" w14:textId="77777777" w:rsidR="002E6B9C" w:rsidRDefault="002E6B9C" w:rsidP="002E6B9C"/>
    <w:p w14:paraId="679925D7" w14:textId="77777777" w:rsidR="002E6B9C" w:rsidRDefault="002E6B9C" w:rsidP="002E6B9C">
      <w:r>
        <w:t xml:space="preserve">Ultimately, a child-centred, evidence-informed, and relationally attuned approach ensures that Amira receives the support necessary to navigate her current challenges and achieve positive outcomes into adolescence and adulthood. Simultaneously, recognising the practical limitations of service delivery reinforces the importance of continuous professional reflection, supervision, and strategic planning to maintain high-quality care. This integrated perspective ensures that both the child and practitioners are supported in a sustainable, effective, and ethically responsible manner. </w:t>
      </w:r>
    </w:p>
    <w:p w14:paraId="794DA243" w14:textId="77777777" w:rsidR="002E6B9C" w:rsidRDefault="002E6B9C" w:rsidP="002E6B9C"/>
    <w:p w14:paraId="5399DD00" w14:textId="0BEE6118" w:rsidR="000033CC" w:rsidRDefault="000033CC" w:rsidP="00C26478">
      <w:pPr>
        <w:rPr>
          <w:color w:val="000000" w:themeColor="text1"/>
        </w:rPr>
      </w:pPr>
    </w:p>
    <w:p w14:paraId="013FBAF5" w14:textId="77777777" w:rsidR="005B09F7" w:rsidRDefault="00C26478" w:rsidP="00C26478">
      <w:pPr>
        <w:rPr>
          <w:color w:val="000000" w:themeColor="text1"/>
        </w:rPr>
      </w:pPr>
      <w:r>
        <w:rPr>
          <w:color w:val="000000" w:themeColor="text1"/>
        </w:rPr>
        <w:t xml:space="preserve"> </w:t>
      </w:r>
    </w:p>
    <w:p w14:paraId="6A0BCF2A" w14:textId="175DB6EF" w:rsidR="002E6B9C" w:rsidRPr="009119AB" w:rsidRDefault="002E6B9C" w:rsidP="00C26478">
      <w:pPr>
        <w:rPr>
          <w:color w:val="000000" w:themeColor="text1"/>
        </w:rPr>
      </w:pPr>
      <w:r>
        <w:rPr>
          <w:color w:val="000000" w:themeColor="text1"/>
        </w:rPr>
        <w:lastRenderedPageBreak/>
        <w:t>References</w:t>
      </w:r>
    </w:p>
    <w:p w14:paraId="52C485D5" w14:textId="77777777" w:rsidR="00C26478" w:rsidRDefault="00C26478"/>
    <w:p w14:paraId="75B26B25" w14:textId="77777777" w:rsidR="00A635DF" w:rsidRPr="0095045A" w:rsidRDefault="00A635DF" w:rsidP="0095045A">
      <w:pPr>
        <w:ind w:left="360"/>
      </w:pPr>
      <w:proofErr w:type="spellStart"/>
      <w:r w:rsidRPr="00A635DF">
        <w:t>Bakermans</w:t>
      </w:r>
      <w:proofErr w:type="spellEnd"/>
      <w:r w:rsidRPr="00A635DF">
        <w:t xml:space="preserve">-Kranenburg, M. J., van </w:t>
      </w:r>
      <w:proofErr w:type="spellStart"/>
      <w:r w:rsidRPr="00A635DF">
        <w:t>IJzendoorn</w:t>
      </w:r>
      <w:proofErr w:type="spellEnd"/>
      <w:r w:rsidRPr="00A635DF">
        <w:t xml:space="preserve">, M. H., &amp; Juffer, F. (2003). Less is more: Meta-analyses of sensitivity and attachment interventions in early childhood. </w:t>
      </w:r>
      <w:r w:rsidRPr="00A635DF">
        <w:rPr>
          <w:i/>
          <w:iCs/>
        </w:rPr>
        <w:t>Psychological Bulletin, 129</w:t>
      </w:r>
      <w:r w:rsidRPr="00A635DF">
        <w:t>(2), 195–215. https://doi.org/10.1037/0033-2909.129.2.195</w:t>
      </w:r>
    </w:p>
    <w:p w14:paraId="58C56BB1" w14:textId="77777777" w:rsidR="00A635DF" w:rsidRPr="0095045A" w:rsidRDefault="00A635DF" w:rsidP="0095045A">
      <w:pPr>
        <w:ind w:left="360"/>
      </w:pPr>
      <w:r w:rsidRPr="0095045A">
        <w:t xml:space="preserve">BASW. (2020, June 23). </w:t>
      </w:r>
      <w:r w:rsidRPr="0095045A">
        <w:rPr>
          <w:i/>
          <w:iCs/>
        </w:rPr>
        <w:t>Social worker wellbeing and working conditions: Good practice toolkit</w:t>
      </w:r>
      <w:r w:rsidRPr="0095045A">
        <w:t xml:space="preserve">. </w:t>
      </w:r>
      <w:hyperlink r:id="rId10" w:tgtFrame="_new" w:history="1">
        <w:r w:rsidRPr="0095045A">
          <w:rPr>
            <w:rStyle w:val="Hyperlink"/>
            <w:color w:val="auto"/>
            <w:u w:val="none"/>
          </w:rPr>
          <w:t>https://basw.co.uk/policy-and-practice/resources/social-worker-wellbeing-and-working-conditions-good-practice-toolkit</w:t>
        </w:r>
      </w:hyperlink>
    </w:p>
    <w:p w14:paraId="28C14BE1" w14:textId="77777777" w:rsidR="00A635DF" w:rsidRPr="0095045A" w:rsidRDefault="00A635DF" w:rsidP="0095045A">
      <w:pPr>
        <w:ind w:left="360"/>
      </w:pPr>
      <w:r w:rsidRPr="0095045A">
        <w:t xml:space="preserve">Bateman, A., Fonagy, P., Campbell, C., Luyten, P., &amp; </w:t>
      </w:r>
      <w:proofErr w:type="spellStart"/>
      <w:r w:rsidRPr="0095045A">
        <w:t>Debbané</w:t>
      </w:r>
      <w:proofErr w:type="spellEnd"/>
      <w:r w:rsidRPr="0095045A">
        <w:t xml:space="preserve">, M. (2023). </w:t>
      </w:r>
      <w:r w:rsidRPr="0095045A">
        <w:rPr>
          <w:i/>
          <w:iCs/>
        </w:rPr>
        <w:t>Cambridge Guide to Mentalization</w:t>
      </w:r>
      <w:r w:rsidRPr="0095045A">
        <w:rPr>
          <w:i/>
          <w:iCs/>
        </w:rPr>
        <w:noBreakHyphen/>
        <w:t>Based Treatment (MBT)</w:t>
      </w:r>
      <w:r w:rsidRPr="0095045A">
        <w:t>. Cambridge University Press.</w:t>
      </w:r>
    </w:p>
    <w:p w14:paraId="1A88C3C4" w14:textId="77777777" w:rsidR="00A635DF" w:rsidRPr="0095045A" w:rsidRDefault="00A635DF" w:rsidP="0095045A">
      <w:pPr>
        <w:ind w:left="360"/>
      </w:pPr>
      <w:r w:rsidRPr="0095045A">
        <w:t xml:space="preserve">Bath Spa University. (2014). Attachment in school – Attachment Aware Schools training resource. Bath Spa University. </w:t>
      </w:r>
      <w:hyperlink r:id="rId11" w:history="1">
        <w:r w:rsidRPr="0095045A">
          <w:rPr>
            <w:rStyle w:val="Hyperlink"/>
            <w:color w:val="auto"/>
            <w:u w:val="none"/>
          </w:rPr>
          <w:t>https://www.bathspa.ac.uk/projects/attachment-aware-schools/attachment-in-school/</w:t>
        </w:r>
      </w:hyperlink>
    </w:p>
    <w:p w14:paraId="0BCB058E" w14:textId="77777777" w:rsidR="00A635DF" w:rsidRDefault="00A635DF" w:rsidP="0095045A">
      <w:pPr>
        <w:ind w:left="360"/>
      </w:pPr>
      <w:r w:rsidRPr="0095045A">
        <w:t xml:space="preserve">Bellis, M. A., Hughes, K., Ford, K., et al. (2018). </w:t>
      </w:r>
      <w:r w:rsidRPr="0095045A">
        <w:rPr>
          <w:i/>
          <w:iCs/>
        </w:rPr>
        <w:t>Adverse childhood experiences and sources of childhood resilience: a retrospective study of their combined relationships with child health and educational attendance.</w:t>
      </w:r>
      <w:r w:rsidRPr="0095045A">
        <w:t xml:space="preserve"> BMC Public Health, 18, 792. </w:t>
      </w:r>
      <w:hyperlink r:id="rId12" w:tgtFrame="_new" w:history="1">
        <w:r w:rsidRPr="0095045A">
          <w:rPr>
            <w:rStyle w:val="Hyperlink"/>
            <w:color w:val="auto"/>
            <w:u w:val="none"/>
          </w:rPr>
          <w:t>https://doi.org/10.1186/s12889-018-5699-8</w:t>
        </w:r>
      </w:hyperlink>
    </w:p>
    <w:p w14:paraId="06A0D9C7" w14:textId="77777777" w:rsidR="00A635DF" w:rsidRPr="0095045A" w:rsidRDefault="00A635DF" w:rsidP="0095045A">
      <w:pPr>
        <w:ind w:left="360"/>
      </w:pPr>
      <w:r w:rsidRPr="0095045A">
        <w:t xml:space="preserve">Bellis, M. A., Hughes, K., Leckenby, N., Perkins, C., &amp; Lowey, H. (2014). </w:t>
      </w:r>
      <w:r w:rsidRPr="0095045A">
        <w:rPr>
          <w:i/>
          <w:iCs/>
        </w:rPr>
        <w:t>National household survey of adverse childhood experiences and their relationship with resilience to health</w:t>
      </w:r>
      <w:r w:rsidRPr="0095045A">
        <w:rPr>
          <w:i/>
          <w:iCs/>
        </w:rPr>
        <w:noBreakHyphen/>
        <w:t>harming behaviours in England.</w:t>
      </w:r>
      <w:r w:rsidRPr="0095045A">
        <w:t xml:space="preserve"> BMC Medicine, 12, Article 72. https://doi.org/10.1186/1741-7015-12-72</w:t>
      </w:r>
    </w:p>
    <w:p w14:paraId="63CF5BD1" w14:textId="77777777" w:rsidR="00A635DF" w:rsidRPr="0095045A" w:rsidRDefault="00A635DF" w:rsidP="0095045A">
      <w:pPr>
        <w:ind w:left="360"/>
      </w:pPr>
      <w:r w:rsidRPr="0095045A">
        <w:t xml:space="preserve">Boxall, M. (2002). </w:t>
      </w:r>
      <w:r w:rsidRPr="0095045A">
        <w:rPr>
          <w:i/>
          <w:iCs/>
        </w:rPr>
        <w:t>Nurture groups in schools: Principles and practice</w:t>
      </w:r>
      <w:r w:rsidRPr="0095045A">
        <w:t>. Early Years / Routledge</w:t>
      </w:r>
    </w:p>
    <w:p w14:paraId="2502476E" w14:textId="77777777" w:rsidR="00A635DF" w:rsidRPr="0095045A" w:rsidRDefault="00A635DF" w:rsidP="0095045A">
      <w:pPr>
        <w:ind w:left="360"/>
      </w:pPr>
      <w:r w:rsidRPr="0095045A">
        <w:t xml:space="preserve">British Association of Play Therapists. (n.d.). What is play therapy? Retrieved November 30, 2025, from </w:t>
      </w:r>
      <w:hyperlink r:id="rId13" w:history="1">
        <w:r w:rsidRPr="0095045A">
          <w:rPr>
            <w:rStyle w:val="Hyperlink"/>
            <w:color w:val="auto"/>
            <w:u w:val="none"/>
          </w:rPr>
          <w:t>https://www.bapt.info/play-therapy/what-is-play-therapy/</w:t>
        </w:r>
      </w:hyperlink>
    </w:p>
    <w:p w14:paraId="637B0D04" w14:textId="77777777" w:rsidR="00A635DF" w:rsidRPr="0095045A" w:rsidRDefault="00A635DF" w:rsidP="0095045A">
      <w:pPr>
        <w:ind w:left="360"/>
      </w:pPr>
      <w:r w:rsidRPr="0095045A">
        <w:t xml:space="preserve">Cohen, J. A., Mannarino, A. P., &amp; Deblinger, E. (2017). </w:t>
      </w:r>
      <w:r w:rsidRPr="0095045A">
        <w:rPr>
          <w:i/>
          <w:iCs/>
        </w:rPr>
        <w:t>Trauma-focused CBT for children and adolescents: Treatment applications.</w:t>
      </w:r>
      <w:r w:rsidRPr="0095045A">
        <w:t xml:space="preserve"> Guilford Press.</w:t>
      </w:r>
    </w:p>
    <w:p w14:paraId="02AF4C4A" w14:textId="77777777" w:rsidR="00A635DF" w:rsidRPr="0095045A" w:rsidRDefault="00A635DF" w:rsidP="0095045A">
      <w:pPr>
        <w:ind w:left="360"/>
      </w:pPr>
      <w:r w:rsidRPr="0095045A">
        <w:t xml:space="preserve">Department for Education. (2021, March 31). </w:t>
      </w:r>
      <w:r w:rsidRPr="0095045A">
        <w:rPr>
          <w:i/>
          <w:iCs/>
        </w:rPr>
        <w:t>Statutory framework for the Early Years Foundation Stage: setting the standards for learning, development and care for children from birth to five</w:t>
      </w:r>
      <w:r w:rsidRPr="0095045A">
        <w:t xml:space="preserve">. </w:t>
      </w:r>
      <w:hyperlink r:id="rId14" w:tgtFrame="_new" w:history="1">
        <w:r w:rsidRPr="0095045A">
          <w:rPr>
            <w:rStyle w:val="Hyperlink"/>
            <w:color w:val="auto"/>
            <w:u w:val="none"/>
          </w:rPr>
          <w:t>https://dera.ioe.ac.uk/id/eprint/37697</w:t>
        </w:r>
      </w:hyperlink>
    </w:p>
    <w:p w14:paraId="1A0E73B3" w14:textId="77777777" w:rsidR="00A635DF" w:rsidRPr="0095045A" w:rsidRDefault="00A635DF" w:rsidP="0095045A">
      <w:pPr>
        <w:ind w:left="360"/>
      </w:pPr>
      <w:r w:rsidRPr="0095045A">
        <w:t xml:space="preserve">Department for Education. (2023). </w:t>
      </w:r>
      <w:r w:rsidRPr="0095045A">
        <w:rPr>
          <w:i/>
          <w:iCs/>
        </w:rPr>
        <w:t>Working together to safeguard children: Statutory guidance.</w:t>
      </w:r>
      <w:r w:rsidRPr="0095045A">
        <w:t xml:space="preserve"> </w:t>
      </w:r>
      <w:hyperlink r:id="rId15" w:tgtFrame="_new" w:history="1">
        <w:r w:rsidRPr="0095045A">
          <w:rPr>
            <w:rStyle w:val="Hyperlink"/>
            <w:color w:val="auto"/>
            <w:u w:val="none"/>
          </w:rPr>
          <w:t>https://www.gov.uk/government/publications/working-together-to-safeguard-children--2</w:t>
        </w:r>
      </w:hyperlink>
    </w:p>
    <w:p w14:paraId="37795214" w14:textId="77777777" w:rsidR="00A635DF" w:rsidRPr="0095045A" w:rsidRDefault="00A635DF" w:rsidP="0095045A">
      <w:pPr>
        <w:ind w:left="360"/>
      </w:pPr>
      <w:r w:rsidRPr="0095045A">
        <w:lastRenderedPageBreak/>
        <w:t xml:space="preserve">Diamond, G. S., Russon, J., &amp; Levy, S. (2016). Attachment-based family therapy: A review of the empirical support. </w:t>
      </w:r>
      <w:r w:rsidRPr="0095045A">
        <w:rPr>
          <w:i/>
          <w:iCs/>
        </w:rPr>
        <w:t>Family Process, 55</w:t>
      </w:r>
      <w:r w:rsidRPr="0095045A">
        <w:t>(3), 595–610. https://doi.org/10.1111/famp.12236</w:t>
      </w:r>
    </w:p>
    <w:p w14:paraId="444E8EA6" w14:textId="77777777" w:rsidR="00A635DF" w:rsidRPr="0095045A" w:rsidRDefault="00A635DF" w:rsidP="0095045A">
      <w:pPr>
        <w:ind w:left="360"/>
      </w:pPr>
      <w:r w:rsidRPr="0095045A">
        <w:t xml:space="preserve">Early Intervention Foundation. (2021). </w:t>
      </w:r>
      <w:r w:rsidRPr="0095045A">
        <w:rPr>
          <w:i/>
          <w:iCs/>
        </w:rPr>
        <w:t>Implementation guidance for trauma-informed practice</w:t>
      </w:r>
      <w:r w:rsidRPr="0095045A">
        <w:t xml:space="preserve">. </w:t>
      </w:r>
      <w:hyperlink r:id="rId16" w:tgtFrame="_new" w:history="1">
        <w:r w:rsidRPr="0095045A">
          <w:rPr>
            <w:rStyle w:val="Hyperlink"/>
            <w:color w:val="auto"/>
            <w:u w:val="none"/>
          </w:rPr>
          <w:t>https://www.eif.org.uk</w:t>
        </w:r>
      </w:hyperlink>
    </w:p>
    <w:p w14:paraId="14C357CA" w14:textId="77777777" w:rsidR="00A635DF" w:rsidRPr="0095045A" w:rsidRDefault="00A635DF" w:rsidP="0095045A">
      <w:pPr>
        <w:ind w:left="360"/>
      </w:pPr>
      <w:r w:rsidRPr="0095045A">
        <w:t xml:space="preserve">Early Intervention Foundations. (2022). </w:t>
      </w:r>
      <w:r w:rsidRPr="0095045A">
        <w:rPr>
          <w:i/>
          <w:iCs/>
        </w:rPr>
        <w:t>Trauma-informed care: Understanding the use of trauma-informed approaches within children’s social care</w:t>
      </w:r>
      <w:r w:rsidRPr="0095045A">
        <w:t xml:space="preserve">. </w:t>
      </w:r>
      <w:hyperlink r:id="rId17" w:tgtFrame="_new" w:history="1">
        <w:r w:rsidRPr="0095045A">
          <w:rPr>
            <w:rStyle w:val="Hyperlink"/>
            <w:color w:val="auto"/>
            <w:u w:val="none"/>
          </w:rPr>
          <w:t>https://www.eif.org.uk/files/pdf/trauma-informed-approaches-within-childrens-social-care.pdf</w:t>
        </w:r>
      </w:hyperlink>
    </w:p>
    <w:p w14:paraId="250B9FED" w14:textId="77777777" w:rsidR="00A635DF" w:rsidRPr="0095045A" w:rsidRDefault="00A635DF" w:rsidP="0095045A">
      <w:pPr>
        <w:ind w:left="360"/>
      </w:pPr>
      <w:r w:rsidRPr="0095045A">
        <w:t>Funderburk, B. W., Eyberg, S. M., Newcomb, K., McNeil, C. B., Hembree-</w:t>
      </w:r>
      <w:proofErr w:type="spellStart"/>
      <w:r w:rsidRPr="0095045A">
        <w:t>Kigin</w:t>
      </w:r>
      <w:proofErr w:type="spellEnd"/>
      <w:r w:rsidRPr="0095045A">
        <w:t xml:space="preserve">, T., &amp; </w:t>
      </w:r>
      <w:proofErr w:type="spellStart"/>
      <w:r w:rsidRPr="0095045A">
        <w:t>Capage</w:t>
      </w:r>
      <w:proofErr w:type="spellEnd"/>
      <w:r w:rsidRPr="0095045A">
        <w:t xml:space="preserve">, L. (1998). Parent-Child Interaction Therapy with </w:t>
      </w:r>
      <w:proofErr w:type="spellStart"/>
      <w:r w:rsidRPr="0095045A">
        <w:t>behavior</w:t>
      </w:r>
      <w:proofErr w:type="spellEnd"/>
      <w:r w:rsidRPr="0095045A">
        <w:t xml:space="preserve"> problem children: Maintenance of treatment effects in the school setting. </w:t>
      </w:r>
      <w:r w:rsidRPr="0095045A">
        <w:rPr>
          <w:i/>
          <w:iCs/>
        </w:rPr>
        <w:t xml:space="preserve">Child &amp; Family </w:t>
      </w:r>
      <w:proofErr w:type="spellStart"/>
      <w:r w:rsidRPr="0095045A">
        <w:rPr>
          <w:i/>
          <w:iCs/>
        </w:rPr>
        <w:t>Behavior</w:t>
      </w:r>
      <w:proofErr w:type="spellEnd"/>
      <w:r w:rsidRPr="0095045A">
        <w:rPr>
          <w:i/>
          <w:iCs/>
        </w:rPr>
        <w:t xml:space="preserve"> Therapy, 20</w:t>
      </w:r>
      <w:r w:rsidRPr="0095045A">
        <w:t xml:space="preserve">(2), 17–38. </w:t>
      </w:r>
      <w:hyperlink r:id="rId18" w:tgtFrame="_new" w:history="1">
        <w:r w:rsidRPr="0095045A">
          <w:rPr>
            <w:rStyle w:val="Hyperlink"/>
            <w:color w:val="auto"/>
            <w:u w:val="none"/>
          </w:rPr>
          <w:t>https://doi.org/10.1300/J019v20n02_02</w:t>
        </w:r>
      </w:hyperlink>
    </w:p>
    <w:p w14:paraId="4A02FBC6" w14:textId="77777777" w:rsidR="00A635DF" w:rsidRPr="0095045A" w:rsidRDefault="00A635DF" w:rsidP="0095045A">
      <w:pPr>
        <w:ind w:left="360"/>
      </w:pPr>
      <w:r w:rsidRPr="0095045A">
        <w:t xml:space="preserve">Hagan, M. J., Browne, D. T., Sulik, M., </w:t>
      </w:r>
      <w:proofErr w:type="spellStart"/>
      <w:r w:rsidRPr="0095045A">
        <w:t>Ippen</w:t>
      </w:r>
      <w:proofErr w:type="spellEnd"/>
      <w:r w:rsidRPr="0095045A">
        <w:t xml:space="preserve">, C. G., Bush, N., &amp; Lieberman, A. F. (2017). Parent and child trauma symptoms during child–parent psychotherapy: A prospective cohort study of dyadic change. </w:t>
      </w:r>
      <w:r w:rsidRPr="0095045A">
        <w:rPr>
          <w:i/>
          <w:iCs/>
        </w:rPr>
        <w:t>Journal of Traumatic Stress, 30</w:t>
      </w:r>
      <w:r w:rsidRPr="0095045A">
        <w:t xml:space="preserve">(6), 690–697. </w:t>
      </w:r>
      <w:hyperlink r:id="rId19" w:tgtFrame="_new" w:history="1">
        <w:r w:rsidRPr="0095045A">
          <w:rPr>
            <w:rStyle w:val="Hyperlink"/>
            <w:color w:val="auto"/>
            <w:u w:val="none"/>
          </w:rPr>
          <w:t>https://doi.org/10.1002/jts.22240</w:t>
        </w:r>
      </w:hyperlink>
    </w:p>
    <w:p w14:paraId="6F81A901" w14:textId="77777777" w:rsidR="00A635DF" w:rsidRPr="0095045A" w:rsidRDefault="00A635DF" w:rsidP="0095045A">
      <w:pPr>
        <w:ind w:left="360"/>
      </w:pPr>
      <w:r w:rsidRPr="0095045A">
        <w:t xml:space="preserve">HCPC. (2023). </w:t>
      </w:r>
      <w:r w:rsidRPr="0095045A">
        <w:rPr>
          <w:i/>
          <w:iCs/>
        </w:rPr>
        <w:t>Standards of conduct, performance and ethics</w:t>
      </w:r>
      <w:r w:rsidRPr="0095045A">
        <w:t xml:space="preserve">. Health and Care Professions Council. </w:t>
      </w:r>
      <w:hyperlink r:id="rId20" w:tgtFrame="_new" w:history="1">
        <w:r w:rsidRPr="0095045A">
          <w:rPr>
            <w:rStyle w:val="Hyperlink"/>
            <w:color w:val="auto"/>
            <w:u w:val="none"/>
          </w:rPr>
          <w:t>https://www.hcpc-uk.org</w:t>
        </w:r>
      </w:hyperlink>
    </w:p>
    <w:p w14:paraId="5C3D6F8B" w14:textId="77777777" w:rsidR="00A635DF" w:rsidRPr="0095045A" w:rsidRDefault="00A635DF" w:rsidP="0095045A">
      <w:pPr>
        <w:ind w:left="360"/>
      </w:pPr>
      <w:r w:rsidRPr="0095045A">
        <w:t xml:space="preserve">Howe, D. (2011). </w:t>
      </w:r>
      <w:r w:rsidRPr="0095045A">
        <w:rPr>
          <w:i/>
          <w:iCs/>
        </w:rPr>
        <w:t>Attachment across the lifespan.</w:t>
      </w:r>
      <w:r w:rsidRPr="0095045A">
        <w:t xml:space="preserve"> Palgrave Macmillan. </w:t>
      </w:r>
      <w:hyperlink r:id="rId21" w:history="1">
        <w:r w:rsidRPr="0095045A">
          <w:rPr>
            <w:rStyle w:val="Hyperlink"/>
            <w:color w:val="auto"/>
            <w:u w:val="none"/>
          </w:rPr>
          <w:t>https://doi.org/10.1017/9781108896054</w:t>
        </w:r>
      </w:hyperlink>
    </w:p>
    <w:p w14:paraId="3BECFBCA" w14:textId="77777777" w:rsidR="00A635DF" w:rsidRPr="0095045A" w:rsidRDefault="00A635DF" w:rsidP="0095045A">
      <w:pPr>
        <w:ind w:left="360"/>
      </w:pPr>
      <w:r w:rsidRPr="0095045A">
        <w:t xml:space="preserve">Hughes, D. (2017). </w:t>
      </w:r>
      <w:r w:rsidRPr="0095045A">
        <w:rPr>
          <w:i/>
          <w:iCs/>
        </w:rPr>
        <w:t>Building the bonds of attachment: Awakening love in deeply troubled children</w:t>
      </w:r>
      <w:r w:rsidRPr="0095045A">
        <w:t xml:space="preserve"> (3rd ed.). North Atlantic Books. </w:t>
      </w:r>
      <w:hyperlink r:id="rId22" w:tgtFrame="_new" w:history="1">
        <w:r w:rsidRPr="0095045A">
          <w:rPr>
            <w:rStyle w:val="Hyperlink"/>
            <w:color w:val="auto"/>
            <w:u w:val="none"/>
          </w:rPr>
          <w:t>https://books.google.co.uk/books?hl=en&amp;lr=&amp;id=PEHK_ZDz4qYC&amp;oi=fnd&amp;pg=PP9</w:t>
        </w:r>
      </w:hyperlink>
    </w:p>
    <w:p w14:paraId="0D845B7D" w14:textId="77777777" w:rsidR="00A635DF" w:rsidRPr="0095045A" w:rsidRDefault="00A635DF" w:rsidP="0095045A">
      <w:pPr>
        <w:ind w:left="360"/>
      </w:pPr>
      <w:r w:rsidRPr="0095045A">
        <w:t xml:space="preserve">National Institute for Health and Care Excellence. (2018). Post-traumatic stress disorder: Recognition and management (NICE Guideline NG116). </w:t>
      </w:r>
      <w:hyperlink r:id="rId23" w:tgtFrame="_new" w:history="1">
        <w:r w:rsidRPr="0095045A">
          <w:rPr>
            <w:rStyle w:val="Hyperlink"/>
            <w:color w:val="auto"/>
            <w:u w:val="none"/>
          </w:rPr>
          <w:t>https://www.nice.org.uk/guidance/ng116</w:t>
        </w:r>
      </w:hyperlink>
    </w:p>
    <w:p w14:paraId="29B67B7D" w14:textId="77777777" w:rsidR="00A635DF" w:rsidRPr="0095045A" w:rsidRDefault="00A635DF" w:rsidP="0095045A">
      <w:pPr>
        <w:ind w:left="360"/>
      </w:pPr>
      <w:r w:rsidRPr="0095045A">
        <w:t xml:space="preserve">NSPCC Learning. (2021, March 31). </w:t>
      </w:r>
      <w:r w:rsidRPr="0095045A">
        <w:rPr>
          <w:i/>
          <w:iCs/>
        </w:rPr>
        <w:t>How childhood trauma affects brain development</w:t>
      </w:r>
      <w:r w:rsidRPr="0095045A">
        <w:t xml:space="preserve">. </w:t>
      </w:r>
      <w:hyperlink r:id="rId24" w:tgtFrame="_new" w:history="1">
        <w:r w:rsidRPr="0095045A">
          <w:rPr>
            <w:rStyle w:val="Hyperlink"/>
            <w:color w:val="auto"/>
            <w:u w:val="none"/>
          </w:rPr>
          <w:t>https://learning.nspcc.org.uk/child-health-development/childhood-trauma-brain-development</w:t>
        </w:r>
      </w:hyperlink>
    </w:p>
    <w:p w14:paraId="58AC4346" w14:textId="77777777" w:rsidR="00A635DF" w:rsidRPr="0095045A" w:rsidRDefault="00A635DF" w:rsidP="0095045A">
      <w:pPr>
        <w:ind w:left="360"/>
      </w:pPr>
      <w:r w:rsidRPr="0095045A">
        <w:t xml:space="preserve">NSPCC. (2022). </w:t>
      </w:r>
      <w:r w:rsidRPr="0095045A">
        <w:rPr>
          <w:i/>
          <w:iCs/>
        </w:rPr>
        <w:t>Child protection in schools: Guidance for staff.</w:t>
      </w:r>
      <w:r w:rsidRPr="0095045A">
        <w:t xml:space="preserve"> </w:t>
      </w:r>
      <w:hyperlink r:id="rId25" w:tgtFrame="_new" w:history="1">
        <w:r w:rsidRPr="0095045A">
          <w:rPr>
            <w:rStyle w:val="Hyperlink"/>
            <w:color w:val="auto"/>
            <w:u w:val="none"/>
          </w:rPr>
          <w:t>https://www.nspcc.org.uk</w:t>
        </w:r>
      </w:hyperlink>
    </w:p>
    <w:p w14:paraId="639DBE9A" w14:textId="77777777" w:rsidR="00A635DF" w:rsidRPr="0095045A" w:rsidRDefault="00A635DF" w:rsidP="0095045A">
      <w:pPr>
        <w:ind w:left="360"/>
      </w:pPr>
      <w:r w:rsidRPr="0095045A">
        <w:t xml:space="preserve">Perry, B. D., &amp; Hambrick, E. P. (2008). The </w:t>
      </w:r>
      <w:proofErr w:type="spellStart"/>
      <w:r w:rsidRPr="0095045A">
        <w:t>Neurosequential</w:t>
      </w:r>
      <w:proofErr w:type="spellEnd"/>
      <w:r w:rsidRPr="0095045A">
        <w:t xml:space="preserve"> Model of Therapeutics. </w:t>
      </w:r>
      <w:r w:rsidRPr="0095045A">
        <w:rPr>
          <w:i/>
          <w:iCs/>
        </w:rPr>
        <w:t>Reclaiming Children and Youth, 17</w:t>
      </w:r>
      <w:r w:rsidRPr="0095045A">
        <w:t>(3), 38–43.</w:t>
      </w:r>
    </w:p>
    <w:p w14:paraId="35A6028C" w14:textId="77777777" w:rsidR="00A635DF" w:rsidRPr="0095045A" w:rsidRDefault="00A635DF" w:rsidP="0095045A">
      <w:pPr>
        <w:ind w:left="360"/>
      </w:pPr>
      <w:r w:rsidRPr="0095045A">
        <w:lastRenderedPageBreak/>
        <w:t xml:space="preserve">Porges, S. W. (2017). </w:t>
      </w:r>
      <w:r w:rsidRPr="0095045A">
        <w:rPr>
          <w:i/>
          <w:iCs/>
        </w:rPr>
        <w:t>The pocket guide to the polyvagal theory: The transformative power of feeling safe</w:t>
      </w:r>
      <w:r w:rsidRPr="0095045A">
        <w:t>. Norton &amp; Company.</w:t>
      </w:r>
    </w:p>
    <w:p w14:paraId="3CBC7E37" w14:textId="77777777" w:rsidR="00A635DF" w:rsidRPr="0095045A" w:rsidRDefault="00A635DF" w:rsidP="0095045A">
      <w:pPr>
        <w:ind w:left="360"/>
      </w:pPr>
      <w:r w:rsidRPr="0095045A">
        <w:t>Public Health Wales. (2015). Adverse childhood experiences in Wales: Public health report. Public Health Wales. https://phw.nhs.wales</w:t>
      </w:r>
    </w:p>
    <w:p w14:paraId="2642D727" w14:textId="77777777" w:rsidR="00A635DF" w:rsidRPr="0095045A" w:rsidRDefault="00A635DF" w:rsidP="0095045A">
      <w:pPr>
        <w:ind w:left="360"/>
      </w:pPr>
      <w:r w:rsidRPr="0095045A">
        <w:t xml:space="preserve">Public Health Wales. (2022). </w:t>
      </w:r>
      <w:r w:rsidRPr="0095045A">
        <w:rPr>
          <w:i/>
          <w:iCs/>
        </w:rPr>
        <w:t>Supporting children and families exposed to adversity</w:t>
      </w:r>
      <w:r w:rsidRPr="0095045A">
        <w:t xml:space="preserve">. Public Health Wales. </w:t>
      </w:r>
      <w:hyperlink r:id="rId26" w:tgtFrame="_new" w:history="1">
        <w:r w:rsidRPr="0095045A">
          <w:rPr>
            <w:rStyle w:val="Hyperlink"/>
            <w:color w:val="auto"/>
            <w:u w:val="none"/>
          </w:rPr>
          <w:t>https://phw.nhs.wales</w:t>
        </w:r>
      </w:hyperlink>
    </w:p>
    <w:p w14:paraId="6D44BE78" w14:textId="77777777" w:rsidR="00A635DF" w:rsidRPr="0095045A" w:rsidRDefault="00A635DF" w:rsidP="0095045A">
      <w:pPr>
        <w:ind w:left="360"/>
      </w:pPr>
      <w:r w:rsidRPr="0095045A">
        <w:t>Ryan, T., &amp; Walker, R. (2007). Life story work: A practical guide to helping children understand their past (3rd ed.). British Association for Adoption &amp; Fostering.</w:t>
      </w:r>
    </w:p>
    <w:p w14:paraId="014BF07E" w14:textId="77777777" w:rsidR="00A635DF" w:rsidRPr="0095045A" w:rsidRDefault="00A635DF" w:rsidP="0095045A">
      <w:pPr>
        <w:ind w:left="360"/>
      </w:pPr>
      <w:r w:rsidRPr="0095045A">
        <w:t xml:space="preserve">Shapiro, F. (2018). </w:t>
      </w:r>
      <w:r w:rsidRPr="0095045A">
        <w:rPr>
          <w:i/>
          <w:iCs/>
        </w:rPr>
        <w:t>Eye movement desensitization and reprocessing (EMDR) therapy: Basic principles, protocols, and procedures.</w:t>
      </w:r>
      <w:r w:rsidRPr="0095045A">
        <w:t xml:space="preserve"> Guilford Press.</w:t>
      </w:r>
    </w:p>
    <w:p w14:paraId="5955BEA7" w14:textId="77777777" w:rsidR="00A635DF" w:rsidRPr="0095045A" w:rsidRDefault="00A635DF" w:rsidP="0095045A">
      <w:pPr>
        <w:ind w:left="360"/>
      </w:pPr>
      <w:r w:rsidRPr="0095045A">
        <w:t>Smith, K. E., &amp; Pollak, S. D. (2021). Social relationships and children’s perceptions of adversity. Child Development Perspectives, 15(4), 228–234. https://doi.org/10.1111/cdep.12427</w:t>
      </w:r>
    </w:p>
    <w:p w14:paraId="4980054E" w14:textId="77777777" w:rsidR="00A635DF" w:rsidRPr="0095045A" w:rsidRDefault="00A635DF" w:rsidP="0095045A">
      <w:pPr>
        <w:ind w:left="360"/>
      </w:pPr>
      <w:r w:rsidRPr="0095045A">
        <w:t xml:space="preserve">Social Care Institute for Excellence. (n.d.). </w:t>
      </w:r>
      <w:r w:rsidRPr="0095045A">
        <w:rPr>
          <w:i/>
          <w:iCs/>
        </w:rPr>
        <w:t>Safeguarding children in education: Types and indicators of abuse.</w:t>
      </w:r>
      <w:r w:rsidRPr="0095045A">
        <w:t xml:space="preserve"> </w:t>
      </w:r>
      <w:hyperlink r:id="rId27" w:tgtFrame="_new" w:history="1">
        <w:r w:rsidRPr="0095045A">
          <w:rPr>
            <w:rStyle w:val="Hyperlink"/>
            <w:color w:val="auto"/>
            <w:u w:val="none"/>
          </w:rPr>
          <w:t>https://www.scie.org.uk/safeguarding/children/education/types-indicators-abuse/</w:t>
        </w:r>
      </w:hyperlink>
    </w:p>
    <w:p w14:paraId="4F585135" w14:textId="77777777" w:rsidR="00A635DF" w:rsidRPr="0095045A" w:rsidRDefault="00A635DF" w:rsidP="0095045A">
      <w:pPr>
        <w:ind w:left="360"/>
      </w:pPr>
      <w:r w:rsidRPr="0095045A">
        <w:t xml:space="preserve">Teicher, M. H., Anderson, C. M., &amp; Polcari, A. (2012). Childhood maltreatment is associated with reduced volume in the hippocampal subfields CA3, dentate gyrus, and subiculum. </w:t>
      </w:r>
      <w:r w:rsidRPr="0095045A">
        <w:rPr>
          <w:i/>
          <w:iCs/>
        </w:rPr>
        <w:t>Proceedings of the National Academy of Sciences, 109</w:t>
      </w:r>
      <w:r w:rsidRPr="0095045A">
        <w:t xml:space="preserve">(9), E563–E572. </w:t>
      </w:r>
      <w:hyperlink r:id="rId28" w:tgtFrame="_new" w:history="1">
        <w:r w:rsidRPr="0095045A">
          <w:rPr>
            <w:rStyle w:val="Hyperlink"/>
            <w:color w:val="auto"/>
            <w:u w:val="none"/>
          </w:rPr>
          <w:t>https://doi.org/10.1073/pnas.1115396109</w:t>
        </w:r>
      </w:hyperlink>
    </w:p>
    <w:p w14:paraId="0A305039" w14:textId="77777777" w:rsidR="00A635DF" w:rsidRPr="0095045A" w:rsidRDefault="00A635DF" w:rsidP="0095045A">
      <w:pPr>
        <w:ind w:left="360"/>
      </w:pPr>
      <w:r w:rsidRPr="0095045A">
        <w:t xml:space="preserve">Ungar, M. (2012). </w:t>
      </w:r>
      <w:r w:rsidRPr="0095045A">
        <w:rPr>
          <w:i/>
          <w:iCs/>
        </w:rPr>
        <w:t>The social ecology of resilience: A handbook of theory and practice.</w:t>
      </w:r>
      <w:r w:rsidRPr="0095045A">
        <w:t xml:space="preserve"> Springer.</w:t>
      </w:r>
    </w:p>
    <w:p w14:paraId="7A8258BF" w14:textId="77777777" w:rsidR="00A635DF" w:rsidRPr="0095045A" w:rsidRDefault="00A635DF" w:rsidP="0095045A">
      <w:pPr>
        <w:ind w:left="360"/>
      </w:pPr>
      <w:r w:rsidRPr="0095045A">
        <w:t xml:space="preserve">Van der Kolk, B. (2014). </w:t>
      </w:r>
      <w:r w:rsidRPr="0095045A">
        <w:rPr>
          <w:i/>
          <w:iCs/>
        </w:rPr>
        <w:t>The body keeps the score: Brain, mind, and body in the healing of trauma.</w:t>
      </w:r>
      <w:r w:rsidRPr="0095045A">
        <w:t xml:space="preserve"> Penguin Books.</w:t>
      </w:r>
    </w:p>
    <w:sectPr w:rsidR="00A635DF" w:rsidRPr="009504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24A37" w14:textId="77777777" w:rsidR="00D507C1" w:rsidRDefault="00D507C1" w:rsidP="002E6B9C">
      <w:pPr>
        <w:spacing w:after="0" w:line="240" w:lineRule="auto"/>
      </w:pPr>
      <w:r>
        <w:separator/>
      </w:r>
    </w:p>
  </w:endnote>
  <w:endnote w:type="continuationSeparator" w:id="0">
    <w:p w14:paraId="4A1D63B0" w14:textId="77777777" w:rsidR="00D507C1" w:rsidRDefault="00D507C1" w:rsidP="002E6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5AC0C0" w14:textId="77777777" w:rsidR="00D507C1" w:rsidRDefault="00D507C1" w:rsidP="002E6B9C">
      <w:pPr>
        <w:spacing w:after="0" w:line="240" w:lineRule="auto"/>
      </w:pPr>
      <w:r>
        <w:separator/>
      </w:r>
    </w:p>
  </w:footnote>
  <w:footnote w:type="continuationSeparator" w:id="0">
    <w:p w14:paraId="3AAF4E9E" w14:textId="77777777" w:rsidR="00D507C1" w:rsidRDefault="00D507C1" w:rsidP="002E6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C9334F"/>
    <w:multiLevelType w:val="hybridMultilevel"/>
    <w:tmpl w:val="51743D52"/>
    <w:lvl w:ilvl="0" w:tplc="5FEAF27E">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16cid:durableId="109250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FE"/>
    <w:rsid w:val="000033CC"/>
    <w:rsid w:val="00056FBC"/>
    <w:rsid w:val="000D5DFE"/>
    <w:rsid w:val="000D7FE7"/>
    <w:rsid w:val="001170CA"/>
    <w:rsid w:val="001B1217"/>
    <w:rsid w:val="00204BE2"/>
    <w:rsid w:val="00262CAC"/>
    <w:rsid w:val="00265C9A"/>
    <w:rsid w:val="0029130F"/>
    <w:rsid w:val="002E6B9C"/>
    <w:rsid w:val="003613B5"/>
    <w:rsid w:val="00394C94"/>
    <w:rsid w:val="003B1741"/>
    <w:rsid w:val="003D6F9B"/>
    <w:rsid w:val="0042356D"/>
    <w:rsid w:val="004666E5"/>
    <w:rsid w:val="00473FBD"/>
    <w:rsid w:val="004759CC"/>
    <w:rsid w:val="00491440"/>
    <w:rsid w:val="0050201F"/>
    <w:rsid w:val="00520386"/>
    <w:rsid w:val="00543BDB"/>
    <w:rsid w:val="00582E62"/>
    <w:rsid w:val="005A7D0E"/>
    <w:rsid w:val="005B09F7"/>
    <w:rsid w:val="005C1AA7"/>
    <w:rsid w:val="005F70B6"/>
    <w:rsid w:val="00686FB1"/>
    <w:rsid w:val="006C1850"/>
    <w:rsid w:val="006F2A9C"/>
    <w:rsid w:val="00723CD2"/>
    <w:rsid w:val="007A49B8"/>
    <w:rsid w:val="007F09F5"/>
    <w:rsid w:val="00830432"/>
    <w:rsid w:val="00835E09"/>
    <w:rsid w:val="008666A7"/>
    <w:rsid w:val="00915B83"/>
    <w:rsid w:val="0095045A"/>
    <w:rsid w:val="00954E51"/>
    <w:rsid w:val="00963DDB"/>
    <w:rsid w:val="0098600B"/>
    <w:rsid w:val="009C52BF"/>
    <w:rsid w:val="00A13EA5"/>
    <w:rsid w:val="00A432D7"/>
    <w:rsid w:val="00A60DFC"/>
    <w:rsid w:val="00A635DF"/>
    <w:rsid w:val="00A8355A"/>
    <w:rsid w:val="00AD224B"/>
    <w:rsid w:val="00B00B6E"/>
    <w:rsid w:val="00B323EB"/>
    <w:rsid w:val="00B32C27"/>
    <w:rsid w:val="00B53918"/>
    <w:rsid w:val="00B57E6F"/>
    <w:rsid w:val="00B63F6E"/>
    <w:rsid w:val="00BC72FA"/>
    <w:rsid w:val="00BD180C"/>
    <w:rsid w:val="00C26478"/>
    <w:rsid w:val="00C67AF4"/>
    <w:rsid w:val="00CE31C1"/>
    <w:rsid w:val="00D507C1"/>
    <w:rsid w:val="00DB4437"/>
    <w:rsid w:val="00DF2FB6"/>
    <w:rsid w:val="00E41491"/>
    <w:rsid w:val="00EB64D1"/>
    <w:rsid w:val="00F14FA0"/>
    <w:rsid w:val="00F30A0E"/>
    <w:rsid w:val="00F4107E"/>
    <w:rsid w:val="00F84843"/>
    <w:rsid w:val="00FF6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92C6B"/>
  <w15:chartTrackingRefBased/>
  <w15:docId w15:val="{A21AABE6-39AF-4E16-9926-CB52C7118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B9C"/>
    <w:rPr>
      <w:rFonts w:eastAsiaTheme="minorHAnsi"/>
      <w:lang w:eastAsia="en-US"/>
    </w:rPr>
  </w:style>
  <w:style w:type="paragraph" w:styleId="Heading1">
    <w:name w:val="heading 1"/>
    <w:basedOn w:val="Normal"/>
    <w:next w:val="Normal"/>
    <w:link w:val="Heading1Char"/>
    <w:uiPriority w:val="9"/>
    <w:qFormat/>
    <w:rsid w:val="000D5D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5D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D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5D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D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FE"/>
    <w:rPr>
      <w:rFonts w:eastAsiaTheme="majorEastAsia" w:cstheme="majorBidi"/>
      <w:color w:val="272727" w:themeColor="text1" w:themeTint="D8"/>
    </w:rPr>
  </w:style>
  <w:style w:type="paragraph" w:styleId="Title">
    <w:name w:val="Title"/>
    <w:basedOn w:val="Normal"/>
    <w:next w:val="Normal"/>
    <w:link w:val="TitleChar"/>
    <w:uiPriority w:val="10"/>
    <w:qFormat/>
    <w:rsid w:val="000D5D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FE"/>
    <w:pPr>
      <w:spacing w:before="160"/>
      <w:jc w:val="center"/>
    </w:pPr>
    <w:rPr>
      <w:i/>
      <w:iCs/>
      <w:color w:val="404040" w:themeColor="text1" w:themeTint="BF"/>
    </w:rPr>
  </w:style>
  <w:style w:type="character" w:customStyle="1" w:styleId="QuoteChar">
    <w:name w:val="Quote Char"/>
    <w:basedOn w:val="DefaultParagraphFont"/>
    <w:link w:val="Quote"/>
    <w:uiPriority w:val="29"/>
    <w:rsid w:val="000D5DFE"/>
    <w:rPr>
      <w:i/>
      <w:iCs/>
      <w:color w:val="404040" w:themeColor="text1" w:themeTint="BF"/>
    </w:rPr>
  </w:style>
  <w:style w:type="paragraph" w:styleId="ListParagraph">
    <w:name w:val="List Paragraph"/>
    <w:basedOn w:val="Normal"/>
    <w:uiPriority w:val="34"/>
    <w:qFormat/>
    <w:rsid w:val="000D5DFE"/>
    <w:pPr>
      <w:ind w:left="720"/>
      <w:contextualSpacing/>
    </w:pPr>
  </w:style>
  <w:style w:type="character" w:styleId="IntenseEmphasis">
    <w:name w:val="Intense Emphasis"/>
    <w:basedOn w:val="DefaultParagraphFont"/>
    <w:uiPriority w:val="21"/>
    <w:qFormat/>
    <w:rsid w:val="000D5DFE"/>
    <w:rPr>
      <w:i/>
      <w:iCs/>
      <w:color w:val="0F4761" w:themeColor="accent1" w:themeShade="BF"/>
    </w:rPr>
  </w:style>
  <w:style w:type="paragraph" w:styleId="IntenseQuote">
    <w:name w:val="Intense Quote"/>
    <w:basedOn w:val="Normal"/>
    <w:next w:val="Normal"/>
    <w:link w:val="IntenseQuoteChar"/>
    <w:uiPriority w:val="30"/>
    <w:qFormat/>
    <w:rsid w:val="000D5D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FE"/>
    <w:rPr>
      <w:i/>
      <w:iCs/>
      <w:color w:val="0F4761" w:themeColor="accent1" w:themeShade="BF"/>
    </w:rPr>
  </w:style>
  <w:style w:type="character" w:styleId="IntenseReference">
    <w:name w:val="Intense Reference"/>
    <w:basedOn w:val="DefaultParagraphFont"/>
    <w:uiPriority w:val="32"/>
    <w:qFormat/>
    <w:rsid w:val="000D5DFE"/>
    <w:rPr>
      <w:b/>
      <w:bCs/>
      <w:smallCaps/>
      <w:color w:val="0F4761" w:themeColor="accent1" w:themeShade="BF"/>
      <w:spacing w:val="5"/>
    </w:rPr>
  </w:style>
  <w:style w:type="paragraph" w:styleId="Header">
    <w:name w:val="header"/>
    <w:basedOn w:val="Normal"/>
    <w:link w:val="HeaderChar"/>
    <w:uiPriority w:val="99"/>
    <w:unhideWhenUsed/>
    <w:rsid w:val="002E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B9C"/>
  </w:style>
  <w:style w:type="paragraph" w:styleId="Footer">
    <w:name w:val="footer"/>
    <w:basedOn w:val="Normal"/>
    <w:link w:val="FooterChar"/>
    <w:uiPriority w:val="99"/>
    <w:unhideWhenUsed/>
    <w:rsid w:val="002E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B9C"/>
  </w:style>
  <w:style w:type="character" w:styleId="Hyperlink">
    <w:name w:val="Hyperlink"/>
    <w:basedOn w:val="DefaultParagraphFont"/>
    <w:uiPriority w:val="99"/>
    <w:unhideWhenUsed/>
    <w:rsid w:val="002E6B9C"/>
    <w:rPr>
      <w:color w:val="467886" w:themeColor="hyperlink"/>
      <w:u w:val="single"/>
    </w:rPr>
  </w:style>
  <w:style w:type="paragraph" w:styleId="NormalWeb">
    <w:name w:val="Normal (Web)"/>
    <w:basedOn w:val="Normal"/>
    <w:uiPriority w:val="99"/>
    <w:semiHidden/>
    <w:unhideWhenUsed/>
    <w:rsid w:val="00C26478"/>
    <w:rPr>
      <w:rFonts w:ascii="Times New Roman" w:hAnsi="Times New Roman" w:cs="Times New Roman"/>
    </w:rPr>
  </w:style>
  <w:style w:type="character" w:styleId="UnresolvedMention">
    <w:name w:val="Unresolved Mention"/>
    <w:basedOn w:val="DefaultParagraphFont"/>
    <w:uiPriority w:val="99"/>
    <w:semiHidden/>
    <w:unhideWhenUsed/>
    <w:rsid w:val="00B32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apt.info/play-therapy/what-is-play-therapy/" TargetMode="External"/><Relationship Id="rId18" Type="http://schemas.openxmlformats.org/officeDocument/2006/relationships/hyperlink" Target="https://doi.org/10.1300/J019v20n02_02" TargetMode="External"/><Relationship Id="rId26" Type="http://schemas.openxmlformats.org/officeDocument/2006/relationships/hyperlink" Target="https://phw.nhs.wales" TargetMode="External"/><Relationship Id="rId3" Type="http://schemas.openxmlformats.org/officeDocument/2006/relationships/customXml" Target="../customXml/item3.xml"/><Relationship Id="rId21" Type="http://schemas.openxmlformats.org/officeDocument/2006/relationships/hyperlink" Target="https://doi.org/10.1017/9781108896054" TargetMode="External"/><Relationship Id="rId7" Type="http://schemas.openxmlformats.org/officeDocument/2006/relationships/webSettings" Target="webSettings.xml"/><Relationship Id="rId12" Type="http://schemas.openxmlformats.org/officeDocument/2006/relationships/hyperlink" Target="https://doi.org/10.1186/s12889-018-5699-8" TargetMode="External"/><Relationship Id="rId17" Type="http://schemas.openxmlformats.org/officeDocument/2006/relationships/hyperlink" Target="https://www.eif.org.uk/files/pdf/trauma-informed-approaches-within-childrens-social-care.pdf?utm_source=chatgpt.com" TargetMode="External"/><Relationship Id="rId25" Type="http://schemas.openxmlformats.org/officeDocument/2006/relationships/hyperlink" Target="https://www.nspcc.org.uk" TargetMode="External"/><Relationship Id="rId2" Type="http://schemas.openxmlformats.org/officeDocument/2006/relationships/customXml" Target="../customXml/item2.xml"/><Relationship Id="rId16" Type="http://schemas.openxmlformats.org/officeDocument/2006/relationships/hyperlink" Target="https://www.eif.org.uk" TargetMode="External"/><Relationship Id="rId20" Type="http://schemas.openxmlformats.org/officeDocument/2006/relationships/hyperlink" Target="https://www.hcpc-uk.o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thspa.ac.uk/projects/attachment-aware-schools/attachment-in-school/" TargetMode="External"/><Relationship Id="rId24" Type="http://schemas.openxmlformats.org/officeDocument/2006/relationships/hyperlink" Target="https://learning.nspcc.org.uk/child-health-development/childhood-trauma-brain-development?utm_source=chatgpt.com" TargetMode="External"/><Relationship Id="rId5" Type="http://schemas.openxmlformats.org/officeDocument/2006/relationships/styles" Target="styles.xml"/><Relationship Id="rId15" Type="http://schemas.openxmlformats.org/officeDocument/2006/relationships/hyperlink" Target="https://www.gov.uk/government/publications/working-together-to-safeguard-children--2" TargetMode="External"/><Relationship Id="rId23" Type="http://schemas.openxmlformats.org/officeDocument/2006/relationships/hyperlink" Target="https://www.nice.org.uk/guidance/ng116" TargetMode="External"/><Relationship Id="rId28" Type="http://schemas.openxmlformats.org/officeDocument/2006/relationships/hyperlink" Target="https://doi.org/10.1073/pnas.1115396109" TargetMode="External"/><Relationship Id="rId10" Type="http://schemas.openxmlformats.org/officeDocument/2006/relationships/hyperlink" Target="https://basw.co.uk/policy-and-practice/resources/social-worker-wellbeing-and-working-conditions-good-practice-toolkit?utm_source=chatgpt.com" TargetMode="External"/><Relationship Id="rId19" Type="http://schemas.openxmlformats.org/officeDocument/2006/relationships/hyperlink" Target="https://doi.org/10.1002/jts.2224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era.ioe.ac.uk/id/eprint/37697?utm_source=chatgpt.com" TargetMode="External"/><Relationship Id="rId22" Type="http://schemas.openxmlformats.org/officeDocument/2006/relationships/hyperlink" Target="https://books.google.co.uk/books?hl=en&amp;lr=&amp;id=PEHK_ZDz4qYC&amp;oi=fnd&amp;pg=PP9" TargetMode="External"/><Relationship Id="rId27" Type="http://schemas.openxmlformats.org/officeDocument/2006/relationships/hyperlink" Target="https://www.scie.org.uk/safeguarding/children/education/types-indicators-abuse/?utm_source=chatgpt.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708e52ebd530f931b5aea83b3070b38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98171bb5a5110c257cdff26e70ea02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descriptio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8A82DE5-301B-48CC-8B9F-F2C8EE294E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59C839-7776-4A84-806A-346B7A2D4E21}">
  <ds:schemaRefs>
    <ds:schemaRef ds:uri="http://schemas.microsoft.com/sharepoint/v3/contenttype/forms"/>
  </ds:schemaRefs>
</ds:datastoreItem>
</file>

<file path=customXml/itemProps3.xml><?xml version="1.0" encoding="utf-8"?>
<ds:datastoreItem xmlns:ds="http://schemas.openxmlformats.org/officeDocument/2006/customXml" ds:itemID="{11277923-CC1D-451A-B05F-34ED9DDC349C}">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15</Pages>
  <Words>4874</Words>
  <Characters>33930</Characters>
  <Application>Microsoft Office Word</Application>
  <DocSecurity>0</DocSecurity>
  <Lines>522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Elisha Boniwell (2113032)</cp:lastModifiedBy>
  <cp:revision>3</cp:revision>
  <dcterms:created xsi:type="dcterms:W3CDTF">2025-12-04T00:10:00Z</dcterms:created>
  <dcterms:modified xsi:type="dcterms:W3CDTF">2025-12-04T00:13:00Z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a75d22e7-20e9-431f-be38-8abd211bed03</vt:lpwstr>
  </property>
  <property fmtid="{D5CDD505-2E9C-101B-9397-08002B2CF9AE}" pid="3" name="ContentTypeId">
    <vt:lpwstr>0x0101002F3C2EEDB3FECD489FE6CB8E237B85C0</vt:lpwstr>
  </property>
</Properties>
</file>