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17F26E50">
      <w:pPr/>
    </w:p>
    <w:p w14:paraId="7B0390F1">
      <w:pPr>
        <w:jc w:val="center"/>
        <w:rPr>
          <w:rFonts w:eastAsia="-webkit-standard" w:cs="Times New Roman"/>
          <w:b/>
          <w:bCs/>
          <w:color w:val="000000"/>
          <w:sz w:val="26"/>
          <w:szCs w:val="26"/>
          <w:lang w:val="en-GB" w:eastAsia="en-IN"/>
        </w:rPr>
      </w:pPr>
      <w:r>
        <w:rPr>
          <w:rFonts w:ascii="-webkit-standard" w:hAnsi="-webkit-standard" w:eastAsia="-webkit-standard" w:cs="-webkit-standard"/>
          <w:b/>
          <w:color w:val="000000"/>
          <w:szCs w:val="24"/>
          <w:lang w:val="en-GB" w:eastAsia="en-IN"/>
        </w:rPr>
        <w:drawing>
          <wp:inline distT="0" distB="0" distL="0" distR="0">
            <wp:extent cx="5196840" cy="1653540"/>
            <wp:effectExtent l="0" t="0" r="3810" b="3810"/>
            <wp:docPr id="52947280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72800" name="Picture 4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196840" cy="1653540"/>
                    </a:xfrm>
                    <a:prstGeom prst="rect">
                      <a:avLst/>
                    </a:prstGeom>
                    <a:noFill/>
                    <a:ln>
                      <a:noFill/>
                    </a:ln>
                  </pic:spPr>
                </pic:pic>
              </a:graphicData>
            </a:graphic>
          </wp:inline>
        </w:drawing>
      </w:r>
      <w:r>
        <w:rPr>
          <w:rFonts w:ascii="-webkit-standard" w:hAnsi="-webkit-standard" w:eastAsia="-webkit-standard" w:cs="-webkit-standard"/>
          <w:b/>
          <w:color w:val="000000"/>
          <w:szCs w:val="24"/>
          <w:lang w:val="en-GB" w:eastAsia="en-IN"/>
        </w:rPr>
        <w:br w:type="textWrapping"/>
      </w:r>
      <w:r>
        <w:rPr>
          <w:rFonts w:ascii="-webkit-standard" w:hAnsi="-webkit-standard" w:eastAsia="-webkit-standard" w:cs="-webkit-standard"/>
          <w:b/>
          <w:color w:val="000000"/>
          <w:szCs w:val="24"/>
          <w:lang w:val="en-GB" w:eastAsia="en-IN"/>
        </w:rPr>
        <w:br w:type="textWrapping"/>
      </w:r>
      <w:r>
        <w:rPr>
          <w:rFonts w:ascii="-webkit-standard" w:hAnsi="-webkit-standard" w:eastAsia="-webkit-standard" w:cs="-webkit-standard"/>
          <w:b/>
          <w:color w:val="000000"/>
          <w:szCs w:val="24"/>
          <w:lang w:val="en-GB" w:eastAsia="en-IN"/>
        </w:rPr>
        <w:br w:type="textWrapping"/>
      </w:r>
      <w:r>
        <w:rPr>
          <w:rFonts w:eastAsia="-webkit-standard" w:cs="Times New Roman"/>
          <w:b/>
          <w:bCs/>
          <w:color w:val="000000"/>
          <w:sz w:val="26"/>
          <w:szCs w:val="26"/>
          <w:lang w:val="en-GB" w:eastAsia="en-IN"/>
        </w:rPr>
        <w:t>Programme Name: Master of Business Administration</w:t>
      </w:r>
    </w:p>
    <w:p w14:paraId="52DC5686">
      <w:pPr>
        <w:jc w:val="center"/>
        <w:rPr>
          <w:rFonts w:eastAsia="-webkit-standard" w:cs="Times New Roman"/>
          <w:b/>
          <w:bCs/>
          <w:color w:val="000000"/>
          <w:sz w:val="26"/>
          <w:szCs w:val="26"/>
          <w:lang w:val="en-GB" w:eastAsia="en-IN"/>
        </w:rPr>
      </w:pPr>
      <w:r>
        <w:rPr>
          <w:rFonts w:eastAsia="-webkit-standard" w:cs="Times New Roman"/>
          <w:b/>
          <w:bCs/>
          <w:color w:val="000000"/>
          <w:sz w:val="26"/>
          <w:szCs w:val="26"/>
          <w:lang w:val="en-GB" w:eastAsia="en-IN"/>
        </w:rPr>
        <w:t>Module Code: LCMB7035</w:t>
      </w:r>
    </w:p>
    <w:p w14:paraId="69F03EF3">
      <w:pPr>
        <w:jc w:val="center"/>
        <w:rPr>
          <w:rFonts w:eastAsia="-webkit-standard" w:cs="Times New Roman"/>
          <w:b/>
          <w:bCs/>
          <w:color w:val="000000"/>
          <w:sz w:val="26"/>
          <w:szCs w:val="26"/>
          <w:lang w:val="en-GB" w:eastAsia="en-IN"/>
        </w:rPr>
      </w:pPr>
      <w:r>
        <w:rPr>
          <w:rFonts w:eastAsia="-webkit-standard" w:cs="Times New Roman"/>
          <w:b/>
          <w:bCs/>
          <w:color w:val="000000"/>
          <w:sz w:val="26"/>
          <w:szCs w:val="26"/>
          <w:lang w:val="en-GB" w:eastAsia="en-IN"/>
        </w:rPr>
        <w:t>Module Title: Dissertation</w:t>
      </w:r>
    </w:p>
    <w:p w14:paraId="40ABDC2D">
      <w:pPr>
        <w:jc w:val="center"/>
        <w:rPr>
          <w:rFonts w:eastAsia="-webkit-standard" w:cs="Times New Roman"/>
          <w:b/>
          <w:bCs/>
          <w:color w:val="000000"/>
          <w:sz w:val="26"/>
          <w:szCs w:val="26"/>
          <w:lang w:val="en-GB" w:eastAsia="en-IN"/>
        </w:rPr>
      </w:pPr>
    </w:p>
    <w:p w14:paraId="1C2A7368">
      <w:pPr>
        <w:jc w:val="center"/>
        <w:rPr>
          <w:rFonts w:eastAsia="-webkit-standard" w:cs="Times New Roman"/>
          <w:b/>
          <w:bCs/>
          <w:color w:val="000000"/>
          <w:sz w:val="26"/>
          <w:szCs w:val="26"/>
          <w:lang w:val="en-GB" w:eastAsia="en-IN"/>
        </w:rPr>
      </w:pPr>
      <w:r>
        <w:rPr>
          <w:rFonts w:eastAsia="-webkit-standard" w:cs="Times New Roman"/>
          <w:b/>
          <w:bCs/>
          <w:color w:val="000000"/>
          <w:sz w:val="26"/>
          <w:szCs w:val="26"/>
          <w:lang w:val="en-GB" w:eastAsia="en-IN"/>
        </w:rPr>
        <w:t>Assignment Title: Factors Influencing Customer Acceptance of Foreign Electric Vehicle Brands in India</w:t>
      </w:r>
    </w:p>
    <w:p w14:paraId="239A1415">
      <w:pPr>
        <w:jc w:val="center"/>
        <w:rPr>
          <w:rFonts w:eastAsia="-webkit-standard" w:cs="Times New Roman"/>
          <w:b/>
          <w:bCs/>
          <w:color w:val="000000"/>
          <w:sz w:val="26"/>
          <w:szCs w:val="26"/>
          <w:lang w:val="en-GB" w:eastAsia="en-IN"/>
        </w:rPr>
      </w:pPr>
      <w:r>
        <w:rPr>
          <w:rFonts w:eastAsia="-webkit-standard" w:cs="Times New Roman"/>
          <w:b/>
          <w:bCs/>
          <w:color w:val="000000"/>
          <w:sz w:val="26"/>
          <w:szCs w:val="26"/>
          <w:lang w:val="en-GB" w:eastAsia="en-IN"/>
        </w:rPr>
        <w:t xml:space="preserve">Lecturer </w:t>
      </w:r>
      <w:r>
        <w:rPr>
          <w:rFonts w:eastAsia="-webkit-standard" w:cs="Times New Roman"/>
          <w:b/>
          <w:bCs/>
          <w:color w:val="000000"/>
          <w:sz w:val="26"/>
          <w:szCs w:val="26"/>
          <w:lang w:val="en-GB" w:eastAsia="en-IN"/>
        </w:rPr>
        <w:t>Name:-</w:t>
      </w:r>
      <w:r>
        <w:rPr>
          <w:rFonts w:eastAsia="-webkit-standard" w:cs="Times New Roman"/>
          <w:b/>
          <w:bCs/>
          <w:color w:val="000000"/>
          <w:sz w:val="26"/>
          <w:szCs w:val="26"/>
          <w:lang w:val="en-GB" w:eastAsia="en-IN"/>
        </w:rPr>
        <w:t xml:space="preserve"> Dr. Gulam </w:t>
      </w:r>
      <w:r>
        <w:rPr>
          <w:rFonts w:eastAsia="-webkit-standard" w:cs="Times New Roman"/>
          <w:b/>
          <w:bCs/>
          <w:color w:val="000000"/>
          <w:sz w:val="26"/>
          <w:szCs w:val="26"/>
          <w:lang w:val="en-GB" w:eastAsia="en-IN"/>
        </w:rPr>
        <w:t>Mujataba</w:t>
      </w:r>
    </w:p>
    <w:p w14:paraId="69011F0D">
      <w:pPr>
        <w:jc w:val="center"/>
        <w:rPr>
          <w:rFonts w:eastAsia="-webkit-standard" w:cs="Times New Roman"/>
          <w:b/>
          <w:bCs/>
          <w:color w:val="000000"/>
          <w:sz w:val="26"/>
          <w:szCs w:val="26"/>
          <w:lang w:val="en-GB" w:eastAsia="en-IN"/>
        </w:rPr>
      </w:pPr>
    </w:p>
    <w:p w14:paraId="6B11231E">
      <w:pPr>
        <w:jc w:val="center"/>
        <w:rPr>
          <w:rFonts w:eastAsia="-webkit-standard" w:cs="Times New Roman"/>
          <w:b/>
          <w:bCs/>
          <w:color w:val="000000"/>
          <w:sz w:val="26"/>
          <w:szCs w:val="26"/>
          <w:lang w:val="en-GB" w:eastAsia="en-IN"/>
        </w:rPr>
      </w:pPr>
      <w:r>
        <w:rPr>
          <w:rFonts w:eastAsia="-webkit-standard" w:cs="Times New Roman"/>
          <w:b/>
          <w:bCs/>
          <w:color w:val="000000"/>
          <w:sz w:val="26"/>
          <w:szCs w:val="26"/>
          <w:lang w:val="en-GB" w:eastAsia="en-IN"/>
        </w:rPr>
        <w:t xml:space="preserve">Student </w:t>
      </w:r>
      <w:r>
        <w:rPr>
          <w:rFonts w:eastAsia="-webkit-standard" w:cs="Times New Roman"/>
          <w:b/>
          <w:bCs/>
          <w:color w:val="000000"/>
          <w:sz w:val="26"/>
          <w:szCs w:val="26"/>
          <w:lang w:val="en-GB" w:eastAsia="en-IN"/>
        </w:rPr>
        <w:t>Name:-</w:t>
      </w:r>
      <w:r>
        <w:rPr>
          <w:rFonts w:eastAsia="-webkit-standard" w:cs="Times New Roman"/>
          <w:b/>
          <w:bCs/>
          <w:color w:val="000000"/>
          <w:sz w:val="26"/>
          <w:szCs w:val="26"/>
          <w:lang w:val="en-GB" w:eastAsia="en-IN"/>
        </w:rPr>
        <w:t xml:space="preserve"> Arab Naima </w:t>
      </w:r>
      <w:r>
        <w:rPr>
          <w:rFonts w:eastAsia="-webkit-standard" w:cs="Times New Roman"/>
          <w:b/>
          <w:bCs/>
          <w:color w:val="000000"/>
          <w:sz w:val="26"/>
          <w:szCs w:val="26"/>
          <w:lang w:val="en-GB" w:eastAsia="en-IN"/>
        </w:rPr>
        <w:t>Nadimahmed</w:t>
      </w:r>
    </w:p>
    <w:p w14:paraId="58F10A79">
      <w:pPr>
        <w:jc w:val="center"/>
        <w:rPr>
          <w:rFonts w:eastAsia="-webkit-standard" w:cs="Times New Roman"/>
          <w:b/>
          <w:bCs/>
          <w:color w:val="000000"/>
          <w:sz w:val="26"/>
          <w:szCs w:val="26"/>
          <w:lang w:val="en-GB" w:eastAsia="en-IN"/>
        </w:rPr>
      </w:pPr>
      <w:r>
        <w:rPr>
          <w:rFonts w:eastAsia="-webkit-standard" w:cs="Times New Roman"/>
          <w:b/>
          <w:bCs/>
          <w:color w:val="000000"/>
          <w:sz w:val="26"/>
          <w:szCs w:val="26"/>
          <w:lang w:val="en-GB" w:eastAsia="en-IN"/>
        </w:rPr>
        <w:t xml:space="preserve">Student </w:t>
      </w:r>
      <w:r>
        <w:rPr>
          <w:rFonts w:eastAsia="-webkit-standard" w:cs="Times New Roman"/>
          <w:b/>
          <w:bCs/>
          <w:color w:val="000000"/>
          <w:sz w:val="26"/>
          <w:szCs w:val="26"/>
          <w:lang w:val="en-GB" w:eastAsia="en-IN"/>
        </w:rPr>
        <w:t>ID:-</w:t>
      </w:r>
      <w:r>
        <w:rPr>
          <w:rFonts w:eastAsia="-webkit-standard" w:cs="Times New Roman"/>
          <w:b/>
          <w:bCs/>
          <w:color w:val="000000"/>
          <w:sz w:val="26"/>
          <w:szCs w:val="26"/>
          <w:lang w:val="en-GB" w:eastAsia="en-IN"/>
        </w:rPr>
        <w:t xml:space="preserve"> 2503320</w:t>
      </w:r>
    </w:p>
    <w:p w14:paraId="322BAE35">
      <w:pPr>
        <w:jc w:val="center"/>
        <w:rPr>
          <w:rFonts w:eastAsia="-webkit-standard" w:cs="Times New Roman"/>
          <w:b/>
          <w:bCs/>
          <w:color w:val="000000"/>
          <w:sz w:val="26"/>
          <w:szCs w:val="26"/>
          <w:lang w:val="en-GB" w:eastAsia="en-IN"/>
        </w:rPr>
      </w:pPr>
      <w:r>
        <w:rPr>
          <w:rFonts w:eastAsia="-webkit-standard" w:cs="Times New Roman"/>
          <w:b/>
          <w:bCs/>
          <w:color w:val="000000"/>
          <w:sz w:val="26"/>
          <w:szCs w:val="26"/>
          <w:lang w:val="en-GB" w:eastAsia="en-IN"/>
        </w:rPr>
        <w:t xml:space="preserve">Date of </w:t>
      </w:r>
      <w:r>
        <w:rPr>
          <w:rFonts w:eastAsia="-webkit-standard" w:cs="Times New Roman"/>
          <w:b/>
          <w:bCs/>
          <w:color w:val="000000"/>
          <w:sz w:val="26"/>
          <w:szCs w:val="26"/>
          <w:lang w:val="en-GB" w:eastAsia="en-IN"/>
        </w:rPr>
        <w:t>Submission:-</w:t>
      </w:r>
      <w:r>
        <w:rPr>
          <w:rFonts w:eastAsia="-webkit-standard" w:cs="Times New Roman"/>
          <w:b/>
          <w:bCs/>
          <w:color w:val="000000"/>
          <w:sz w:val="26"/>
          <w:szCs w:val="26"/>
          <w:lang w:val="en-GB" w:eastAsia="en-IN"/>
        </w:rPr>
        <w:t xml:space="preserve"> 25th of September 2026</w:t>
      </w:r>
    </w:p>
    <w:p w14:paraId="2614998F">
      <w:pPr>
        <w:jc w:val="center"/>
        <w:rPr>
          <w:rFonts w:cs="Times New Roman"/>
          <w:b/>
          <w:sz w:val="36"/>
        </w:rPr>
      </w:pPr>
    </w:p>
    <w:p w14:paraId="4D86B75C">
      <w:pPr>
        <w:spacing w:line="259" w:lineRule="auto"/>
        <w:jc w:val="left"/>
        <w:rPr>
          <w:rFonts w:cs="Times New Roman"/>
          <w:b/>
          <w:sz w:val="36"/>
        </w:rPr>
      </w:pPr>
      <w:r>
        <w:rPr>
          <w:rFonts w:cs="Times New Roman"/>
          <w:b/>
          <w:sz w:val="36"/>
        </w:rPr>
        <w:br w:type="page"/>
      </w:r>
      <w:bookmarkStart w:id="0" w:name="_Toc241218753"/>
      <w:r>
        <w:rPr>
          <w:sz w:val="17"/>
        </w:rPr>
        <mc:AlternateContent>
          <mc:Choice Requires="wpg">
            <w:drawing>
              <wp:anchor distT="0" distB="0" distL="0" distR="0" simplePos="0" relativeHeight="251675648" behindDoc="0" locked="0" layoutInCell="1" allowOverlap="1">
                <wp:simplePos x="0" y="0"/>
                <wp:positionH relativeFrom="page">
                  <wp:posOffset>587375</wp:posOffset>
                </wp:positionH>
                <wp:positionV relativeFrom="page">
                  <wp:posOffset>1501775</wp:posOffset>
                </wp:positionV>
                <wp:extent cx="6374765" cy="7197725"/>
                <wp:effectExtent l="0" t="0" r="7620" b="3810"/>
                <wp:wrapNone/>
                <wp:docPr id="2119314842" name="Group 2119314842"/>
                <wp:cNvGraphicFramePr/>
                <a:graphic xmlns:a="http://schemas.openxmlformats.org/drawingml/2006/main">
                  <a:graphicData uri="http://schemas.microsoft.com/office/word/2010/wordprocessingGroup">
                    <wpg:wgp>
                      <wpg:cNvGrpSpPr/>
                      <wpg:grpSpPr>
                        <a:xfrm>
                          <a:off x="0" y="0"/>
                          <a:ext cx="6374492" cy="7197634"/>
                          <a:chOff x="0" y="0"/>
                          <a:chExt cx="5429250" cy="6263005"/>
                        </a:xfrm>
                      </wpg:grpSpPr>
                      <wps:wsp>
                        <wps:cNvPr id="182349592" name="Graphic 3"/>
                        <wps:cNvSpPr/>
                        <wps:spPr>
                          <a:xfrm>
                            <a:off x="0" y="0"/>
                            <a:ext cx="5429250" cy="6263005"/>
                          </a:xfrm>
                          <a:custGeom>
                            <a:avLst/>
                            <a:gdLst/>
                            <a:ahLst/>
                            <a:cxnLst/>
                            <a:rect l="l" t="t" r="r" b="b"/>
                            <a:pathLst>
                              <a:path w="5429250" h="6263005">
                                <a:moveTo>
                                  <a:pt x="6350" y="1543685"/>
                                </a:moveTo>
                                <a:lnTo>
                                  <a:pt x="0" y="1543685"/>
                                </a:lnTo>
                                <a:lnTo>
                                  <a:pt x="0" y="1823085"/>
                                </a:lnTo>
                                <a:lnTo>
                                  <a:pt x="0" y="2105660"/>
                                </a:lnTo>
                                <a:lnTo>
                                  <a:pt x="0" y="4785868"/>
                                </a:lnTo>
                                <a:lnTo>
                                  <a:pt x="6350" y="4785868"/>
                                </a:lnTo>
                                <a:lnTo>
                                  <a:pt x="6350" y="1823085"/>
                                </a:lnTo>
                                <a:lnTo>
                                  <a:pt x="6350" y="1543685"/>
                                </a:lnTo>
                                <a:close/>
                              </a:path>
                              <a:path w="5429250" h="6263005">
                                <a:moveTo>
                                  <a:pt x="5422265" y="6256540"/>
                                </a:moveTo>
                                <a:lnTo>
                                  <a:pt x="6350" y="6256540"/>
                                </a:lnTo>
                                <a:lnTo>
                                  <a:pt x="6350" y="6066028"/>
                                </a:lnTo>
                                <a:lnTo>
                                  <a:pt x="6350" y="5640324"/>
                                </a:lnTo>
                                <a:lnTo>
                                  <a:pt x="6350" y="5214874"/>
                                </a:lnTo>
                                <a:lnTo>
                                  <a:pt x="6350" y="4785931"/>
                                </a:lnTo>
                                <a:lnTo>
                                  <a:pt x="0" y="4785931"/>
                                </a:lnTo>
                                <a:lnTo>
                                  <a:pt x="0" y="6262890"/>
                                </a:lnTo>
                                <a:lnTo>
                                  <a:pt x="6350" y="6262890"/>
                                </a:lnTo>
                                <a:lnTo>
                                  <a:pt x="5422265" y="6262890"/>
                                </a:lnTo>
                                <a:lnTo>
                                  <a:pt x="5422265" y="6256540"/>
                                </a:lnTo>
                                <a:close/>
                              </a:path>
                              <a:path w="5429250" h="6263005">
                                <a:moveTo>
                                  <a:pt x="5422265" y="0"/>
                                </a:moveTo>
                                <a:lnTo>
                                  <a:pt x="6350" y="0"/>
                                </a:lnTo>
                                <a:lnTo>
                                  <a:pt x="0" y="0"/>
                                </a:lnTo>
                                <a:lnTo>
                                  <a:pt x="0" y="6286"/>
                                </a:lnTo>
                                <a:lnTo>
                                  <a:pt x="0" y="1260678"/>
                                </a:lnTo>
                                <a:lnTo>
                                  <a:pt x="0" y="1543558"/>
                                </a:lnTo>
                                <a:lnTo>
                                  <a:pt x="6350" y="1543558"/>
                                </a:lnTo>
                                <a:lnTo>
                                  <a:pt x="6350" y="1260729"/>
                                </a:lnTo>
                                <a:lnTo>
                                  <a:pt x="6350" y="6350"/>
                                </a:lnTo>
                                <a:lnTo>
                                  <a:pt x="5422265" y="6350"/>
                                </a:lnTo>
                                <a:lnTo>
                                  <a:pt x="5422265" y="0"/>
                                </a:lnTo>
                                <a:close/>
                              </a:path>
                              <a:path w="5429250" h="6263005">
                                <a:moveTo>
                                  <a:pt x="5428678" y="4785931"/>
                                </a:moveTo>
                                <a:lnTo>
                                  <a:pt x="5422328" y="4785931"/>
                                </a:lnTo>
                                <a:lnTo>
                                  <a:pt x="5422328" y="5214874"/>
                                </a:lnTo>
                                <a:lnTo>
                                  <a:pt x="5422328" y="5640273"/>
                                </a:lnTo>
                                <a:lnTo>
                                  <a:pt x="5422328" y="6066028"/>
                                </a:lnTo>
                                <a:lnTo>
                                  <a:pt x="5422328" y="6256540"/>
                                </a:lnTo>
                                <a:lnTo>
                                  <a:pt x="5422328" y="6262890"/>
                                </a:lnTo>
                                <a:lnTo>
                                  <a:pt x="5428678" y="6262890"/>
                                </a:lnTo>
                                <a:lnTo>
                                  <a:pt x="5428678" y="5214874"/>
                                </a:lnTo>
                                <a:lnTo>
                                  <a:pt x="5428678" y="4785931"/>
                                </a:lnTo>
                                <a:close/>
                              </a:path>
                              <a:path w="5429250" h="6263005">
                                <a:moveTo>
                                  <a:pt x="5428678" y="1543685"/>
                                </a:moveTo>
                                <a:lnTo>
                                  <a:pt x="5422328" y="1543685"/>
                                </a:lnTo>
                                <a:lnTo>
                                  <a:pt x="5422328" y="1823085"/>
                                </a:lnTo>
                                <a:lnTo>
                                  <a:pt x="5422328" y="2105660"/>
                                </a:lnTo>
                                <a:lnTo>
                                  <a:pt x="5422328" y="4785868"/>
                                </a:lnTo>
                                <a:lnTo>
                                  <a:pt x="5428678" y="4785868"/>
                                </a:lnTo>
                                <a:lnTo>
                                  <a:pt x="5428678" y="1823085"/>
                                </a:lnTo>
                                <a:lnTo>
                                  <a:pt x="5428678" y="1543685"/>
                                </a:lnTo>
                                <a:close/>
                              </a:path>
                              <a:path w="5429250" h="6263005">
                                <a:moveTo>
                                  <a:pt x="5428678" y="0"/>
                                </a:moveTo>
                                <a:lnTo>
                                  <a:pt x="5422328" y="0"/>
                                </a:lnTo>
                                <a:lnTo>
                                  <a:pt x="5422328" y="6286"/>
                                </a:lnTo>
                                <a:lnTo>
                                  <a:pt x="5422328" y="1260678"/>
                                </a:lnTo>
                                <a:lnTo>
                                  <a:pt x="5422328" y="1543558"/>
                                </a:lnTo>
                                <a:lnTo>
                                  <a:pt x="5428678" y="1543558"/>
                                </a:lnTo>
                                <a:lnTo>
                                  <a:pt x="5428678" y="1260729"/>
                                </a:lnTo>
                                <a:lnTo>
                                  <a:pt x="5428678" y="6350"/>
                                </a:lnTo>
                                <a:lnTo>
                                  <a:pt x="5428678" y="0"/>
                                </a:lnTo>
                                <a:close/>
                              </a:path>
                            </a:pathLst>
                          </a:custGeom>
                          <a:solidFill>
                            <a:srgbClr val="000000"/>
                          </a:solidFill>
                        </wps:spPr>
                        <wps:bodyPr wrap="square" lIns="0" tIns="0" rIns="0" bIns="0" rtlCol="0">
                          <a:noAutofit/>
                        </wps:bodyPr>
                      </wps:wsp>
                      <pic:pic xmlns:pic="http://schemas.openxmlformats.org/drawingml/2006/picture">
                        <pic:nvPicPr>
                          <pic:cNvPr id="1487259353" name="Image 4"/>
                          <pic:cNvPicPr/>
                        </pic:nvPicPr>
                        <pic:blipFill>
                          <a:blip r:embed="rId6" cstate="print"/>
                          <a:stretch>
                            <a:fillRect/>
                          </a:stretch>
                        </pic:blipFill>
                        <pic:spPr>
                          <a:xfrm>
                            <a:off x="1366279" y="95753"/>
                            <a:ext cx="2674447" cy="1008182"/>
                          </a:xfrm>
                          <a:prstGeom prst="rect">
                            <a:avLst/>
                          </a:prstGeom>
                        </pic:spPr>
                      </pic:pic>
                      <wps:wsp>
                        <wps:cNvPr id="1311572640" name="Textbox 5"/>
                        <wps:cNvSpPr txBox="1"/>
                        <wps:spPr>
                          <a:xfrm>
                            <a:off x="574992" y="1551002"/>
                            <a:ext cx="4290695" cy="478155"/>
                          </a:xfrm>
                          <a:prstGeom prst="rect">
                            <a:avLst/>
                          </a:prstGeom>
                        </wps:spPr>
                        <wps:txbx>
                          <w:txbxContent>
                            <w:p w14:paraId="0EB80317">
                              <w:pPr>
                                <w:spacing w:line="313" w:lineRule="exact"/>
                                <w:ind w:right="18"/>
                                <w:jc w:val="center"/>
                                <w:rPr>
                                  <w:rFonts w:ascii="Arial" w:hAnsi="Arial"/>
                                  <w:b/>
                                  <w:sz w:val="28"/>
                                </w:rPr>
                              </w:pPr>
                              <w:r>
                                <w:rPr>
                                  <w:rFonts w:ascii="Arial" w:hAnsi="Arial"/>
                                  <w:b/>
                                  <w:sz w:val="28"/>
                                </w:rPr>
                                <w:t>Master’s</w:t>
                              </w:r>
                              <w:r>
                                <w:rPr>
                                  <w:rFonts w:ascii="Arial" w:hAnsi="Arial"/>
                                  <w:b/>
                                  <w:spacing w:val="-5"/>
                                  <w:sz w:val="28"/>
                                </w:rPr>
                                <w:t xml:space="preserve"> </w:t>
                              </w:r>
                              <w:r>
                                <w:rPr>
                                  <w:rFonts w:ascii="Arial" w:hAnsi="Arial"/>
                                  <w:b/>
                                  <w:sz w:val="28"/>
                                </w:rPr>
                                <w:t>Degrees</w:t>
                              </w:r>
                              <w:r>
                                <w:rPr>
                                  <w:rFonts w:ascii="Arial" w:hAnsi="Arial"/>
                                  <w:b/>
                                  <w:spacing w:val="-2"/>
                                  <w:sz w:val="28"/>
                                </w:rPr>
                                <w:t xml:space="preserve"> </w:t>
                              </w:r>
                              <w:r>
                                <w:rPr>
                                  <w:rFonts w:ascii="Arial" w:hAnsi="Arial"/>
                                  <w:b/>
                                  <w:sz w:val="28"/>
                                </w:rPr>
                                <w:t>by</w:t>
                              </w:r>
                              <w:r>
                                <w:rPr>
                                  <w:rFonts w:ascii="Arial" w:hAnsi="Arial"/>
                                  <w:b/>
                                  <w:spacing w:val="-2"/>
                                  <w:sz w:val="28"/>
                                </w:rPr>
                                <w:t xml:space="preserve"> </w:t>
                              </w:r>
                              <w:r>
                                <w:rPr>
                                  <w:rFonts w:ascii="Arial" w:hAnsi="Arial"/>
                                  <w:b/>
                                  <w:sz w:val="28"/>
                                </w:rPr>
                                <w:t>Examination</w:t>
                              </w:r>
                              <w:r>
                                <w:rPr>
                                  <w:rFonts w:ascii="Arial" w:hAnsi="Arial"/>
                                  <w:b/>
                                  <w:spacing w:val="-3"/>
                                  <w:sz w:val="28"/>
                                </w:rPr>
                                <w:t xml:space="preserve"> </w:t>
                              </w:r>
                              <w:r>
                                <w:rPr>
                                  <w:rFonts w:ascii="Arial" w:hAnsi="Arial"/>
                                  <w:b/>
                                  <w:sz w:val="28"/>
                                </w:rPr>
                                <w:t>and</w:t>
                              </w:r>
                              <w:r>
                                <w:rPr>
                                  <w:rFonts w:ascii="Arial" w:hAnsi="Arial"/>
                                  <w:b/>
                                  <w:spacing w:val="-8"/>
                                  <w:sz w:val="28"/>
                                </w:rPr>
                                <w:t xml:space="preserve"> </w:t>
                              </w:r>
                              <w:r>
                                <w:rPr>
                                  <w:rFonts w:ascii="Arial" w:hAnsi="Arial"/>
                                  <w:b/>
                                  <w:spacing w:val="-2"/>
                                  <w:sz w:val="28"/>
                                </w:rPr>
                                <w:t>Dissertation</w:t>
                              </w:r>
                            </w:p>
                            <w:p w14:paraId="445B545C">
                              <w:pPr>
                                <w:spacing w:before="118"/>
                                <w:ind w:right="18"/>
                                <w:jc w:val="center"/>
                                <w:rPr>
                                  <w:rFonts w:ascii="Arial MT"/>
                                  <w:sz w:val="28"/>
                                </w:rPr>
                              </w:pPr>
                              <w:r>
                                <w:rPr>
                                  <w:rFonts w:ascii="Arial"/>
                                  <w:b/>
                                  <w:sz w:val="28"/>
                                </w:rPr>
                                <w:t>Declaration</w:t>
                              </w:r>
                              <w:r>
                                <w:rPr>
                                  <w:rFonts w:ascii="Arial"/>
                                  <w:b/>
                                  <w:spacing w:val="-3"/>
                                  <w:sz w:val="28"/>
                                </w:rPr>
                                <w:t xml:space="preserve"> </w:t>
                              </w:r>
                              <w:r>
                                <w:rPr>
                                  <w:rFonts w:ascii="Arial"/>
                                  <w:b/>
                                  <w:spacing w:val="-4"/>
                                  <w:sz w:val="28"/>
                                </w:rPr>
                                <w:t>Form</w:t>
                              </w:r>
                              <w:r>
                                <w:rPr>
                                  <w:rFonts w:ascii="Arial MT"/>
                                  <w:spacing w:val="-4"/>
                                  <w:sz w:val="28"/>
                                </w:rPr>
                                <w:t>.</w:t>
                              </w:r>
                            </w:p>
                          </w:txbxContent>
                        </wps:txbx>
                        <wps:bodyPr wrap="square" lIns="0" tIns="0" rIns="0" bIns="0" rtlCol="0">
                          <a:noAutofit/>
                        </wps:bodyPr>
                      </wps:wsp>
                      <wps:wsp>
                        <wps:cNvPr id="371416842" name="Textbox 6"/>
                        <wps:cNvSpPr txBox="1"/>
                        <wps:spPr>
                          <a:xfrm>
                            <a:off x="76509" y="2535893"/>
                            <a:ext cx="5141595" cy="1692488"/>
                          </a:xfrm>
                          <a:prstGeom prst="rect">
                            <a:avLst/>
                          </a:prstGeom>
                        </wps:spPr>
                        <wps:txbx>
                          <w:txbxContent>
                            <w:p w14:paraId="2BA972C8">
                              <w:pPr>
                                <w:spacing w:line="480" w:lineRule="auto"/>
                                <w:rPr>
                                  <w:rFonts w:ascii="Arial MT"/>
                                </w:rPr>
                              </w:pPr>
                              <w:r>
                                <w:rPr>
                                  <w:rFonts w:ascii="Arial MT"/>
                                </w:rPr>
                                <w:t>I, Arab Naima declare that this dissertation has been composed by myself, that the work contained herein is entirely my own except where explicitly stated otherwise in the text, and that this work has not been submitted</w:t>
                              </w:r>
                              <w:r>
                                <w:rPr>
                                  <w:rFonts w:ascii="Arial MT"/>
                                  <w:spacing w:val="-2"/>
                                </w:rPr>
                                <w:t xml:space="preserve"> </w:t>
                              </w:r>
                              <w:r>
                                <w:rPr>
                                  <w:rFonts w:ascii="Arial MT"/>
                                </w:rPr>
                                <w:t>for</w:t>
                              </w:r>
                              <w:r>
                                <w:rPr>
                                  <w:rFonts w:ascii="Arial MT"/>
                                  <w:spacing w:val="-3"/>
                                </w:rPr>
                                <w:t xml:space="preserve"> </w:t>
                              </w:r>
                              <w:r>
                                <w:rPr>
                                  <w:rFonts w:ascii="Arial MT"/>
                                </w:rPr>
                                <w:t>any</w:t>
                              </w:r>
                              <w:r>
                                <w:rPr>
                                  <w:rFonts w:ascii="Arial MT"/>
                                  <w:spacing w:val="-3"/>
                                </w:rPr>
                                <w:t xml:space="preserve"> </w:t>
                              </w:r>
                              <w:r>
                                <w:rPr>
                                  <w:rFonts w:ascii="Arial MT"/>
                                </w:rPr>
                                <w:t>other</w:t>
                              </w:r>
                              <w:r>
                                <w:rPr>
                                  <w:rFonts w:ascii="Arial MT"/>
                                  <w:spacing w:val="-3"/>
                                </w:rPr>
                                <w:t xml:space="preserve"> </w:t>
                              </w:r>
                              <w:r>
                                <w:rPr>
                                  <w:rFonts w:ascii="Arial MT"/>
                                </w:rPr>
                                <w:t>degree</w:t>
                              </w:r>
                              <w:r>
                                <w:rPr>
                                  <w:rFonts w:ascii="Arial MT"/>
                                  <w:spacing w:val="-2"/>
                                </w:rPr>
                                <w:t xml:space="preserve"> </w:t>
                              </w:r>
                              <w:r>
                                <w:rPr>
                                  <w:rFonts w:ascii="Arial MT"/>
                                </w:rPr>
                                <w:t>or</w:t>
                              </w:r>
                              <w:r>
                                <w:rPr>
                                  <w:rFonts w:ascii="Arial MT"/>
                                  <w:spacing w:val="-3"/>
                                </w:rPr>
                                <w:t xml:space="preserve"> </w:t>
                              </w:r>
                              <w:r>
                                <w:rPr>
                                  <w:rFonts w:ascii="Arial MT"/>
                                </w:rPr>
                                <w:t>qualification,</w:t>
                              </w:r>
                              <w:r>
                                <w:rPr>
                                  <w:rFonts w:ascii="Arial MT"/>
                                  <w:spacing w:val="-5"/>
                                </w:rPr>
                                <w:t xml:space="preserve"> </w:t>
                              </w:r>
                              <w:r>
                                <w:rPr>
                                  <w:rFonts w:ascii="Arial MT"/>
                                </w:rPr>
                                <w:t>in</w:t>
                              </w:r>
                              <w:r>
                                <w:rPr>
                                  <w:rFonts w:ascii="Arial MT"/>
                                  <w:spacing w:val="-2"/>
                                </w:rPr>
                                <w:t xml:space="preserve"> </w:t>
                              </w:r>
                              <w:r>
                                <w:rPr>
                                  <w:rFonts w:ascii="Arial MT"/>
                                </w:rPr>
                                <w:t>whole</w:t>
                              </w:r>
                              <w:r>
                                <w:rPr>
                                  <w:rFonts w:ascii="Arial MT"/>
                                  <w:spacing w:val="-2"/>
                                </w:rPr>
                                <w:t xml:space="preserve"> </w:t>
                              </w:r>
                              <w:r>
                                <w:rPr>
                                  <w:rFonts w:ascii="Arial MT"/>
                                </w:rPr>
                                <w:t>or</w:t>
                              </w:r>
                              <w:r>
                                <w:rPr>
                                  <w:rFonts w:ascii="Arial MT"/>
                                  <w:spacing w:val="-3"/>
                                </w:rPr>
                                <w:t xml:space="preserve"> </w:t>
                              </w:r>
                              <w:r>
                                <w:rPr>
                                  <w:rFonts w:ascii="Arial MT"/>
                                </w:rPr>
                                <w:t>in</w:t>
                              </w:r>
                              <w:r>
                                <w:rPr>
                                  <w:rFonts w:ascii="Arial MT"/>
                                  <w:spacing w:val="-2"/>
                                </w:rPr>
                                <w:t xml:space="preserve"> </w:t>
                              </w:r>
                              <w:r>
                                <w:rPr>
                                  <w:rFonts w:ascii="Arial MT"/>
                                </w:rPr>
                                <w:t>part,</w:t>
                              </w:r>
                              <w:r>
                                <w:rPr>
                                  <w:rFonts w:ascii="Arial MT"/>
                                  <w:spacing w:val="-5"/>
                                </w:rPr>
                                <w:t xml:space="preserve"> </w:t>
                              </w:r>
                              <w:r>
                                <w:rPr>
                                  <w:rFonts w:ascii="Arial MT"/>
                                </w:rPr>
                                <w:t>except</w:t>
                              </w:r>
                              <w:r>
                                <w:rPr>
                                  <w:rFonts w:ascii="Arial MT"/>
                                  <w:spacing w:val="-5"/>
                                </w:rPr>
                                <w:t xml:space="preserve"> </w:t>
                              </w:r>
                              <w:r>
                                <w:rPr>
                                  <w:rFonts w:ascii="Arial MT"/>
                                </w:rPr>
                                <w:t>as</w:t>
                              </w:r>
                            </w:p>
                            <w:p w14:paraId="1EA53382">
                              <w:pPr>
                                <w:rPr>
                                  <w:rFonts w:ascii="Arial MT"/>
                                </w:rPr>
                              </w:pPr>
                              <w:r>
                                <w:rPr>
                                  <w:rFonts w:ascii="Arial MT"/>
                                  <w:spacing w:val="-2"/>
                                </w:rPr>
                                <w:t>specified.</w:t>
                              </w:r>
                            </w:p>
                          </w:txbxContent>
                        </wps:txbx>
                        <wps:bodyPr wrap="square" lIns="0" tIns="0" rIns="0" bIns="0" rtlCol="0">
                          <a:noAutofit/>
                        </wps:bodyPr>
                      </wps:wsp>
                      <wps:wsp>
                        <wps:cNvPr id="1689911420" name="Textbox 7"/>
                        <wps:cNvSpPr txBox="1"/>
                        <wps:spPr>
                          <a:xfrm>
                            <a:off x="76517" y="4791160"/>
                            <a:ext cx="3764279" cy="170815"/>
                          </a:xfrm>
                          <a:prstGeom prst="rect">
                            <a:avLst/>
                          </a:prstGeom>
                        </wps:spPr>
                        <wps:txbx>
                          <w:txbxContent>
                            <w:p w14:paraId="4FFA2CB5">
                              <w:pPr>
                                <w:spacing w:line="268" w:lineRule="exact"/>
                                <w:rPr>
                                  <w:rFonts w:ascii="Arial MT" w:hAnsi="Arial MT"/>
                                </w:rPr>
                              </w:pPr>
                              <w:r>
                                <w:rPr>
                                  <w:rFonts w:ascii="Arial MT" w:hAnsi="Arial MT"/>
                                </w:rPr>
                                <w:t>Signature:</w:t>
                              </w:r>
                              <w:r>
                                <w:rPr>
                                  <w:rFonts w:ascii="Arial MT" w:hAnsi="Arial MT"/>
                                  <w:spacing w:val="-7"/>
                                </w:rPr>
                                <w:t xml:space="preserve"> Arab naima</w:t>
                              </w:r>
                            </w:p>
                          </w:txbxContent>
                        </wps:txbx>
                        <wps:bodyPr wrap="square" lIns="0" tIns="0" rIns="0" bIns="0" rtlCol="0">
                          <a:noAutofit/>
                        </wps:bodyPr>
                      </wps:wsp>
                      <wps:wsp>
                        <wps:cNvPr id="1486214048" name="Textbox 8"/>
                        <wps:cNvSpPr txBox="1"/>
                        <wps:spPr>
                          <a:xfrm>
                            <a:off x="76517" y="5645235"/>
                            <a:ext cx="379095" cy="170815"/>
                          </a:xfrm>
                          <a:prstGeom prst="rect">
                            <a:avLst/>
                          </a:prstGeom>
                        </wps:spPr>
                        <wps:txbx>
                          <w:txbxContent>
                            <w:p w14:paraId="3C8CD71A">
                              <w:pPr>
                                <w:spacing w:line="268" w:lineRule="exact"/>
                                <w:rPr>
                                  <w:rFonts w:ascii="Arial MT"/>
                                </w:rPr>
                              </w:pPr>
                              <w:r>
                                <w:rPr>
                                  <w:rFonts w:ascii="Arial MT"/>
                                  <w:spacing w:val="-2"/>
                                </w:rPr>
                                <w:t>Date:</w:t>
                              </w:r>
                            </w:p>
                          </w:txbxContent>
                        </wps:txbx>
                        <wps:bodyPr wrap="square" lIns="0" tIns="0" rIns="0" bIns="0" rtlCol="0">
                          <a:noAutofit/>
                        </wps:bodyPr>
                      </wps:wsp>
                      <wps:wsp>
                        <wps:cNvPr id="910539405" name="Textbox 9"/>
                        <wps:cNvSpPr txBox="1"/>
                        <wps:spPr>
                          <a:xfrm>
                            <a:off x="819848" y="5645235"/>
                            <a:ext cx="3027045" cy="170815"/>
                          </a:xfrm>
                          <a:prstGeom prst="rect">
                            <a:avLst/>
                          </a:prstGeom>
                        </wps:spPr>
                        <wps:txbx>
                          <w:txbxContent>
                            <w:p w14:paraId="5B5E0E1D">
                              <w:pPr>
                                <w:spacing w:line="268" w:lineRule="exact"/>
                                <w:rPr>
                                  <w:rFonts w:ascii="Arial MT" w:hAnsi="Arial MT"/>
                                </w:rPr>
                              </w:pPr>
                              <w:r>
                                <w:rPr>
                                  <w:rFonts w:ascii="Arial MT" w:hAnsi="Arial MT"/>
                                </w:rPr>
                                <w:t>25/09/2026</w:t>
                              </w:r>
                            </w:p>
                          </w:txbxContent>
                        </wps:txbx>
                        <wps:bodyPr wrap="square" lIns="0" tIns="0" rIns="0" bIns="0" rtlCol="0">
                          <a:noAutofit/>
                        </wps:bodyPr>
                      </wps:wsp>
                    </wpg:wgp>
                  </a:graphicData>
                </a:graphic>
              </wp:anchor>
            </w:drawing>
          </mc:Choice>
          <mc:Fallback>
            <w:pict>
              <v:group id="_x0000_s1026" o:spid="_x0000_s1026" o:spt="203" style="position:absolute;left:0pt;margin-left:46.25pt;margin-top:118.25pt;height:566.75pt;width:501.95pt;mso-position-horizontal-relative:page;mso-position-vertical-relative:page;z-index:251675648;mso-width-relative:page;mso-height-relative:page;" coordsize="5429250,6263005" o:gfxdata="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">
                <o:lock v:ext="edit" aspectratio="f"/>
                <v:shape id="Graphic 3" o:spid="_x0000_s1026" o:spt="100" style="position:absolute;left:0;top:0;height:6263005;width:5429250;" fillcolor="#000000" filled="t" stroked="f" coordsize="5429250,6263005" o:gfxdata="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Cph+6u&#10;wAAAAOIAAAAPAAAAAAAAAAEAIAAAACIAAABkcnMvZG93bnJldi54bWxQSwECFAAUAAAACACHTuJA&#10;My8FnjsAAAA5AAAAEAAAAAAAAAABACAAAAAPAQAAZHJzL3NoYXBleG1sLnhtbFBLBQYAAAAABgAG&#10;AFsBAAC5AwAAAAAA&#10;" path="m6350,1543685l0,1543685,0,1823085,0,2105660,0,4785868,6350,4785868,6350,1823085,6350,1543685xem5422265,6256540l6350,6256540,6350,6066028,6350,5640324,6350,5214874,6350,4785931,0,4785931,0,6262890,6350,6262890,5422265,6262890,5422265,6256540xem5422265,0l6350,0,0,0,0,6286,0,1260678,0,1543558,6350,1543558,6350,1260729,6350,6350,5422265,6350,5422265,0xem5428678,4785931l5422328,4785931,5422328,5214874,5422328,5640273,5422328,6066028,5422328,6256540,5422328,6262890,5428678,6262890,5428678,5214874,5428678,4785931xem5428678,1543685l5422328,1543685,5422328,1823085,5422328,2105660,5422328,4785868,5428678,4785868,5428678,1823085,5428678,1543685xem5428678,0l5422328,0,5422328,6286,5422328,1260678,5422328,1543558,5428678,1543558,5428678,1260729,5428678,6350,5428678,0xe">
                  <v:fill on="t" focussize="0,0"/>
                  <v:stroke on="f"/>
                  <v:imagedata o:title=""/>
                  <o:lock v:ext="edit" aspectratio="f"/>
                  <v:textbox inset="0mm,0mm,0mm,0mm"/>
                </v:shape>
                <v:shape id="Image 4" o:spid="_x0000_s1026" o:spt="75" type="#_x0000_t75" style="position:absolute;left:1366279;top:95753;height:1008182;width:2674447;" filled="f" o:preferrelative="t" stroked="f" coordsize="21600,21600" o:gfxdata="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GEA&#10;jcLCAAAA4wAAAA8AAAAAAAAAAQAgAAAAIgAAAGRycy9kb3ducmV2LnhtbFBLAQIUABQAAAAIAIdO&#10;4kAzLwWeOwAAADkAAAAQAAAAAAAAAAEAIAAAABEBAABkcnMvc2hhcGV4bWwueG1sUEsFBgAAAAAG&#10;AAYAWwEAALsDAAAAAAAA&#10;">
                  <v:fill on="f" focussize="0,0"/>
                  <v:stroke on="f"/>
                  <v:imagedata r:id="rId6" o:title=""/>
                  <o:lock v:ext="edit" aspectratio="f"/>
                </v:shape>
                <v:shape id="Textbox 5" o:spid="_x0000_s1026" o:spt="202" type="#_x0000_t202" style="position:absolute;left:574992;top:1551002;height:478155;width:4290695;" filled="f" stroked="f" coordsize="21600,21600" o:gfxdata="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">
                  <v:fill on="f" focussize="0,0"/>
                  <v:stroke on="f"/>
                  <v:imagedata o:title=""/>
                  <o:lock v:ext="edit" aspectratio="f"/>
                  <v:textbox inset="0mm,0mm,0mm,0mm">
                    <w:txbxContent>
                      <w:p w14:paraId="0EB80317">
                        <w:pPr>
                          <w:spacing w:line="313" w:lineRule="exact"/>
                          <w:ind w:right="18"/>
                          <w:jc w:val="center"/>
                          <w:rPr>
                            <w:rFonts w:ascii="Arial" w:hAnsi="Arial"/>
                            <w:b/>
                            <w:sz w:val="28"/>
                          </w:rPr>
                        </w:pPr>
                        <w:r>
                          <w:rPr>
                            <w:rFonts w:ascii="Arial" w:hAnsi="Arial"/>
                            <w:b/>
                            <w:sz w:val="28"/>
                          </w:rPr>
                          <w:t>Master’s</w:t>
                        </w:r>
                        <w:r>
                          <w:rPr>
                            <w:rFonts w:ascii="Arial" w:hAnsi="Arial"/>
                            <w:b/>
                            <w:spacing w:val="-5"/>
                            <w:sz w:val="28"/>
                          </w:rPr>
                          <w:t xml:space="preserve"> </w:t>
                        </w:r>
                        <w:r>
                          <w:rPr>
                            <w:rFonts w:ascii="Arial" w:hAnsi="Arial"/>
                            <w:b/>
                            <w:sz w:val="28"/>
                          </w:rPr>
                          <w:t>Degrees</w:t>
                        </w:r>
                        <w:r>
                          <w:rPr>
                            <w:rFonts w:ascii="Arial" w:hAnsi="Arial"/>
                            <w:b/>
                            <w:spacing w:val="-2"/>
                            <w:sz w:val="28"/>
                          </w:rPr>
                          <w:t xml:space="preserve"> </w:t>
                        </w:r>
                        <w:r>
                          <w:rPr>
                            <w:rFonts w:ascii="Arial" w:hAnsi="Arial"/>
                            <w:b/>
                            <w:sz w:val="28"/>
                          </w:rPr>
                          <w:t>by</w:t>
                        </w:r>
                        <w:r>
                          <w:rPr>
                            <w:rFonts w:ascii="Arial" w:hAnsi="Arial"/>
                            <w:b/>
                            <w:spacing w:val="-2"/>
                            <w:sz w:val="28"/>
                          </w:rPr>
                          <w:t xml:space="preserve"> </w:t>
                        </w:r>
                        <w:r>
                          <w:rPr>
                            <w:rFonts w:ascii="Arial" w:hAnsi="Arial"/>
                            <w:b/>
                            <w:sz w:val="28"/>
                          </w:rPr>
                          <w:t>Examination</w:t>
                        </w:r>
                        <w:r>
                          <w:rPr>
                            <w:rFonts w:ascii="Arial" w:hAnsi="Arial"/>
                            <w:b/>
                            <w:spacing w:val="-3"/>
                            <w:sz w:val="28"/>
                          </w:rPr>
                          <w:t xml:space="preserve"> </w:t>
                        </w:r>
                        <w:r>
                          <w:rPr>
                            <w:rFonts w:ascii="Arial" w:hAnsi="Arial"/>
                            <w:b/>
                            <w:sz w:val="28"/>
                          </w:rPr>
                          <w:t>and</w:t>
                        </w:r>
                        <w:r>
                          <w:rPr>
                            <w:rFonts w:ascii="Arial" w:hAnsi="Arial"/>
                            <w:b/>
                            <w:spacing w:val="-8"/>
                            <w:sz w:val="28"/>
                          </w:rPr>
                          <w:t xml:space="preserve"> </w:t>
                        </w:r>
                        <w:r>
                          <w:rPr>
                            <w:rFonts w:ascii="Arial" w:hAnsi="Arial"/>
                            <w:b/>
                            <w:spacing w:val="-2"/>
                            <w:sz w:val="28"/>
                          </w:rPr>
                          <w:t>Dissertation</w:t>
                        </w:r>
                      </w:p>
                      <w:p w14:paraId="445B545C">
                        <w:pPr>
                          <w:spacing w:before="118"/>
                          <w:ind w:right="18"/>
                          <w:jc w:val="center"/>
                          <w:rPr>
                            <w:rFonts w:ascii="Arial MT"/>
                            <w:sz w:val="28"/>
                          </w:rPr>
                        </w:pPr>
                        <w:r>
                          <w:rPr>
                            <w:rFonts w:ascii="Arial"/>
                            <w:b/>
                            <w:sz w:val="28"/>
                          </w:rPr>
                          <w:t>Declaration</w:t>
                        </w:r>
                        <w:r>
                          <w:rPr>
                            <w:rFonts w:ascii="Arial"/>
                            <w:b/>
                            <w:spacing w:val="-3"/>
                            <w:sz w:val="28"/>
                          </w:rPr>
                          <w:t xml:space="preserve"> </w:t>
                        </w:r>
                        <w:r>
                          <w:rPr>
                            <w:rFonts w:ascii="Arial"/>
                            <w:b/>
                            <w:spacing w:val="-4"/>
                            <w:sz w:val="28"/>
                          </w:rPr>
                          <w:t>Form</w:t>
                        </w:r>
                        <w:r>
                          <w:rPr>
                            <w:rFonts w:ascii="Arial MT"/>
                            <w:spacing w:val="-4"/>
                            <w:sz w:val="28"/>
                          </w:rPr>
                          <w:t>.</w:t>
                        </w:r>
                      </w:p>
                    </w:txbxContent>
                  </v:textbox>
                </v:shape>
                <v:shape id="Textbox 6" o:spid="_x0000_s1026" o:spt="202" type="#_x0000_t202" style="position:absolute;left:76509;top:2535893;height:1692488;width:5141595;" filled="f" stroked="f" coordsize="21600,21600" o:gfxdata="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">
                  <v:fill on="f" focussize="0,0"/>
                  <v:stroke on="f"/>
                  <v:imagedata o:title=""/>
                  <o:lock v:ext="edit" aspectratio="f"/>
                  <v:textbox inset="0mm,0mm,0mm,0mm">
                    <w:txbxContent>
                      <w:p w14:paraId="2BA972C8">
                        <w:pPr>
                          <w:spacing w:line="480" w:lineRule="auto"/>
                          <w:rPr>
                            <w:rFonts w:ascii="Arial MT"/>
                          </w:rPr>
                        </w:pPr>
                        <w:r>
                          <w:rPr>
                            <w:rFonts w:ascii="Arial MT"/>
                          </w:rPr>
                          <w:t>I, Arab Naima declare that this dissertation has been composed by myself, that the work contained herein is entirely my own except where explicitly stated otherwise in the text, and that this work has not been submitted</w:t>
                        </w:r>
                        <w:r>
                          <w:rPr>
                            <w:rFonts w:ascii="Arial MT"/>
                            <w:spacing w:val="-2"/>
                          </w:rPr>
                          <w:t xml:space="preserve"> </w:t>
                        </w:r>
                        <w:r>
                          <w:rPr>
                            <w:rFonts w:ascii="Arial MT"/>
                          </w:rPr>
                          <w:t>for</w:t>
                        </w:r>
                        <w:r>
                          <w:rPr>
                            <w:rFonts w:ascii="Arial MT"/>
                            <w:spacing w:val="-3"/>
                          </w:rPr>
                          <w:t xml:space="preserve"> </w:t>
                        </w:r>
                        <w:r>
                          <w:rPr>
                            <w:rFonts w:ascii="Arial MT"/>
                          </w:rPr>
                          <w:t>any</w:t>
                        </w:r>
                        <w:r>
                          <w:rPr>
                            <w:rFonts w:ascii="Arial MT"/>
                            <w:spacing w:val="-3"/>
                          </w:rPr>
                          <w:t xml:space="preserve"> </w:t>
                        </w:r>
                        <w:r>
                          <w:rPr>
                            <w:rFonts w:ascii="Arial MT"/>
                          </w:rPr>
                          <w:t>other</w:t>
                        </w:r>
                        <w:r>
                          <w:rPr>
                            <w:rFonts w:ascii="Arial MT"/>
                            <w:spacing w:val="-3"/>
                          </w:rPr>
                          <w:t xml:space="preserve"> </w:t>
                        </w:r>
                        <w:r>
                          <w:rPr>
                            <w:rFonts w:ascii="Arial MT"/>
                          </w:rPr>
                          <w:t>degree</w:t>
                        </w:r>
                        <w:r>
                          <w:rPr>
                            <w:rFonts w:ascii="Arial MT"/>
                            <w:spacing w:val="-2"/>
                          </w:rPr>
                          <w:t xml:space="preserve"> </w:t>
                        </w:r>
                        <w:r>
                          <w:rPr>
                            <w:rFonts w:ascii="Arial MT"/>
                          </w:rPr>
                          <w:t>or</w:t>
                        </w:r>
                        <w:r>
                          <w:rPr>
                            <w:rFonts w:ascii="Arial MT"/>
                            <w:spacing w:val="-3"/>
                          </w:rPr>
                          <w:t xml:space="preserve"> </w:t>
                        </w:r>
                        <w:r>
                          <w:rPr>
                            <w:rFonts w:ascii="Arial MT"/>
                          </w:rPr>
                          <w:t>qualification,</w:t>
                        </w:r>
                        <w:r>
                          <w:rPr>
                            <w:rFonts w:ascii="Arial MT"/>
                            <w:spacing w:val="-5"/>
                          </w:rPr>
                          <w:t xml:space="preserve"> </w:t>
                        </w:r>
                        <w:r>
                          <w:rPr>
                            <w:rFonts w:ascii="Arial MT"/>
                          </w:rPr>
                          <w:t>in</w:t>
                        </w:r>
                        <w:r>
                          <w:rPr>
                            <w:rFonts w:ascii="Arial MT"/>
                            <w:spacing w:val="-2"/>
                          </w:rPr>
                          <w:t xml:space="preserve"> </w:t>
                        </w:r>
                        <w:r>
                          <w:rPr>
                            <w:rFonts w:ascii="Arial MT"/>
                          </w:rPr>
                          <w:t>whole</w:t>
                        </w:r>
                        <w:r>
                          <w:rPr>
                            <w:rFonts w:ascii="Arial MT"/>
                            <w:spacing w:val="-2"/>
                          </w:rPr>
                          <w:t xml:space="preserve"> </w:t>
                        </w:r>
                        <w:r>
                          <w:rPr>
                            <w:rFonts w:ascii="Arial MT"/>
                          </w:rPr>
                          <w:t>or</w:t>
                        </w:r>
                        <w:r>
                          <w:rPr>
                            <w:rFonts w:ascii="Arial MT"/>
                            <w:spacing w:val="-3"/>
                          </w:rPr>
                          <w:t xml:space="preserve"> </w:t>
                        </w:r>
                        <w:r>
                          <w:rPr>
                            <w:rFonts w:ascii="Arial MT"/>
                          </w:rPr>
                          <w:t>in</w:t>
                        </w:r>
                        <w:r>
                          <w:rPr>
                            <w:rFonts w:ascii="Arial MT"/>
                            <w:spacing w:val="-2"/>
                          </w:rPr>
                          <w:t xml:space="preserve"> </w:t>
                        </w:r>
                        <w:r>
                          <w:rPr>
                            <w:rFonts w:ascii="Arial MT"/>
                          </w:rPr>
                          <w:t>part,</w:t>
                        </w:r>
                        <w:r>
                          <w:rPr>
                            <w:rFonts w:ascii="Arial MT"/>
                            <w:spacing w:val="-5"/>
                          </w:rPr>
                          <w:t xml:space="preserve"> </w:t>
                        </w:r>
                        <w:r>
                          <w:rPr>
                            <w:rFonts w:ascii="Arial MT"/>
                          </w:rPr>
                          <w:t>except</w:t>
                        </w:r>
                        <w:r>
                          <w:rPr>
                            <w:rFonts w:ascii="Arial MT"/>
                            <w:spacing w:val="-5"/>
                          </w:rPr>
                          <w:t xml:space="preserve"> </w:t>
                        </w:r>
                        <w:r>
                          <w:rPr>
                            <w:rFonts w:ascii="Arial MT"/>
                          </w:rPr>
                          <w:t>as</w:t>
                        </w:r>
                      </w:p>
                      <w:p w14:paraId="1EA53382">
                        <w:pPr>
                          <w:rPr>
                            <w:rFonts w:ascii="Arial MT"/>
                          </w:rPr>
                        </w:pPr>
                        <w:r>
                          <w:rPr>
                            <w:rFonts w:ascii="Arial MT"/>
                            <w:spacing w:val="-2"/>
                          </w:rPr>
                          <w:t>specified.</w:t>
                        </w:r>
                      </w:p>
                    </w:txbxContent>
                  </v:textbox>
                </v:shape>
                <v:shape id="Textbox 7" o:spid="_x0000_s1026" o:spt="202" type="#_x0000_t202" style="position:absolute;left:76517;top:4791160;height:170815;width:3764279;" filled="f" stroked="f" coordsize="21600,21600" o:gfxdata="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P++am8QAAADjAAAADwAAAAAAAAABACAAAAAiAAAAZHJzL2Rvd25yZXYueG1sUEsBAhQAFAAAAAgA&#10;h07iQDMvBZ47AAAAOQAAABAAAAAAAAAAAQAgAAAAEwEAAGRycy9zaGFwZXhtbC54bWxQSwUGAAAA&#10;AAYABgBbAQAAvQMAAAAA&#10;">
                  <v:fill on="f" focussize="0,0"/>
                  <v:stroke on="f"/>
                  <v:imagedata o:title=""/>
                  <o:lock v:ext="edit" aspectratio="f"/>
                  <v:textbox inset="0mm,0mm,0mm,0mm">
                    <w:txbxContent>
                      <w:p w14:paraId="4FFA2CB5">
                        <w:pPr>
                          <w:spacing w:line="268" w:lineRule="exact"/>
                          <w:rPr>
                            <w:rFonts w:ascii="Arial MT" w:hAnsi="Arial MT"/>
                          </w:rPr>
                        </w:pPr>
                        <w:r>
                          <w:rPr>
                            <w:rFonts w:ascii="Arial MT" w:hAnsi="Arial MT"/>
                          </w:rPr>
                          <w:t>Signature:</w:t>
                        </w:r>
                        <w:r>
                          <w:rPr>
                            <w:rFonts w:ascii="Arial MT" w:hAnsi="Arial MT"/>
                            <w:spacing w:val="-7"/>
                          </w:rPr>
                          <w:t xml:space="preserve"> Arab naima</w:t>
                        </w:r>
                      </w:p>
                    </w:txbxContent>
                  </v:textbox>
                </v:shape>
                <v:shape id="Textbox 8" o:spid="_x0000_s1026" o:spt="202" type="#_x0000_t202" style="position:absolute;left:76517;top:5645235;height:170815;width:379095;" filled="f" stroked="f" coordsize="21600,21600" o:gfxdata="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crFjnsQAAADjAAAADwAAAAAAAAABACAAAAAiAAAAZHJzL2Rvd25yZXYueG1sUEsBAhQAFAAAAAgA&#10;h07iQDMvBZ47AAAAOQAAABAAAAAAAAAAAQAgAAAAEwEAAGRycy9zaGFwZXhtbC54bWxQSwUGAAAA&#10;AAYABgBbAQAAvQMAAAAA&#10;">
                  <v:fill on="f" focussize="0,0"/>
                  <v:stroke on="f"/>
                  <v:imagedata o:title=""/>
                  <o:lock v:ext="edit" aspectratio="f"/>
                  <v:textbox inset="0mm,0mm,0mm,0mm">
                    <w:txbxContent>
                      <w:p w14:paraId="3C8CD71A">
                        <w:pPr>
                          <w:spacing w:line="268" w:lineRule="exact"/>
                          <w:rPr>
                            <w:rFonts w:ascii="Arial MT"/>
                          </w:rPr>
                        </w:pPr>
                        <w:r>
                          <w:rPr>
                            <w:rFonts w:ascii="Arial MT"/>
                            <w:spacing w:val="-2"/>
                          </w:rPr>
                          <w:t>Date:</w:t>
                        </w:r>
                      </w:p>
                    </w:txbxContent>
                  </v:textbox>
                </v:shape>
                <v:shape id="Textbox 9" o:spid="_x0000_s1026" o:spt="202" type="#_x0000_t202" style="position:absolute;left:819848;top:5645235;height:170815;width:3027045;" filled="f" stroked="f" coordsize="21600,21600" o:gfxdata="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7f1Vk8QAAADiAAAADwAAAAAAAAABACAAAAAiAAAAZHJzL2Rvd25yZXYueG1sUEsBAhQAFAAAAAgA&#10;h07iQDMvBZ47AAAAOQAAABAAAAAAAAAAAQAgAAAAEwEAAGRycy9zaGFwZXhtbC54bWxQSwUGAAAA&#10;AAYABgBbAQAAvQMAAAAA&#10;">
                  <v:fill on="f" focussize="0,0"/>
                  <v:stroke on="f"/>
                  <v:imagedata o:title=""/>
                  <o:lock v:ext="edit" aspectratio="f"/>
                  <v:textbox inset="0mm,0mm,0mm,0mm">
                    <w:txbxContent>
                      <w:p w14:paraId="5B5E0E1D">
                        <w:pPr>
                          <w:spacing w:line="268" w:lineRule="exact"/>
                          <w:rPr>
                            <w:rFonts w:ascii="Arial MT" w:hAnsi="Arial MT"/>
                          </w:rPr>
                        </w:pPr>
                        <w:r>
                          <w:rPr>
                            <w:rFonts w:ascii="Arial MT" w:hAnsi="Arial MT"/>
                          </w:rPr>
                          <w:t>25/09/2026</w:t>
                        </w:r>
                      </w:p>
                    </w:txbxContent>
                  </v:textbox>
                </v:shape>
              </v:group>
            </w:pict>
          </mc:Fallback>
        </mc:AlternateContent>
      </w:r>
      <w:r>
        <w:t>Declaration</w:t>
      </w:r>
      <w:bookmarkEnd w:id="0"/>
      <w:r>
        <w:t xml:space="preserve"> </w:t>
      </w:r>
    </w:p>
    <w:p w14:paraId="443518B7">
      <w:pPr>
        <w:jc w:val="center"/>
        <w:rPr>
          <w:rFonts w:cs="Times New Roman"/>
          <w:b/>
          <w:sz w:val="36"/>
        </w:rPr>
      </w:pPr>
    </w:p>
    <w:p w14:paraId="44020B95">
      <w:pPr>
        <w:jc w:val="center"/>
        <w:rPr>
          <w:rFonts w:cs="Times New Roman"/>
          <w:b/>
          <w:sz w:val="36"/>
        </w:rPr>
      </w:pPr>
    </w:p>
    <w:p w14:paraId="1D832A93">
      <w:pPr>
        <w:pStyle w:val="7"/>
        <w:spacing w:before="4"/>
        <w:rPr>
          <w:sz w:val="17"/>
        </w:rPr>
      </w:pPr>
    </w:p>
    <w:p w14:paraId="4C04FBE7">
      <w:pPr>
        <w:spacing w:line="259" w:lineRule="auto"/>
        <w:jc w:val="left"/>
        <w:rPr>
          <w:rFonts w:eastAsia="Times New Roman" w:cs="Times New Roman"/>
          <w:szCs w:val="24"/>
          <w:lang w:eastAsia="en-IN"/>
        </w:rPr>
      </w:pPr>
      <w:r>
        <w:br w:type="page"/>
      </w:r>
    </w:p>
    <w:p w14:paraId="7640B717">
      <w:pPr>
        <w:pStyle w:val="2"/>
        <w:rPr>
          <w:lang w:val="en-AU"/>
        </w:rPr>
      </w:pPr>
      <w:bookmarkStart w:id="1" w:name="_Toc241218754"/>
      <w:r>
        <w:rPr>
          <w:lang w:val="en-AU"/>
        </w:rPr>
        <w:t>Acknowledgements</w:t>
      </w:r>
      <w:bookmarkEnd w:id="1"/>
    </w:p>
    <w:p w14:paraId="2BBCD5F5">
      <w:pPr>
        <w:tabs>
          <w:tab w:val="center" w:pos="360"/>
        </w:tabs>
        <w:rPr>
          <w:bCs/>
          <w:lang w:val="en-AU"/>
        </w:rPr>
      </w:pPr>
      <w:r>
        <w:rPr>
          <w:bCs/>
          <w:sz w:val="28"/>
          <w:lang w:val="en-AU"/>
        </w:rPr>
        <w:tab/>
      </w:r>
      <w:r>
        <w:rPr>
          <w:bCs/>
          <w:sz w:val="28"/>
          <w:lang w:val="en-AU"/>
        </w:rPr>
        <w:tab/>
      </w:r>
      <w:r>
        <w:rPr>
          <w:bCs/>
          <w:lang w:val="en-AU"/>
        </w:rPr>
        <w:t>I would like to thank my supervisor and the University for allowing me to work on this topic. Their guidance and support throughout the research played a significant role in motivating me to work. I would also like to thank my friends and peers for their relentless support through thick and thin. Lastly, I would like to thank my family members, as without them I would not have been able to stay true to my path.</w:t>
      </w:r>
    </w:p>
    <w:p w14:paraId="0668E15D">
      <w:pPr>
        <w:tabs>
          <w:tab w:val="center" w:pos="4513"/>
          <w:tab w:val="left" w:pos="7740"/>
        </w:tabs>
        <w:rPr>
          <w:b/>
          <w:lang w:val="en-AU"/>
        </w:rPr>
      </w:pPr>
      <w:r>
        <w:rPr>
          <w:b/>
          <w:lang w:val="en-AU"/>
        </w:rPr>
        <w:t>Name:</w:t>
      </w:r>
      <w:r>
        <w:rPr>
          <w:b/>
        </w:rPr>
        <w:t>Arab naima</w:t>
      </w:r>
    </w:p>
    <w:p w14:paraId="009A5999">
      <w:pPr>
        <w:tabs>
          <w:tab w:val="center" w:pos="4513"/>
          <w:tab w:val="left" w:pos="7740"/>
        </w:tabs>
        <w:rPr>
          <w:b/>
          <w:lang w:val="en-AU"/>
        </w:rPr>
      </w:pPr>
      <w:r>
        <w:rPr>
          <w:b/>
          <w:lang w:val="en-AU"/>
        </w:rPr>
        <w:t xml:space="preserve">Date: </w:t>
      </w:r>
      <w:r>
        <w:rPr>
          <w:b/>
        </w:rPr>
        <w:t>25/09/2026</w:t>
      </w:r>
    </w:p>
    <w:p w14:paraId="3C6BE786">
      <w:pPr>
        <w:spacing w:line="259" w:lineRule="auto"/>
        <w:jc w:val="left"/>
        <w:rPr>
          <w:rFonts w:eastAsia="Times New Roman" w:cs="Times New Roman"/>
          <w:szCs w:val="24"/>
          <w:lang w:eastAsia="en-IN"/>
        </w:rPr>
      </w:pPr>
      <w:r>
        <w:br w:type="page"/>
      </w:r>
    </w:p>
    <w:p w14:paraId="129DC837">
      <w:pPr>
        <w:pStyle w:val="2"/>
      </w:pPr>
      <w:bookmarkStart w:id="2" w:name="_Toc241218755"/>
      <w:r>
        <w:t>AI Acknowledgement</w:t>
      </w:r>
      <w:bookmarkEnd w:id="2"/>
    </w:p>
    <w:p w14:paraId="4A169E54">
      <w:pPr/>
      <w:r>
        <w:t>I confirm that no generative AI tools were used to generate, write, or substantially modify the content of this dissertation. The research, analysis, and writing were completed independently by the researcher.</w:t>
      </w:r>
    </w:p>
    <w:p w14:paraId="60C4C6C5">
      <w:pPr>
        <w:pStyle w:val="32"/>
        <w:spacing w:line="360" w:lineRule="auto"/>
        <w:jc w:val="both"/>
      </w:pPr>
    </w:p>
    <w:p w14:paraId="780A4DA1">
      <w:pPr>
        <w:rPr>
          <w:rFonts w:cs="Times New Roman"/>
          <w:b/>
          <w:sz w:val="36"/>
        </w:rPr>
      </w:pPr>
    </w:p>
    <w:p w14:paraId="3E510011">
      <w:pPr>
        <w:spacing w:line="259" w:lineRule="auto"/>
        <w:jc w:val="left"/>
        <w:rPr>
          <w:rFonts w:cs="Times New Roman"/>
          <w:b/>
          <w:sz w:val="36"/>
        </w:rPr>
      </w:pPr>
      <w:r>
        <w:rPr>
          <w:rFonts w:cs="Times New Roman"/>
          <w:b/>
          <w:sz w:val="36"/>
        </w:rPr>
        <w:br w:type="page"/>
      </w:r>
    </w:p>
    <w:p w14:paraId="447C5947">
      <w:pPr>
        <w:pStyle w:val="2"/>
      </w:pPr>
      <w:bookmarkStart w:id="3" w:name="_Toc241218756"/>
      <w:r>
        <w:t>Abstract</w:t>
      </w:r>
      <w:bookmarkEnd w:id="3"/>
      <w:r>
        <w:t xml:space="preserve"> </w:t>
      </w:r>
    </w:p>
    <w:p w14:paraId="7179CF1C">
      <w:pPr>
        <w:rPr>
          <w:rFonts w:cs="Times New Roman"/>
          <w:bCs/>
          <w:szCs w:val="16"/>
        </w:rPr>
      </w:pPr>
      <w:r>
        <w:rPr>
          <w:rFonts w:cs="Times New Roman"/>
          <w:bCs/>
          <w:szCs w:val="16"/>
        </w:rPr>
        <w:t>Chapter 1 introduces the factors influencing Indian customer acceptance of foreign electric vehicle (EV) brands in India. This research has established the growing importance of the competitive position of foreign brands, EV adoption. It has also covered challenges created by consumer trust, price sensitivity, infrastructure technological perceptions, and domestic competition. The chapter defines the research aim to evaluate Factors Influencing Customer Acceptance of Foreign Electric Vehicle Brands in India.</w:t>
      </w:r>
    </w:p>
    <w:p w14:paraId="690B4899">
      <w:pPr>
        <w:rPr>
          <w:rFonts w:cs="Times New Roman"/>
          <w:bCs/>
          <w:szCs w:val="16"/>
        </w:rPr>
      </w:pPr>
      <w:r>
        <w:rPr>
          <w:rFonts w:cs="Times New Roman"/>
          <w:bCs/>
          <w:szCs w:val="16"/>
        </w:rPr>
        <w:t xml:space="preserve">The chapter 2 is based on considering the key theoretical sources and discussing the topic by dividing into different areas. In this regard, </w:t>
      </w:r>
      <w:r>
        <w:rPr>
          <w:rFonts w:cs="Times New Roman"/>
          <w:color w:val="000000" w:themeColor="text1"/>
          <w14:textFill>
            <w14:solidFill>
              <w14:schemeClr w14:val="tx1"/>
            </w14:solidFill>
          </w14:textFill>
        </w:rPr>
        <w:t xml:space="preserve">it is mentioned that while entering the Indian market, foreign electric vehicle brands may face a complex environment, including regulatory policies, infrastructure ineffectiveness and structural market frictions. Along with this, the gap of previous studies and the conceptual framework connecting the core variables are developed. </w:t>
      </w:r>
    </w:p>
    <w:p w14:paraId="70ED1748">
      <w:pPr>
        <w:rPr>
          <w:rFonts w:cs="Times New Roman"/>
          <w:bCs/>
          <w:szCs w:val="16"/>
        </w:rPr>
      </w:pPr>
      <w:r>
        <w:rPr>
          <w:rFonts w:cs="Times New Roman"/>
          <w:bCs/>
          <w:szCs w:val="16"/>
        </w:rPr>
        <w:t>An interpretivist research philosophy has been employed to support the interpretation of behavioural influences, consumer perceptions, and contextual market conditions. An inductive research approach is adopted to allow patterns and themes to emerge from the existing evidence rather than testing predetermined hypotheses. Secondary data are collected from industry reports, corporate sources and peer-reviewed journal articles, and credible online materials, with recent sources published between 2020 and 2026.</w:t>
      </w:r>
    </w:p>
    <w:p w14:paraId="52A30F1B">
      <w:pPr>
        <w:rPr>
          <w:rFonts w:cs="Times New Roman"/>
          <w:bCs/>
          <w:szCs w:val="16"/>
        </w:rPr>
      </w:pPr>
      <w:r>
        <w:rPr>
          <w:rFonts w:cs="Times New Roman"/>
          <w:bCs/>
          <w:szCs w:val="16"/>
        </w:rPr>
        <w:t xml:space="preserve">Chapter 4 has involved collection of data and analysing them through thematic codebook approach. 20 sources were chosen and the stages of thematic development such as development of initial codes, categories, subthemes as well as themes were followed. 3 main themes were developed and the 20 sources were used to analyse the themes critically. </w:t>
      </w:r>
    </w:p>
    <w:p w14:paraId="548752A7">
      <w:pPr>
        <w:rPr>
          <w:rFonts w:cs="Times New Roman"/>
          <w:bCs/>
          <w:szCs w:val="16"/>
        </w:rPr>
      </w:pPr>
      <w:r>
        <w:rPr>
          <w:rFonts w:cs="Times New Roman"/>
          <w:bCs/>
          <w:szCs w:val="16"/>
        </w:rPr>
        <w:t xml:space="preserve">Chapter 5 discusses the key secondary findings that highlights customer acceptance of foreign EV brands in India. It justifies by supporting evidence that relates them to the research questions, literature and theoretical framework. The discussion has covers price, identifies brand trust, charging infrastructure, perceived value, technological usefulness, after-sales support and local market adaptation. These have interconnected of the customer’s acceptance for the foreign brand. </w:t>
      </w:r>
    </w:p>
    <w:p w14:paraId="667AB452">
      <w:pPr>
        <w:rPr>
          <w:rFonts w:cs="Times New Roman"/>
          <w:bCs/>
          <w:szCs w:val="16"/>
        </w:rPr>
      </w:pPr>
      <w:r>
        <w:rPr>
          <w:rFonts w:cs="Times New Roman"/>
          <w:bCs/>
          <w:szCs w:val="16"/>
        </w:rPr>
        <w:t xml:space="preserve">Chapter 6 is the conclusion and recommendations part including linking the findings with objectives, identifying the values of the study, limitations of the study, along with recommendations and future scope of the study. Apart from that, the reflective statement is included to highlight the value of the study and showing how it can be feasible for the future exploration in the same field. </w:t>
      </w:r>
    </w:p>
    <w:p w14:paraId="0C649DF6">
      <w:pPr>
        <w:rPr>
          <w:rFonts w:cs="Times New Roman"/>
          <w:b/>
          <w:sz w:val="36"/>
        </w:rPr>
      </w:pPr>
      <w:r>
        <w:rPr>
          <w:rFonts w:cs="Times New Roman"/>
          <w:b/>
          <w:sz w:val="36"/>
        </w:rPr>
        <w:br w:type="page"/>
      </w:r>
    </w:p>
    <w:sdt>
      <w:sdtPr>
        <w:rPr>
          <w:rFonts w:ascii="Times New Roman" w:hAnsi="Times New Roman" w:cs="Times New Roman" w:eastAsiaTheme="minorHAnsi"/>
          <w:color w:val="000000" w:themeColor="text1"/>
          <w:sz w:val="24"/>
          <w:szCs w:val="24"/>
          <w:lang w:val="en-IN"/>
          <w14:textFill>
            <w14:solidFill>
              <w14:schemeClr w14:val="tx1"/>
            </w14:solidFill>
          </w14:textFill>
        </w:rPr>
        <w:id w:val="674611456"/>
      </w:sdtPr>
      <w:sdtEndPr>
        <w:rPr>
          <w:rFonts w:ascii="Times New Roman" w:hAnsi="Times New Roman" w:cs="Times New Roman" w:eastAsiaTheme="minorHAnsi"/>
          <w:b/>
          <w:bCs/>
          <w:color w:val="000000" w:themeColor="text1"/>
          <w:sz w:val="24"/>
          <w:szCs w:val="24"/>
          <w:lang w:val="en-IN"/>
          <w14:textFill>
            <w14:solidFill>
              <w14:schemeClr w14:val="tx1"/>
            </w14:solidFill>
          </w14:textFill>
        </w:rPr>
      </w:sdtEndPr>
      <w:sdtContent>
        <w:p w14:paraId="0B0C96A0">
          <w:pPr>
            <w:pStyle w:val="23"/>
            <w:spacing w:line="360" w:lineRule="auto"/>
            <w:jc w:val="center"/>
            <w:rPr>
              <w:rFonts w:ascii="Times New Roman" w:hAnsi="Times New Roman" w:cs="Times New Roman"/>
              <w:b/>
              <w:color w:val="000000" w:themeColor="text1"/>
              <w:sz w:val="28"/>
              <w:szCs w:val="24"/>
              <w14:textFill>
                <w14:solidFill>
                  <w14:schemeClr w14:val="tx1"/>
                </w14:solidFill>
              </w14:textFill>
            </w:rPr>
          </w:pPr>
          <w:r>
            <w:rPr>
              <w:rFonts w:ascii="Times New Roman" w:hAnsi="Times New Roman" w:cs="Times New Roman"/>
              <w:b/>
              <w:color w:val="000000" w:themeColor="text1"/>
              <w:sz w:val="28"/>
              <w:szCs w:val="24"/>
              <w14:textFill>
                <w14:solidFill>
                  <w14:schemeClr w14:val="tx1"/>
                </w14:solidFill>
              </w14:textFill>
            </w:rPr>
            <w:t>Table of Contents</w:t>
          </w:r>
        </w:p>
        <w:p w14:paraId="7CFB2AB3">
          <w:pPr>
            <w:pStyle w:val="12"/>
            <w:tabs>
              <w:tab w:val="right" w:leader="dot" w:pos="9016"/>
            </w:tabs>
            <w:rPr>
              <w:rFonts w:asciiTheme="minorHAnsi" w:hAnsiTheme="minorHAnsi" w:eastAsiaTheme="minorEastAsia"/>
              <w:kern w:val="2"/>
              <w:szCs w:val="24"/>
              <w:lang w:eastAsia="en-IN"/>
            </w:rPr>
          </w:pPr>
          <w:r>
            <w:rPr>
              <w:rFonts w:cs="Times New Roman"/>
              <w:color w:val="000000" w:themeColor="text1"/>
              <w:szCs w:val="24"/>
              <w14:textFill>
                <w14:solidFill>
                  <w14:schemeClr w14:val="tx1"/>
                </w14:solidFill>
              </w14:textFill>
            </w:rPr>
            <w:fldChar w:fldCharType="begin"/>
          </w:r>
          <w:r>
            <w:rPr>
              <w:rFonts w:cs="Times New Roman"/>
              <w:color w:val="000000" w:themeColor="text1"/>
              <w:szCs w:val="24"/>
              <w14:textFill>
                <w14:solidFill>
                  <w14:schemeClr w14:val="tx1"/>
                </w14:solidFill>
              </w14:textFill>
            </w:rPr>
            <w:instrText xml:space="preserve"> TOC \o "1-3" \h \z \u </w:instrText>
          </w:r>
          <w:r>
            <w:rPr>
              <w:rFonts w:cs="Times New Roman"/>
              <w:color w:val="000000" w:themeColor="text1"/>
              <w:szCs w:val="24"/>
              <w14:textFill>
                <w14:solidFill>
                  <w14:schemeClr w14:val="tx1"/>
                </w14:solidFill>
              </w14:textFill>
            </w:rPr>
            <w:fldChar w:fldCharType="separate"/>
          </w:r>
          <w:r>
            <w:fldChar w:fldCharType="begin"/>
          </w:r>
          <w:r>
            <w:instrText xml:space="preserve"> HYPERLINK \l "_Toc241218753" </w:instrText>
          </w:r>
          <w:r>
            <w:fldChar w:fldCharType="separate"/>
          </w:r>
          <w:r>
            <w:rPr>
              <w:rStyle w:val="16"/>
            </w:rPr>
            <w:t>Declaration</w:t>
          </w:r>
          <w:r>
            <w:tab/>
          </w:r>
          <w:r>
            <w:fldChar w:fldCharType="begin"/>
          </w:r>
          <w:r>
            <w:instrText xml:space="preserve"> PAGEREF _Toc241218753 \h </w:instrText>
          </w:r>
          <w:r>
            <w:fldChar w:fldCharType="separate"/>
          </w:r>
          <w:r>
            <w:t>2</w:t>
          </w:r>
          <w:r>
            <w:fldChar w:fldCharType="end"/>
          </w:r>
          <w:r>
            <w:fldChar w:fldCharType="end"/>
          </w:r>
        </w:p>
        <w:p w14:paraId="4AA2062B">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"_Toc241218754" </w:instrText>
          </w:r>
          <w:r>
            <w:fldChar w:fldCharType="separate"/>
          </w:r>
          <w:r>
            <w:rPr>
              <w:rStyle w:val="16"/>
              <w:lang w:val="en-AU"/>
            </w:rPr>
            <w:t>Acknowledgements</w:t>
          </w:r>
          <w:r>
            <w:tab/>
          </w:r>
          <w:r>
            <w:fldChar w:fldCharType="begin"/>
          </w:r>
          <w:r>
            <w:instrText xml:space="preserve"> PAGEREF _Toc241218754 \h </w:instrText>
          </w:r>
          <w:r>
            <w:fldChar w:fldCharType="separate"/>
          </w:r>
          <w:r>
            <w:t>3</w:t>
          </w:r>
          <w:r>
            <w:fldChar w:fldCharType="end"/>
          </w:r>
          <w:r>
            <w:fldChar w:fldCharType="end"/>
          </w:r>
        </w:p>
        <w:p w14:paraId="44D38440">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"_Toc241218755" </w:instrText>
          </w:r>
          <w:r>
            <w:fldChar w:fldCharType="separate"/>
          </w:r>
          <w:r>
            <w:rPr>
              <w:rStyle w:val="16"/>
            </w:rPr>
            <w:t>AI Acknowledgement</w:t>
          </w:r>
          <w:r>
            <w:tab/>
          </w:r>
          <w:r>
            <w:fldChar w:fldCharType="begin"/>
          </w:r>
          <w:r>
            <w:instrText xml:space="preserve"> PAGEREF _Toc241218755 \h </w:instrText>
          </w:r>
          <w:r>
            <w:fldChar w:fldCharType="separate"/>
          </w:r>
          <w:r>
            <w:t>4</w:t>
          </w:r>
          <w:r>
            <w:fldChar w:fldCharType="end"/>
          </w:r>
          <w:r>
            <w:fldChar w:fldCharType="end"/>
          </w:r>
        </w:p>
        <w:p w14:paraId="018562EC">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"_Toc241218756" </w:instrText>
          </w:r>
          <w:r>
            <w:fldChar w:fldCharType="separate"/>
          </w:r>
          <w:r>
            <w:rPr>
              <w:rStyle w:val="16"/>
            </w:rPr>
            <w:t>Abstract</w:t>
          </w:r>
          <w:r>
            <w:tab/>
          </w:r>
          <w:r>
            <w:fldChar w:fldCharType="begin"/>
          </w:r>
          <w:r>
            <w:instrText xml:space="preserve"> PAGEREF _Toc241218756 \h </w:instrText>
          </w:r>
          <w:r>
            <w:fldChar w:fldCharType="separate"/>
          </w:r>
          <w:r>
            <w:t>5</w:t>
          </w:r>
          <w:r>
            <w:fldChar w:fldCharType="end"/>
          </w:r>
          <w:r>
            <w:fldChar w:fldCharType="end"/>
          </w:r>
        </w:p>
        <w:p w14:paraId="753098C6">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"_Toc241218757" </w:instrText>
          </w:r>
          <w:r>
            <w:fldChar w:fldCharType="separate"/>
          </w:r>
          <w:r>
            <w:rPr>
              <w:rStyle w:val="16"/>
              <w:lang w:val="en-GB"/>
            </w:rPr>
            <w:t>Chapter 1: Introduction</w:t>
          </w:r>
          <w:r>
            <w:tab/>
          </w:r>
          <w:r>
            <w:fldChar w:fldCharType="begin"/>
          </w:r>
          <w:r>
            <w:instrText xml:space="preserve"> PAGEREF _Toc241218757 \h </w:instrText>
          </w:r>
          <w:r>
            <w:fldChar w:fldCharType="separate"/>
          </w:r>
          <w:r>
            <w:t>11</w:t>
          </w:r>
          <w:r>
            <w:fldChar w:fldCharType="end"/>
          </w:r>
          <w:r>
            <w:fldChar w:fldCharType="end"/>
          </w:r>
        </w:p>
        <w:p w14:paraId="6461E81A">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"_Toc241218758" </w:instrText>
          </w:r>
          <w:r>
            <w:fldChar w:fldCharType="separate"/>
          </w:r>
          <w:r>
            <w:rPr>
              <w:rStyle w:val="16"/>
              <w:lang w:val="en-GB"/>
            </w:rPr>
            <w:t>1.1 Research Background</w:t>
          </w:r>
          <w:r>
            <w:tab/>
          </w:r>
          <w:r>
            <w:fldChar w:fldCharType="begin"/>
          </w:r>
          <w:r>
            <w:instrText xml:space="preserve"> PAGEREF _Toc241218758 \h </w:instrText>
          </w:r>
          <w:r>
            <w:fldChar w:fldCharType="separate"/>
          </w:r>
          <w:r>
            <w:t>11</w:t>
          </w:r>
          <w:r>
            <w:fldChar w:fldCharType="end"/>
          </w:r>
          <w:r>
            <w:fldChar w:fldCharType="end"/>
          </w:r>
        </w:p>
        <w:p w14:paraId="1B1222B6">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"_Toc241218759" </w:instrText>
          </w:r>
          <w:r>
            <w:fldChar w:fldCharType="separate"/>
          </w:r>
          <w:r>
            <w:rPr>
              <w:rStyle w:val="16"/>
              <w:lang w:val="en-GB"/>
            </w:rPr>
            <w:t>1.2 Research rationale</w:t>
          </w:r>
          <w:r>
            <w:tab/>
          </w:r>
          <w:r>
            <w:fldChar w:fldCharType="begin"/>
          </w:r>
          <w:r>
            <w:instrText xml:space="preserve"> PAGEREF _Toc241218759 \h </w:instrText>
          </w:r>
          <w:r>
            <w:fldChar w:fldCharType="separate"/>
          </w:r>
          <w:r>
            <w:t>13</w:t>
          </w:r>
          <w:r>
            <w:fldChar w:fldCharType="end"/>
          </w:r>
          <w:r>
            <w:fldChar w:fldCharType="end"/>
          </w:r>
        </w:p>
        <w:p w14:paraId="21CA5DDC">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"_Toc241218760" </w:instrText>
          </w:r>
          <w:r>
            <w:fldChar w:fldCharType="separate"/>
          </w:r>
          <w:r>
            <w:rPr>
              <w:rStyle w:val="16"/>
              <w:lang w:val="en-GB"/>
            </w:rPr>
            <w:t>1.3 Problem Statement</w:t>
          </w:r>
          <w:r>
            <w:tab/>
          </w:r>
          <w:r>
            <w:fldChar w:fldCharType="begin"/>
          </w:r>
          <w:r>
            <w:instrText xml:space="preserve"> PAGEREF _Toc241218760 \h </w:instrText>
          </w:r>
          <w:r>
            <w:fldChar w:fldCharType="separate"/>
          </w:r>
          <w:r>
            <w:t>13</w:t>
          </w:r>
          <w:r>
            <w:fldChar w:fldCharType="end"/>
          </w:r>
          <w:r>
            <w:fldChar w:fldCharType="end"/>
          </w:r>
        </w:p>
        <w:p w14:paraId="6B7F8E2C">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"_Toc241218761" </w:instrText>
          </w:r>
          <w:r>
            <w:fldChar w:fldCharType="separate"/>
          </w:r>
          <w:r>
            <w:rPr>
              <w:rStyle w:val="16"/>
              <w:lang w:val="en-GB"/>
            </w:rPr>
            <w:t>1.4 Research aim, objectives, research questions</w:t>
          </w:r>
          <w:r>
            <w:tab/>
          </w:r>
          <w:r>
            <w:fldChar w:fldCharType="begin"/>
          </w:r>
          <w:r>
            <w:instrText xml:space="preserve"> PAGEREF _Toc241218761 \h </w:instrText>
          </w:r>
          <w:r>
            <w:fldChar w:fldCharType="separate"/>
          </w:r>
          <w:r>
            <w:t>14</w:t>
          </w:r>
          <w:r>
            <w:fldChar w:fldCharType="end"/>
          </w:r>
          <w:r>
            <w:fldChar w:fldCharType="end"/>
          </w:r>
        </w:p>
        <w:p w14:paraId="177E123E">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"_Toc241218762" </w:instrText>
          </w:r>
          <w:r>
            <w:fldChar w:fldCharType="separate"/>
          </w:r>
          <w:r>
            <w:rPr>
              <w:rStyle w:val="16"/>
              <w:lang w:val="en-GB"/>
            </w:rPr>
            <w:t>1.5 Research significance</w:t>
          </w:r>
          <w:r>
            <w:tab/>
          </w:r>
          <w:r>
            <w:fldChar w:fldCharType="begin"/>
          </w:r>
          <w:r>
            <w:instrText xml:space="preserve"> PAGEREF _Toc241218762 \h </w:instrText>
          </w:r>
          <w:r>
            <w:fldChar w:fldCharType="separate"/>
          </w:r>
          <w:r>
            <w:t>15</w:t>
          </w:r>
          <w:r>
            <w:fldChar w:fldCharType="end"/>
          </w:r>
          <w:r>
            <w:fldChar w:fldCharType="end"/>
          </w:r>
        </w:p>
        <w:p w14:paraId="5A8E897F">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"_Toc241218763" </w:instrText>
          </w:r>
          <w:r>
            <w:fldChar w:fldCharType="separate"/>
          </w:r>
          <w:r>
            <w:rPr>
              <w:rStyle w:val="16"/>
              <w:lang w:val="en-GB"/>
            </w:rPr>
            <w:t>1.6 Theoretical framework</w:t>
          </w:r>
          <w:r>
            <w:tab/>
          </w:r>
          <w:r>
            <w:fldChar w:fldCharType="begin"/>
          </w:r>
          <w:r>
            <w:instrText xml:space="preserve"> PAGEREF _Toc241218763 \h </w:instrText>
          </w:r>
          <w:r>
            <w:fldChar w:fldCharType="separate"/>
          </w:r>
          <w:r>
            <w:t>16</w:t>
          </w:r>
          <w:r>
            <w:fldChar w:fldCharType="end"/>
          </w:r>
          <w:r>
            <w:fldChar w:fldCharType="end"/>
          </w:r>
        </w:p>
        <w:p w14:paraId="293DB716">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"_Toc241218764" </w:instrText>
          </w:r>
          <w:r>
            <w:fldChar w:fldCharType="separate"/>
          </w:r>
          <w:r>
            <w:rPr>
              <w:rStyle w:val="16"/>
              <w:lang w:val="en-GB"/>
            </w:rPr>
            <w:t>1.7 Dissertation structure</w:t>
          </w:r>
          <w:r>
            <w:tab/>
          </w:r>
          <w:r>
            <w:fldChar w:fldCharType="begin"/>
          </w:r>
          <w:r>
            <w:instrText xml:space="preserve"> PAGEREF _Toc241218764 \h </w:instrText>
          </w:r>
          <w:r>
            <w:fldChar w:fldCharType="separate"/>
          </w:r>
          <w:r>
            <w:t>16</w:t>
          </w:r>
          <w:r>
            <w:fldChar w:fldCharType="end"/>
          </w:r>
          <w:r>
            <w:fldChar w:fldCharType="end"/>
          </w:r>
        </w:p>
        <w:p w14:paraId="3FA59AB0">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"_Toc241218765" </w:instrText>
          </w:r>
          <w:r>
            <w:fldChar w:fldCharType="separate"/>
          </w:r>
          <w:r>
            <w:rPr>
              <w:rStyle w:val="16"/>
            </w:rPr>
            <w:t>Chapter 2: Literature Review</w:t>
          </w:r>
          <w:r>
            <w:tab/>
          </w:r>
          <w:r>
            <w:fldChar w:fldCharType="begin"/>
          </w:r>
          <w:r>
            <w:instrText xml:space="preserve"> PAGEREF _Toc241218765 \h </w:instrText>
          </w:r>
          <w:r>
            <w:fldChar w:fldCharType="separate"/>
          </w:r>
          <w:r>
            <w:t>18</w:t>
          </w:r>
          <w:r>
            <w:fldChar w:fldCharType="end"/>
          </w:r>
          <w:r>
            <w:fldChar w:fldCharType="end"/>
          </w:r>
        </w:p>
        <w:p w14:paraId="4F2C27A8">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"_Toc241218766" </w:instrText>
          </w:r>
          <w:r>
            <w:fldChar w:fldCharType="separate"/>
          </w:r>
          <w:r>
            <w:rPr>
              <w:rStyle w:val="16"/>
            </w:rPr>
            <w:t>2.1 Introduction</w:t>
          </w:r>
          <w:r>
            <w:tab/>
          </w:r>
          <w:r>
            <w:fldChar w:fldCharType="begin"/>
          </w:r>
          <w:r>
            <w:instrText xml:space="preserve"> PAGEREF _Toc241218766 \h </w:instrText>
          </w:r>
          <w:r>
            <w:fldChar w:fldCharType="separate"/>
          </w:r>
          <w:r>
            <w:t>18</w:t>
          </w:r>
          <w:r>
            <w:fldChar w:fldCharType="end"/>
          </w:r>
          <w:r>
            <w:fldChar w:fldCharType="end"/>
          </w:r>
        </w:p>
        <w:p w14:paraId="6BFA2A13">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"_Toc241218767" </w:instrText>
          </w:r>
          <w:r>
            <w:fldChar w:fldCharType="separate"/>
          </w:r>
          <w:r>
            <w:rPr>
              <w:rStyle w:val="16"/>
            </w:rPr>
            <w:t>2.2 Trends of using EVs throughout the globe</w:t>
          </w:r>
          <w:r>
            <w:tab/>
          </w:r>
          <w:r>
            <w:fldChar w:fldCharType="begin"/>
          </w:r>
          <w:r>
            <w:instrText xml:space="preserve"> PAGEREF _Toc241218767 \h </w:instrText>
          </w:r>
          <w:r>
            <w:fldChar w:fldCharType="separate"/>
          </w:r>
          <w:r>
            <w:t>18</w:t>
          </w:r>
          <w:r>
            <w:fldChar w:fldCharType="end"/>
          </w:r>
          <w:r>
            <w:fldChar w:fldCharType="end"/>
          </w:r>
        </w:p>
        <w:p w14:paraId="772D1721">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"_Toc241218768" </w:instrText>
          </w:r>
          <w:r>
            <w:fldChar w:fldCharType="separate"/>
          </w:r>
          <w:r>
            <w:rPr>
              <w:rStyle w:val="16"/>
            </w:rPr>
            <w:t>2.3 Aligning theories and models</w:t>
          </w:r>
          <w:r>
            <w:tab/>
          </w:r>
          <w:r>
            <w:fldChar w:fldCharType="begin"/>
          </w:r>
          <w:r>
            <w:instrText xml:space="preserve"> PAGEREF _Toc241218768 \h </w:instrText>
          </w:r>
          <w:r>
            <w:fldChar w:fldCharType="separate"/>
          </w:r>
          <w:r>
            <w:t>19</w:t>
          </w:r>
          <w:r>
            <w:fldChar w:fldCharType="end"/>
          </w:r>
          <w:r>
            <w:fldChar w:fldCharType="end"/>
          </w:r>
        </w:p>
        <w:p w14:paraId="17DD537D">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"_Toc241218769" </w:instrText>
          </w:r>
          <w:r>
            <w:fldChar w:fldCharType="separate"/>
          </w:r>
          <w:r>
            <w:rPr>
              <w:rStyle w:val="16"/>
            </w:rPr>
            <w:t>2.4 Psychological and Behavioural Drivers of EV Acceptance</w:t>
          </w:r>
          <w:r>
            <w:tab/>
          </w:r>
          <w:r>
            <w:fldChar w:fldCharType="begin"/>
          </w:r>
          <w:r>
            <w:instrText xml:space="preserve"> PAGEREF _Toc241218769 \h </w:instrText>
          </w:r>
          <w:r>
            <w:fldChar w:fldCharType="separate"/>
          </w:r>
          <w:r>
            <w:t>20</w:t>
          </w:r>
          <w:r>
            <w:fldChar w:fldCharType="end"/>
          </w:r>
          <w:r>
            <w:fldChar w:fldCharType="end"/>
          </w:r>
        </w:p>
        <w:p w14:paraId="20D897B0">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"_Toc241218770" </w:instrText>
          </w:r>
          <w:r>
            <w:fldChar w:fldCharType="separate"/>
          </w:r>
          <w:r>
            <w:rPr>
              <w:rStyle w:val="16"/>
            </w:rPr>
            <w:t>2.5 Market Penetration Barriers and Structural Friction faced by Foreign Electric Vehicle Brands in India</w:t>
          </w:r>
          <w:r>
            <w:tab/>
          </w:r>
          <w:r>
            <w:fldChar w:fldCharType="begin"/>
          </w:r>
          <w:r>
            <w:instrText xml:space="preserve"> PAGEREF _Toc241218770 \h </w:instrText>
          </w:r>
          <w:r>
            <w:fldChar w:fldCharType="separate"/>
          </w:r>
          <w:r>
            <w:t>23</w:t>
          </w:r>
          <w:r>
            <w:fldChar w:fldCharType="end"/>
          </w:r>
          <w:r>
            <w:fldChar w:fldCharType="end"/>
          </w:r>
        </w:p>
        <w:p w14:paraId="303FF409">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"_Toc241218771" </w:instrText>
          </w:r>
          <w:r>
            <w:fldChar w:fldCharType="separate"/>
          </w:r>
          <w:r>
            <w:rPr>
              <w:rStyle w:val="16"/>
            </w:rPr>
            <w:t>2.6 Factors influencing Indian consumers’ acceptance of foreign electric vehicle brands</w:t>
          </w:r>
          <w:r>
            <w:tab/>
          </w:r>
          <w:r>
            <w:fldChar w:fldCharType="begin"/>
          </w:r>
          <w:r>
            <w:instrText xml:space="preserve"> PAGEREF _Toc241218771 \h </w:instrText>
          </w:r>
          <w:r>
            <w:fldChar w:fldCharType="separate"/>
          </w:r>
          <w:r>
            <w:t>24</w:t>
          </w:r>
          <w:r>
            <w:fldChar w:fldCharType="end"/>
          </w:r>
          <w:r>
            <w:fldChar w:fldCharType="end"/>
          </w:r>
        </w:p>
        <w:p w14:paraId="2081C07C">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"_Toc241218772" </w:instrText>
          </w:r>
          <w:r>
            <w:fldChar w:fldCharType="separate"/>
          </w:r>
          <w:r>
            <w:rPr>
              <w:rStyle w:val="16"/>
            </w:rPr>
            <w:t>2.7 The issues based on penetrating the Indian market by Foreign Electric Vehicle Brands</w:t>
          </w:r>
          <w:r>
            <w:tab/>
          </w:r>
          <w:r>
            <w:fldChar w:fldCharType="begin"/>
          </w:r>
          <w:r>
            <w:instrText xml:space="preserve"> PAGEREF _Toc241218772 \h </w:instrText>
          </w:r>
          <w:r>
            <w:fldChar w:fldCharType="separate"/>
          </w:r>
          <w:r>
            <w:t>27</w:t>
          </w:r>
          <w:r>
            <w:fldChar w:fldCharType="end"/>
          </w:r>
          <w:r>
            <w:fldChar w:fldCharType="end"/>
          </w:r>
        </w:p>
        <w:p w14:paraId="2CC205E7">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"_Toc241218773" </w:instrText>
          </w:r>
          <w:r>
            <w:fldChar w:fldCharType="separate"/>
          </w:r>
          <w:r>
            <w:rPr>
              <w:rStyle w:val="16"/>
            </w:rPr>
            <w:t>2.8 Reasons behind developing purchasing intentions for Foreign Electric Vehicle Brands in India</w:t>
          </w:r>
          <w:r>
            <w:tab/>
          </w:r>
          <w:r>
            <w:fldChar w:fldCharType="begin"/>
          </w:r>
          <w:r>
            <w:instrText xml:space="preserve"> PAGEREF _Toc241218773 \h </w:instrText>
          </w:r>
          <w:r>
            <w:fldChar w:fldCharType="separate"/>
          </w:r>
          <w:r>
            <w:t>28</w:t>
          </w:r>
          <w:r>
            <w:fldChar w:fldCharType="end"/>
          </w:r>
          <w:r>
            <w:fldChar w:fldCharType="end"/>
          </w:r>
        </w:p>
        <w:p w14:paraId="2A6932E1">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"_Toc241218774" </w:instrText>
          </w:r>
          <w:r>
            <w:fldChar w:fldCharType="separate"/>
          </w:r>
          <w:r>
            <w:rPr>
              <w:rStyle w:val="16"/>
              <w:lang w:val="en-GB"/>
            </w:rPr>
            <w:t>2.9 Literature gap</w:t>
          </w:r>
          <w:r>
            <w:tab/>
          </w:r>
          <w:r>
            <w:fldChar w:fldCharType="begin"/>
          </w:r>
          <w:r>
            <w:instrText xml:space="preserve"> PAGEREF _Toc241218774 \h </w:instrText>
          </w:r>
          <w:r>
            <w:fldChar w:fldCharType="separate"/>
          </w:r>
          <w:r>
            <w:t>31</w:t>
          </w:r>
          <w:r>
            <w:fldChar w:fldCharType="end"/>
          </w:r>
          <w:r>
            <w:fldChar w:fldCharType="end"/>
          </w:r>
        </w:p>
        <w:p w14:paraId="20D1B1EA">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"_Toc241218775" </w:instrText>
          </w:r>
          <w:r>
            <w:fldChar w:fldCharType="separate"/>
          </w:r>
          <w:r>
            <w:rPr>
              <w:rStyle w:val="16"/>
              <w:lang w:val="en-GB"/>
            </w:rPr>
            <w:t>2.10 Conceptual framework</w:t>
          </w:r>
          <w:r>
            <w:tab/>
          </w:r>
          <w:r>
            <w:fldChar w:fldCharType="begin"/>
          </w:r>
          <w:r>
            <w:instrText xml:space="preserve"> PAGEREF _Toc241218775 \h </w:instrText>
          </w:r>
          <w:r>
            <w:fldChar w:fldCharType="separate"/>
          </w:r>
          <w:r>
            <w:t>32</w:t>
          </w:r>
          <w:r>
            <w:fldChar w:fldCharType="end"/>
          </w:r>
          <w:r>
            <w:fldChar w:fldCharType="end"/>
          </w:r>
        </w:p>
        <w:p w14:paraId="27A31F1F">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"_Toc241218776" </w:instrText>
          </w:r>
          <w:r>
            <w:fldChar w:fldCharType="separate"/>
          </w:r>
          <w:r>
            <w:rPr>
              <w:rStyle w:val="16"/>
              <w:lang w:val="en-GB"/>
            </w:rPr>
            <w:t>2.11 Summary</w:t>
          </w:r>
          <w:r>
            <w:tab/>
          </w:r>
          <w:r>
            <w:fldChar w:fldCharType="begin"/>
          </w:r>
          <w:r>
            <w:instrText xml:space="preserve"> PAGEREF _Toc241218776 \h </w:instrText>
          </w:r>
          <w:r>
            <w:fldChar w:fldCharType="separate"/>
          </w:r>
          <w:r>
            <w:t>32</w:t>
          </w:r>
          <w:r>
            <w:fldChar w:fldCharType="end"/>
          </w:r>
          <w:r>
            <w:fldChar w:fldCharType="end"/>
          </w:r>
        </w:p>
        <w:p w14:paraId="37EDBC2F">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"_Toc241218777" </w:instrText>
          </w:r>
          <w:r>
            <w:fldChar w:fldCharType="separate"/>
          </w:r>
          <w:r>
            <w:rPr>
              <w:rStyle w:val="16"/>
              <w:lang w:val="en-GB"/>
            </w:rPr>
            <w:t>Chapter 3: Research Methodology</w:t>
          </w:r>
          <w:r>
            <w:tab/>
          </w:r>
          <w:r>
            <w:fldChar w:fldCharType="begin"/>
          </w:r>
          <w:r>
            <w:instrText xml:space="preserve"> PAGEREF _Toc241218777 \h </w:instrText>
          </w:r>
          <w:r>
            <w:fldChar w:fldCharType="separate"/>
          </w:r>
          <w:r>
            <w:t>34</w:t>
          </w:r>
          <w:r>
            <w:fldChar w:fldCharType="end"/>
          </w:r>
          <w:r>
            <w:fldChar w:fldCharType="end"/>
          </w:r>
        </w:p>
        <w:p w14:paraId="36591B56">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"_Toc241218778" </w:instrText>
          </w:r>
          <w:r>
            <w:fldChar w:fldCharType="separate"/>
          </w:r>
          <w:r>
            <w:rPr>
              <w:rStyle w:val="16"/>
              <w:lang w:val="en-GB"/>
            </w:rPr>
            <w:t>3.1 Chapter Introduction</w:t>
          </w:r>
          <w:r>
            <w:tab/>
          </w:r>
          <w:r>
            <w:fldChar w:fldCharType="begin"/>
          </w:r>
          <w:r>
            <w:instrText xml:space="preserve"> PAGEREF _Toc241218778 \h </w:instrText>
          </w:r>
          <w:r>
            <w:fldChar w:fldCharType="separate"/>
          </w:r>
          <w:r>
            <w:t>34</w:t>
          </w:r>
          <w:r>
            <w:fldChar w:fldCharType="end"/>
          </w:r>
          <w:r>
            <w:fldChar w:fldCharType="end"/>
          </w:r>
        </w:p>
        <w:p w14:paraId="137A77EE">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"_Toc241218779" </w:instrText>
          </w:r>
          <w:r>
            <w:fldChar w:fldCharType="separate"/>
          </w:r>
          <w:r>
            <w:rPr>
              <w:rStyle w:val="16"/>
              <w:lang w:val="en-GB"/>
            </w:rPr>
            <w:t>3.2 Research Philosophy</w:t>
          </w:r>
          <w:r>
            <w:tab/>
          </w:r>
          <w:r>
            <w:fldChar w:fldCharType="begin"/>
          </w:r>
          <w:r>
            <w:instrText xml:space="preserve"> PAGEREF _Toc241218779 \h </w:instrText>
          </w:r>
          <w:r>
            <w:fldChar w:fldCharType="separate"/>
          </w:r>
          <w:r>
            <w:t>34</w:t>
          </w:r>
          <w:r>
            <w:fldChar w:fldCharType="end"/>
          </w:r>
          <w:r>
            <w:fldChar w:fldCharType="end"/>
          </w:r>
        </w:p>
        <w:p w14:paraId="5C579617">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"_Toc241218780" </w:instrText>
          </w:r>
          <w:r>
            <w:fldChar w:fldCharType="separate"/>
          </w:r>
          <w:r>
            <w:rPr>
              <w:rStyle w:val="16"/>
              <w:lang w:val="en-GB"/>
            </w:rPr>
            <w:t>3.3 Research Approach</w:t>
          </w:r>
          <w:r>
            <w:tab/>
          </w:r>
          <w:r>
            <w:fldChar w:fldCharType="begin"/>
          </w:r>
          <w:r>
            <w:instrText xml:space="preserve"> PAGEREF _Toc241218780 \h </w:instrText>
          </w:r>
          <w:r>
            <w:fldChar w:fldCharType="separate"/>
          </w:r>
          <w:r>
            <w:t>35</w:t>
          </w:r>
          <w:r>
            <w:fldChar w:fldCharType="end"/>
          </w:r>
          <w:r>
            <w:fldChar w:fldCharType="end"/>
          </w:r>
        </w:p>
        <w:p w14:paraId="2725C5C7">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"_Toc241218781" </w:instrText>
          </w:r>
          <w:r>
            <w:fldChar w:fldCharType="separate"/>
          </w:r>
          <w:r>
            <w:rPr>
              <w:rStyle w:val="16"/>
              <w:lang w:val="en-GB"/>
            </w:rPr>
            <w:t>3.4 Research Strategy</w:t>
          </w:r>
          <w:r>
            <w:tab/>
          </w:r>
          <w:r>
            <w:fldChar w:fldCharType="begin"/>
          </w:r>
          <w:r>
            <w:instrText xml:space="preserve"> PAGEREF _Toc241218781 \h </w:instrText>
          </w:r>
          <w:r>
            <w:fldChar w:fldCharType="separate"/>
          </w:r>
          <w:r>
            <w:t>36</w:t>
          </w:r>
          <w:r>
            <w:fldChar w:fldCharType="end"/>
          </w:r>
          <w:r>
            <w:fldChar w:fldCharType="end"/>
          </w:r>
        </w:p>
        <w:p w14:paraId="6F211977">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"_Toc241218782" </w:instrText>
          </w:r>
          <w:r>
            <w:fldChar w:fldCharType="separate"/>
          </w:r>
          <w:r>
            <w:rPr>
              <w:rStyle w:val="16"/>
              <w:lang w:val="en-GB"/>
            </w:rPr>
            <w:t>3.5 Source Selection</w:t>
          </w:r>
          <w:r>
            <w:tab/>
          </w:r>
          <w:r>
            <w:fldChar w:fldCharType="begin"/>
          </w:r>
          <w:r>
            <w:instrText xml:space="preserve"> PAGEREF _Toc241218782 \h </w:instrText>
          </w:r>
          <w:r>
            <w:fldChar w:fldCharType="separate"/>
          </w:r>
          <w:r>
            <w:t>36</w:t>
          </w:r>
          <w:r>
            <w:fldChar w:fldCharType="end"/>
          </w:r>
          <w:r>
            <w:fldChar w:fldCharType="end"/>
          </w:r>
        </w:p>
        <w:p w14:paraId="63DAD095">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"_Toc241218783" </w:instrText>
          </w:r>
          <w:r>
            <w:fldChar w:fldCharType="separate"/>
          </w:r>
          <w:r>
            <w:rPr>
              <w:rStyle w:val="16"/>
              <w:lang w:val="en-GB"/>
            </w:rPr>
            <w:t>3.6 Data Collection Method</w:t>
          </w:r>
          <w:r>
            <w:tab/>
          </w:r>
          <w:r>
            <w:fldChar w:fldCharType="begin"/>
          </w:r>
          <w:r>
            <w:instrText xml:space="preserve"> PAGEREF _Toc241218783 \h </w:instrText>
          </w:r>
          <w:r>
            <w:fldChar w:fldCharType="separate"/>
          </w:r>
          <w:r>
            <w:t>37</w:t>
          </w:r>
          <w:r>
            <w:fldChar w:fldCharType="end"/>
          </w:r>
          <w:r>
            <w:fldChar w:fldCharType="end"/>
          </w:r>
        </w:p>
        <w:p w14:paraId="5C80C2C3">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"_Toc241218784" </w:instrText>
          </w:r>
          <w:r>
            <w:fldChar w:fldCharType="separate"/>
          </w:r>
          <w:r>
            <w:rPr>
              <w:rStyle w:val="16"/>
              <w:lang w:val="en-GB"/>
            </w:rPr>
            <w:t>3.7 Sampling Technique</w:t>
          </w:r>
          <w:r>
            <w:tab/>
          </w:r>
          <w:r>
            <w:fldChar w:fldCharType="begin"/>
          </w:r>
          <w:r>
            <w:instrText xml:space="preserve"> PAGEREF _Toc241218784 \h </w:instrText>
          </w:r>
          <w:r>
            <w:fldChar w:fldCharType="separate"/>
          </w:r>
          <w:r>
            <w:t>38</w:t>
          </w:r>
          <w:r>
            <w:fldChar w:fldCharType="end"/>
          </w:r>
          <w:r>
            <w:fldChar w:fldCharType="end"/>
          </w:r>
        </w:p>
        <w:p w14:paraId="52BC9C7D">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"_Toc241218785" </w:instrText>
          </w:r>
          <w:r>
            <w:fldChar w:fldCharType="separate"/>
          </w:r>
          <w:r>
            <w:rPr>
              <w:rStyle w:val="16"/>
              <w:lang w:val="en-GB"/>
            </w:rPr>
            <w:t>3.8 Data Analysis</w:t>
          </w:r>
          <w:r>
            <w:tab/>
          </w:r>
          <w:r>
            <w:fldChar w:fldCharType="begin"/>
          </w:r>
          <w:r>
            <w:instrText xml:space="preserve"> PAGEREF _Toc241218785 \h </w:instrText>
          </w:r>
          <w:r>
            <w:fldChar w:fldCharType="separate"/>
          </w:r>
          <w:r>
            <w:t>38</w:t>
          </w:r>
          <w:r>
            <w:fldChar w:fldCharType="end"/>
          </w:r>
          <w:r>
            <w:fldChar w:fldCharType="end"/>
          </w:r>
        </w:p>
        <w:p w14:paraId="28CC4599">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"_Toc241218786" </w:instrText>
          </w:r>
          <w:r>
            <w:fldChar w:fldCharType="separate"/>
          </w:r>
          <w:r>
            <w:rPr>
              <w:rStyle w:val="16"/>
              <w:lang w:val="en-GB"/>
            </w:rPr>
            <w:t>3.9 Ethical Considerations</w:t>
          </w:r>
          <w:r>
            <w:tab/>
          </w:r>
          <w:r>
            <w:fldChar w:fldCharType="begin"/>
          </w:r>
          <w:r>
            <w:instrText xml:space="preserve"> PAGEREF _Toc241218786 \h </w:instrText>
          </w:r>
          <w:r>
            <w:fldChar w:fldCharType="separate"/>
          </w:r>
          <w:r>
            <w:t>39</w:t>
          </w:r>
          <w:r>
            <w:fldChar w:fldCharType="end"/>
          </w:r>
          <w:r>
            <w:fldChar w:fldCharType="end"/>
          </w:r>
        </w:p>
        <w:p w14:paraId="3F96BE6C">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"_Toc241218787" </w:instrText>
          </w:r>
          <w:r>
            <w:fldChar w:fldCharType="separate"/>
          </w:r>
          <w:r>
            <w:rPr>
              <w:rStyle w:val="16"/>
              <w:lang w:val="en-GB"/>
            </w:rPr>
            <w:t>3.10 Methodological Limitation</w:t>
          </w:r>
          <w:r>
            <w:tab/>
          </w:r>
          <w:r>
            <w:fldChar w:fldCharType="begin"/>
          </w:r>
          <w:r>
            <w:instrText xml:space="preserve"> PAGEREF _Toc241218787 \h </w:instrText>
          </w:r>
          <w:r>
            <w:fldChar w:fldCharType="separate"/>
          </w:r>
          <w:r>
            <w:t>39</w:t>
          </w:r>
          <w:r>
            <w:fldChar w:fldCharType="end"/>
          </w:r>
          <w:r>
            <w:fldChar w:fldCharType="end"/>
          </w:r>
        </w:p>
        <w:p w14:paraId="151405C9">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"_Toc241218788" </w:instrText>
          </w:r>
          <w:r>
            <w:fldChar w:fldCharType="separate"/>
          </w:r>
          <w:r>
            <w:rPr>
              <w:rStyle w:val="16"/>
              <w:lang w:val="en-GB"/>
            </w:rPr>
            <w:t>3.11 Chapter Summary</w:t>
          </w:r>
          <w:r>
            <w:tab/>
          </w:r>
          <w:r>
            <w:fldChar w:fldCharType="begin"/>
          </w:r>
          <w:r>
            <w:instrText xml:space="preserve"> PAGEREF _Toc241218788 \h </w:instrText>
          </w:r>
          <w:r>
            <w:fldChar w:fldCharType="separate"/>
          </w:r>
          <w:r>
            <w:t>40</w:t>
          </w:r>
          <w:r>
            <w:fldChar w:fldCharType="end"/>
          </w:r>
          <w:r>
            <w:fldChar w:fldCharType="end"/>
          </w:r>
        </w:p>
        <w:p w14:paraId="3C2EAD9C">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"_Toc241218789" </w:instrText>
          </w:r>
          <w:r>
            <w:fldChar w:fldCharType="separate"/>
          </w:r>
          <w:r>
            <w:rPr>
              <w:rStyle w:val="16"/>
            </w:rPr>
            <w:t>Chapter 4: Findings and analysis</w:t>
          </w:r>
          <w:r>
            <w:tab/>
          </w:r>
          <w:r>
            <w:fldChar w:fldCharType="begin"/>
          </w:r>
          <w:r>
            <w:instrText xml:space="preserve"> PAGEREF _Toc241218789 \h </w:instrText>
          </w:r>
          <w:r>
            <w:fldChar w:fldCharType="separate"/>
          </w:r>
          <w:r>
            <w:t>41</w:t>
          </w:r>
          <w:r>
            <w:fldChar w:fldCharType="end"/>
          </w:r>
          <w:r>
            <w:fldChar w:fldCharType="end"/>
          </w:r>
        </w:p>
        <w:p w14:paraId="65C71F59">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"_Toc241218790" </w:instrText>
          </w:r>
          <w:r>
            <w:fldChar w:fldCharType="separate"/>
          </w:r>
          <w:r>
            <w:rPr>
              <w:rStyle w:val="16"/>
            </w:rPr>
            <w:t>4.1 Introduction</w:t>
          </w:r>
          <w:r>
            <w:tab/>
          </w:r>
          <w:r>
            <w:fldChar w:fldCharType="begin"/>
          </w:r>
          <w:r>
            <w:instrText xml:space="preserve"> PAGEREF _Toc241218790 \h </w:instrText>
          </w:r>
          <w:r>
            <w:fldChar w:fldCharType="separate"/>
          </w:r>
          <w:r>
            <w:t>41</w:t>
          </w:r>
          <w:r>
            <w:fldChar w:fldCharType="end"/>
          </w:r>
          <w:r>
            <w:fldChar w:fldCharType="end"/>
          </w:r>
        </w:p>
        <w:p w14:paraId="230A85D5">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"_Toc241218791" </w:instrText>
          </w:r>
          <w:r>
            <w:fldChar w:fldCharType="separate"/>
          </w:r>
          <w:r>
            <w:rPr>
              <w:rStyle w:val="16"/>
            </w:rPr>
            <w:t>4.2 Sources used</w:t>
          </w:r>
          <w:r>
            <w:tab/>
          </w:r>
          <w:r>
            <w:fldChar w:fldCharType="begin"/>
          </w:r>
          <w:r>
            <w:instrText xml:space="preserve"> PAGEREF _Toc241218791 \h </w:instrText>
          </w:r>
          <w:r>
            <w:fldChar w:fldCharType="separate"/>
          </w:r>
          <w:r>
            <w:t>41</w:t>
          </w:r>
          <w:r>
            <w:fldChar w:fldCharType="end"/>
          </w:r>
          <w:r>
            <w:fldChar w:fldCharType="end"/>
          </w:r>
        </w:p>
        <w:p w14:paraId="65BCF074">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"_Toc241218792" </w:instrText>
          </w:r>
          <w:r>
            <w:fldChar w:fldCharType="separate"/>
          </w:r>
          <w:r>
            <w:rPr>
              <w:rStyle w:val="16"/>
            </w:rPr>
            <w:t>4.3 Development of source statements and initial codes</w:t>
          </w:r>
          <w:r>
            <w:tab/>
          </w:r>
          <w:r>
            <w:fldChar w:fldCharType="begin"/>
          </w:r>
          <w:r>
            <w:instrText xml:space="preserve"> PAGEREF _Toc241218792 \h </w:instrText>
          </w:r>
          <w:r>
            <w:fldChar w:fldCharType="separate"/>
          </w:r>
          <w:r>
            <w:t>41</w:t>
          </w:r>
          <w:r>
            <w:fldChar w:fldCharType="end"/>
          </w:r>
          <w:r>
            <w:fldChar w:fldCharType="end"/>
          </w:r>
        </w:p>
        <w:p w14:paraId="1C617533">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"_Toc241218793" </w:instrText>
          </w:r>
          <w:r>
            <w:fldChar w:fldCharType="separate"/>
          </w:r>
          <w:r>
            <w:rPr>
              <w:rStyle w:val="16"/>
            </w:rPr>
            <w:t>4.4 Development of categories</w:t>
          </w:r>
          <w:r>
            <w:tab/>
          </w:r>
          <w:r>
            <w:fldChar w:fldCharType="begin"/>
          </w:r>
          <w:r>
            <w:instrText xml:space="preserve"> PAGEREF _Toc241218793 \h </w:instrText>
          </w:r>
          <w:r>
            <w:fldChar w:fldCharType="separate"/>
          </w:r>
          <w:r>
            <w:t>44</w:t>
          </w:r>
          <w:r>
            <w:fldChar w:fldCharType="end"/>
          </w:r>
          <w:r>
            <w:fldChar w:fldCharType="end"/>
          </w:r>
        </w:p>
        <w:p w14:paraId="61D9DDF2">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"_Toc241218794" </w:instrText>
          </w:r>
          <w:r>
            <w:fldChar w:fldCharType="separate"/>
          </w:r>
          <w:r>
            <w:rPr>
              <w:rStyle w:val="16"/>
            </w:rPr>
            <w:t>4.5 Development of subthemes and themes</w:t>
          </w:r>
          <w:r>
            <w:tab/>
          </w:r>
          <w:r>
            <w:fldChar w:fldCharType="begin"/>
          </w:r>
          <w:r>
            <w:instrText xml:space="preserve"> PAGEREF _Toc241218794 \h </w:instrText>
          </w:r>
          <w:r>
            <w:fldChar w:fldCharType="separate"/>
          </w:r>
          <w:r>
            <w:t>46</w:t>
          </w:r>
          <w:r>
            <w:fldChar w:fldCharType="end"/>
          </w:r>
          <w:r>
            <w:fldChar w:fldCharType="end"/>
          </w:r>
        </w:p>
        <w:p w14:paraId="7E24847F">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"_Toc241218795" </w:instrText>
          </w:r>
          <w:r>
            <w:fldChar w:fldCharType="separate"/>
          </w:r>
          <w:r>
            <w:rPr>
              <w:rStyle w:val="16"/>
            </w:rPr>
            <w:t>4.6 Theme frequency findings</w:t>
          </w:r>
          <w:r>
            <w:tab/>
          </w:r>
          <w:r>
            <w:fldChar w:fldCharType="begin"/>
          </w:r>
          <w:r>
            <w:instrText xml:space="preserve"> PAGEREF _Toc241218795 \h </w:instrText>
          </w:r>
          <w:r>
            <w:fldChar w:fldCharType="separate"/>
          </w:r>
          <w:r>
            <w:t>47</w:t>
          </w:r>
          <w:r>
            <w:fldChar w:fldCharType="end"/>
          </w:r>
          <w:r>
            <w:fldChar w:fldCharType="end"/>
          </w:r>
        </w:p>
        <w:p w14:paraId="59FBF871">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"_Toc241218796" </w:instrText>
          </w:r>
          <w:r>
            <w:fldChar w:fldCharType="separate"/>
          </w:r>
          <w:r>
            <w:rPr>
              <w:rStyle w:val="16"/>
            </w:rPr>
            <w:t>4.7 Source classification</w:t>
          </w:r>
          <w:r>
            <w:tab/>
          </w:r>
          <w:r>
            <w:fldChar w:fldCharType="begin"/>
          </w:r>
          <w:r>
            <w:instrText xml:space="preserve"> PAGEREF _Toc241218796 \h </w:instrText>
          </w:r>
          <w:r>
            <w:fldChar w:fldCharType="separate"/>
          </w:r>
          <w:r>
            <w:t>48</w:t>
          </w:r>
          <w:r>
            <w:fldChar w:fldCharType="end"/>
          </w:r>
          <w:r>
            <w:fldChar w:fldCharType="end"/>
          </w:r>
        </w:p>
        <w:p w14:paraId="3276EE14">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"_Toc241218797" </w:instrText>
          </w:r>
          <w:r>
            <w:fldChar w:fldCharType="separate"/>
          </w:r>
          <w:r>
            <w:rPr>
              <w:rStyle w:val="16"/>
            </w:rPr>
            <w:t>4.8 Mapping the sources with themes</w:t>
          </w:r>
          <w:r>
            <w:tab/>
          </w:r>
          <w:r>
            <w:fldChar w:fldCharType="begin"/>
          </w:r>
          <w:r>
            <w:instrText xml:space="preserve"> PAGEREF _Toc241218797 \h </w:instrText>
          </w:r>
          <w:r>
            <w:fldChar w:fldCharType="separate"/>
          </w:r>
          <w:r>
            <w:t>49</w:t>
          </w:r>
          <w:r>
            <w:fldChar w:fldCharType="end"/>
          </w:r>
          <w:r>
            <w:fldChar w:fldCharType="end"/>
          </w:r>
        </w:p>
        <w:p w14:paraId="179845BE">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"_Toc241218798" </w:instrText>
          </w:r>
          <w:r>
            <w:fldChar w:fldCharType="separate"/>
          </w:r>
          <w:r>
            <w:rPr>
              <w:rStyle w:val="16"/>
            </w:rPr>
            <w:t>4.9 Thematic tree</w:t>
          </w:r>
          <w:r>
            <w:tab/>
          </w:r>
          <w:r>
            <w:fldChar w:fldCharType="begin"/>
          </w:r>
          <w:r>
            <w:instrText xml:space="preserve"> PAGEREF _Toc241218798 \h </w:instrText>
          </w:r>
          <w:r>
            <w:fldChar w:fldCharType="separate"/>
          </w:r>
          <w:r>
            <w:t>51</w:t>
          </w:r>
          <w:r>
            <w:fldChar w:fldCharType="end"/>
          </w:r>
          <w:r>
            <w:fldChar w:fldCharType="end"/>
          </w:r>
        </w:p>
        <w:p w14:paraId="47B840A5">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"_Toc241218799" </w:instrText>
          </w:r>
          <w:r>
            <w:fldChar w:fldCharType="separate"/>
          </w:r>
          <w:r>
            <w:rPr>
              <w:rStyle w:val="16"/>
            </w:rPr>
            <w:t>4.10 Thematic analysis</w:t>
          </w:r>
          <w:r>
            <w:tab/>
          </w:r>
          <w:r>
            <w:fldChar w:fldCharType="begin"/>
          </w:r>
          <w:r>
            <w:instrText xml:space="preserve"> PAGEREF _Toc241218799 \h </w:instrText>
          </w:r>
          <w:r>
            <w:fldChar w:fldCharType="separate"/>
          </w:r>
          <w:r>
            <w:t>52</w:t>
          </w:r>
          <w:r>
            <w:fldChar w:fldCharType="end"/>
          </w:r>
          <w:r>
            <w:fldChar w:fldCharType="end"/>
          </w:r>
        </w:p>
        <w:p w14:paraId="0294E3BF">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"_Toc241218800" </w:instrText>
          </w:r>
          <w:r>
            <w:fldChar w:fldCharType="separate"/>
          </w:r>
          <w:r>
            <w:rPr>
              <w:rStyle w:val="16"/>
            </w:rPr>
            <w:t>4.11 Summary</w:t>
          </w:r>
          <w:r>
            <w:tab/>
          </w:r>
          <w:r>
            <w:fldChar w:fldCharType="begin"/>
          </w:r>
          <w:r>
            <w:instrText xml:space="preserve"> PAGEREF _Toc241218800 \h </w:instrText>
          </w:r>
          <w:r>
            <w:fldChar w:fldCharType="separate"/>
          </w:r>
          <w:r>
            <w:t>54</w:t>
          </w:r>
          <w:r>
            <w:fldChar w:fldCharType="end"/>
          </w:r>
          <w:r>
            <w:fldChar w:fldCharType="end"/>
          </w:r>
        </w:p>
        <w:p w14:paraId="24F1B5C9">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"_Toc241218801" </w:instrText>
          </w:r>
          <w:r>
            <w:fldChar w:fldCharType="separate"/>
          </w:r>
          <w:r>
            <w:rPr>
              <w:rStyle w:val="16"/>
              <w:lang w:val="en-GB"/>
            </w:rPr>
            <w:t>Chapter 5: Discussion</w:t>
          </w:r>
          <w:r>
            <w:tab/>
          </w:r>
          <w:r>
            <w:fldChar w:fldCharType="begin"/>
          </w:r>
          <w:r>
            <w:instrText xml:space="preserve"> PAGEREF _Toc241218801 \h </w:instrText>
          </w:r>
          <w:r>
            <w:fldChar w:fldCharType="separate"/>
          </w:r>
          <w:r>
            <w:t>55</w:t>
          </w:r>
          <w:r>
            <w:fldChar w:fldCharType="end"/>
          </w:r>
          <w:r>
            <w:fldChar w:fldCharType="end"/>
          </w:r>
        </w:p>
        <w:p w14:paraId="67D7979E">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"_Toc241218802" </w:instrText>
          </w:r>
          <w:r>
            <w:fldChar w:fldCharType="separate"/>
          </w:r>
          <w:r>
            <w:rPr>
              <w:rStyle w:val="16"/>
              <w:lang w:val="en-GB"/>
            </w:rPr>
            <w:t>5.1 Chapter introduction</w:t>
          </w:r>
          <w:r>
            <w:tab/>
          </w:r>
          <w:r>
            <w:fldChar w:fldCharType="begin"/>
          </w:r>
          <w:r>
            <w:instrText xml:space="preserve"> PAGEREF _Toc241218802 \h </w:instrText>
          </w:r>
          <w:r>
            <w:fldChar w:fldCharType="separate"/>
          </w:r>
          <w:r>
            <w:t>55</w:t>
          </w:r>
          <w:r>
            <w:fldChar w:fldCharType="end"/>
          </w:r>
          <w:r>
            <w:fldChar w:fldCharType="end"/>
          </w:r>
        </w:p>
        <w:p w14:paraId="54E070B3">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"_Toc241218803" </w:instrText>
          </w:r>
          <w:r>
            <w:fldChar w:fldCharType="separate"/>
          </w:r>
          <w:r>
            <w:rPr>
              <w:rStyle w:val="16"/>
              <w:lang w:val="en-GB"/>
            </w:rPr>
            <w:t>5.2 Summarise the key findings</w:t>
          </w:r>
          <w:r>
            <w:tab/>
          </w:r>
          <w:r>
            <w:fldChar w:fldCharType="begin"/>
          </w:r>
          <w:r>
            <w:instrText xml:space="preserve"> PAGEREF _Toc241218803 \h </w:instrText>
          </w:r>
          <w:r>
            <w:fldChar w:fldCharType="separate"/>
          </w:r>
          <w:r>
            <w:t>55</w:t>
          </w:r>
          <w:r>
            <w:fldChar w:fldCharType="end"/>
          </w:r>
          <w:r>
            <w:fldChar w:fldCharType="end"/>
          </w:r>
        </w:p>
        <w:p w14:paraId="415056DF">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"_Toc241218804" </w:instrText>
          </w:r>
          <w:r>
            <w:fldChar w:fldCharType="separate"/>
          </w:r>
          <w:r>
            <w:rPr>
              <w:rStyle w:val="16"/>
              <w:lang w:val="en-GB"/>
            </w:rPr>
            <w:t>5.3 Discussion of themes</w:t>
          </w:r>
          <w:r>
            <w:tab/>
          </w:r>
          <w:r>
            <w:fldChar w:fldCharType="begin"/>
          </w:r>
          <w:r>
            <w:instrText xml:space="preserve"> PAGEREF _Toc241218804 \h </w:instrText>
          </w:r>
          <w:r>
            <w:fldChar w:fldCharType="separate"/>
          </w:r>
          <w:r>
            <w:t>56</w:t>
          </w:r>
          <w:r>
            <w:fldChar w:fldCharType="end"/>
          </w:r>
          <w:r>
            <w:fldChar w:fldCharType="end"/>
          </w:r>
        </w:p>
        <w:p w14:paraId="42218CAB">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"_Toc241218805" </w:instrText>
          </w:r>
          <w:r>
            <w:fldChar w:fldCharType="separate"/>
          </w:r>
          <w:r>
            <w:rPr>
              <w:rStyle w:val="16"/>
              <w:lang w:val="en-GB"/>
            </w:rPr>
            <w:t>5.4 Linking with literature review</w:t>
          </w:r>
          <w:r>
            <w:tab/>
          </w:r>
          <w:r>
            <w:fldChar w:fldCharType="begin"/>
          </w:r>
          <w:r>
            <w:instrText xml:space="preserve"> PAGEREF _Toc241218805 \h </w:instrText>
          </w:r>
          <w:r>
            <w:fldChar w:fldCharType="separate"/>
          </w:r>
          <w:r>
            <w:t>59</w:t>
          </w:r>
          <w:r>
            <w:fldChar w:fldCharType="end"/>
          </w:r>
          <w:r>
            <w:fldChar w:fldCharType="end"/>
          </w:r>
        </w:p>
        <w:p w14:paraId="1C1E45EE">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"_Toc241218806" </w:instrText>
          </w:r>
          <w:r>
            <w:fldChar w:fldCharType="separate"/>
          </w:r>
          <w:r>
            <w:rPr>
              <w:rStyle w:val="16"/>
              <w:lang w:val="en-GB"/>
            </w:rPr>
            <w:t>5.5 Data Interpretation</w:t>
          </w:r>
          <w:r>
            <w:tab/>
          </w:r>
          <w:r>
            <w:fldChar w:fldCharType="begin"/>
          </w:r>
          <w:r>
            <w:instrText xml:space="preserve"> PAGEREF _Toc241218806 \h </w:instrText>
          </w:r>
          <w:r>
            <w:fldChar w:fldCharType="separate"/>
          </w:r>
          <w:r>
            <w:t>60</w:t>
          </w:r>
          <w:r>
            <w:fldChar w:fldCharType="end"/>
          </w:r>
          <w:r>
            <w:fldChar w:fldCharType="end"/>
          </w:r>
        </w:p>
        <w:p w14:paraId="506D6BB7">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"_Toc241218807" </w:instrText>
          </w:r>
          <w:r>
            <w:fldChar w:fldCharType="separate"/>
          </w:r>
          <w:r>
            <w:rPr>
              <w:rStyle w:val="16"/>
              <w:lang w:val="en-GB"/>
            </w:rPr>
            <w:t>5.6 Limitations of findings</w:t>
          </w:r>
          <w:r>
            <w:tab/>
          </w:r>
          <w:r>
            <w:fldChar w:fldCharType="begin"/>
          </w:r>
          <w:r>
            <w:instrText xml:space="preserve"> PAGEREF _Toc241218807 \h </w:instrText>
          </w:r>
          <w:r>
            <w:fldChar w:fldCharType="separate"/>
          </w:r>
          <w:r>
            <w:t>62</w:t>
          </w:r>
          <w:r>
            <w:fldChar w:fldCharType="end"/>
          </w:r>
          <w:r>
            <w:fldChar w:fldCharType="end"/>
          </w:r>
        </w:p>
        <w:p w14:paraId="10CA246C">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"_Toc241218808" </w:instrText>
          </w:r>
          <w:r>
            <w:fldChar w:fldCharType="separate"/>
          </w:r>
          <w:r>
            <w:rPr>
              <w:rStyle w:val="16"/>
              <w:lang w:val="en-GB"/>
            </w:rPr>
            <w:t>5.7 Chapter summary</w:t>
          </w:r>
          <w:r>
            <w:tab/>
          </w:r>
          <w:r>
            <w:fldChar w:fldCharType="begin"/>
          </w:r>
          <w:r>
            <w:instrText xml:space="preserve"> PAGEREF _Toc241218808 \h </w:instrText>
          </w:r>
          <w:r>
            <w:fldChar w:fldCharType="separate"/>
          </w:r>
          <w:r>
            <w:t>62</w:t>
          </w:r>
          <w:r>
            <w:fldChar w:fldCharType="end"/>
          </w:r>
          <w:r>
            <w:fldChar w:fldCharType="end"/>
          </w:r>
        </w:p>
        <w:p w14:paraId="35E40E04">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"_Toc241218809" </w:instrText>
          </w:r>
          <w:r>
            <w:fldChar w:fldCharType="separate"/>
          </w:r>
          <w:r>
            <w:rPr>
              <w:rStyle w:val="16"/>
            </w:rPr>
            <w:t>Chapter 6: Conclusion</w:t>
          </w:r>
          <w:r>
            <w:tab/>
          </w:r>
          <w:r>
            <w:fldChar w:fldCharType="begin"/>
          </w:r>
          <w:r>
            <w:instrText xml:space="preserve"> PAGEREF _Toc241218809 \h </w:instrText>
          </w:r>
          <w:r>
            <w:fldChar w:fldCharType="separate"/>
          </w:r>
          <w:r>
            <w:t>64</w:t>
          </w:r>
          <w:r>
            <w:fldChar w:fldCharType="end"/>
          </w:r>
          <w:r>
            <w:fldChar w:fldCharType="end"/>
          </w:r>
        </w:p>
        <w:p w14:paraId="08FA6D93">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"_Toc241218810" </w:instrText>
          </w:r>
          <w:r>
            <w:fldChar w:fldCharType="separate"/>
          </w:r>
          <w:r>
            <w:rPr>
              <w:rStyle w:val="16"/>
            </w:rPr>
            <w:t>6.1 Concise summary of the key findings</w:t>
          </w:r>
          <w:r>
            <w:tab/>
          </w:r>
          <w:r>
            <w:fldChar w:fldCharType="begin"/>
          </w:r>
          <w:r>
            <w:instrText xml:space="preserve"> PAGEREF _Toc241218810 \h </w:instrText>
          </w:r>
          <w:r>
            <w:fldChar w:fldCharType="separate"/>
          </w:r>
          <w:r>
            <w:t>64</w:t>
          </w:r>
          <w:r>
            <w:fldChar w:fldCharType="end"/>
          </w:r>
          <w:r>
            <w:fldChar w:fldCharType="end"/>
          </w:r>
        </w:p>
        <w:p w14:paraId="0A4A43C6">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"_Toc241218811" </w:instrText>
          </w:r>
          <w:r>
            <w:fldChar w:fldCharType="separate"/>
          </w:r>
          <w:r>
            <w:rPr>
              <w:rStyle w:val="16"/>
            </w:rPr>
            <w:t>6.2 Linking with objectives</w:t>
          </w:r>
          <w:r>
            <w:tab/>
          </w:r>
          <w:r>
            <w:fldChar w:fldCharType="begin"/>
          </w:r>
          <w:r>
            <w:instrText xml:space="preserve"> PAGEREF _Toc241218811 \h </w:instrText>
          </w:r>
          <w:r>
            <w:fldChar w:fldCharType="separate"/>
          </w:r>
          <w:r>
            <w:t>64</w:t>
          </w:r>
          <w:r>
            <w:fldChar w:fldCharType="end"/>
          </w:r>
          <w:r>
            <w:fldChar w:fldCharType="end"/>
          </w:r>
        </w:p>
        <w:p w14:paraId="5E16AC37">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"_Toc241218812" </w:instrText>
          </w:r>
          <w:r>
            <w:fldChar w:fldCharType="separate"/>
          </w:r>
          <w:r>
            <w:rPr>
              <w:rStyle w:val="16"/>
            </w:rPr>
            <w:t>6.3 How the study has addressed the literature gap highlighted earlier</w:t>
          </w:r>
          <w:r>
            <w:tab/>
          </w:r>
          <w:r>
            <w:fldChar w:fldCharType="begin"/>
          </w:r>
          <w:r>
            <w:instrText xml:space="preserve"> PAGEREF _Toc241218812 \h </w:instrText>
          </w:r>
          <w:r>
            <w:fldChar w:fldCharType="separate"/>
          </w:r>
          <w:r>
            <w:t>65</w:t>
          </w:r>
          <w:r>
            <w:fldChar w:fldCharType="end"/>
          </w:r>
          <w:r>
            <w:fldChar w:fldCharType="end"/>
          </w:r>
        </w:p>
        <w:p w14:paraId="26D9970B">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"_Toc241218813" </w:instrText>
          </w:r>
          <w:r>
            <w:fldChar w:fldCharType="separate"/>
          </w:r>
          <w:r>
            <w:rPr>
              <w:rStyle w:val="16"/>
            </w:rPr>
            <w:t>6.4 Value of the study</w:t>
          </w:r>
          <w:r>
            <w:tab/>
          </w:r>
          <w:r>
            <w:fldChar w:fldCharType="begin"/>
          </w:r>
          <w:r>
            <w:instrText xml:space="preserve"> PAGEREF _Toc241218813 \h </w:instrText>
          </w:r>
          <w:r>
            <w:fldChar w:fldCharType="separate"/>
          </w:r>
          <w:r>
            <w:t>65</w:t>
          </w:r>
          <w:r>
            <w:fldChar w:fldCharType="end"/>
          </w:r>
          <w:r>
            <w:fldChar w:fldCharType="end"/>
          </w:r>
        </w:p>
        <w:p w14:paraId="04844B67">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"_Toc241218814" </w:instrText>
          </w:r>
          <w:r>
            <w:fldChar w:fldCharType="separate"/>
          </w:r>
          <w:r>
            <w:rPr>
              <w:rStyle w:val="16"/>
            </w:rPr>
            <w:t>6.5 Limitations of the study</w:t>
          </w:r>
          <w:r>
            <w:tab/>
          </w:r>
          <w:r>
            <w:fldChar w:fldCharType="begin"/>
          </w:r>
          <w:r>
            <w:instrText xml:space="preserve"> PAGEREF _Toc241218814 \h </w:instrText>
          </w:r>
          <w:r>
            <w:fldChar w:fldCharType="separate"/>
          </w:r>
          <w:r>
            <w:t>66</w:t>
          </w:r>
          <w:r>
            <w:fldChar w:fldCharType="end"/>
          </w:r>
          <w:r>
            <w:fldChar w:fldCharType="end"/>
          </w:r>
        </w:p>
        <w:p w14:paraId="624D700E">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"_Toc241218815" </w:instrText>
          </w:r>
          <w:r>
            <w:fldChar w:fldCharType="separate"/>
          </w:r>
          <w:r>
            <w:rPr>
              <w:rStyle w:val="16"/>
            </w:rPr>
            <w:t>6.6 Recommendations</w:t>
          </w:r>
          <w:r>
            <w:tab/>
          </w:r>
          <w:r>
            <w:fldChar w:fldCharType="begin"/>
          </w:r>
          <w:r>
            <w:instrText xml:space="preserve"> PAGEREF _Toc241218815 \h </w:instrText>
          </w:r>
          <w:r>
            <w:fldChar w:fldCharType="separate"/>
          </w:r>
          <w:r>
            <w:t>66</w:t>
          </w:r>
          <w:r>
            <w:fldChar w:fldCharType="end"/>
          </w:r>
          <w:r>
            <w:fldChar w:fldCharType="end"/>
          </w:r>
        </w:p>
        <w:p w14:paraId="4FD0A76C">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"_Toc241218816" </w:instrText>
          </w:r>
          <w:r>
            <w:fldChar w:fldCharType="separate"/>
          </w:r>
          <w:r>
            <w:rPr>
              <w:rStyle w:val="16"/>
            </w:rPr>
            <w:t>6.7 Future scope of the study</w:t>
          </w:r>
          <w:r>
            <w:tab/>
          </w:r>
          <w:r>
            <w:fldChar w:fldCharType="begin"/>
          </w:r>
          <w:r>
            <w:instrText xml:space="preserve"> PAGEREF _Toc241218816 \h </w:instrText>
          </w:r>
          <w:r>
            <w:fldChar w:fldCharType="separate"/>
          </w:r>
          <w:r>
            <w:t>67</w:t>
          </w:r>
          <w:r>
            <w:fldChar w:fldCharType="end"/>
          </w:r>
          <w:r>
            <w:fldChar w:fldCharType="end"/>
          </w:r>
        </w:p>
        <w:p w14:paraId="12B3A803">
          <w:pPr>
            <w:pStyle w:val="13"/>
            <w:tabs>
              <w:tab w:val="right" w:leader="dot" w:pos="9016"/>
            </w:tabs>
            <w:rPr>
              <w:rFonts w:asciiTheme="minorHAnsi" w:hAnsiTheme="minorHAnsi" w:eastAsiaTheme="minorEastAsia"/>
              <w:kern w:val="2"/>
              <w:szCs w:val="24"/>
              <w:lang w:eastAsia="en-IN"/>
            </w:rPr>
          </w:pPr>
          <w:r>
            <w:fldChar w:fldCharType="begin"/>
          </w:r>
          <w:r>
            <w:instrText xml:space="preserve"> HYPERLINK \l "_Toc241218817" </w:instrText>
          </w:r>
          <w:r>
            <w:fldChar w:fldCharType="separate"/>
          </w:r>
          <w:r>
            <w:rPr>
              <w:rStyle w:val="16"/>
            </w:rPr>
            <w:t>6.8 Reflective statement</w:t>
          </w:r>
          <w:r>
            <w:tab/>
          </w:r>
          <w:r>
            <w:fldChar w:fldCharType="begin"/>
          </w:r>
          <w:r>
            <w:instrText xml:space="preserve"> PAGEREF _Toc241218817 \h </w:instrText>
          </w:r>
          <w:r>
            <w:fldChar w:fldCharType="separate"/>
          </w:r>
          <w:r>
            <w:t>67</w:t>
          </w:r>
          <w:r>
            <w:fldChar w:fldCharType="end"/>
          </w:r>
          <w:r>
            <w:fldChar w:fldCharType="end"/>
          </w:r>
        </w:p>
        <w:p w14:paraId="11414366">
          <w:pPr>
            <w:pStyle w:val="12"/>
            <w:tabs>
              <w:tab w:val="right" w:leader="dot" w:pos="9016"/>
            </w:tabs>
            <w:rPr>
              <w:rFonts w:asciiTheme="minorHAnsi" w:hAnsiTheme="minorHAnsi" w:eastAsiaTheme="minorEastAsia"/>
              <w:kern w:val="2"/>
              <w:szCs w:val="24"/>
              <w:lang w:eastAsia="en-IN"/>
            </w:rPr>
          </w:pPr>
          <w:r>
            <w:fldChar w:fldCharType="begin"/>
          </w:r>
          <w:r>
            <w:instrText xml:space="preserve"> HYPERLINK \l "_Toc241218818" </w:instrText>
          </w:r>
          <w:r>
            <w:fldChar w:fldCharType="separate"/>
          </w:r>
          <w:r>
            <w:rPr>
              <w:rStyle w:val="16"/>
            </w:rPr>
            <w:t>References</w:t>
          </w:r>
          <w:r>
            <w:tab/>
          </w:r>
          <w:r>
            <w:fldChar w:fldCharType="begin"/>
          </w:r>
          <w:r>
            <w:instrText xml:space="preserve"> PAGEREF _Toc241218818 \h </w:instrText>
          </w:r>
          <w:r>
            <w:fldChar w:fldCharType="separate"/>
          </w:r>
          <w:r>
            <w:t>68</w:t>
          </w:r>
          <w:r>
            <w:fldChar w:fldCharType="end"/>
          </w:r>
          <w:r>
            <w:fldChar w:fldCharType="end"/>
          </w:r>
        </w:p>
        <w:p w14:paraId="0FC35E66">
          <w:pPr/>
          <w:r>
            <w:rPr>
              <w:rFonts w:cs="Times New Roman"/>
              <w:b/>
              <w:bCs/>
              <w:color w:val="000000" w:themeColor="text1"/>
              <w:szCs w:val="24"/>
              <w14:textFill>
                <w14:solidFill>
                  <w14:schemeClr w14:val="tx1"/>
                </w14:solidFill>
              </w14:textFill>
            </w:rPr>
            <w:fldChar w:fldCharType="end"/>
          </w:r>
        </w:p>
      </w:sdtContent>
    </w:sdt>
    <w:p w14:paraId="55092753">
      <w:pPr>
        <w:spacing w:line="259" w:lineRule="auto"/>
        <w:jc w:val="left"/>
        <w:rPr>
          <w:rFonts w:cs="Times New Roman"/>
          <w:b/>
        </w:rPr>
      </w:pPr>
      <w:r>
        <w:rPr>
          <w:rFonts w:cs="Times New Roman"/>
          <w:b/>
        </w:rPr>
        <w:br w:type="page"/>
      </w:r>
    </w:p>
    <w:p w14:paraId="5B3684CD">
      <w:pPr>
        <w:jc w:val="center"/>
        <w:rPr>
          <w:rFonts w:cs="Times New Roman"/>
          <w:b/>
        </w:rPr>
      </w:pPr>
      <w:r>
        <w:rPr>
          <w:rFonts w:cs="Times New Roman"/>
          <w:b/>
        </w:rPr>
        <w:t>List of Figures</w:t>
      </w:r>
    </w:p>
    <w:p w14:paraId="55918AA8">
      <w:pPr>
        <w:pStyle w:val="14"/>
        <w:tabs>
          <w:tab w:val="right" w:leader="dot" w:pos="9016"/>
        </w:tabs>
        <w:rPr>
          <w:rFonts w:asciiTheme="minorHAnsi" w:hAnsiTheme="minorHAnsi" w:eastAsiaTheme="minorEastAsia"/>
          <w:sz w:val="22"/>
          <w:lang w:val="en-GB" w:eastAsia="en-GB"/>
        </w:rPr>
      </w:pPr>
      <w:r>
        <w:rPr>
          <w:rFonts w:cs="Times New Roman"/>
          <w:b/>
        </w:rPr>
        <w:fldChar w:fldCharType="begin"/>
      </w:r>
      <w:r>
        <w:rPr>
          <w:rFonts w:cs="Times New Roman"/>
          <w:b/>
        </w:rPr>
        <w:instrText xml:space="preserve"> TOC \o "4-4" \h \z \u </w:instrText>
      </w:r>
      <w:r>
        <w:rPr>
          <w:rFonts w:cs="Times New Roman"/>
          <w:b/>
        </w:rPr>
        <w:fldChar w:fldCharType="separate"/>
      </w:r>
      <w:r>
        <w:fldChar w:fldCharType="begin"/>
      </w:r>
      <w:r>
        <w:instrText xml:space="preserve"> HYPERLINK \l "_Toc238759260" </w:instrText>
      </w:r>
      <w:r>
        <w:fldChar w:fldCharType="separate"/>
      </w:r>
      <w:r>
        <w:rPr>
          <w:rStyle w:val="16"/>
          <w:rFonts w:eastAsia="Times New Roman"/>
          <w:lang w:val="en-GB"/>
        </w:rPr>
        <w:t>Figure 1.1: EV passenger car registration</w:t>
      </w:r>
      <w:r>
        <w:tab/>
      </w:r>
      <w:r>
        <w:fldChar w:fldCharType="begin"/>
      </w:r>
      <w:r>
        <w:instrText xml:space="preserve"> PAGEREF _Toc238759260 \h </w:instrText>
      </w:r>
      <w:r>
        <w:fldChar w:fldCharType="separate"/>
      </w:r>
      <w:r>
        <w:t>10</w:t>
      </w:r>
      <w:r>
        <w:fldChar w:fldCharType="end"/>
      </w:r>
      <w:r>
        <w:fldChar w:fldCharType="end"/>
      </w:r>
    </w:p>
    <w:p w14:paraId="4B81353C">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"_Toc238759261" </w:instrText>
      </w:r>
      <w:r>
        <w:fldChar w:fldCharType="separate"/>
      </w:r>
      <w:r>
        <w:rPr>
          <w:rStyle w:val="16"/>
          <w:rFonts w:eastAsia="Times New Roman"/>
          <w:lang w:val="en-GB"/>
        </w:rPr>
        <w:t>Figure 1.2: India’s EV adaptation</w:t>
      </w:r>
      <w:r>
        <w:tab/>
      </w:r>
      <w:r>
        <w:fldChar w:fldCharType="begin"/>
      </w:r>
      <w:r>
        <w:instrText xml:space="preserve"> PAGEREF _Toc238759261 \h </w:instrText>
      </w:r>
      <w:r>
        <w:fldChar w:fldCharType="separate"/>
      </w:r>
      <w:r>
        <w:t>11</w:t>
      </w:r>
      <w:r>
        <w:fldChar w:fldCharType="end"/>
      </w:r>
      <w:r>
        <w:fldChar w:fldCharType="end"/>
      </w:r>
    </w:p>
    <w:p w14:paraId="36E40F58">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"_Toc238759262" </w:instrText>
      </w:r>
      <w:r>
        <w:fldChar w:fldCharType="separate"/>
      </w:r>
      <w:r>
        <w:rPr>
          <w:rStyle w:val="16"/>
          <w:lang w:val="en-GB"/>
        </w:rPr>
        <w:t>Figure 1.3: Dissertation structure</w:t>
      </w:r>
      <w:r>
        <w:tab/>
      </w:r>
      <w:r>
        <w:fldChar w:fldCharType="begin"/>
      </w:r>
      <w:r>
        <w:instrText xml:space="preserve"> PAGEREF _Toc238759262 \h </w:instrText>
      </w:r>
      <w:r>
        <w:fldChar w:fldCharType="separate"/>
      </w:r>
      <w:r>
        <w:t>16</w:t>
      </w:r>
      <w:r>
        <w:fldChar w:fldCharType="end"/>
      </w:r>
      <w:r>
        <w:fldChar w:fldCharType="end"/>
      </w:r>
    </w:p>
    <w:p w14:paraId="662D86EC">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"_Toc238759263" </w:instrText>
      </w:r>
      <w:r>
        <w:fldChar w:fldCharType="separate"/>
      </w:r>
      <w:r>
        <w:rPr>
          <w:rStyle w:val="16"/>
        </w:rPr>
        <w:t>Figure 2.1: TAM</w:t>
      </w:r>
      <w:r>
        <w:tab/>
      </w:r>
      <w:r>
        <w:fldChar w:fldCharType="begin"/>
      </w:r>
      <w:r>
        <w:instrText xml:space="preserve"> PAGEREF _Toc238759263 \h </w:instrText>
      </w:r>
      <w:r>
        <w:fldChar w:fldCharType="separate"/>
      </w:r>
      <w:r>
        <w:t>19</w:t>
      </w:r>
      <w:r>
        <w:fldChar w:fldCharType="end"/>
      </w:r>
      <w:r>
        <w:fldChar w:fldCharType="end"/>
      </w:r>
    </w:p>
    <w:p w14:paraId="7B9DF169">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"_Toc238759264" </w:instrText>
      </w:r>
      <w:r>
        <w:fldChar w:fldCharType="separate"/>
      </w:r>
      <w:r>
        <w:rPr>
          <w:rStyle w:val="16"/>
        </w:rPr>
        <w:t>Figure 2.2: Psychological and Behavioural Drivers of EV Acceptance</w:t>
      </w:r>
      <w:r>
        <w:tab/>
      </w:r>
      <w:r>
        <w:fldChar w:fldCharType="begin"/>
      </w:r>
      <w:r>
        <w:instrText xml:space="preserve"> PAGEREF _Toc238759264 \h </w:instrText>
      </w:r>
      <w:r>
        <w:fldChar w:fldCharType="separate"/>
      </w:r>
      <w:r>
        <w:t>21</w:t>
      </w:r>
      <w:r>
        <w:fldChar w:fldCharType="end"/>
      </w:r>
      <w:r>
        <w:fldChar w:fldCharType="end"/>
      </w:r>
    </w:p>
    <w:p w14:paraId="754335A3">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"_Toc238759265" </w:instrText>
      </w:r>
      <w:r>
        <w:fldChar w:fldCharType="separate"/>
      </w:r>
      <w:r>
        <w:rPr>
          <w:rStyle w:val="16"/>
        </w:rPr>
        <w:t>Figure 2.3: Factors for EV adoption</w:t>
      </w:r>
      <w:r>
        <w:tab/>
      </w:r>
      <w:r>
        <w:fldChar w:fldCharType="begin"/>
      </w:r>
      <w:r>
        <w:instrText xml:space="preserve"> PAGEREF _Toc238759265 \h </w:instrText>
      </w:r>
      <w:r>
        <w:fldChar w:fldCharType="separate"/>
      </w:r>
      <w:r>
        <w:t>22</w:t>
      </w:r>
      <w:r>
        <w:fldChar w:fldCharType="end"/>
      </w:r>
      <w:r>
        <w:fldChar w:fldCharType="end"/>
      </w:r>
    </w:p>
    <w:p w14:paraId="2E6DAF05">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"_Toc238759266" </w:instrText>
      </w:r>
      <w:r>
        <w:fldChar w:fldCharType="separate"/>
      </w:r>
      <w:r>
        <w:rPr>
          <w:rStyle w:val="16"/>
        </w:rPr>
        <w:t>Figure 2.4: Factors influencing Indian consumers’ acceptance of foreign electric vehicle brands</w:t>
      </w:r>
      <w:r>
        <w:tab/>
      </w:r>
      <w:r>
        <w:fldChar w:fldCharType="begin"/>
      </w:r>
      <w:r>
        <w:instrText xml:space="preserve"> PAGEREF _Toc238759266 \h </w:instrText>
      </w:r>
      <w:r>
        <w:fldChar w:fldCharType="separate"/>
      </w:r>
      <w:r>
        <w:t>25</w:t>
      </w:r>
      <w:r>
        <w:fldChar w:fldCharType="end"/>
      </w:r>
      <w:r>
        <w:fldChar w:fldCharType="end"/>
      </w:r>
    </w:p>
    <w:p w14:paraId="40E00F95">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"_Toc238759267" </w:instrText>
      </w:r>
      <w:r>
        <w:fldChar w:fldCharType="separate"/>
      </w:r>
      <w:r>
        <w:rPr>
          <w:rStyle w:val="16"/>
          <w:lang w:val="en-GB"/>
        </w:rPr>
        <w:t>Figure 2.5: Conceptual framework</w:t>
      </w:r>
      <w:r>
        <w:tab/>
      </w:r>
      <w:r>
        <w:fldChar w:fldCharType="begin"/>
      </w:r>
      <w:r>
        <w:instrText xml:space="preserve"> PAGEREF _Toc238759267 \h </w:instrText>
      </w:r>
      <w:r>
        <w:fldChar w:fldCharType="separate"/>
      </w:r>
      <w:r>
        <w:t>31</w:t>
      </w:r>
      <w:r>
        <w:fldChar w:fldCharType="end"/>
      </w:r>
      <w:r>
        <w:fldChar w:fldCharType="end"/>
      </w:r>
    </w:p>
    <w:p w14:paraId="6EC2ACE1">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"_Toc238759268" </w:instrText>
      </w:r>
      <w:r>
        <w:fldChar w:fldCharType="separate"/>
      </w:r>
      <w:r>
        <w:rPr>
          <w:rStyle w:val="16"/>
        </w:rPr>
        <w:t>Figure 4.1: Frequency of initial codes</w:t>
      </w:r>
      <w:r>
        <w:tab/>
      </w:r>
      <w:r>
        <w:fldChar w:fldCharType="begin"/>
      </w:r>
      <w:r>
        <w:instrText xml:space="preserve"> PAGEREF _Toc238759268 \h </w:instrText>
      </w:r>
      <w:r>
        <w:fldChar w:fldCharType="separate"/>
      </w:r>
      <w:r>
        <w:t>45</w:t>
      </w:r>
      <w:r>
        <w:fldChar w:fldCharType="end"/>
      </w:r>
      <w:r>
        <w:fldChar w:fldCharType="end"/>
      </w:r>
    </w:p>
    <w:p w14:paraId="3D6F2734">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"_Toc238759269" </w:instrText>
      </w:r>
      <w:r>
        <w:fldChar w:fldCharType="separate"/>
      </w:r>
      <w:r>
        <w:rPr>
          <w:rStyle w:val="16"/>
        </w:rPr>
        <w:t>Figure 4.2: Theme frequency findings</w:t>
      </w:r>
      <w:r>
        <w:tab/>
      </w:r>
      <w:r>
        <w:fldChar w:fldCharType="begin"/>
      </w:r>
      <w:r>
        <w:instrText xml:space="preserve"> PAGEREF _Toc238759269 \h </w:instrText>
      </w:r>
      <w:r>
        <w:fldChar w:fldCharType="separate"/>
      </w:r>
      <w:r>
        <w:t>47</w:t>
      </w:r>
      <w:r>
        <w:fldChar w:fldCharType="end"/>
      </w:r>
      <w:r>
        <w:fldChar w:fldCharType="end"/>
      </w:r>
    </w:p>
    <w:p w14:paraId="6C3FCC48">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"_Toc238759270" </w:instrText>
      </w:r>
      <w:r>
        <w:fldChar w:fldCharType="separate"/>
      </w:r>
      <w:r>
        <w:rPr>
          <w:rStyle w:val="16"/>
        </w:rPr>
        <w:t>Figure 4.3: Mapping sources with themes</w:t>
      </w:r>
      <w:r>
        <w:tab/>
      </w:r>
      <w:r>
        <w:fldChar w:fldCharType="begin"/>
      </w:r>
      <w:r>
        <w:instrText xml:space="preserve"> PAGEREF _Toc238759270 \h </w:instrText>
      </w:r>
      <w:r>
        <w:fldChar w:fldCharType="separate"/>
      </w:r>
      <w:r>
        <w:t>49</w:t>
      </w:r>
      <w:r>
        <w:fldChar w:fldCharType="end"/>
      </w:r>
      <w:r>
        <w:fldChar w:fldCharType="end"/>
      </w:r>
    </w:p>
    <w:p w14:paraId="668CD08D">
      <w:pPr>
        <w:pStyle w:val="14"/>
        <w:tabs>
          <w:tab w:val="right" w:leader="dot" w:pos="9016"/>
        </w:tabs>
        <w:rPr>
          <w:rFonts w:asciiTheme="minorHAnsi" w:hAnsiTheme="minorHAnsi" w:eastAsiaTheme="minorEastAsia"/>
          <w:sz w:val="22"/>
          <w:lang w:val="en-GB" w:eastAsia="en-GB"/>
        </w:rPr>
      </w:pPr>
      <w:r>
        <w:fldChar w:fldCharType="begin"/>
      </w:r>
      <w:r>
        <w:instrText xml:space="preserve"> HYPERLINK \l "_Toc238759271" </w:instrText>
      </w:r>
      <w:r>
        <w:fldChar w:fldCharType="separate"/>
      </w:r>
      <w:r>
        <w:rPr>
          <w:rStyle w:val="16"/>
        </w:rPr>
        <w:t>Figure 4.4: Thematic tree</w:t>
      </w:r>
      <w:r>
        <w:tab/>
      </w:r>
      <w:r>
        <w:fldChar w:fldCharType="begin"/>
      </w:r>
      <w:r>
        <w:instrText xml:space="preserve"> PAGEREF _Toc238759271 \h </w:instrText>
      </w:r>
      <w:r>
        <w:fldChar w:fldCharType="separate"/>
      </w:r>
      <w:r>
        <w:t>51</w:t>
      </w:r>
      <w:r>
        <w:fldChar w:fldCharType="end"/>
      </w:r>
      <w:r>
        <w:fldChar w:fldCharType="end"/>
      </w:r>
    </w:p>
    <w:p w14:paraId="4329AEBA">
      <w:pPr>
        <w:rPr>
          <w:rFonts w:cs="Times New Roman"/>
          <w:b/>
        </w:rPr>
      </w:pPr>
      <w:r>
        <w:rPr>
          <w:rFonts w:cs="Times New Roman"/>
          <w:b/>
        </w:rPr>
        <w:fldChar w:fldCharType="end"/>
      </w:r>
    </w:p>
    <w:p w14:paraId="3120F8ED">
      <w:pPr>
        <w:rPr>
          <w:rFonts w:cs="Times New Roman"/>
          <w:b/>
        </w:rPr>
      </w:pPr>
    </w:p>
    <w:p w14:paraId="58FA7064">
      <w:pPr>
        <w:jc w:val="center"/>
        <w:rPr>
          <w:rFonts w:cs="Times New Roman"/>
          <w:b/>
          <w:sz w:val="28"/>
        </w:rPr>
      </w:pPr>
      <w:r>
        <w:rPr>
          <w:rFonts w:cs="Times New Roman"/>
          <w:b/>
          <w:sz w:val="28"/>
        </w:rPr>
        <w:t>List of tables</w:t>
      </w:r>
    </w:p>
    <w:p w14:paraId="1AB6936F">
      <w:pPr>
        <w:pStyle w:val="11"/>
        <w:tabs>
          <w:tab w:val="right" w:leader="dot" w:pos="9016"/>
        </w:tabs>
        <w:rPr>
          <w:rFonts w:asciiTheme="minorHAnsi" w:hAnsiTheme="minorHAnsi" w:eastAsiaTheme="minorEastAsia"/>
          <w:sz w:val="22"/>
          <w:lang w:val="en-GB" w:eastAsia="en-GB"/>
        </w:rPr>
      </w:pPr>
      <w:r>
        <w:rPr>
          <w:rFonts w:cs="Times New Roman"/>
          <w:b/>
          <w:sz w:val="28"/>
        </w:rPr>
        <w:fldChar w:fldCharType="begin"/>
      </w:r>
      <w:r>
        <w:rPr>
          <w:rFonts w:cs="Times New Roman"/>
          <w:b/>
          <w:sz w:val="28"/>
        </w:rPr>
        <w:instrText xml:space="preserve"> TOC \h \z \t "Heading 5" \c </w:instrText>
      </w:r>
      <w:r>
        <w:rPr>
          <w:rFonts w:cs="Times New Roman"/>
          <w:b/>
          <w:sz w:val="28"/>
        </w:rPr>
        <w:fldChar w:fldCharType="separate"/>
      </w:r>
      <w:r>
        <w:fldChar w:fldCharType="begin"/>
      </w:r>
      <w:r>
        <w:instrText xml:space="preserve"> HYPERLINK \l "_Toc238753111" </w:instrText>
      </w:r>
      <w:r>
        <w:fldChar w:fldCharType="separate"/>
      </w:r>
      <w:r>
        <w:rPr>
          <w:rStyle w:val="16"/>
        </w:rPr>
        <w:t>Table 4.1: Development of initial codes</w:t>
      </w:r>
      <w:r>
        <w:tab/>
      </w:r>
      <w:r>
        <w:fldChar w:fldCharType="begin"/>
      </w:r>
      <w:r>
        <w:instrText xml:space="preserve"> PAGEREF _Toc238753111 \h </w:instrText>
      </w:r>
      <w:r>
        <w:fldChar w:fldCharType="separate"/>
      </w:r>
      <w:r>
        <w:t>41</w:t>
      </w:r>
      <w:r>
        <w:fldChar w:fldCharType="end"/>
      </w:r>
      <w:r>
        <w:fldChar w:fldCharType="end"/>
      </w:r>
    </w:p>
    <w:p w14:paraId="6942BA66">
      <w:pPr>
        <w:pStyle w:val="11"/>
        <w:tabs>
          <w:tab w:val="right" w:leader="dot" w:pos="9016"/>
        </w:tabs>
        <w:rPr>
          <w:rFonts w:asciiTheme="minorHAnsi" w:hAnsiTheme="minorHAnsi" w:eastAsiaTheme="minorEastAsia"/>
          <w:sz w:val="22"/>
          <w:lang w:val="en-GB" w:eastAsia="en-GB"/>
        </w:rPr>
      </w:pPr>
      <w:r>
        <w:fldChar w:fldCharType="begin"/>
      </w:r>
      <w:r>
        <w:instrText xml:space="preserve"> HYPERLINK \l "_Toc238753112" </w:instrText>
      </w:r>
      <w:r>
        <w:fldChar w:fldCharType="separate"/>
      </w:r>
      <w:r>
        <w:rPr>
          <w:rStyle w:val="16"/>
        </w:rPr>
        <w:t>Table 4.2: Development of categories</w:t>
      </w:r>
      <w:r>
        <w:tab/>
      </w:r>
      <w:r>
        <w:fldChar w:fldCharType="begin"/>
      </w:r>
      <w:r>
        <w:instrText xml:space="preserve"> PAGEREF _Toc238753112 \h </w:instrText>
      </w:r>
      <w:r>
        <w:fldChar w:fldCharType="separate"/>
      </w:r>
      <w:r>
        <w:t>43</w:t>
      </w:r>
      <w:r>
        <w:fldChar w:fldCharType="end"/>
      </w:r>
      <w:r>
        <w:fldChar w:fldCharType="end"/>
      </w:r>
    </w:p>
    <w:p w14:paraId="3FF5DA49">
      <w:pPr>
        <w:pStyle w:val="11"/>
        <w:tabs>
          <w:tab w:val="right" w:leader="dot" w:pos="9016"/>
        </w:tabs>
        <w:rPr>
          <w:rFonts w:asciiTheme="minorHAnsi" w:hAnsiTheme="minorHAnsi" w:eastAsiaTheme="minorEastAsia"/>
          <w:sz w:val="22"/>
          <w:lang w:val="en-GB" w:eastAsia="en-GB"/>
        </w:rPr>
      </w:pPr>
      <w:r>
        <w:fldChar w:fldCharType="begin"/>
      </w:r>
      <w:r>
        <w:instrText xml:space="preserve"> HYPERLINK \l "_Toc238753113" </w:instrText>
      </w:r>
      <w:r>
        <w:fldChar w:fldCharType="separate"/>
      </w:r>
      <w:r>
        <w:rPr>
          <w:rStyle w:val="16"/>
        </w:rPr>
        <w:t>Table 4.3: Development of Themes</w:t>
      </w:r>
      <w:r>
        <w:tab/>
      </w:r>
      <w:r>
        <w:fldChar w:fldCharType="begin"/>
      </w:r>
      <w:r>
        <w:instrText xml:space="preserve"> PAGEREF _Toc238753113 \h </w:instrText>
      </w:r>
      <w:r>
        <w:fldChar w:fldCharType="separate"/>
      </w:r>
      <w:r>
        <w:t>44</w:t>
      </w:r>
      <w:r>
        <w:fldChar w:fldCharType="end"/>
      </w:r>
      <w:r>
        <w:fldChar w:fldCharType="end"/>
      </w:r>
    </w:p>
    <w:p w14:paraId="55C3E654">
      <w:pPr>
        <w:pStyle w:val="11"/>
        <w:tabs>
          <w:tab w:val="right" w:leader="dot" w:pos="9016"/>
        </w:tabs>
        <w:rPr>
          <w:rFonts w:asciiTheme="minorHAnsi" w:hAnsiTheme="minorHAnsi" w:eastAsiaTheme="minorEastAsia"/>
          <w:sz w:val="22"/>
          <w:lang w:val="en-GB" w:eastAsia="en-GB"/>
        </w:rPr>
      </w:pPr>
      <w:r>
        <w:fldChar w:fldCharType="begin"/>
      </w:r>
      <w:r>
        <w:instrText xml:space="preserve"> HYPERLINK \l "_Toc238753114" </w:instrText>
      </w:r>
      <w:r>
        <w:fldChar w:fldCharType="separate"/>
      </w:r>
      <w:r>
        <w:rPr>
          <w:rStyle w:val="16"/>
        </w:rPr>
        <w:t>Table 4.4: Theme frequency findings</w:t>
      </w:r>
      <w:r>
        <w:tab/>
      </w:r>
      <w:r>
        <w:fldChar w:fldCharType="begin"/>
      </w:r>
      <w:r>
        <w:instrText xml:space="preserve"> PAGEREF _Toc238753114 \h </w:instrText>
      </w:r>
      <w:r>
        <w:fldChar w:fldCharType="separate"/>
      </w:r>
      <w:r>
        <w:t>44</w:t>
      </w:r>
      <w:r>
        <w:fldChar w:fldCharType="end"/>
      </w:r>
      <w:r>
        <w:fldChar w:fldCharType="end"/>
      </w:r>
    </w:p>
    <w:p w14:paraId="57680D1D">
      <w:pPr>
        <w:pStyle w:val="11"/>
        <w:tabs>
          <w:tab w:val="right" w:leader="dot" w:pos="9016"/>
        </w:tabs>
        <w:rPr>
          <w:rFonts w:asciiTheme="minorHAnsi" w:hAnsiTheme="minorHAnsi" w:eastAsiaTheme="minorEastAsia"/>
          <w:sz w:val="22"/>
          <w:lang w:val="en-GB" w:eastAsia="en-GB"/>
        </w:rPr>
      </w:pPr>
      <w:r>
        <w:fldChar w:fldCharType="begin"/>
      </w:r>
      <w:r>
        <w:instrText xml:space="preserve"> HYPERLINK \l "_Toc238753115" </w:instrText>
      </w:r>
      <w:r>
        <w:fldChar w:fldCharType="separate"/>
      </w:r>
      <w:r>
        <w:rPr>
          <w:rStyle w:val="16"/>
        </w:rPr>
        <w:t>Table 4.5: Theme frequency findings</w:t>
      </w:r>
      <w:r>
        <w:tab/>
      </w:r>
      <w:r>
        <w:fldChar w:fldCharType="begin"/>
      </w:r>
      <w:r>
        <w:instrText xml:space="preserve"> PAGEREF _Toc238753115 \h </w:instrText>
      </w:r>
      <w:r>
        <w:fldChar w:fldCharType="separate"/>
      </w:r>
      <w:r>
        <w:t>46</w:t>
      </w:r>
      <w:r>
        <w:fldChar w:fldCharType="end"/>
      </w:r>
      <w:r>
        <w:fldChar w:fldCharType="end"/>
      </w:r>
    </w:p>
    <w:p w14:paraId="4DCC0141">
      <w:pPr>
        <w:pStyle w:val="11"/>
        <w:tabs>
          <w:tab w:val="right" w:leader="dot" w:pos="9016"/>
        </w:tabs>
        <w:rPr>
          <w:rFonts w:asciiTheme="minorHAnsi" w:hAnsiTheme="minorHAnsi" w:eastAsiaTheme="minorEastAsia"/>
          <w:sz w:val="22"/>
          <w:lang w:val="en-GB" w:eastAsia="en-GB"/>
        </w:rPr>
      </w:pPr>
      <w:r>
        <w:fldChar w:fldCharType="begin"/>
      </w:r>
      <w:r>
        <w:instrText xml:space="preserve"> HYPERLINK \l "_Toc238753116" </w:instrText>
      </w:r>
      <w:r>
        <w:fldChar w:fldCharType="separate"/>
      </w:r>
      <w:r>
        <w:rPr>
          <w:rStyle w:val="16"/>
        </w:rPr>
        <w:t>Table 4.6: Mapping themes with sources</w:t>
      </w:r>
      <w:r>
        <w:tab/>
      </w:r>
      <w:r>
        <w:fldChar w:fldCharType="begin"/>
      </w:r>
      <w:r>
        <w:instrText xml:space="preserve"> PAGEREF _Toc238753116 \h </w:instrText>
      </w:r>
      <w:r>
        <w:fldChar w:fldCharType="separate"/>
      </w:r>
      <w:r>
        <w:t>47</w:t>
      </w:r>
      <w:r>
        <w:fldChar w:fldCharType="end"/>
      </w:r>
      <w:r>
        <w:fldChar w:fldCharType="end"/>
      </w:r>
    </w:p>
    <w:p w14:paraId="2658EDC9">
      <w:pPr>
        <w:jc w:val="center"/>
        <w:rPr>
          <w:rFonts w:cs="Times New Roman"/>
          <w:b/>
          <w:sz w:val="28"/>
        </w:rPr>
      </w:pPr>
      <w:r>
        <w:rPr>
          <w:rFonts w:cs="Times New Roman"/>
          <w:b/>
          <w:sz w:val="28"/>
        </w:rPr>
        <w:fldChar w:fldCharType="end"/>
      </w:r>
    </w:p>
    <w:p w14:paraId="3CA70353">
      <w:pPr>
        <w:rPr>
          <w:rFonts w:cs="Times New Roman"/>
          <w:b/>
        </w:rPr>
      </w:pPr>
    </w:p>
    <w:p w14:paraId="6E374FAE">
      <w:pPr>
        <w:spacing w:line="259" w:lineRule="auto"/>
        <w:jc w:val="left"/>
        <w:rPr>
          <w:rFonts w:eastAsiaTheme="majorEastAsia" w:cstheme="majorBidi"/>
          <w:b/>
          <w:color w:val="000000" w:themeColor="text1"/>
          <w:sz w:val="28"/>
          <w:szCs w:val="32"/>
          <w:lang w:val="en-GB"/>
          <w14:textFill>
            <w14:solidFill>
              <w14:schemeClr w14:val="tx1"/>
            </w14:solidFill>
          </w14:textFill>
        </w:rPr>
      </w:pPr>
      <w:bookmarkStart w:id="4" w:name="_q6eus7uvvz57" w:colFirst="0" w:colLast="0"/>
      <w:bookmarkEnd w:id="4"/>
      <w:r>
        <w:rPr>
          <w:lang w:val="en-GB"/>
        </w:rPr>
        <w:br w:type="page"/>
      </w:r>
    </w:p>
    <w:p w14:paraId="5AF8BFD1">
      <w:pPr>
        <w:pStyle w:val="2"/>
        <w:rPr>
          <w:lang w:val="en-GB"/>
        </w:rPr>
      </w:pPr>
      <w:bookmarkStart w:id="5" w:name="_Toc241218757"/>
      <w:r>
        <w:rPr>
          <w:lang w:val="en-GB"/>
        </w:rPr>
        <w:t>Chapter 1: Introduction</w:t>
      </w:r>
      <w:bookmarkEnd w:id="5"/>
      <w:r>
        <w:rPr>
          <w:lang w:val="en-GB"/>
        </w:rPr>
        <w:t xml:space="preserve"> </w:t>
      </w:r>
    </w:p>
    <w:p w14:paraId="13E3ADA3">
      <w:pPr>
        <w:pStyle w:val="3"/>
        <w:rPr>
          <w:lang w:val="en-GB"/>
        </w:rPr>
      </w:pPr>
      <w:bookmarkStart w:id="6" w:name="_5tmm9fihk4oe" w:colFirst="0" w:colLast="0"/>
      <w:bookmarkEnd w:id="6"/>
      <w:bookmarkStart w:id="7" w:name="_Toc241218758"/>
      <w:r>
        <w:rPr>
          <w:lang w:val="en-GB"/>
        </w:rPr>
        <w:t>1.1 Research Background</w:t>
      </w:r>
      <w:bookmarkEnd w:id="7"/>
      <w:r>
        <w:rPr>
          <w:lang w:val="en-GB"/>
        </w:rPr>
        <w:t xml:space="preserve"> </w:t>
      </w:r>
    </w:p>
    <w:p w14:paraId="20891198">
      <w:pPr>
        <w:rPr>
          <w:lang w:val="en-GB"/>
        </w:rPr>
      </w:pPr>
      <w:r>
        <w:rPr>
          <w:rFonts w:eastAsia="Times New Roman" w:cs="Times New Roman"/>
          <w:szCs w:val="24"/>
          <w:lang w:val="en-GB"/>
        </w:rPr>
        <w:t>The automotive industry in the global market is undergoing a significant transition from internal-combustion-engine vehicles to electric mobility. This transition has been driven by environmental concerns, government support, technological development, and changing consumer preferences. Within this technological transition, India has emerged as an important market for the growth and sale of electric vehicles (EVs). In this market, as consumer interest is growing, investment has also been increasing from manufacturers. The image below shows that in May 2026, total EV registrations were 25880, which was 14323 in May 2025 (</w:t>
      </w:r>
      <w:r>
        <w:rPr>
          <w:lang w:val="en-GB"/>
        </w:rPr>
        <w:t>Autopunditz</w:t>
      </w:r>
      <w:r>
        <w:rPr>
          <w:rFonts w:eastAsia="Times New Roman" w:cs="Times New Roman"/>
          <w:szCs w:val="24"/>
          <w:lang w:val="en-GB"/>
        </w:rPr>
        <w:t xml:space="preserve">, 2026). This indicates that customers’ engagement with electric mobility in India has been growing, which generates opportunities for both international and domestic automotive manufacturers. </w:t>
      </w:r>
    </w:p>
    <w:p w14:paraId="4574C3B8">
      <w:pPr>
        <w:jc w:val="center"/>
        <w:rPr>
          <w:lang w:val="en-GB"/>
        </w:rPr>
      </w:pPr>
      <w:r>
        <w:rPr>
          <w:lang w:val="en-GB" w:eastAsia="en-GB"/>
        </w:rPr>
        <w:drawing>
          <wp:inline distT="114300" distB="114300" distL="114300" distR="114300">
            <wp:extent cx="5090160" cy="4213860"/>
            <wp:effectExtent l="0" t="0" r="0" b="0"/>
            <wp:docPr id="862789118" name="image2.png"/>
            <wp:cNvGraphicFramePr/>
            <a:graphic xmlns:a="http://schemas.openxmlformats.org/drawingml/2006/main">
              <a:graphicData uri="http://schemas.openxmlformats.org/drawingml/2006/picture">
                <pic:pic xmlns:pic="http://schemas.openxmlformats.org/drawingml/2006/picture">
                  <pic:nvPicPr>
                    <pic:cNvPr id="862789118" name="image2.png"/>
                    <pic:cNvPicPr/>
                  </pic:nvPicPr>
                  <pic:blipFill>
                    <a:blip r:embed="rId7"/>
                    <a:stretch>
                      <a:fillRect/>
                    </a:stretch>
                  </pic:blipFill>
                  <pic:spPr>
                    <a:xfrm>
                      <a:off x="0" y="0"/>
                      <a:ext cx="5090160" cy="4213860"/>
                    </a:xfrm>
                    <a:prstGeom prst="rect">
                      <a:avLst/>
                    </a:prstGeom>
                  </pic:spPr>
                </pic:pic>
              </a:graphicData>
            </a:graphic>
          </wp:inline>
        </w:drawing>
      </w:r>
    </w:p>
    <w:p w14:paraId="2B8538F8">
      <w:pPr>
        <w:pStyle w:val="5"/>
        <w:rPr>
          <w:lang w:val="en-GB"/>
        </w:rPr>
      </w:pPr>
      <w:bookmarkStart w:id="8" w:name="_Toc238759260"/>
      <w:r>
        <w:rPr>
          <w:rFonts w:eastAsia="Times New Roman"/>
          <w:lang w:val="en-GB"/>
        </w:rPr>
        <w:t>Figure 1.1: EV passenger car registration</w:t>
      </w:r>
      <w:bookmarkEnd w:id="8"/>
    </w:p>
    <w:p w14:paraId="30E754BE">
      <w:pPr>
        <w:jc w:val="center"/>
        <w:rPr>
          <w:lang w:val="en-GB"/>
        </w:rPr>
      </w:pPr>
      <w:r>
        <w:rPr>
          <w:rFonts w:eastAsia="Times New Roman" w:cs="Times New Roman"/>
          <w:szCs w:val="24"/>
          <w:lang w:val="en-GB"/>
        </w:rPr>
        <w:t>(Source: Autopunditz, 2026)</w:t>
      </w:r>
    </w:p>
    <w:p w14:paraId="35AABDEA">
      <w:pPr>
        <w:rPr>
          <w:lang w:val="en-GB"/>
        </w:rPr>
      </w:pPr>
      <w:r>
        <w:rPr>
          <w:rFonts w:eastAsia="Times New Roman" w:cs="Times New Roman"/>
          <w:szCs w:val="24"/>
          <w:lang w:val="en-GB"/>
        </w:rPr>
        <w:t xml:space="preserve">The development of the Indian EV market has been occurring </w:t>
      </w:r>
      <w:r>
        <w:rPr>
          <w:lang w:val="en-GB"/>
        </w:rPr>
        <w:t>in</w:t>
      </w:r>
      <w:r>
        <w:rPr>
          <w:rFonts w:eastAsia="Times New Roman" w:cs="Times New Roman"/>
          <w:szCs w:val="24"/>
          <w:lang w:val="en-GB"/>
        </w:rPr>
        <w:t xml:space="preserve"> a highly competitive environment that has been dominated by established domestic manufacturers. In the above image, it has been identified that Tata Motors and Mahindra </w:t>
      </w:r>
      <w:r>
        <w:rPr>
          <w:lang w:val="en-GB"/>
        </w:rPr>
        <w:t>are</w:t>
      </w:r>
      <w:r>
        <w:rPr>
          <w:rFonts w:eastAsia="Times New Roman" w:cs="Times New Roman"/>
          <w:szCs w:val="24"/>
          <w:lang w:val="en-GB"/>
        </w:rPr>
        <w:t xml:space="preserve"> major domestic competitors, </w:t>
      </w:r>
      <w:r>
        <w:rPr>
          <w:lang w:val="en-GB"/>
        </w:rPr>
        <w:t>alongside</w:t>
      </w:r>
      <w:r>
        <w:rPr>
          <w:rFonts w:eastAsia="Times New Roman" w:cs="Times New Roman"/>
          <w:szCs w:val="24"/>
          <w:lang w:val="en-GB"/>
        </w:rPr>
        <w:t xml:space="preserve"> foreign companies such as China-based BYD and Vietnam-based VinFast (autopunditz, 2026). These </w:t>
      </w:r>
      <w:r>
        <w:rPr>
          <w:lang w:val="en-GB"/>
        </w:rPr>
        <w:t xml:space="preserve">companies </w:t>
      </w:r>
      <w:r>
        <w:rPr>
          <w:rFonts w:eastAsia="Times New Roman" w:cs="Times New Roman"/>
          <w:szCs w:val="24"/>
          <w:lang w:val="en-GB"/>
        </w:rPr>
        <w:t xml:space="preserve">are also seeking to strengthen their position in India. The presence of these international brands has demonstrated that foreign manufacturers have strengthened their business in the Indian market for EV expansion. The availability of foreign EV brands has influenced customer acceptance. Indian consumers have evaluated foreign EVs according to factors such as trust, brand awareness, perceived quality, technological usefulness, price and product longevity. Brand awareness, perceived quality and brand trust can influence </w:t>
      </w:r>
      <w:r>
        <w:rPr>
          <w:lang w:val="en-GB"/>
        </w:rPr>
        <w:t xml:space="preserve">the </w:t>
      </w:r>
      <w:r>
        <w:rPr>
          <w:rFonts w:eastAsia="Times New Roman" w:cs="Times New Roman"/>
          <w:szCs w:val="24"/>
          <w:lang w:val="en-GB"/>
        </w:rPr>
        <w:t xml:space="preserve">purchase intentions of Indian customers (Dhar, 2024). </w:t>
      </w:r>
    </w:p>
    <w:p w14:paraId="72447905">
      <w:pPr>
        <w:jc w:val="center"/>
        <w:rPr>
          <w:lang w:val="en-GB"/>
        </w:rPr>
      </w:pPr>
      <w:r>
        <w:rPr>
          <w:lang w:val="en-GB" w:eastAsia="en-GB"/>
        </w:rPr>
        <w:drawing>
          <wp:inline distT="114300" distB="114300" distL="114300" distR="114300">
            <wp:extent cx="5227320" cy="4175760"/>
            <wp:effectExtent l="0" t="0" r="0" b="0"/>
            <wp:docPr id="1473504853" name="image1.png"/>
            <wp:cNvGraphicFramePr/>
            <a:graphic xmlns:a="http://schemas.openxmlformats.org/drawingml/2006/main">
              <a:graphicData uri="http://schemas.openxmlformats.org/drawingml/2006/picture">
                <pic:pic xmlns:pic="http://schemas.openxmlformats.org/drawingml/2006/picture">
                  <pic:nvPicPr>
                    <pic:cNvPr id="1473504853" name="image1.png"/>
                    <pic:cNvPicPr/>
                  </pic:nvPicPr>
                  <pic:blipFill>
                    <a:blip r:embed="rId8"/>
                    <a:stretch>
                      <a:fillRect/>
                    </a:stretch>
                  </pic:blipFill>
                  <pic:spPr>
                    <a:xfrm>
                      <a:off x="0" y="0"/>
                      <a:ext cx="5227320" cy="4175760"/>
                    </a:xfrm>
                    <a:prstGeom prst="rect">
                      <a:avLst/>
                    </a:prstGeom>
                  </pic:spPr>
                </pic:pic>
              </a:graphicData>
            </a:graphic>
          </wp:inline>
        </w:drawing>
      </w:r>
    </w:p>
    <w:p w14:paraId="47E3ABCD">
      <w:pPr>
        <w:pStyle w:val="5"/>
        <w:rPr>
          <w:lang w:val="en-GB"/>
        </w:rPr>
      </w:pPr>
      <w:bookmarkStart w:id="9" w:name="_Toc238759261"/>
      <w:r>
        <w:rPr>
          <w:rFonts w:eastAsia="Times New Roman"/>
          <w:lang w:val="en-GB"/>
        </w:rPr>
        <w:t>Figure 1.2: India’s EV adaptation</w:t>
      </w:r>
      <w:bookmarkEnd w:id="9"/>
    </w:p>
    <w:p w14:paraId="0442C266">
      <w:pPr>
        <w:jc w:val="center"/>
        <w:rPr>
          <w:lang w:val="en-GB"/>
        </w:rPr>
      </w:pPr>
      <w:r>
        <w:rPr>
          <w:rFonts w:eastAsia="Times New Roman" w:cs="Times New Roman"/>
          <w:szCs w:val="24"/>
          <w:lang w:val="en-GB"/>
        </w:rPr>
        <w:t>(Source: Statista, 2025)</w:t>
      </w:r>
    </w:p>
    <w:p w14:paraId="10287E40">
      <w:pPr>
        <w:rPr>
          <w:lang w:val="en-GB"/>
        </w:rPr>
      </w:pPr>
      <w:r>
        <w:rPr>
          <w:lang w:val="en-GB"/>
        </w:rPr>
        <w:t xml:space="preserve">Customers' engagement and perceived technological usefulness shape acceptance of innovative products for Indian customers. The above image shows that in India, the EV sales rate has shrunk from 2023 to 2024, from 6.4% to 5.6% (Statista, 2026). In this context, foreign buyers are also concerned about after-sales services, dealership networks, battery warranties, along with the servicing infrastructure. This has strongly influenced the customer’s confidence to make the purchase decision from the unfamiliar brand.  </w:t>
      </w:r>
    </w:p>
    <w:p w14:paraId="7C8023C1">
      <w:pPr>
        <w:pStyle w:val="3"/>
        <w:rPr>
          <w:lang w:val="en-GB"/>
        </w:rPr>
      </w:pPr>
      <w:bookmarkStart w:id="10" w:name="_m7hbirmbhl15" w:colFirst="0" w:colLast="0"/>
      <w:bookmarkEnd w:id="10"/>
      <w:bookmarkStart w:id="11" w:name="_Toc241218759"/>
      <w:r>
        <w:rPr>
          <w:lang w:val="en-GB"/>
        </w:rPr>
        <w:t>1.2 Research rationale</w:t>
      </w:r>
      <w:bookmarkEnd w:id="11"/>
      <w:r>
        <w:rPr>
          <w:lang w:val="en-GB"/>
        </w:rPr>
        <w:t xml:space="preserve"> </w:t>
      </w:r>
    </w:p>
    <w:p w14:paraId="5AE8A064">
      <w:pPr>
        <w:rPr>
          <w:lang w:val="en-GB"/>
        </w:rPr>
      </w:pPr>
      <w:r>
        <w:rPr>
          <w:rFonts w:eastAsia="Times New Roman" w:cs="Times New Roman"/>
          <w:szCs w:val="24"/>
          <w:lang w:val="en-GB"/>
        </w:rPr>
        <w:t xml:space="preserve">The </w:t>
      </w:r>
      <w:r>
        <w:rPr>
          <w:lang w:val="en-GB"/>
        </w:rPr>
        <w:t>research rationale has arisen</w:t>
      </w:r>
      <w:r>
        <w:rPr>
          <w:rFonts w:eastAsia="Times New Roman" w:cs="Times New Roman"/>
          <w:szCs w:val="24"/>
          <w:lang w:val="en-GB"/>
        </w:rPr>
        <w:t xml:space="preserve"> from the rapid </w:t>
      </w:r>
      <w:r>
        <w:rPr>
          <w:lang w:val="en-GB"/>
        </w:rPr>
        <w:t xml:space="preserve">growth </w:t>
      </w:r>
      <w:r>
        <w:rPr>
          <w:rFonts w:eastAsia="Times New Roman" w:cs="Times New Roman"/>
          <w:szCs w:val="24"/>
          <w:lang w:val="en-GB"/>
        </w:rPr>
        <w:t xml:space="preserve">of India's EV market alongside the increasing entry of foreign EV manufacturers. Indian market presents considerable growth opportunities </w:t>
      </w:r>
      <w:r>
        <w:rPr>
          <w:lang w:val="en-GB"/>
        </w:rPr>
        <w:t xml:space="preserve">for </w:t>
      </w:r>
      <w:r>
        <w:rPr>
          <w:rFonts w:eastAsia="Times New Roman" w:cs="Times New Roman"/>
          <w:szCs w:val="24"/>
          <w:lang w:val="en-GB"/>
        </w:rPr>
        <w:t>foreign brands</w:t>
      </w:r>
      <w:r>
        <w:rPr>
          <w:lang w:val="en-GB"/>
        </w:rPr>
        <w:t>,</w:t>
      </w:r>
      <w:r>
        <w:rPr>
          <w:rFonts w:eastAsia="Times New Roman" w:cs="Times New Roman"/>
          <w:szCs w:val="24"/>
          <w:lang w:val="en-GB"/>
        </w:rPr>
        <w:t xml:space="preserve"> </w:t>
      </w:r>
      <w:r>
        <w:rPr>
          <w:lang w:val="en-GB"/>
        </w:rPr>
        <w:t xml:space="preserve">mainly to </w:t>
      </w:r>
      <w:r>
        <w:rPr>
          <w:rFonts w:eastAsia="Times New Roman" w:cs="Times New Roman"/>
          <w:szCs w:val="24"/>
          <w:lang w:val="en-GB"/>
        </w:rPr>
        <w:t>compete with established domestic manufacturers</w:t>
      </w:r>
      <w:r>
        <w:rPr>
          <w:lang w:val="en-GB"/>
        </w:rPr>
        <w:t>. It has also responded</w:t>
      </w:r>
      <w:r>
        <w:rPr>
          <w:rFonts w:eastAsia="Times New Roman" w:cs="Times New Roman"/>
          <w:szCs w:val="24"/>
          <w:lang w:val="en-GB"/>
        </w:rPr>
        <w:t xml:space="preserve"> to consumers whose purchasing decisions </w:t>
      </w:r>
      <w:r>
        <w:rPr>
          <w:lang w:val="en-GB"/>
        </w:rPr>
        <w:t xml:space="preserve">might </w:t>
      </w:r>
      <w:r>
        <w:rPr>
          <w:rFonts w:eastAsia="Times New Roman" w:cs="Times New Roman"/>
          <w:szCs w:val="24"/>
          <w:lang w:val="en-GB"/>
        </w:rPr>
        <w:t xml:space="preserve">be strongly influenced by trust, </w:t>
      </w:r>
      <w:r>
        <w:rPr>
          <w:lang w:val="en-GB"/>
        </w:rPr>
        <w:t xml:space="preserve">price, availability of services, along with </w:t>
      </w:r>
      <w:r>
        <w:rPr>
          <w:rFonts w:eastAsia="Times New Roman" w:cs="Times New Roman"/>
          <w:szCs w:val="24"/>
          <w:lang w:val="en-GB"/>
        </w:rPr>
        <w:t xml:space="preserve">quality and </w:t>
      </w:r>
      <w:r>
        <w:rPr>
          <w:lang w:val="en-GB"/>
        </w:rPr>
        <w:t>longevity (Arora and Singh, 2024)</w:t>
      </w:r>
      <w:r>
        <w:rPr>
          <w:rFonts w:eastAsia="Times New Roman" w:cs="Times New Roman"/>
          <w:szCs w:val="24"/>
          <w:lang w:val="en-GB"/>
        </w:rPr>
        <w:t xml:space="preserve">. Tata Motors </w:t>
      </w:r>
      <w:r>
        <w:rPr>
          <w:lang w:val="en-GB"/>
        </w:rPr>
        <w:t xml:space="preserve">has a </w:t>
      </w:r>
      <w:r>
        <w:rPr>
          <w:rFonts w:eastAsia="Times New Roman" w:cs="Times New Roman"/>
          <w:szCs w:val="24"/>
          <w:lang w:val="en-GB"/>
        </w:rPr>
        <w:t xml:space="preserve">strong domestic market position, </w:t>
      </w:r>
      <w:r>
        <w:rPr>
          <w:lang w:val="en-GB"/>
        </w:rPr>
        <w:t xml:space="preserve">creating </w:t>
      </w:r>
      <w:r>
        <w:rPr>
          <w:rFonts w:eastAsia="Times New Roman" w:cs="Times New Roman"/>
          <w:szCs w:val="24"/>
          <w:lang w:val="en-GB"/>
        </w:rPr>
        <w:t xml:space="preserve">competitive barriers that foreign manufacturers may encounter </w:t>
      </w:r>
      <w:r>
        <w:rPr>
          <w:lang w:val="en-GB"/>
        </w:rPr>
        <w:t>by</w:t>
      </w:r>
      <w:r>
        <w:rPr>
          <w:rFonts w:eastAsia="Times New Roman" w:cs="Times New Roman"/>
          <w:szCs w:val="24"/>
          <w:lang w:val="en-GB"/>
        </w:rPr>
        <w:t xml:space="preserve"> attempting to establish themselves in India.</w:t>
      </w:r>
    </w:p>
    <w:p w14:paraId="295E1125">
      <w:pPr>
        <w:rPr>
          <w:lang w:val="en-GB"/>
        </w:rPr>
      </w:pPr>
      <w:r>
        <w:rPr>
          <w:lang w:val="en-GB"/>
        </w:rPr>
        <w:t xml:space="preserve">From an academic perspective, it has been distinguished from normal EV adoption and compared with the acceptance of foreign EV brands. The factors that mainly influence Indian customers are showing social status, brand equity, technology acceptance, and consumer trust. However, this research is also justified to find out the way in which factors increase interaction within the context of foreign EV brands and Indian consumer behaviour. The authors highlight that from 2026 to 2030, the EV adoption target in India might be 30% (Khati, 2026). This research is also justified to support the evaluation of the relationship among price consciousness, foreign EV market-entry strategies, and infrastructure-related perceptions that impact Indian consumers. </w:t>
      </w:r>
    </w:p>
    <w:p w14:paraId="18C472BD">
      <w:pPr>
        <w:rPr>
          <w:lang w:val="en-GB"/>
        </w:rPr>
      </w:pPr>
      <w:r>
        <w:rPr>
          <w:lang w:val="en-GB"/>
        </w:rPr>
        <w:t xml:space="preserve">The research is also relevant as it helps in a better understanding of customer acceptance, which can assist foreign EV manufacturers in developing appropriate market strategies. Factors such as pricing, charging infrastructure, after-sales support, battery warranties and brand trust may need to be addressed to reduce consumer uncertainty (Kale, 2026). This research therefore delivers useful insights to investigate how the foreign manufacturers seek to improve their market acceptance. This research also contributes to academic understanding of consumer behaviour and technology acceptance in India's developing EV market. </w:t>
      </w:r>
    </w:p>
    <w:p w14:paraId="43727C46">
      <w:pPr>
        <w:pStyle w:val="3"/>
        <w:rPr>
          <w:lang w:val="en-GB"/>
        </w:rPr>
      </w:pPr>
      <w:bookmarkStart w:id="12" w:name="_3e63fakhq2it" w:colFirst="0" w:colLast="0"/>
      <w:bookmarkEnd w:id="12"/>
      <w:bookmarkStart w:id="13" w:name="_Toc241218760"/>
      <w:r>
        <w:rPr>
          <w:lang w:val="en-GB"/>
        </w:rPr>
        <w:t>1.3 Problem Statement</w:t>
      </w:r>
      <w:bookmarkEnd w:id="13"/>
      <w:r>
        <w:rPr>
          <w:lang w:val="en-GB"/>
        </w:rPr>
        <w:t xml:space="preserve"> </w:t>
      </w:r>
    </w:p>
    <w:p w14:paraId="1A166B70">
      <w:pPr>
        <w:rPr>
          <w:lang w:val="en-GB"/>
        </w:rPr>
      </w:pPr>
      <w:r>
        <w:rPr>
          <w:lang w:val="en-GB"/>
        </w:rPr>
        <w:t xml:space="preserve">India's electric vehicle (EV) market is growing rapidly, generating opportunities for employment in the international automotive manufacturing industry. This has supported the industry in entering the global market. However, the growth of the EV market faces barriers in automatic translation for customer acceptance of foreign EV brands. Foreign EV manufacturers can compete with domestic EV brands such as Tata Motors and Mahindra. This benefits from brand recognition, existing customer familiarity, and established market networks (See Wei and Homer, 2025). It has been identified that the competitive environment is also considered a significant challenge for foreign EV manufacturers that are seeking to build market presence in India. As per the news report of The Economic Times, BYD targets double-digit growth by launching a premium EV in India (The Economic Times, 2026). </w:t>
      </w:r>
    </w:p>
    <w:p w14:paraId="692471A4">
      <w:pPr>
        <w:rPr>
          <w:lang w:val="en-GB"/>
        </w:rPr>
      </w:pPr>
      <w:r>
        <w:rPr>
          <w:lang w:val="en-GB"/>
        </w:rPr>
        <w:t xml:space="preserve">A key problem in the Indian EV market is that Indian customers might perceive foreign EV brands and compare them with established domestic manufacturers. The customer’s acceptance can be influenced by factors including perceived quality, brand awareness, price, consumer trust, technological usefulness, and perceived reliability. This research helps to identify that brand awareness and brand trust can influence purchase intention. In the same way, young customers have also considered technology-related perceptions and their intention to engage (Bommanavar and Malipatil, 2025). This indicates that Indian customers accept innovative products in the case of EVs However, these factors are not responsible independently; consumers may also evaluate the availability of servicing facilities, charging infrastructure, maintenance support and battery warranties. These factors have been deciding whether to purchase an unfamiliar foreign EV brand. </w:t>
      </w:r>
    </w:p>
    <w:p w14:paraId="36288522">
      <w:pPr>
        <w:rPr>
          <w:lang w:val="en-GB"/>
        </w:rPr>
      </w:pPr>
      <w:r>
        <w:rPr>
          <w:lang w:val="en-GB"/>
        </w:rPr>
        <w:t xml:space="preserve">The central research problem is that there is limited understanding of the specific factors that have strongly influenced Indian customers’ acceptance of foreign EV brands. This particular gap concerns the relationship among foreign EV market-entry strategies, Indian consumers' consciousness and infrastructure-related perceptions. </w:t>
      </w:r>
    </w:p>
    <w:p w14:paraId="4B883A0D">
      <w:pPr>
        <w:pStyle w:val="3"/>
        <w:rPr>
          <w:lang w:val="en-GB"/>
        </w:rPr>
      </w:pPr>
      <w:bookmarkStart w:id="14" w:name="_7dlftjj3jlc" w:colFirst="0" w:colLast="0"/>
      <w:bookmarkEnd w:id="14"/>
      <w:bookmarkStart w:id="15" w:name="_Toc241218761"/>
      <w:r>
        <w:rPr>
          <w:lang w:val="en-GB"/>
        </w:rPr>
        <w:t>1.4 Research aim, objectives, research questions</w:t>
      </w:r>
      <w:bookmarkEnd w:id="15"/>
      <w:r>
        <w:rPr>
          <w:lang w:val="en-GB"/>
        </w:rPr>
        <w:t xml:space="preserve"> </w:t>
      </w:r>
    </w:p>
    <w:p w14:paraId="4427D040">
      <w:pPr>
        <w:rPr>
          <w:b/>
          <w:bCs/>
          <w:i/>
          <w:iCs/>
          <w:lang w:val="en-GB"/>
        </w:rPr>
      </w:pPr>
      <w:r>
        <w:rPr>
          <w:b/>
          <w:bCs/>
          <w:i/>
          <w:iCs/>
          <w:lang w:val="en-GB"/>
        </w:rPr>
        <w:t xml:space="preserve">Research aim </w:t>
      </w:r>
    </w:p>
    <w:p w14:paraId="466D04AF">
      <w:pPr>
        <w:rPr>
          <w:lang w:val="en-GB"/>
        </w:rPr>
      </w:pPr>
      <w:r>
        <w:rPr>
          <w:lang w:val="en-GB"/>
        </w:rPr>
        <w:t>The research aims to evaluate Factors Influencing Customer Acceptance of Foreign Electric Vehicle Brands in India.</w:t>
      </w:r>
    </w:p>
    <w:p w14:paraId="5F599AD1">
      <w:pPr>
        <w:rPr>
          <w:b/>
          <w:bCs/>
          <w:i/>
          <w:iCs/>
          <w:lang w:val="en-GB"/>
        </w:rPr>
      </w:pPr>
      <w:r>
        <w:rPr>
          <w:b/>
          <w:bCs/>
          <w:i/>
          <w:iCs/>
          <w:lang w:val="en-GB"/>
        </w:rPr>
        <w:t xml:space="preserve">Research objectives </w:t>
      </w:r>
    </w:p>
    <w:p w14:paraId="0B953DB0">
      <w:pPr>
        <w:ind w:left="1080" w:hanging="360"/>
        <w:rPr>
          <w:lang w:val="en-GB"/>
        </w:rPr>
      </w:pPr>
      <w:r>
        <w:rPr>
          <w:lang w:val="en-GB"/>
        </w:rPr>
        <w:t>●</w:t>
      </w:r>
      <w:r>
        <w:rPr>
          <w:sz w:val="14"/>
          <w:szCs w:val="14"/>
          <w:lang w:val="en-GB"/>
        </w:rPr>
        <w:t xml:space="preserve"> </w:t>
      </w:r>
      <w:r>
        <w:rPr>
          <w:lang w:val="en-GB"/>
        </w:rPr>
        <w:t>To examine the factors impacting Customer Acceptance of Foreign Electric Vehicle Brands in India</w:t>
      </w:r>
    </w:p>
    <w:p w14:paraId="776C42C7">
      <w:pPr>
        <w:ind w:left="1080" w:hanging="360"/>
        <w:rPr>
          <w:lang w:val="en-GB"/>
        </w:rPr>
      </w:pPr>
      <w:r>
        <w:rPr>
          <w:lang w:val="en-GB"/>
        </w:rPr>
        <w:t>●To analyse the reasons behind developing purchasing intentions for Foreign Electric Vehicle Brands in India</w:t>
      </w:r>
    </w:p>
    <w:p w14:paraId="0F4AD531">
      <w:pPr>
        <w:ind w:left="1080" w:hanging="360"/>
        <w:rPr>
          <w:lang w:val="en-GB"/>
        </w:rPr>
      </w:pPr>
      <w:r>
        <w:rPr>
          <w:lang w:val="en-GB"/>
        </w:rPr>
        <w:t>●</w:t>
      </w:r>
      <w:r>
        <w:rPr>
          <w:sz w:val="14"/>
          <w:szCs w:val="14"/>
          <w:lang w:val="en-GB"/>
        </w:rPr>
        <w:t xml:space="preserve"> </w:t>
      </w:r>
      <w:r>
        <w:rPr>
          <w:lang w:val="en-GB"/>
        </w:rPr>
        <w:t>To find out the issues based on the penetration into the Indian market by Foreign Electric Vehicle Brands</w:t>
      </w:r>
    </w:p>
    <w:p w14:paraId="44E166E2">
      <w:pPr>
        <w:ind w:left="1080" w:hanging="360"/>
        <w:rPr>
          <w:lang w:val="en-GB"/>
        </w:rPr>
      </w:pPr>
      <w:r>
        <w:rPr>
          <w:lang w:val="en-GB"/>
        </w:rPr>
        <w:t>●</w:t>
      </w:r>
      <w:r>
        <w:rPr>
          <w:sz w:val="14"/>
          <w:szCs w:val="14"/>
          <w:lang w:val="en-GB"/>
        </w:rPr>
        <w:t xml:space="preserve"> </w:t>
      </w:r>
      <w:r>
        <w:rPr>
          <w:lang w:val="en-GB"/>
        </w:rPr>
        <w:t>To recommend feasible strategies through which the acceptance of foreign electric vehicle brands can be developed in India</w:t>
      </w:r>
    </w:p>
    <w:p w14:paraId="1634BAC7">
      <w:pPr>
        <w:rPr>
          <w:b/>
          <w:bCs/>
          <w:i/>
          <w:iCs/>
          <w:lang w:val="en-GB"/>
        </w:rPr>
      </w:pPr>
      <w:r>
        <w:rPr>
          <w:b/>
          <w:bCs/>
          <w:i/>
          <w:iCs/>
          <w:lang w:val="en-GB"/>
        </w:rPr>
        <w:t xml:space="preserve">Research questions </w:t>
      </w:r>
    </w:p>
    <w:p w14:paraId="7FEE337D">
      <w:pPr>
        <w:ind w:left="720" w:hanging="360"/>
        <w:rPr>
          <w:lang w:val="en-GB"/>
        </w:rPr>
      </w:pPr>
      <w:r>
        <w:rPr>
          <w:lang w:val="en-GB"/>
        </w:rPr>
        <w:t>1</w:t>
      </w:r>
      <w:r>
        <w:rPr>
          <w:sz w:val="14"/>
          <w:szCs w:val="14"/>
          <w:lang w:val="en-GB"/>
        </w:rPr>
        <w:t xml:space="preserve">   </w:t>
      </w:r>
      <w:r>
        <w:rPr>
          <w:sz w:val="14"/>
          <w:szCs w:val="14"/>
          <w:lang w:val="en-GB"/>
        </w:rPr>
        <w:tab/>
      </w:r>
      <w:r>
        <w:rPr>
          <w:lang w:val="en-GB"/>
        </w:rPr>
        <w:t>What factor influence Indian consumers' acceptance of foreign electric vehicle brands?</w:t>
      </w:r>
    </w:p>
    <w:p w14:paraId="703A4263">
      <w:pPr>
        <w:ind w:left="720" w:hanging="360"/>
        <w:rPr>
          <w:lang w:val="en-GB"/>
        </w:rPr>
      </w:pPr>
      <w:r>
        <w:rPr>
          <w:lang w:val="en-GB"/>
        </w:rPr>
        <w:t>2</w:t>
      </w:r>
      <w:r>
        <w:rPr>
          <w:sz w:val="14"/>
          <w:szCs w:val="14"/>
          <w:lang w:val="en-GB"/>
        </w:rPr>
        <w:t xml:space="preserve">   </w:t>
      </w:r>
      <w:r>
        <w:rPr>
          <w:sz w:val="14"/>
          <w:szCs w:val="14"/>
          <w:lang w:val="en-GB"/>
        </w:rPr>
        <w:tab/>
      </w:r>
      <w:r>
        <w:rPr>
          <w:lang w:val="en-GB"/>
        </w:rPr>
        <w:t>What are the reasons behind developing purchasing intentions for Foreign Electric Vehicle Brands in India?</w:t>
      </w:r>
    </w:p>
    <w:p w14:paraId="0611B319">
      <w:pPr>
        <w:ind w:left="720" w:hanging="360"/>
        <w:rPr>
          <w:lang w:val="en-GB"/>
        </w:rPr>
      </w:pPr>
      <w:r>
        <w:rPr>
          <w:lang w:val="en-GB"/>
        </w:rPr>
        <w:t>3</w:t>
      </w:r>
      <w:r>
        <w:rPr>
          <w:sz w:val="14"/>
          <w:szCs w:val="14"/>
          <w:lang w:val="en-GB"/>
        </w:rPr>
        <w:t xml:space="preserve">   </w:t>
      </w:r>
      <w:r>
        <w:rPr>
          <w:sz w:val="14"/>
          <w:szCs w:val="14"/>
          <w:lang w:val="en-GB"/>
        </w:rPr>
        <w:tab/>
      </w:r>
      <w:r>
        <w:rPr>
          <w:lang w:val="en-GB"/>
        </w:rPr>
        <w:t>What are the issues based on penetrating the Indian market by Foreign Electric Vehicle Brands?</w:t>
      </w:r>
    </w:p>
    <w:p w14:paraId="7010858B">
      <w:pPr>
        <w:ind w:left="720" w:hanging="360"/>
        <w:rPr>
          <w:lang w:val="en-GB"/>
        </w:rPr>
      </w:pPr>
      <w:r>
        <w:rPr>
          <w:lang w:val="en-GB"/>
        </w:rPr>
        <w:t>4. What are the feasible strategies through which acceptance for Foreign Electric Vehicle Brands can be developed in India?</w:t>
      </w:r>
    </w:p>
    <w:p w14:paraId="44E01FEE">
      <w:pPr>
        <w:pStyle w:val="3"/>
        <w:rPr>
          <w:lang w:val="en-GB"/>
        </w:rPr>
      </w:pPr>
      <w:bookmarkStart w:id="16" w:name="_vw51k8lpc784" w:colFirst="0" w:colLast="0"/>
      <w:bookmarkEnd w:id="16"/>
      <w:bookmarkStart w:id="17" w:name="_Toc241218762"/>
      <w:r>
        <w:rPr>
          <w:lang w:val="en-GB"/>
        </w:rPr>
        <w:t>1.5 Research significance</w:t>
      </w:r>
      <w:bookmarkEnd w:id="17"/>
      <w:r>
        <w:rPr>
          <w:lang w:val="en-GB"/>
        </w:rPr>
        <w:t xml:space="preserve"> </w:t>
      </w:r>
    </w:p>
    <w:p w14:paraId="6535BFCE">
      <w:pPr>
        <w:rPr>
          <w:lang w:val="en-GB"/>
        </w:rPr>
      </w:pPr>
      <w:r>
        <w:rPr>
          <w:lang w:val="en-GB"/>
        </w:rPr>
        <w:t xml:space="preserve">This research is highly significant in the context of EV practices, as it examines Indian customers’ acceptance of foreign electric vehicle (EV) brands. This foreign market growth is rapidly developing the Indian automobile market. This research helps to identify those foreign manufacturers struggle in a highly competitive market against established domestic brands, particularly Tata Motors and Mahindra. This has supported strong market positions, where consumers are relatively focused on value and brand loyalty. </w:t>
      </w:r>
    </w:p>
    <w:p w14:paraId="5A0C3393">
      <w:pPr>
        <w:rPr>
          <w:lang w:val="en-GB"/>
        </w:rPr>
      </w:pPr>
      <w:r>
        <w:rPr>
          <w:lang w:val="en-GB"/>
        </w:rPr>
        <w:t xml:space="preserve">From an academic perspective, the research is heavily linked to existing literature by bringing together technological, consumer-focused, and market-related factors. These factors strongly affect foreign EV acceptance among Indian customers (Higueras-Castillo </w:t>
      </w:r>
      <w:r>
        <w:rPr>
          <w:i/>
          <w:iCs/>
          <w:lang w:val="en-GB"/>
        </w:rPr>
        <w:t>et al.,</w:t>
      </w:r>
      <w:r>
        <w:rPr>
          <w:lang w:val="en-GB"/>
        </w:rPr>
        <w:t xml:space="preserve"> 2024). This research mainly focuses on identifying price, infrastructure and brand trust as important variables and their contribution to foreign EV market-entry strategies. These have been strongly connected with the infrastructure-related perceptions and price consciousness of Indian consumers. </w:t>
      </w:r>
    </w:p>
    <w:p w14:paraId="21238444">
      <w:pPr>
        <w:rPr>
          <w:lang w:val="en-GB"/>
        </w:rPr>
      </w:pPr>
      <w:r>
        <w:rPr>
          <w:lang w:val="en-GB"/>
        </w:rPr>
        <w:t xml:space="preserve">From a practical perspective, the findings may help foreign EV manufacturers to understand why Indian consumers may accept or reject foreign EV products. Issues relating to after-sales service, battery warranties, dealership networks, and servicing infrastructure are highly relevant to foreign EV market penetration (Feng </w:t>
      </w:r>
      <w:r>
        <w:rPr>
          <w:i/>
          <w:iCs/>
          <w:lang w:val="en-GB"/>
        </w:rPr>
        <w:t>et al.,</w:t>
      </w:r>
      <w:r>
        <w:rPr>
          <w:lang w:val="en-GB"/>
        </w:rPr>
        <w:t xml:space="preserve"> 2025). </w:t>
      </w:r>
    </w:p>
    <w:p w14:paraId="6A95F3D3">
      <w:pPr>
        <w:rPr>
          <w:lang w:val="en-GB"/>
        </w:rPr>
      </w:pPr>
      <w:r>
        <w:rPr>
          <w:lang w:val="en-GB"/>
        </w:rPr>
        <w:t>The research significance also considers policymakers and industry stakeholders</w:t>
      </w:r>
      <w:r>
        <w:rPr>
          <w:b/>
          <w:bCs/>
          <w:lang w:val="en-GB"/>
        </w:rPr>
        <w:t xml:space="preserve"> </w:t>
      </w:r>
      <w:r>
        <w:rPr>
          <w:lang w:val="en-GB"/>
        </w:rPr>
        <w:t xml:space="preserve">by identifying consumer-related barriers to wider foreign EV adoption. Overall, this study delivers a more context-specific understanding of customer acceptance and contributes to knowledge about the growth of India's increasingly competitive EV market. </w:t>
      </w:r>
    </w:p>
    <w:p w14:paraId="15B7DEAA">
      <w:pPr>
        <w:pStyle w:val="3"/>
        <w:rPr>
          <w:lang w:val="en-GB"/>
        </w:rPr>
      </w:pPr>
      <w:bookmarkStart w:id="18" w:name="_hxk6vzhygblf" w:colFirst="0" w:colLast="0"/>
      <w:bookmarkEnd w:id="18"/>
      <w:bookmarkStart w:id="19" w:name="_Toc241218763"/>
      <w:r>
        <w:rPr>
          <w:lang w:val="en-GB"/>
        </w:rPr>
        <w:t>1.6 Theoretical framework</w:t>
      </w:r>
      <w:bookmarkEnd w:id="19"/>
      <w:r>
        <w:rPr>
          <w:lang w:val="en-GB"/>
        </w:rPr>
        <w:t xml:space="preserve"> </w:t>
      </w:r>
    </w:p>
    <w:p w14:paraId="49E5E0A5">
      <w:pPr>
        <w:rPr>
          <w:lang w:val="en-GB"/>
        </w:rPr>
      </w:pPr>
      <w:r>
        <w:rPr>
          <w:lang w:val="en-GB"/>
        </w:rPr>
        <w:t xml:space="preserve">The theoretical framework supports explaining the reasons why Indian consumers may accept or reject foreign EV brands. This research primarily draws on the Unified Theory of Acceptance and Use of Technology (UTAUT) and the Technology Acceptance Model (TAM). In this context, TAM is relevant for understanding the way consumers assess the usability and usefulness of EV technology (Musa </w:t>
      </w:r>
      <w:r>
        <w:rPr>
          <w:i/>
          <w:iCs/>
          <w:lang w:val="en-GB"/>
        </w:rPr>
        <w:t>et al</w:t>
      </w:r>
      <w:r>
        <w:rPr>
          <w:lang w:val="en-GB"/>
        </w:rPr>
        <w:t xml:space="preserve">., 2024). In contrast, UTAUT delivers a broader explanation by identifying factors such as price, social influence, and facilitating conditions (Mensah and Khan, 2024). TAM help to explain how consumers' perceptions of technological usefulness influence Indian customers' acceptance, whereas UTAUT can help to assess the roles of social influences. These are highly facilitating conditions such as infrastructure and growth. These theories have been used alongside variables through the literature review, covering perceived product quality and price, to support examining customer acceptance of foreign EV brands in India. </w:t>
      </w:r>
    </w:p>
    <w:p w14:paraId="12E7FF53">
      <w:pPr>
        <w:pStyle w:val="3"/>
        <w:rPr>
          <w:lang w:val="en-GB"/>
        </w:rPr>
      </w:pPr>
      <w:bookmarkStart w:id="20" w:name="_b65uopqsqn9m" w:colFirst="0" w:colLast="0"/>
      <w:bookmarkEnd w:id="20"/>
      <w:bookmarkStart w:id="21" w:name="_Toc241218764"/>
      <w:r>
        <w:rPr>
          <w:lang w:val="en-GB"/>
        </w:rPr>
        <w:t>1.7 Dissertation structure</w:t>
      </w:r>
      <w:bookmarkEnd w:id="21"/>
      <w:r>
        <w:rPr>
          <w:lang w:val="en-GB"/>
        </w:rPr>
        <w:t xml:space="preserve"> </w:t>
      </w:r>
    </w:p>
    <w:p w14:paraId="693ABD69">
      <w:pPr>
        <w:spacing w:before="240" w:after="240"/>
        <w:rPr>
          <w:lang w:val="en-GB"/>
        </w:rPr>
      </w:pPr>
      <w:r>
        <w:rPr>
          <w:lang w:val="en-GB"/>
        </w:rPr>
        <w:t xml:space="preserve">The dissertation has been conducted through five chapters. Chapter 1 mainly introduces the research topic by covering background, problem statement, research aim and objectives, research questions and theoretical framework. Chapter 2 comprises a critical review focusing on the existing literature on consumer acceptance of foreign EV brands. Chapter 3 explains the process of data collection, including the secondary research approach and thematic analysis. Chapter 4 presents the secondary data findings based on selected data sources and analysed by creating themes. Chapter 5 focuses on the discussion of the findings in relation to the research objectives and theoretical framework. Chapter 5 concludes the dissertation by summarising the key findings and presenting practical recommendations. </w:t>
      </w:r>
    </w:p>
    <w:p w14:paraId="0D815012">
      <w:pPr>
        <w:spacing w:before="240" w:after="240"/>
        <w:jc w:val="center"/>
        <w:rPr>
          <w:lang w:val="en-GB"/>
        </w:rPr>
      </w:pPr>
      <w:r>
        <w:rPr>
          <w:lang w:val="en-GB" w:eastAsia="en-GB"/>
        </w:rPr>
        <w:drawing>
          <wp:inline distT="0" distB="0" distL="0" distR="0">
            <wp:extent cx="5486400" cy="3200400"/>
            <wp:effectExtent l="0" t="0" r="19050" b="0"/>
            <wp:docPr id="59532561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4E97DBC">
      <w:pPr>
        <w:pStyle w:val="5"/>
        <w:rPr>
          <w:lang w:val="en-GB"/>
        </w:rPr>
      </w:pPr>
      <w:bookmarkStart w:id="22" w:name="_Toc238759262"/>
      <w:r>
        <w:rPr>
          <w:lang w:val="en-GB"/>
        </w:rPr>
        <w:t>Figure 1.3: Dissertation structure</w:t>
      </w:r>
      <w:bookmarkEnd w:id="22"/>
    </w:p>
    <w:p w14:paraId="7C895BCD">
      <w:pPr>
        <w:spacing w:before="240" w:after="240"/>
        <w:jc w:val="center"/>
        <w:rPr>
          <w:lang w:val="en-GB"/>
        </w:rPr>
      </w:pPr>
      <w:r>
        <w:rPr>
          <w:lang w:val="en-GB"/>
        </w:rPr>
        <w:t>(Source: Self-develop)</w:t>
      </w:r>
    </w:p>
    <w:p w14:paraId="3C93C4C1">
      <w:pPr>
        <w:spacing w:line="259" w:lineRule="auto"/>
        <w:jc w:val="left"/>
        <w:rPr>
          <w:rFonts w:eastAsiaTheme="majorEastAsia" w:cstheme="majorBidi"/>
          <w:b/>
          <w:color w:val="000000" w:themeColor="text1"/>
          <w:sz w:val="28"/>
          <w:szCs w:val="32"/>
          <w14:textFill>
            <w14:solidFill>
              <w14:schemeClr w14:val="tx1"/>
            </w14:solidFill>
          </w14:textFill>
        </w:rPr>
      </w:pPr>
      <w:r>
        <w:br w:type="page"/>
      </w:r>
    </w:p>
    <w:p w14:paraId="0BEFEE91">
      <w:pPr>
        <w:pStyle w:val="2"/>
      </w:pPr>
      <w:bookmarkStart w:id="23" w:name="_Toc241218765"/>
      <w:r>
        <w:t>Chapter 2: Literature Review</w:t>
      </w:r>
      <w:bookmarkEnd w:id="23"/>
      <w:r>
        <w:t xml:space="preserve"> </w:t>
      </w:r>
    </w:p>
    <w:p w14:paraId="0E9FEAF9">
      <w:pPr>
        <w:pStyle w:val="3"/>
      </w:pPr>
      <w:bookmarkStart w:id="24" w:name="_Toc241218766"/>
      <w:r>
        <w:t>2.1 Introduction</w:t>
      </w:r>
      <w:bookmarkEnd w:id="24"/>
      <w:r>
        <w:t xml:space="preserve"> </w:t>
      </w:r>
    </w:p>
    <w:p w14:paraId="28061213">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The global transition towards sustainable mobility has increased demand for electric vehicles nowadays. It has become a core strategy for managing modern transportation by reducing carbon emissions and dependence on fossil fuels. For example, in India, the automotive sector is undergoing rapid transformation, driven by a range of sustainable government policies and rapidly changing consumer purchasing habits. However, while domestic manufacturers can manage their market position, but certain foreign EV brands face acute market friction in the Indian market to establish their business base. From this point of view, this literature review has evaluated a range of theoretical and empirical studies based on the acceptance of foreign EV brands in India. For this purpose, the Technology Acceptance Model (TAM) and the Unified Theory of Acceptance and Use of Technology (UTAUT) are taken into consideration. Along with this, this chapter has identified related structural barriers, penetration issues, as well as previous studies' gaps, developing a culminating conceptual framework to develop a succinct study. </w:t>
      </w:r>
    </w:p>
    <w:p w14:paraId="0BF01E8C">
      <w:pPr>
        <w:pStyle w:val="3"/>
      </w:pPr>
      <w:bookmarkStart w:id="25" w:name="_Toc241218767"/>
      <w:r>
        <w:t>2.2 Trends of using EVs throughout the globe</w:t>
      </w:r>
      <w:bookmarkEnd w:id="25"/>
      <w:r>
        <w:t xml:space="preserve"> </w:t>
      </w:r>
    </w:p>
    <w:p w14:paraId="15D0AAD1">
      <w:pPr>
        <w:rPr>
          <w:rFonts w:ascii="Geist Fallback" w:hAnsi="Geist Fallback"/>
          <w:szCs w:val="24"/>
        </w:rPr>
      </w:pPr>
      <w:r>
        <w:rPr>
          <w:rStyle w:val="24"/>
          <w:rFonts w:ascii="Geist Fallback" w:hAnsi="Geist Fallback"/>
          <w:szCs w:val="24"/>
        </w:rPr>
        <w:t>An analysis of international market trends shows a bipolar world dominated by China, Europe and the United States, plus a universal transformation in charging networks and power electronics technologies.</w:t>
      </w:r>
      <w:r>
        <w:rPr>
          <w:rFonts w:ascii="Geist Fallback" w:hAnsi="Geist Fallback"/>
          <w:szCs w:val="24"/>
        </w:rPr>
        <w:t xml:space="preserve"> </w:t>
      </w:r>
      <w:r>
        <w:rPr>
          <w:rStyle w:val="24"/>
          <w:rFonts w:ascii="Geist Fallback" w:hAnsi="Geist Fallback"/>
          <w:szCs w:val="24"/>
        </w:rPr>
        <w:t>China is seen as a leader in manufacturing aggressiveness and policy support in the country, while European markets focus on strong carbon reduction targets, and USA markets are the ones that are growing steadily, with strong policy support.</w:t>
      </w:r>
      <w:r>
        <w:rPr>
          <w:rFonts w:ascii="Geist Fallback" w:hAnsi="Geist Fallback"/>
          <w:szCs w:val="24"/>
        </w:rPr>
        <w:t xml:space="preserve"> </w:t>
      </w:r>
      <w:r>
        <w:rPr>
          <w:rStyle w:val="24"/>
          <w:rFonts w:ascii="Geist Fallback" w:hAnsi="Geist Fallback"/>
          <w:szCs w:val="24"/>
        </w:rPr>
        <w:t xml:space="preserve">In this aspect, Akinsooto </w:t>
      </w:r>
      <w:r>
        <w:rPr>
          <w:rStyle w:val="24"/>
          <w:rFonts w:ascii="Geist Fallback" w:hAnsi="Geist Fallback"/>
          <w:i/>
          <w:szCs w:val="24"/>
        </w:rPr>
        <w:t xml:space="preserve">et al.  </w:t>
      </w:r>
      <w:r>
        <w:rPr>
          <w:rStyle w:val="24"/>
          <w:rFonts w:ascii="Geist Fallback" w:hAnsi="Geist Fallback"/>
          <w:szCs w:val="24"/>
        </w:rPr>
        <w:t xml:space="preserve"> (2025) highlighted that in each of these major zones, the shift towards vehicle electrification extends beyond the realm of luxury passenger vehicles to include a wider range of vehicular fleets, commercial transit, and multi-category electric mobility.</w:t>
      </w:r>
      <w:r>
        <w:rPr>
          <w:rFonts w:ascii="Geist Fallback" w:hAnsi="Geist Fallback"/>
          <w:szCs w:val="24"/>
        </w:rPr>
        <w:t xml:space="preserve"> </w:t>
      </w:r>
      <w:r>
        <w:rPr>
          <w:rStyle w:val="24"/>
          <w:rFonts w:ascii="Geist Fallback" w:hAnsi="Geist Fallback"/>
          <w:szCs w:val="24"/>
        </w:rPr>
        <w:t>Technological evolution is one of the bases for this global evolution.</w:t>
      </w:r>
      <w:r>
        <w:rPr>
          <w:rFonts w:ascii="Geist Fallback" w:hAnsi="Geist Fallback"/>
          <w:szCs w:val="24"/>
        </w:rPr>
        <w:t xml:space="preserve"> </w:t>
      </w:r>
      <w:r>
        <w:rPr>
          <w:rStyle w:val="24"/>
          <w:rFonts w:ascii="Geist Fallback" w:hAnsi="Geist Fallback"/>
          <w:szCs w:val="24"/>
        </w:rPr>
        <w:t xml:space="preserve">Gnanavendan </w:t>
      </w:r>
      <w:r>
        <w:rPr>
          <w:rStyle w:val="24"/>
          <w:rFonts w:ascii="Geist Fallback" w:hAnsi="Geist Fallback"/>
          <w:i/>
          <w:szCs w:val="24"/>
        </w:rPr>
        <w:t xml:space="preserve">et al.  </w:t>
      </w:r>
      <w:r>
        <w:rPr>
          <w:rStyle w:val="24"/>
          <w:rFonts w:ascii="Geist Fallback" w:hAnsi="Geist Fallback"/>
          <w:szCs w:val="24"/>
        </w:rPr>
        <w:t xml:space="preserve"> (2024) considered the critical future trends of EV technology, focusing on the ability to overcome key operational hurdles by improving high-efficiency drivetrains, battery management systems, and thermal stability.</w:t>
      </w:r>
      <w:r>
        <w:rPr>
          <w:rFonts w:ascii="Geist Fallback" w:hAnsi="Geist Fallback"/>
          <w:szCs w:val="24"/>
        </w:rPr>
        <w:t xml:space="preserve"> </w:t>
      </w:r>
    </w:p>
    <w:p w14:paraId="0135D21F">
      <w:pPr>
        <w:rPr>
          <w:rFonts w:cs="Times New Roman"/>
          <w:b/>
          <w:szCs w:val="24"/>
        </w:rPr>
      </w:pPr>
      <w:r>
        <w:rPr>
          <w:rStyle w:val="24"/>
          <w:rFonts w:ascii="Geist Fallback" w:hAnsi="Geist Fallback"/>
          <w:szCs w:val="24"/>
        </w:rPr>
        <w:t>These basic engineering advancements go to the heart of driving range and reliability in every geography and region, thus delivering a response to consumer uncertainty around range.</w:t>
      </w:r>
      <w:r>
        <w:rPr>
          <w:rFonts w:ascii="Geist Fallback" w:hAnsi="Geist Fallback"/>
          <w:szCs w:val="24"/>
        </w:rPr>
        <w:t xml:space="preserve"> </w:t>
      </w:r>
      <w:r>
        <w:rPr>
          <w:rStyle w:val="24"/>
          <w:rFonts w:ascii="Geist Fallback" w:hAnsi="Geist Fallback"/>
          <w:szCs w:val="24"/>
        </w:rPr>
        <w:t>At the same time, the ability to scale up is a fundamental aspect of global EV expansion.</w:t>
      </w:r>
      <w:r>
        <w:rPr>
          <w:rFonts w:ascii="Geist Fallback" w:hAnsi="Geist Fallback"/>
          <w:szCs w:val="24"/>
        </w:rPr>
        <w:t xml:space="preserve"> </w:t>
      </w:r>
      <w:r>
        <w:rPr>
          <w:rStyle w:val="24"/>
          <w:rFonts w:ascii="Geist Fallback" w:hAnsi="Geist Fallback"/>
          <w:szCs w:val="24"/>
        </w:rPr>
        <w:t>Alsharif (2025) showed that there is a transition towards high-power fast charging networks, smart grid integration and standardised interoperability protocols across the globe.</w:t>
      </w:r>
      <w:r>
        <w:rPr>
          <w:rFonts w:ascii="Geist Fallback" w:hAnsi="Geist Fallback"/>
          <w:szCs w:val="24"/>
        </w:rPr>
        <w:t xml:space="preserve"> </w:t>
      </w:r>
      <w:r>
        <w:rPr>
          <w:rStyle w:val="24"/>
          <w:rFonts w:ascii="Geist Fallback" w:hAnsi="Geist Fallback"/>
          <w:szCs w:val="24"/>
        </w:rPr>
        <w:t>However, infrastructure deployment can serve two purposes, such as increasing the public charging station network can balance high V2C ratios in rapidly expanding districts, and smart charging strategies can reduce possible peak load impacts on a regional grid (Alsharif, 2025).</w:t>
      </w:r>
      <w:r>
        <w:rPr>
          <w:rFonts w:ascii="Geist Fallback" w:hAnsi="Geist Fallback"/>
          <w:szCs w:val="24"/>
        </w:rPr>
        <w:t xml:space="preserve"> </w:t>
      </w:r>
      <w:r>
        <w:rPr>
          <w:rStyle w:val="24"/>
          <w:rFonts w:ascii="Geist Fallback" w:hAnsi="Geist Fallback"/>
          <w:szCs w:val="24"/>
        </w:rPr>
        <w:t xml:space="preserve">Together, these sources offer a roadmap for a global EV market that will see continued progress in vehicle adoption (Akinsooto </w:t>
      </w:r>
      <w:r>
        <w:rPr>
          <w:rStyle w:val="24"/>
          <w:rFonts w:ascii="Geist Fallback" w:hAnsi="Geist Fallback"/>
          <w:i/>
          <w:szCs w:val="24"/>
        </w:rPr>
        <w:t xml:space="preserve">et al.  </w:t>
      </w:r>
      <w:r>
        <w:rPr>
          <w:rStyle w:val="24"/>
          <w:rFonts w:ascii="Geist Fallback" w:hAnsi="Geist Fallback"/>
          <w:szCs w:val="24"/>
        </w:rPr>
        <w:t xml:space="preserve"> 2025), infrastructure ecosystems (Alsharif, 2025) and regional market maturation (Khaleel </w:t>
      </w:r>
      <w:r>
        <w:rPr>
          <w:rStyle w:val="24"/>
          <w:rFonts w:ascii="Geist Fallback" w:hAnsi="Geist Fallback"/>
          <w:i/>
          <w:szCs w:val="24"/>
        </w:rPr>
        <w:t xml:space="preserve">et al.  </w:t>
      </w:r>
      <w:r>
        <w:rPr>
          <w:rStyle w:val="24"/>
          <w:rFonts w:ascii="Geist Fallback" w:hAnsi="Geist Fallback"/>
          <w:szCs w:val="24"/>
        </w:rPr>
        <w:t xml:space="preserve"> 2024), all while remaining in harmony with the advancement of core power electronics innovations (Gnanavendan </w:t>
      </w:r>
      <w:r>
        <w:rPr>
          <w:rStyle w:val="24"/>
          <w:rFonts w:ascii="Geist Fallback" w:hAnsi="Geist Fallback"/>
          <w:i/>
          <w:szCs w:val="24"/>
        </w:rPr>
        <w:t xml:space="preserve">et al.  </w:t>
      </w:r>
      <w:r>
        <w:rPr>
          <w:rStyle w:val="24"/>
          <w:rFonts w:ascii="Geist Fallback" w:hAnsi="Geist Fallback"/>
          <w:szCs w:val="24"/>
        </w:rPr>
        <w:t xml:space="preserve"> 2024).</w:t>
      </w:r>
    </w:p>
    <w:p w14:paraId="08CA999A">
      <w:pPr>
        <w:pStyle w:val="3"/>
      </w:pPr>
      <w:bookmarkStart w:id="26" w:name="_Toc241218768"/>
      <w:r>
        <w:t>2.3 Aligning theories and models</w:t>
      </w:r>
      <w:bookmarkEnd w:id="26"/>
    </w:p>
    <w:p w14:paraId="5F734E1C">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Application of proper theoretical frameworks is necessary to understand how consumer acceptance of foreign electric vehicle brands is assessed through understanding their applicability, strength and contextual boundaries. As mentioned by Lee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the </w:t>
      </w:r>
      <w:r>
        <w:rPr>
          <w:rFonts w:cs="Times New Roman"/>
          <w:i/>
          <w:color w:val="000000" w:themeColor="text1"/>
          <w14:textFill>
            <w14:solidFill>
              <w14:schemeClr w14:val="tx1"/>
            </w14:solidFill>
          </w14:textFill>
        </w:rPr>
        <w:t>Technology Acceptance Model</w:t>
      </w:r>
      <w:r>
        <w:rPr>
          <w:rFonts w:cs="Times New Roman"/>
          <w:color w:val="000000" w:themeColor="text1"/>
          <w14:textFill>
            <w14:solidFill>
              <w14:schemeClr w14:val="tx1"/>
            </w14:solidFill>
          </w14:textFill>
        </w:rPr>
        <w:t xml:space="preserve"> acts as a foundational paradigm, considering the mode of adopting technology and perceived usefulness and perceived ease of use. In terms of aligning with automobile innovation, PEOU is effective in understanding the operational mode of automated features, digital interfaces and charging software. On the other hand, PU is based on understanding the utility metrics, such as driving range, battery efficiency as well as long-term cost reduction. However, the discussion by Lee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appears crucial to emphasise TAM’s inherent parsimony along with analytical limitations when applied to high-involvement, capital-intensive consumer purchases. Depending on micro-level cognitive evaluation can be a limitation for understanding the multi-attribute nature of vehicle acquisition. </w:t>
      </w:r>
    </w:p>
    <w:p w14:paraId="6588711B">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As per the words of Xue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to explain the applicability of TAM theory, it is stated that researchers rely on discussing the unified theory of acceptance and the use of technology framework critically. In this regard, the discussion by Xue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and Yang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highlighted that UTAUT introduces core pillars, such as Performance Expectancy, Effort Expectancy, Social Influence and Facilitating Conditions. In the context of managing foreign EV entry in India, an approach to adapt </w:t>
      </w:r>
      <w:r>
        <w:rPr>
          <w:rFonts w:cs="Times New Roman"/>
          <w:color w:val="000000" w:themeColor="text1"/>
          <w14:textFill>
            <w14:solidFill>
              <w14:schemeClr w14:val="tx1"/>
            </w14:solidFill>
          </w14:textFill>
        </w:rPr>
        <w:t>high performance</w:t>
      </w:r>
      <w:r>
        <w:rPr>
          <w:rFonts w:cs="Times New Roman"/>
          <w:color w:val="000000" w:themeColor="text1"/>
          <w14:textFill>
            <w14:solidFill>
              <w14:schemeClr w14:val="tx1"/>
            </w14:solidFill>
          </w14:textFill>
        </w:rPr>
        <w:t xml:space="preserve"> expectancy is necessary. In this regard, Wei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and Yang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mentioned that the adoption of superior technology helps manage consumer adoption contingent and developing a charging network with local service accessibility in India. Along with this, the concept of UTAUT is effective in highlighting the price value and hedonic motivation to showcase dimensions for evaluating </w:t>
      </w:r>
      <w:r>
        <w:rPr>
          <w:rFonts w:cs="Times New Roman"/>
          <w:color w:val="000000" w:themeColor="text1"/>
          <w14:textFill>
            <w14:solidFill>
              <w14:schemeClr w14:val="tx1"/>
            </w14:solidFill>
          </w14:textFill>
        </w:rPr>
        <w:t xml:space="preserve">foreign entrants competing against existing dominant domestic automobile entities (Wei </w:t>
      </w:r>
      <w:r>
        <w:rPr>
          <w:rFonts w:cs="Times New Roman"/>
          <w:i/>
          <w:color w:val="000000" w:themeColor="text1"/>
          <w14:textFill>
            <w14:solidFill>
              <w14:schemeClr w14:val="tx1"/>
            </w14:solidFill>
          </w14:textFill>
        </w:rPr>
        <w:t>et al.  ,</w:t>
      </w:r>
      <w:r>
        <w:rPr>
          <w:rFonts w:cs="Times New Roman"/>
          <w:color w:val="000000" w:themeColor="text1"/>
          <w14:textFill>
            <w14:solidFill>
              <w14:schemeClr w14:val="tx1"/>
            </w14:solidFill>
          </w14:textFill>
        </w:rPr>
        <w:t xml:space="preserve"> 2024). </w:t>
      </w:r>
    </w:p>
    <w:p w14:paraId="3E6814BE">
      <w:pPr>
        <w:jc w:val="center"/>
        <w:rPr>
          <w:rFonts w:cs="Times New Roman"/>
          <w:color w:val="000000" w:themeColor="text1"/>
          <w14:textFill>
            <w14:solidFill>
              <w14:schemeClr w14:val="tx1"/>
            </w14:solidFill>
          </w14:textFill>
        </w:rPr>
      </w:pPr>
      <w:r>
        <w:rPr>
          <w:lang w:val="en-GB" w:eastAsia="en-GB"/>
        </w:rPr>
        <w:drawing>
          <wp:inline distT="0" distB="0" distL="0" distR="0">
            <wp:extent cx="5731510" cy="29133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3"/>
                    <a:stretch>
                      <a:fillRect/>
                    </a:stretch>
                  </pic:blipFill>
                  <pic:spPr>
                    <a:xfrm>
                      <a:off x="0" y="0"/>
                      <a:ext cx="5731510" cy="2913380"/>
                    </a:xfrm>
                    <a:prstGeom prst="rect">
                      <a:avLst/>
                    </a:prstGeom>
                  </pic:spPr>
                </pic:pic>
              </a:graphicData>
            </a:graphic>
          </wp:inline>
        </w:drawing>
      </w:r>
    </w:p>
    <w:p w14:paraId="39F08122">
      <w:pPr>
        <w:pStyle w:val="5"/>
      </w:pPr>
      <w:bookmarkStart w:id="27" w:name="_Toc238759263"/>
      <w:r>
        <w:t>Figure 2.1: TAM</w:t>
      </w:r>
      <w:bookmarkEnd w:id="27"/>
    </w:p>
    <w:p w14:paraId="5A96D376">
      <w:pPr>
        <w:jc w:val="cente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(Source: </w:t>
      </w:r>
      <w:r>
        <w:rPr>
          <w:rFonts w:cs="Times New Roman"/>
          <w:color w:val="222222"/>
          <w:szCs w:val="24"/>
          <w:shd w:val="clear" w:color="auto" w:fill="FFFFFF"/>
        </w:rPr>
        <w:t xml:space="preserve">Mugo </w:t>
      </w:r>
      <w:r>
        <w:rPr>
          <w:rFonts w:cs="Times New Roman"/>
          <w:i/>
          <w:color w:val="222222"/>
          <w:szCs w:val="24"/>
          <w:shd w:val="clear" w:color="auto" w:fill="FFFFFF"/>
        </w:rPr>
        <w:t xml:space="preserve">et al.  </w:t>
      </w:r>
      <w:r>
        <w:rPr>
          <w:rFonts w:cs="Times New Roman"/>
          <w:color w:val="222222"/>
          <w:szCs w:val="24"/>
          <w:shd w:val="clear" w:color="auto" w:fill="FFFFFF"/>
        </w:rPr>
        <w:t xml:space="preserve"> 2021</w:t>
      </w:r>
      <w:r>
        <w:rPr>
          <w:rFonts w:cs="Times New Roman"/>
          <w:color w:val="000000" w:themeColor="text1"/>
          <w14:textFill>
            <w14:solidFill>
              <w14:schemeClr w14:val="tx1"/>
            </w14:solidFill>
          </w14:textFill>
        </w:rPr>
        <w:t>)</w:t>
      </w:r>
    </w:p>
    <w:p w14:paraId="673B3519">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As opined by Lee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and Yang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the development of a competitive critique of these theories and models has highlighted that when TAM provides a precise discussion of individual psychological perception, the UTAUT is focused on highlighting the process of navigation through a complex market environment. Neither of the models is applied in an isolated manner. The above-developed figure is based on showing how external variables act in developing perceived usefulness along with perceived ease of use to maximise users’ attitudes to accept the technological changes (</w:t>
      </w:r>
      <w:r>
        <w:rPr>
          <w:rFonts w:cs="Times New Roman"/>
          <w:i/>
          <w:color w:val="000000" w:themeColor="text1"/>
          <w14:textFill>
            <w14:solidFill>
              <w14:schemeClr w14:val="tx1"/>
            </w14:solidFill>
          </w14:textFill>
        </w:rPr>
        <w:t>Refer to figure 2.1</w:t>
      </w:r>
      <w:r>
        <w:rPr>
          <w:rFonts w:cs="Times New Roman"/>
          <w:color w:val="000000" w:themeColor="text1"/>
          <w14:textFill>
            <w14:solidFill>
              <w14:schemeClr w14:val="tx1"/>
            </w14:solidFill>
          </w14:textFill>
        </w:rPr>
        <w:t xml:space="preserve">). In support of this, Yang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and Xue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stated that facilitating conditions and social influence impact the cognitive utility of consumers on actual behavioural intentions. Wei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and Yang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shed light on a unique aspect that high-price sensitivity and brand reliance impact on managing perceived value and structural readiness that can overcome abstract technological barriers. Furthermore, giving critical emphasis to TAM becomes crucial to highlight the structural and socio-economic environment through which the complex adoption barriers facing foreign EV brands in India have been systematically analysed. </w:t>
      </w:r>
    </w:p>
    <w:p w14:paraId="6570FB1D">
      <w:pPr>
        <w:pStyle w:val="3"/>
      </w:pPr>
      <w:bookmarkStart w:id="28" w:name="_Toc241218769"/>
      <w:r>
        <w:t>2.4 Psychological and Behavioural Drivers of EV Acceptance</w:t>
      </w:r>
      <w:bookmarkEnd w:id="28"/>
      <w:r>
        <w:t xml:space="preserve"> </w:t>
      </w:r>
    </w:p>
    <w:p w14:paraId="3A5E6B1E">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As mentioned by Pei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there is a range of cognitive friction points developing anxiety among consumers related to the development of psychological barriers while making </w:t>
      </w:r>
      <w:r>
        <w:rPr>
          <w:rFonts w:cs="Times New Roman"/>
          <w:color w:val="000000" w:themeColor="text1"/>
          <w14:textFill>
            <w14:solidFill>
              <w14:schemeClr w14:val="tx1"/>
            </w14:solidFill>
          </w14:textFill>
        </w:rPr>
        <w:t xml:space="preserve">payments for EVs.  It is highlighted that acceptance of foreign EV brands in India is based on understanding the psychological and behavioural challenges affecting high-involvement purchasing decisions. The objective books are mainly based on battery efficiency to handle operational constraints, while the subjective risk is focused on enhancing cost-benefit calculations and fostering cognitive dissonance during the evaluation phase (Pei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In the comments of Chen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psychological resistance is influenced by issues focused on demand flexibility and charging behaviour, while consumer attitudes are impacted by psychological perceptions of convenience and flexibility. While discussing the aspect of foreign automotive entrance, psychological anxieties are considered the main factor. In this aspect, Pei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and Chen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discussed that, in the case of Indian consumers, non-domestic brands with increased vulnerability based on spare parts availability, grid compatibility and long-term service management are crucial to reach the psychological threshold to increase consumers’ adoption. </w:t>
      </w:r>
    </w:p>
    <w:p w14:paraId="534020BC">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In terms of analysing underlying risk, the behavioural intention can be governed by applying the concept of social behavioural interaction, aligning with a simplified decision-making model. In this aspect, </w:t>
      </w:r>
      <w:r>
        <w:rPr>
          <w:rFonts w:cs="Times New Roman"/>
          <w:color w:val="000000" w:themeColor="text1"/>
          <w14:textFill>
            <w14:solidFill>
              <w14:schemeClr w14:val="tx1"/>
            </w14:solidFill>
          </w14:textFill>
        </w:rPr>
        <w:t>Handarujati</w:t>
      </w:r>
      <w:r>
        <w:rPr>
          <w:rFonts w:cs="Times New Roman"/>
          <w:color w:val="000000" w:themeColor="text1"/>
          <w14:textFill>
            <w14:solidFill>
              <w14:schemeClr w14:val="tx1"/>
            </w14:solidFill>
          </w14:textFill>
        </w:rPr>
        <w:t xml:space="preserve"> (2024) stated that aligning the concepts of the Theory of Planned Behaviour (TPB), Norm Activation Model (NAM), and TAM can be effective in understanding how personal moral norms and pro-environmental attitudes establish a favourable baseline for purchase intentions for electric cars. As per the words of Rani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in emerging countries such as India, the application of a unified TAM-SOBC (Stimulus-Organism-Behaviour-Consequence) framework finds that external environmental stimuli always have a prominent role in linking the internal cognitive and psychological states before translating into concrete adoption behaviours. The critical analysis of literature developed by </w:t>
      </w:r>
      <w:r>
        <w:rPr>
          <w:rFonts w:cs="Times New Roman"/>
          <w:color w:val="000000" w:themeColor="text1"/>
          <w14:textFill>
            <w14:solidFill>
              <w14:schemeClr w14:val="tx1"/>
            </w14:solidFill>
          </w14:textFill>
        </w:rPr>
        <w:t>Handarujati</w:t>
      </w:r>
      <w:r>
        <w:rPr>
          <w:rFonts w:cs="Times New Roman"/>
          <w:color w:val="000000" w:themeColor="text1"/>
          <w14:textFill>
            <w14:solidFill>
              <w14:schemeClr w14:val="tx1"/>
            </w14:solidFill>
          </w14:textFill>
        </w:rPr>
        <w:t xml:space="preserve"> (2024) and Rani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mentioned that high environmental consciousness and positive social pressure are the controlling factors to cover the systemic attitude-behaviour gap. As a result of this, it can be easier to transform consumers’ purchasing habits into actual acquisition without clear functional reassurance and manageable financial risk. Additionally, </w:t>
      </w:r>
      <w:r>
        <w:rPr>
          <w:rFonts w:cs="Times New Roman"/>
          <w:color w:val="000000" w:themeColor="text1"/>
          <w14:textFill>
            <w14:solidFill>
              <w14:schemeClr w14:val="tx1"/>
            </w14:solidFill>
          </w14:textFill>
        </w:rPr>
        <w:t>it is clear that foreign</w:t>
      </w:r>
      <w:r>
        <w:rPr>
          <w:rFonts w:cs="Times New Roman"/>
          <w:color w:val="000000" w:themeColor="text1"/>
          <w14:textFill>
            <w14:solidFill>
              <w14:schemeClr w14:val="tx1"/>
            </w14:solidFill>
          </w14:textFill>
        </w:rPr>
        <w:t xml:space="preserve"> EV brands can depend on generalised sustainability messaging or technological prestige and often fail to stimulate purchase intentions. Sometimes, they do not directly dismantle the cognitive burdens that are rooted in local operational uncertainty.</w:t>
      </w:r>
    </w:p>
    <w:p w14:paraId="5E34A709">
      <w:pPr>
        <w:jc w:val="center"/>
        <w:rPr>
          <w:rFonts w:cs="Times New Roman"/>
          <w:color w:val="000000" w:themeColor="text1"/>
          <w14:textFill>
            <w14:solidFill>
              <w14:schemeClr w14:val="tx1"/>
            </w14:solidFill>
          </w14:textFill>
        </w:rPr>
      </w:pPr>
      <w:r>
        <w:rPr>
          <w:lang w:val="en-GB" w:eastAsia="en-GB"/>
        </w:rPr>
        <w:drawing>
          <wp:inline distT="0" distB="0" distL="0" distR="0">
            <wp:extent cx="5731510" cy="35864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4"/>
                    <a:stretch>
                      <a:fillRect/>
                    </a:stretch>
                  </pic:blipFill>
                  <pic:spPr>
                    <a:xfrm>
                      <a:off x="0" y="0"/>
                      <a:ext cx="5731510" cy="3586480"/>
                    </a:xfrm>
                    <a:prstGeom prst="rect">
                      <a:avLst/>
                    </a:prstGeom>
                  </pic:spPr>
                </pic:pic>
              </a:graphicData>
            </a:graphic>
          </wp:inline>
        </w:drawing>
      </w:r>
    </w:p>
    <w:p w14:paraId="24F8DCD6">
      <w:pPr>
        <w:pStyle w:val="5"/>
      </w:pPr>
      <w:bookmarkStart w:id="29" w:name="_Toc238759264"/>
      <w:r>
        <w:t xml:space="preserve">Figure 2.2: </w:t>
      </w:r>
      <w:r>
        <w:rPr>
          <w:rStyle w:val="31"/>
          <w:b w:val="0"/>
          <w:iCs w:val="0"/>
        </w:rPr>
        <w:t>Psychological</w:t>
      </w:r>
      <w:r>
        <w:t xml:space="preserve"> and Behavioural Drivers of EV Acceptance</w:t>
      </w:r>
      <w:bookmarkEnd w:id="29"/>
    </w:p>
    <w:p w14:paraId="7A3CCC0A">
      <w:pPr>
        <w:jc w:val="cente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(Source: </w:t>
      </w:r>
      <w:r>
        <w:rPr>
          <w:rFonts w:cs="Times New Roman"/>
          <w:color w:val="222222"/>
          <w:szCs w:val="24"/>
          <w:shd w:val="clear" w:color="auto" w:fill="FFFFFF"/>
        </w:rPr>
        <w:t xml:space="preserve">Lai </w:t>
      </w:r>
      <w:r>
        <w:rPr>
          <w:rFonts w:cs="Times New Roman"/>
          <w:i/>
          <w:color w:val="222222"/>
          <w:szCs w:val="24"/>
          <w:shd w:val="clear" w:color="auto" w:fill="FFFFFF"/>
        </w:rPr>
        <w:t xml:space="preserve">et al.  </w:t>
      </w:r>
      <w:r>
        <w:rPr>
          <w:rFonts w:cs="Times New Roman"/>
          <w:color w:val="222222"/>
          <w:szCs w:val="24"/>
          <w:shd w:val="clear" w:color="auto" w:fill="FFFFFF"/>
        </w:rPr>
        <w:t xml:space="preserve"> 2025</w:t>
      </w:r>
      <w:r>
        <w:rPr>
          <w:rFonts w:cs="Times New Roman"/>
          <w:color w:val="000000" w:themeColor="text1"/>
          <w14:textFill>
            <w14:solidFill>
              <w14:schemeClr w14:val="tx1"/>
            </w14:solidFill>
          </w14:textFill>
        </w:rPr>
        <w:t>)</w:t>
      </w:r>
    </w:p>
    <w:p w14:paraId="096C94B8">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In the comments of </w:t>
      </w:r>
      <w:r>
        <w:rPr>
          <w:rFonts w:cs="Times New Roman"/>
          <w:color w:val="000000" w:themeColor="text1"/>
          <w14:textFill>
            <w14:solidFill>
              <w14:schemeClr w14:val="tx1"/>
            </w14:solidFill>
          </w14:textFill>
        </w:rPr>
        <w:t>Domarchi</w:t>
      </w:r>
      <w:r>
        <w:rPr>
          <w:rFonts w:cs="Times New Roman"/>
          <w:color w:val="000000" w:themeColor="text1"/>
          <w14:textFill>
            <w14:solidFill>
              <w14:schemeClr w14:val="tx1"/>
            </w14:solidFill>
          </w14:textFill>
        </w:rPr>
        <w:t xml:space="preserv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emotional coherence may frequently impact on the decision-making pattern frequently, and </w:t>
      </w:r>
      <w:r>
        <w:rPr>
          <w:rFonts w:cs="Times New Roman"/>
          <w:color w:val="000000" w:themeColor="text1"/>
          <w14:textFill>
            <w14:solidFill>
              <w14:schemeClr w14:val="tx1"/>
            </w14:solidFill>
          </w14:textFill>
        </w:rPr>
        <w:t>as a result of</w:t>
      </w:r>
      <w:r>
        <w:rPr>
          <w:rFonts w:cs="Times New Roman"/>
          <w:color w:val="000000" w:themeColor="text1"/>
          <w14:textFill>
            <w14:solidFill>
              <w14:schemeClr w14:val="tx1"/>
            </w14:solidFill>
          </w14:textFill>
        </w:rPr>
        <w:t xml:space="preserve"> this consumer choices within the electric mobility landscape can be differentiated. The figure is based on highlighting how psychological and behavioural aspects, such as environmental concerns, perception of electric vehicles, and reception of economic benefits, are all combined to directly impact on behavioural retention (</w:t>
      </w:r>
      <w:r>
        <w:rPr>
          <w:rFonts w:cs="Times New Roman"/>
          <w:i/>
          <w:color w:val="000000" w:themeColor="text1"/>
          <w14:textFill>
            <w14:solidFill>
              <w14:schemeClr w14:val="tx1"/>
            </w14:solidFill>
          </w14:textFill>
        </w:rPr>
        <w:t>Refer to Figure 2.2</w:t>
      </w:r>
      <w:r>
        <w:rPr>
          <w:rFonts w:cs="Times New Roman"/>
          <w:color w:val="000000" w:themeColor="text1"/>
          <w14:textFill>
            <w14:solidFill>
              <w14:schemeClr w14:val="tx1"/>
            </w14:solidFill>
          </w14:textFill>
        </w:rPr>
        <w:t>).  Emotional coherence is defined as the combination of individual self-identity, affective state and the product features. When it is seen that socio-psychological drivers are aligned with environmental consciousness, it can foster a favourable predisposition for investing in sustainable transport solutions such as green vehicles (</w:t>
      </w:r>
      <w:r>
        <w:rPr>
          <w:rFonts w:cs="Times New Roman"/>
          <w:color w:val="000000" w:themeColor="text1"/>
          <w14:textFill>
            <w14:solidFill>
              <w14:schemeClr w14:val="tx1"/>
            </w14:solidFill>
          </w14:textFill>
        </w:rPr>
        <w:t>Vătămănescu</w:t>
      </w:r>
      <w:r>
        <w:rPr>
          <w:rFonts w:cs="Times New Roman"/>
          <w:color w:val="000000" w:themeColor="text1"/>
          <w14:textFill>
            <w14:solidFill>
              <w14:schemeClr w14:val="tx1"/>
            </w14:solidFill>
          </w14:textFill>
        </w:rPr>
        <w:t xml:space="preserve"> </w:t>
      </w:r>
      <w:r>
        <w:rPr>
          <w:rFonts w:cs="Times New Roman"/>
          <w:i/>
          <w:color w:val="000000" w:themeColor="text1"/>
          <w14:textFill>
            <w14:solidFill>
              <w14:schemeClr w14:val="tx1"/>
            </w14:solidFill>
          </w14:textFill>
        </w:rPr>
        <w:t>et al.  ,</w:t>
      </w:r>
      <w:r>
        <w:rPr>
          <w:rFonts w:cs="Times New Roman"/>
          <w:color w:val="000000" w:themeColor="text1"/>
          <w14:textFill>
            <w14:solidFill>
              <w14:schemeClr w14:val="tx1"/>
            </w14:solidFill>
          </w14:textFill>
        </w:rPr>
        <w:t xml:space="preserve"> 2025). It is seen that if foreign EV brands face emotional detachment in the market, it can be tough for them to maintain longevity in the Indian market. As a result of this, market resistance is faced. In this aspect, </w:t>
      </w:r>
      <w:r>
        <w:rPr>
          <w:rFonts w:cs="Times New Roman"/>
          <w:color w:val="000000" w:themeColor="text1"/>
          <w14:textFill>
            <w14:solidFill>
              <w14:schemeClr w14:val="tx1"/>
            </w14:solidFill>
          </w14:textFill>
        </w:rPr>
        <w:t>Domarchi</w:t>
      </w:r>
      <w:r>
        <w:rPr>
          <w:rFonts w:cs="Times New Roman"/>
          <w:color w:val="000000" w:themeColor="text1"/>
          <w14:textFill>
            <w14:solidFill>
              <w14:schemeClr w14:val="tx1"/>
            </w14:solidFill>
          </w14:textFill>
        </w:rPr>
        <w:t xml:space="preserv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(2024) and Rani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opined that in the Indian market, where emotional loyalty is controlled by domestic incumbents, such as Tata Motors is greatly influenced by national identity and service ubiquity in the wider market. </w:t>
      </w:r>
      <w:r>
        <w:rPr>
          <w:rFonts w:cs="Times New Roman"/>
          <w:color w:val="000000" w:themeColor="text1"/>
          <w14:textFill>
            <w14:solidFill>
              <w14:schemeClr w14:val="tx1"/>
            </w14:solidFill>
          </w14:textFill>
        </w:rPr>
        <w:t>In order to</w:t>
      </w:r>
      <w:r>
        <w:rPr>
          <w:rFonts w:cs="Times New Roman"/>
          <w:color w:val="000000" w:themeColor="text1"/>
          <w14:textFill>
            <w14:solidFill>
              <w14:schemeClr w14:val="tx1"/>
            </w14:solidFill>
          </w14:textFill>
        </w:rPr>
        <w:t xml:space="preserve"> overcome these barriers, foreign EV brands need to emphasise their technological stability and develop emotional resonance to sustain brand trust and secure post-purchase positive behaviours among Indian consumers. </w:t>
      </w:r>
    </w:p>
    <w:p w14:paraId="25921EB4">
      <w:pPr>
        <w:pStyle w:val="3"/>
      </w:pPr>
      <w:bookmarkStart w:id="30" w:name="_Toc241218770"/>
      <w:r>
        <w:t>2.5 Market Penetration Barriers and Structural Friction faced by Foreign Electric Vehicle Brands in India</w:t>
      </w:r>
      <w:bookmarkEnd w:id="30"/>
    </w:p>
    <w:p w14:paraId="71B09A48">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As per the words of Mondal and Suman (2025) and Ka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(2026), one of the main obstacles for international manufacturers to enter the Indian market range is based on macroeconomic and policy-related governing constraints. In this regard, it is mentioned that while entering the Indian market, foreign electric vehicle brands may face a complex environment, including regulatory policies, infrastructure ineffectiveness and structural market frictions. The common challenges that are faced by EV brands in India are related to local regulatory policies, a complex technological environment, and government tariffs and so on. In this regard, </w:t>
      </w:r>
      <w:r>
        <w:rPr>
          <w:rFonts w:cs="Times New Roman"/>
          <w:color w:val="000000" w:themeColor="text1"/>
          <w14:textFill>
            <w14:solidFill>
              <w14:schemeClr w14:val="tx1"/>
            </w14:solidFill>
          </w14:textFill>
        </w:rPr>
        <w:t>Meskine</w:t>
      </w:r>
      <w:r>
        <w:rPr>
          <w:rFonts w:cs="Times New Roman"/>
          <w:color w:val="000000" w:themeColor="text1"/>
          <w14:textFill>
            <w14:solidFill>
              <w14:schemeClr w14:val="tx1"/>
            </w14:solidFill>
          </w14:textFill>
        </w:rPr>
        <w:t xml:space="preserv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highlighted that the absence of a standardised policy framework may hamper long-term business efficiency and lead to structural uncertainty and financial risk for foreign entrants. Apart from that, different international brands are seen to face different types of competitive parity with domestic </w:t>
      </w:r>
      <w:r>
        <w:rPr>
          <w:rFonts w:cs="Times New Roman"/>
          <w:color w:val="000000" w:themeColor="text1"/>
          <w14:textFill>
            <w14:solidFill>
              <w14:schemeClr w14:val="tx1"/>
            </w14:solidFill>
          </w14:textFill>
        </w:rPr>
        <w:t>options</w:t>
      </w:r>
      <w:r>
        <w:rPr>
          <w:rFonts w:cs="Times New Roman"/>
          <w:color w:val="000000" w:themeColor="text1"/>
          <w14:textFill>
            <w14:solidFill>
              <w14:schemeClr w14:val="tx1"/>
            </w14:solidFill>
          </w14:textFill>
        </w:rPr>
        <w:t xml:space="preserve"> and it makes them bound to apply premium price segments targeting only a narrow portion of demographics. </w:t>
      </w:r>
    </w:p>
    <w:p w14:paraId="1F1BB385">
      <w:pPr>
        <w:jc w:val="center"/>
        <w:rPr>
          <w:rFonts w:cs="Times New Roman"/>
          <w:color w:val="000000" w:themeColor="text1"/>
          <w14:textFill>
            <w14:solidFill>
              <w14:schemeClr w14:val="tx1"/>
            </w14:solidFill>
          </w14:textFill>
        </w:rPr>
      </w:pPr>
      <w:r>
        <w:rPr>
          <w:lang w:val="en-GB" w:eastAsia="en-GB"/>
        </w:rPr>
        <w:drawing>
          <wp:inline distT="0" distB="0" distL="0" distR="0">
            <wp:extent cx="5731510" cy="37242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5"/>
                    <a:stretch>
                      <a:fillRect/>
                    </a:stretch>
                  </pic:blipFill>
                  <pic:spPr>
                    <a:xfrm>
                      <a:off x="0" y="0"/>
                      <a:ext cx="5731510" cy="3724275"/>
                    </a:xfrm>
                    <a:prstGeom prst="rect">
                      <a:avLst/>
                    </a:prstGeom>
                  </pic:spPr>
                </pic:pic>
              </a:graphicData>
            </a:graphic>
          </wp:inline>
        </w:drawing>
      </w:r>
    </w:p>
    <w:p w14:paraId="04C2B66F">
      <w:pPr>
        <w:pStyle w:val="5"/>
      </w:pPr>
      <w:bookmarkStart w:id="31" w:name="_Toc238759265"/>
      <w:r>
        <w:t>Figure 2.3: Factors for EV adoption</w:t>
      </w:r>
      <w:bookmarkEnd w:id="31"/>
      <w:r>
        <w:t xml:space="preserve"> </w:t>
      </w:r>
    </w:p>
    <w:p w14:paraId="3CDD6DE2">
      <w:pPr>
        <w:jc w:val="cente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(Source: Goel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2021)</w:t>
      </w:r>
    </w:p>
    <w:p w14:paraId="15CD3B5D">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Mondal and Suman (2025) described that these factors affect</w:t>
      </w:r>
      <w:r>
        <w:t xml:space="preserve"> </w:t>
      </w:r>
      <w:r>
        <w:rPr>
          <w:rFonts w:cs="Times New Roman"/>
          <w:color w:val="000000" w:themeColor="text1"/>
          <w14:textFill>
            <w14:solidFill>
              <w14:schemeClr w14:val="tx1"/>
            </w14:solidFill>
          </w14:textFill>
        </w:rPr>
        <w:t xml:space="preserve">overall volume growth and market penetration. The figure is based on showing the prominent aspects through which the </w:t>
      </w:r>
      <w:r>
        <w:rPr>
          <w:rFonts w:cs="Times New Roman"/>
          <w:color w:val="000000" w:themeColor="text1"/>
          <w14:textFill>
            <w14:solidFill>
              <w14:schemeClr w14:val="tx1"/>
            </w14:solidFill>
          </w14:textFill>
        </w:rPr>
        <w:t>levels of acceptance of EVs by Indian consumers can be denoted (</w:t>
      </w:r>
      <w:r>
        <w:rPr>
          <w:rFonts w:cs="Times New Roman"/>
          <w:i/>
          <w:color w:val="000000" w:themeColor="text1"/>
          <w14:textFill>
            <w14:solidFill>
              <w14:schemeClr w14:val="tx1"/>
            </w14:solidFill>
          </w14:textFill>
        </w:rPr>
        <w:t>Refer to Figure 2.3</w:t>
      </w:r>
      <w:r>
        <w:rPr>
          <w:rFonts w:cs="Times New Roman"/>
          <w:color w:val="000000" w:themeColor="text1"/>
          <w14:textFill>
            <w14:solidFill>
              <w14:schemeClr w14:val="tx1"/>
            </w14:solidFill>
          </w14:textFill>
        </w:rPr>
        <w:t>). As opined by Aithal (2025), the policy-based pricing strategy acts as a disadvantage for managing aggressive market demands, with foreign EV brands beating domestic leaders, such as Tata Motors. Additionally, the researchers mentioned that domestic manufacturers may have significant advantages related to the utilisation of a localised supply chain, management of extensive sales and service, along with handling long-standing customer trust. Supporting this, Shah (2024) highlighted that adopting first-mover initiatives and cost-effective vehicle platforms can be suitable for domestic brands to reach the potential market segment and it affects the smooth entry of foreign brands. On the contrary, Mondal and Suman (2025) mentioned that local players benefit from strong alignment with government electrification mandates and local component sourcing schemes.</w:t>
      </w:r>
    </w:p>
    <w:p w14:paraId="7D6B2477">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As per the words of Shah (2024) and Aithal (2025), foreign entry can be managed by the local supply chain and dealer density, which are based on investing a huge amount of capital and managing operational-level functions through applying a contingency plan. As per the words of Pandey and Li (2026), managing the institutional and competitive dynamics is focused on enhancing consumer risk perception. Therefore, the systematic analysis has found that EV implementation may face barriers in emerging markets, such as India, is greatly influenced by the lack of public charging stations and inadequate technical development, creating doubt among consumers regarding operational viability. </w:t>
      </w:r>
      <w:r>
        <w:rPr>
          <w:rFonts w:cs="Times New Roman"/>
          <w:color w:val="000000" w:themeColor="text1"/>
          <w14:textFill>
            <w14:solidFill>
              <w14:schemeClr w14:val="tx1"/>
            </w14:solidFill>
          </w14:textFill>
        </w:rPr>
        <w:t>Meskine</w:t>
      </w:r>
      <w:r>
        <w:rPr>
          <w:rFonts w:cs="Times New Roman"/>
          <w:color w:val="000000" w:themeColor="text1"/>
          <w14:textFill>
            <w14:solidFill>
              <w14:schemeClr w14:val="tx1"/>
            </w14:solidFill>
          </w14:textFill>
        </w:rPr>
        <w:t xml:space="preserv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(2025) found a critical finding through the analysis that, when choosing EV brands, most of the percentage of consumers focus on the possible risks related to long-term after-sales support, spare parts availability, along with effective battery performance under any climatic conditions. </w:t>
      </w:r>
    </w:p>
    <w:p w14:paraId="1262E697">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Thus, it is stated that these operational challenges directly impact on consumers’ purchasing decisions and develop passive barriers related to product reliability of products and resale values. It is critically mentioned that without emphasising large-scale investment in localised charging infrastructure and effective service networks based on managing their business superiority, the foreign brands may face issues in the emerging automobile market throughout the globe.</w:t>
      </w:r>
    </w:p>
    <w:p w14:paraId="7734DDFB">
      <w:pPr>
        <w:pStyle w:val="3"/>
      </w:pPr>
      <w:bookmarkStart w:id="32" w:name="_Toc241218771"/>
      <w:r>
        <w:t>2.6 Factors influencing Indian consumers’ acceptance of foreign electric vehicle brands</w:t>
      </w:r>
      <w:bookmarkEnd w:id="32"/>
    </w:p>
    <w:p w14:paraId="4234F00D">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According to </w:t>
      </w:r>
      <w:r>
        <w:rPr>
          <w:rFonts w:cs="Times New Roman"/>
          <w:color w:val="000000" w:themeColor="text1"/>
          <w14:textFill>
            <w14:solidFill>
              <w14:schemeClr w14:val="tx1"/>
            </w14:solidFill>
          </w14:textFill>
        </w:rPr>
        <w:t>Higueras</w:t>
      </w:r>
      <w:r>
        <w:rPr>
          <w:rFonts w:cs="Times New Roman"/>
          <w:color w:val="000000" w:themeColor="text1"/>
          <w14:textFill>
            <w14:solidFill>
              <w14:schemeClr w14:val="tx1"/>
            </w14:solidFill>
          </w14:textFill>
        </w:rPr>
        <w:t xml:space="preserve">-Castillo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and García de Blanes Sebastián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analysis of customers’ acceptance rate for foreign electric vehicles in India is based on </w:t>
      </w:r>
      <w:r>
        <w:rPr>
          <w:rFonts w:cs="Times New Roman"/>
          <w:color w:val="000000" w:themeColor="text1"/>
          <w14:textFill>
            <w14:solidFill>
              <w14:schemeClr w14:val="tx1"/>
            </w14:solidFill>
          </w14:textFill>
        </w:rPr>
        <w:t xml:space="preserve">considering the complex pattern of interactions, changes in cultural values, along with cognitive awareness factors. Regarding this, it is highlighted that cultural adaptation of EVs is linked to a consumer attitude towards green mobility and this is critically impacted by technological innovation and cultural orientation of the emerging market. In terms of discussing the views of García de Blanes Sebastián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it is evident that in the emerging market of the automobile industry, positive attitudes of consumers are important for shifting towards electric mobility. Additionally, changes in behavioural intentions are also responsible for enhancing perceived functional advantages related to green innovation. In terms of analysing the aspect of foreign EV brand entrance, Indian consumers consider technological sophistication, build quality, along with the social value of the product and these factors are responsible for leading consumers’ interest and impacting favourable baseline attitudes (</w:t>
      </w:r>
      <w:r>
        <w:rPr>
          <w:rFonts w:cs="Times New Roman"/>
          <w:color w:val="000000" w:themeColor="text1"/>
          <w14:textFill>
            <w14:solidFill>
              <w14:schemeClr w14:val="tx1"/>
            </w14:solidFill>
          </w14:textFill>
        </w:rPr>
        <w:t>Higueras</w:t>
      </w:r>
      <w:r>
        <w:rPr>
          <w:rFonts w:cs="Times New Roman"/>
          <w:color w:val="000000" w:themeColor="text1"/>
          <w14:textFill>
            <w14:solidFill>
              <w14:schemeClr w14:val="tx1"/>
            </w14:solidFill>
          </w14:textFill>
        </w:rPr>
        <w:t xml:space="preserve">-Castillo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2024). However, favourable attitudes often seem to be insufficient for converting the adoption of foreign brands and their offerings among consumers within the local market of an emerging economy. </w:t>
      </w:r>
    </w:p>
    <w:p w14:paraId="03EA04F5">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In the view of Arora and Singh (2024), in terms of managing India’s mobility transition, consumers’ adoption decisions are managed by functional economic and social environmental motivators. In this respect, empirical research studies have found that environmental consciousness develops a moral value for driving the green transition. Supporting this view, Arora and Singh (2024) stated that for managing the green transition, Indian consumers are critically reliant on value consciousness, managing the cost of ownership and operational economy to enhance the sustainability transition. Foreign EV brands are seen to have a market position as luxury or high-end lifestyle products. As per the views of Gupta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the transition process in emerging economies highlighted that the purchasing intention of foreign EVs can be influenced by consumer awareness and the development of operational knowledge regarding innovative products. On the other hand, information manipulation and limited consumer knowledge regarding the utility of electric vehicles may create cognitive bottlenecks and reduce the perceived value of foreign EV brands' entrance.</w:t>
      </w:r>
    </w:p>
    <w:p w14:paraId="43CCE380">
      <w:pPr>
        <w:jc w:val="center"/>
        <w:rPr>
          <w:rFonts w:cs="Times New Roman"/>
          <w:color w:val="000000" w:themeColor="text1"/>
          <w14:textFill>
            <w14:solidFill>
              <w14:schemeClr w14:val="tx1"/>
            </w14:solidFill>
          </w14:textFill>
        </w:rPr>
      </w:pPr>
      <w:r>
        <w:rPr>
          <w:lang w:val="en-GB" w:eastAsia="en-GB"/>
        </w:rPr>
        <w:drawing>
          <wp:inline distT="0" distB="0" distL="0" distR="0">
            <wp:extent cx="5133975" cy="46767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6"/>
                    <a:stretch>
                      <a:fillRect/>
                    </a:stretch>
                  </pic:blipFill>
                  <pic:spPr>
                    <a:xfrm>
                      <a:off x="0" y="0"/>
                      <a:ext cx="5133975" cy="4676775"/>
                    </a:xfrm>
                    <a:prstGeom prst="rect">
                      <a:avLst/>
                    </a:prstGeom>
                  </pic:spPr>
                </pic:pic>
              </a:graphicData>
            </a:graphic>
          </wp:inline>
        </w:drawing>
      </w:r>
    </w:p>
    <w:p w14:paraId="26407DB1">
      <w:pPr>
        <w:pStyle w:val="5"/>
      </w:pPr>
      <w:bookmarkStart w:id="33" w:name="_Toc238759266"/>
      <w:r>
        <w:t xml:space="preserve">Figure 2.4: Factors </w:t>
      </w:r>
      <w:r>
        <w:rPr>
          <w:rStyle w:val="31"/>
          <w:b w:val="0"/>
          <w:iCs w:val="0"/>
        </w:rPr>
        <w:t>influencing</w:t>
      </w:r>
      <w:r>
        <w:t xml:space="preserve"> Indian consumers’ acceptance of foreign electric vehicle brands</w:t>
      </w:r>
      <w:bookmarkEnd w:id="33"/>
    </w:p>
    <w:p w14:paraId="1322C120">
      <w:pPr>
        <w:jc w:val="cente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(Source: ÖZ, 2022)</w:t>
      </w:r>
    </w:p>
    <w:p w14:paraId="3757A997">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As per the thoughts of </w:t>
      </w:r>
      <w:r>
        <w:rPr>
          <w:rFonts w:cs="Times New Roman"/>
          <w:color w:val="000000" w:themeColor="text1"/>
          <w14:textFill>
            <w14:solidFill>
              <w14:schemeClr w14:val="tx1"/>
            </w14:solidFill>
          </w14:textFill>
        </w:rPr>
        <w:t>Champahom</w:t>
      </w:r>
      <w:r>
        <w:rPr>
          <w:rFonts w:cs="Times New Roman"/>
          <w:color w:val="000000" w:themeColor="text1"/>
          <w14:textFill>
            <w14:solidFill>
              <w14:schemeClr w14:val="tx1"/>
            </w14:solidFill>
          </w14:textFill>
        </w:rPr>
        <w:t xml:space="preserv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and </w:t>
      </w:r>
      <w:r>
        <w:rPr>
          <w:rFonts w:cs="Times New Roman"/>
          <w:color w:val="000000" w:themeColor="text1"/>
          <w14:textFill>
            <w14:solidFill>
              <w14:schemeClr w14:val="tx1"/>
            </w14:solidFill>
          </w14:textFill>
        </w:rPr>
        <w:t>Schvartz</w:t>
      </w:r>
      <w:r>
        <w:rPr>
          <w:rFonts w:cs="Times New Roman"/>
          <w:color w:val="000000" w:themeColor="text1"/>
          <w14:textFill>
            <w14:solidFill>
              <w14:schemeClr w14:val="tx1"/>
            </w14:solidFill>
          </w14:textFill>
        </w:rPr>
        <w:t xml:space="preserv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the competitive discussion between conventional internal combustion engine users and EV adopters has made it clear that there is a permanent perception gap regarding operational barriers and customer decision-making in the emerging markets. In the case of non-EV users, the perceived risk barrier centres on charging availability, initial acquisition cost and resale values in comparison with hard-core EV users. In this regard, the systematic analysis by </w:t>
      </w:r>
      <w:r>
        <w:rPr>
          <w:rFonts w:cs="Times New Roman"/>
          <w:color w:val="000000" w:themeColor="text1"/>
          <w14:textFill>
            <w14:solidFill>
              <w14:schemeClr w14:val="tx1"/>
            </w14:solidFill>
          </w14:textFill>
        </w:rPr>
        <w:t>Schvartz</w:t>
      </w:r>
      <w:r>
        <w:rPr>
          <w:rFonts w:cs="Times New Roman"/>
          <w:color w:val="000000" w:themeColor="text1"/>
          <w14:textFill>
            <w14:solidFill>
              <w14:schemeClr w14:val="tx1"/>
            </w14:solidFill>
          </w14:textFill>
        </w:rPr>
        <w:t xml:space="preserve"> </w:t>
      </w:r>
      <w:r>
        <w:rPr>
          <w:rFonts w:cs="Times New Roman"/>
          <w:i/>
          <w:color w:val="000000" w:themeColor="text1"/>
          <w14:textFill>
            <w14:solidFill>
              <w14:schemeClr w14:val="tx1"/>
            </w14:solidFill>
          </w14:textFill>
        </w:rPr>
        <w:t xml:space="preserve">et al.  </w:t>
      </w:r>
      <w:r>
        <w:rPr>
          <w:rFonts w:cs="Times New Roman"/>
          <w:color w:val="000000" w:themeColor="text1"/>
          <w14:textFill>
            <w14:solidFill>
              <w14:schemeClr w14:val="tx1"/>
            </w14:solidFill>
          </w14:textFill>
        </w:rPr>
        <w:t xml:space="preserve"> (2024) stated that the developing automobile sector can support foreign brands to handle user-specific perception issues by providing warranty, protection, battery health guarantees and transparent cost benefits. Furthermore, it is also evident that the level of customer acceptance for EV brands in India is directly reliant on price sensitivity, comprehensive consumer education and strategic external support from the government (Arora and Singh, 2024; Gupta </w:t>
      </w:r>
      <w:r>
        <w:rPr>
          <w:rFonts w:cs="Times New Roman"/>
          <w:i/>
          <w:color w:val="000000" w:themeColor="text1"/>
          <w14:textFill>
            <w14:solidFill>
              <w14:schemeClr w14:val="tx1"/>
            </w14:solidFill>
          </w14:textFill>
        </w:rPr>
        <w:t>et al. ,</w:t>
      </w:r>
      <w:r>
        <w:rPr>
          <w:rFonts w:cs="Times New Roman"/>
          <w:color w:val="000000" w:themeColor="text1"/>
          <w14:textFill>
            <w14:solidFill>
              <w14:schemeClr w14:val="tx1"/>
            </w14:solidFill>
          </w14:textFill>
        </w:rPr>
        <w:t xml:space="preserve"> 2024; </w:t>
      </w:r>
      <w:r>
        <w:rPr>
          <w:rFonts w:cs="Times New Roman"/>
          <w:color w:val="000000" w:themeColor="text1"/>
          <w14:textFill>
            <w14:solidFill>
              <w14:schemeClr w14:val="tx1"/>
            </w14:solidFill>
          </w14:textFill>
        </w:rPr>
        <w:t>Schvartz</w:t>
      </w:r>
      <w:r>
        <w:rPr>
          <w:rFonts w:cs="Times New Roman"/>
          <w:color w:val="000000" w:themeColor="text1"/>
          <w14:textFill>
            <w14:solidFill>
              <w14:schemeClr w14:val="tx1"/>
            </w14:solidFill>
          </w14:textFill>
        </w:rPr>
        <w:t xml:space="preserve"> </w:t>
      </w:r>
      <w:r>
        <w:rPr>
          <w:rFonts w:cs="Times New Roman"/>
          <w:i/>
          <w:color w:val="000000" w:themeColor="text1"/>
          <w14:textFill>
            <w14:solidFill>
              <w14:schemeClr w14:val="tx1"/>
            </w14:solidFill>
          </w14:textFill>
        </w:rPr>
        <w:t>et al. ,</w:t>
      </w:r>
      <w:r>
        <w:rPr>
          <w:rFonts w:cs="Times New Roman"/>
          <w:color w:val="000000" w:themeColor="text1"/>
          <w14:textFill>
            <w14:solidFill>
              <w14:schemeClr w14:val="tx1"/>
            </w14:solidFill>
          </w14:textFill>
        </w:rPr>
        <w:t xml:space="preserve"> 2024).</w:t>
      </w:r>
    </w:p>
    <w:p w14:paraId="3911CBD7">
      <w:pPr>
        <w:pStyle w:val="3"/>
      </w:pPr>
      <w:bookmarkStart w:id="34" w:name="_Toc241218772"/>
      <w:r>
        <w:t>2.7 The issues based on penetrating the Indian market by Foreign Electric Vehicle Brands</w:t>
      </w:r>
      <w:bookmarkEnd w:id="34"/>
    </w:p>
    <w:p w14:paraId="7AC5C39B">
      <w:pPr>
        <w:rPr>
          <w:rFonts w:cs="Times New Roman"/>
          <w:szCs w:val="24"/>
        </w:rPr>
      </w:pPr>
      <w:r>
        <w:rPr>
          <w:rStyle w:val="24"/>
          <w:rFonts w:cs="Times New Roman"/>
          <w:szCs w:val="24"/>
        </w:rPr>
        <w:t>As mentioned by Rehman and Jajja (2025), the shift to EVs in India creates an exciting growth opportunity, but foreign electric vehicle (EV) original equipment manufacturers (OEMs) face a harsh reality when they try to enter the market due to structural, economic, and supply chain challenges.</w:t>
      </w:r>
      <w:r>
        <w:rPr>
          <w:rFonts w:cs="Times New Roman"/>
          <w:szCs w:val="24"/>
        </w:rPr>
        <w:t xml:space="preserve"> </w:t>
      </w:r>
      <w:r>
        <w:rPr>
          <w:rStyle w:val="24"/>
          <w:rFonts w:cs="Times New Roman"/>
          <w:szCs w:val="24"/>
        </w:rPr>
        <w:t>Three overlapping thematic areas emerged from the current literature on the EV ecosystem in India, such as vulnerabilities in the local value chain, price sensitivity and lack of competition in domestic markets and constraints on strategic resource deployment.</w:t>
      </w:r>
      <w:r>
        <w:rPr>
          <w:rFonts w:cs="Times New Roman"/>
          <w:szCs w:val="24"/>
        </w:rPr>
        <w:t xml:space="preserve"> </w:t>
      </w:r>
      <w:r>
        <w:rPr>
          <w:rStyle w:val="24"/>
          <w:rFonts w:cs="Times New Roman"/>
          <w:szCs w:val="24"/>
        </w:rPr>
        <w:t>One of the big challenges for foreign investors is the weaknesses of the domestic supply chain, especially in the production of batteries and the availability of critical minerals.</w:t>
      </w:r>
      <w:r>
        <w:rPr>
          <w:rFonts w:cs="Times New Roman"/>
          <w:szCs w:val="24"/>
        </w:rPr>
        <w:t xml:space="preserve"> </w:t>
      </w:r>
      <w:r>
        <w:rPr>
          <w:rStyle w:val="24"/>
          <w:rFonts w:cs="Times New Roman"/>
          <w:szCs w:val="24"/>
        </w:rPr>
        <w:t xml:space="preserve">Dhairiyasamy </w:t>
      </w:r>
      <w:r>
        <w:rPr>
          <w:rStyle w:val="24"/>
          <w:rFonts w:cs="Times New Roman"/>
          <w:i/>
          <w:szCs w:val="24"/>
        </w:rPr>
        <w:t xml:space="preserve">et al.  </w:t>
      </w:r>
      <w:r>
        <w:rPr>
          <w:rStyle w:val="24"/>
          <w:rFonts w:cs="Times New Roman"/>
          <w:szCs w:val="24"/>
        </w:rPr>
        <w:t xml:space="preserve"> (2024) pointed out that India's EV infrastructure has been greatly hindered by reliance on imported raw materials for batteries, as well as on fragmented supply chains.</w:t>
      </w:r>
      <w:r>
        <w:rPr>
          <w:rFonts w:cs="Times New Roman"/>
          <w:szCs w:val="24"/>
        </w:rPr>
        <w:t xml:space="preserve"> </w:t>
      </w:r>
      <w:r>
        <w:rPr>
          <w:rStyle w:val="24"/>
          <w:rFonts w:cs="Times New Roman"/>
          <w:szCs w:val="24"/>
        </w:rPr>
        <w:t>The problem is exacerbated by the fact that for foreign brands, regulatory initiatives like the Phased Manufacturing Programmes.</w:t>
      </w:r>
      <w:r>
        <w:rPr>
          <w:rFonts w:cs="Times New Roman"/>
          <w:szCs w:val="24"/>
        </w:rPr>
        <w:t xml:space="preserve"> </w:t>
      </w:r>
    </w:p>
    <w:p w14:paraId="0FEDFC9C">
      <w:pPr>
        <w:rPr>
          <w:rFonts w:cs="Times New Roman"/>
          <w:szCs w:val="24"/>
        </w:rPr>
      </w:pPr>
      <w:r>
        <w:rPr>
          <w:rStyle w:val="24"/>
          <w:rFonts w:cs="Times New Roman"/>
          <w:szCs w:val="24"/>
        </w:rPr>
        <w:t xml:space="preserve">Cho </w:t>
      </w:r>
      <w:r>
        <w:rPr>
          <w:rStyle w:val="24"/>
          <w:rFonts w:cs="Times New Roman"/>
          <w:i/>
          <w:szCs w:val="24"/>
        </w:rPr>
        <w:t xml:space="preserve">et al.  </w:t>
      </w:r>
      <w:r>
        <w:rPr>
          <w:rStyle w:val="24"/>
          <w:rFonts w:cs="Times New Roman"/>
          <w:szCs w:val="24"/>
        </w:rPr>
        <w:t>(2025) pointed out that the car industry is undergoing a transformational shift and companies need to constantly adjust their strategies to meet the changes, which is very difficult for international companies who do not have established vendor networks and supply relationships in India as their established domestic companies do, as opined by Rehman and Jajja (2025).</w:t>
      </w:r>
      <w:r>
        <w:rPr>
          <w:rFonts w:cs="Times New Roman"/>
          <w:szCs w:val="24"/>
        </w:rPr>
        <w:t xml:space="preserve"> </w:t>
      </w:r>
      <w:r>
        <w:rPr>
          <w:rStyle w:val="24"/>
          <w:rFonts w:cs="Times New Roman"/>
          <w:szCs w:val="24"/>
        </w:rPr>
        <w:t>In addition to the complexities of the supply chain, the Indian passenger vehicle market is extremely price sensitive, directly competing with the propositions that foreign brands of EVs typically use.</w:t>
      </w:r>
      <w:r>
        <w:rPr>
          <w:rFonts w:cs="Times New Roman"/>
          <w:szCs w:val="24"/>
        </w:rPr>
        <w:t xml:space="preserve"> </w:t>
      </w:r>
      <w:r>
        <w:rPr>
          <w:rStyle w:val="24"/>
          <w:rFonts w:cs="Times New Roman"/>
          <w:szCs w:val="24"/>
        </w:rPr>
        <w:t>Arora and Singh (2024) showed that while overall cost of ownership, long-term value and functional affordability are significant, the high initial cost of purchase continues to be a significant barrier to widespread consumer adoption in India. As commented by Aithal (2025), Tata Motors Limited has gained a strong foothold in the Indian EV market with its aggressive pricing strategy in local markets, a vast distribution and servicing network and the benefit of being an early player.</w:t>
      </w:r>
      <w:r>
        <w:rPr>
          <w:rFonts w:cs="Times New Roman"/>
          <w:szCs w:val="24"/>
        </w:rPr>
        <w:t xml:space="preserve"> </w:t>
      </w:r>
    </w:p>
    <w:p w14:paraId="3800A458">
      <w:pPr>
        <w:rPr>
          <w:rFonts w:cs="Times New Roman"/>
          <w:szCs w:val="24"/>
        </w:rPr>
      </w:pPr>
      <w:r>
        <w:rPr>
          <w:rStyle w:val="24"/>
          <w:rFonts w:cs="Times New Roman"/>
          <w:szCs w:val="24"/>
        </w:rPr>
        <w:t>Domestic market giants occupy a lot of market share by simply modifying existing cost-effective platform architectures to EV applications, thus forming a formidable competitive barrier to entry for foreign brands trying to gain market share in the lower- and mid-tier segments where mass volume is located.</w:t>
      </w:r>
      <w:r>
        <w:rPr>
          <w:rFonts w:cs="Times New Roman"/>
          <w:szCs w:val="24"/>
        </w:rPr>
        <w:t xml:space="preserve"> </w:t>
      </w:r>
      <w:r>
        <w:rPr>
          <w:rStyle w:val="24"/>
          <w:rFonts w:cs="Times New Roman"/>
          <w:szCs w:val="24"/>
        </w:rPr>
        <w:t>In addition, building a footing that is operationally viable in India requires strategic agility and not the tried-and-tested playbooks of international expansion.</w:t>
      </w:r>
      <w:r>
        <w:rPr>
          <w:rFonts w:cs="Times New Roman"/>
          <w:szCs w:val="24"/>
        </w:rPr>
        <w:t xml:space="preserve"> </w:t>
      </w:r>
      <w:r>
        <w:rPr>
          <w:rStyle w:val="24"/>
          <w:rFonts w:cs="Times New Roman"/>
          <w:szCs w:val="24"/>
        </w:rPr>
        <w:t xml:space="preserve">Pathak </w:t>
      </w:r>
      <w:r>
        <w:rPr>
          <w:rStyle w:val="24"/>
          <w:rFonts w:cs="Times New Roman"/>
          <w:i/>
          <w:szCs w:val="24"/>
        </w:rPr>
        <w:t xml:space="preserve">et al. </w:t>
      </w:r>
      <w:r>
        <w:rPr>
          <w:rStyle w:val="24"/>
          <w:rFonts w:cs="Times New Roman"/>
          <w:szCs w:val="24"/>
        </w:rPr>
        <w:t xml:space="preserve"> (2024) recognised how EV business model innovations, such as partnerships on charging stations, battery-swapping plans and niche business model selections like two-/three-wheeler vehicles or fleet operators, are closely linked to each other and are essential to localized business opportunities in India's EV market.</w:t>
      </w:r>
      <w:r>
        <w:rPr>
          <w:rFonts w:cs="Times New Roman"/>
          <w:szCs w:val="24"/>
        </w:rPr>
        <w:t xml:space="preserve"> </w:t>
      </w:r>
      <w:r>
        <w:rPr>
          <w:rStyle w:val="24"/>
          <w:rFonts w:cs="Times New Roman"/>
          <w:szCs w:val="24"/>
        </w:rPr>
        <w:t>Foreign brands usually focus on the private four-wheeler passenger market, which doesn't experience the same growth rates as the commercial and two-wheeler markets.</w:t>
      </w:r>
      <w:r>
        <w:rPr>
          <w:rFonts w:cs="Times New Roman"/>
          <w:szCs w:val="24"/>
        </w:rPr>
        <w:t xml:space="preserve"> </w:t>
      </w:r>
      <w:r>
        <w:rPr>
          <w:rStyle w:val="24"/>
          <w:rFonts w:cs="Times New Roman"/>
          <w:szCs w:val="24"/>
        </w:rPr>
        <w:t xml:space="preserve">While getting established in the market, the key is to know the right mix of resources and deploy them for mid- to long-term growth as described by Cho </w:t>
      </w:r>
      <w:r>
        <w:rPr>
          <w:rStyle w:val="24"/>
          <w:rFonts w:cs="Times New Roman"/>
          <w:i/>
          <w:szCs w:val="24"/>
        </w:rPr>
        <w:t xml:space="preserve">et al.  </w:t>
      </w:r>
      <w:r>
        <w:rPr>
          <w:rStyle w:val="24"/>
          <w:rFonts w:cs="Times New Roman"/>
          <w:szCs w:val="24"/>
        </w:rPr>
        <w:t xml:space="preserve"> (2025).</w:t>
      </w:r>
      <w:r>
        <w:rPr>
          <w:rFonts w:cs="Times New Roman"/>
          <w:szCs w:val="24"/>
        </w:rPr>
        <w:t xml:space="preserve"> </w:t>
      </w:r>
    </w:p>
    <w:p w14:paraId="0BAD9C3D">
      <w:pPr>
        <w:rPr>
          <w:rFonts w:cs="Times New Roman"/>
          <w:b/>
          <w:szCs w:val="24"/>
        </w:rPr>
      </w:pPr>
      <w:r>
        <w:rPr>
          <w:rStyle w:val="24"/>
          <w:rFonts w:cs="Times New Roman"/>
          <w:szCs w:val="24"/>
        </w:rPr>
        <w:t xml:space="preserve">Pathak </w:t>
      </w:r>
      <w:r>
        <w:rPr>
          <w:rStyle w:val="24"/>
          <w:rFonts w:cs="Times New Roman"/>
          <w:i/>
          <w:szCs w:val="24"/>
        </w:rPr>
        <w:t xml:space="preserve">et al.  </w:t>
      </w:r>
      <w:r>
        <w:rPr>
          <w:rStyle w:val="24"/>
          <w:rFonts w:cs="Times New Roman"/>
          <w:szCs w:val="24"/>
        </w:rPr>
        <w:t>(2024) stated that many companies often underestimate how well their technology fits the conditions they are operating in developing markets, whether that's temperature extremes affecting battery thermal management, sparse charging infrastructure, and different road systems.</w:t>
      </w:r>
      <w:r>
        <w:rPr>
          <w:rFonts w:cs="Times New Roman"/>
          <w:szCs w:val="24"/>
        </w:rPr>
        <w:t xml:space="preserve"> </w:t>
      </w:r>
      <w:r>
        <w:rPr>
          <w:rStyle w:val="24"/>
          <w:rFonts w:cs="Times New Roman"/>
          <w:szCs w:val="24"/>
        </w:rPr>
        <w:t xml:space="preserve">Foreign EV brands are facing a complex scenario of market entry barriers in India, including the high tariff structures and the strong incumbent dominance with high consumer price sensitivity, unless they significantly re-align their resource allocations and business models (Dhairiyasamy </w:t>
      </w:r>
      <w:r>
        <w:rPr>
          <w:rStyle w:val="24"/>
          <w:rFonts w:cs="Times New Roman"/>
          <w:i/>
          <w:szCs w:val="24"/>
        </w:rPr>
        <w:t xml:space="preserve">et al. </w:t>
      </w:r>
      <w:r>
        <w:rPr>
          <w:rStyle w:val="24"/>
          <w:rFonts w:cs="Times New Roman"/>
          <w:szCs w:val="24"/>
        </w:rPr>
        <w:t xml:space="preserve"> 2024; Aithal, 2025; Arora and Singh, 2024).</w:t>
      </w:r>
    </w:p>
    <w:p w14:paraId="1E4F8297">
      <w:pPr>
        <w:pStyle w:val="3"/>
      </w:pPr>
      <w:bookmarkStart w:id="35" w:name="_Toc241218773"/>
      <w:r>
        <w:t>2.8 Reasons behind developing purchasing intentions for Foreign Electric Vehicle Brands in India</w:t>
      </w:r>
      <w:bookmarkEnd w:id="35"/>
    </w:p>
    <w:p w14:paraId="6B5197B2">
      <w:pPr>
        <w:rPr>
          <w:rFonts w:ascii="Geist Fallback" w:hAnsi="Geist Fallback"/>
          <w:szCs w:val="24"/>
        </w:rPr>
      </w:pPr>
      <w:r>
        <w:rPr>
          <w:rStyle w:val="24"/>
          <w:rFonts w:ascii="Geist Fallback" w:hAnsi="Geist Fallback"/>
          <w:szCs w:val="24"/>
        </w:rPr>
        <w:t xml:space="preserve">Dhairiyasamy </w:t>
      </w:r>
      <w:r>
        <w:rPr>
          <w:rStyle w:val="24"/>
          <w:rFonts w:ascii="Geist Fallback" w:hAnsi="Geist Fallback"/>
          <w:i/>
          <w:szCs w:val="24"/>
        </w:rPr>
        <w:t xml:space="preserve">et al. </w:t>
      </w:r>
      <w:r>
        <w:rPr>
          <w:rStyle w:val="24"/>
          <w:rFonts w:ascii="Geist Fallback" w:hAnsi="Geist Fallback"/>
          <w:szCs w:val="24"/>
        </w:rPr>
        <w:t xml:space="preserve"> (2024) remarked that Electric Mobility in India is a big growth opportunity, but foreign Original Equipment Manufacturers (OEMs) of EVs face immense structural, economic and supply chain challenges when attempting to enter the Indian market.</w:t>
      </w:r>
      <w:r>
        <w:rPr>
          <w:rFonts w:ascii="Geist Fallback" w:hAnsi="Geist Fallback"/>
          <w:szCs w:val="24"/>
        </w:rPr>
        <w:t xml:space="preserve"> </w:t>
      </w:r>
      <w:r>
        <w:rPr>
          <w:rStyle w:val="24"/>
          <w:rFonts w:ascii="Geist Fallback" w:hAnsi="Geist Fallback"/>
          <w:szCs w:val="24"/>
        </w:rPr>
        <w:t xml:space="preserve">One of the main challenges facing international players is the high level of criticality in the local supply chain, especially in the production of batteries and critical minerals (Dhairiyasamy </w:t>
      </w:r>
      <w:r>
        <w:rPr>
          <w:rStyle w:val="24"/>
          <w:rFonts w:ascii="Geist Fallback" w:hAnsi="Geist Fallback"/>
          <w:i/>
          <w:szCs w:val="24"/>
        </w:rPr>
        <w:t>et al.</w:t>
      </w:r>
      <w:r>
        <w:rPr>
          <w:rStyle w:val="24"/>
          <w:rFonts w:ascii="Geist Fallback" w:hAnsi="Geist Fallback"/>
          <w:szCs w:val="24"/>
        </w:rPr>
        <w:t xml:space="preserve"> 2024).</w:t>
      </w:r>
      <w:r>
        <w:rPr>
          <w:rFonts w:ascii="Geist Fallback" w:hAnsi="Geist Fallback"/>
          <w:szCs w:val="24"/>
        </w:rPr>
        <w:t xml:space="preserve"> </w:t>
      </w:r>
      <w:r>
        <w:rPr>
          <w:rStyle w:val="24"/>
          <w:rFonts w:ascii="Geist Fallback" w:hAnsi="Geist Fallback"/>
          <w:szCs w:val="24"/>
        </w:rPr>
        <w:t>Fully Built Units or Completely Knocked Down kits are imported at high import duties, while building local supply chains is a massive initial investment by foreign OEMs.</w:t>
      </w:r>
      <w:r>
        <w:rPr>
          <w:rFonts w:ascii="Geist Fallback" w:hAnsi="Geist Fallback"/>
          <w:szCs w:val="24"/>
        </w:rPr>
        <w:t xml:space="preserve"> </w:t>
      </w:r>
      <w:r>
        <w:rPr>
          <w:rStyle w:val="24"/>
          <w:rFonts w:ascii="Geist Fallback" w:hAnsi="Geist Fallback"/>
          <w:szCs w:val="24"/>
        </w:rPr>
        <w:t>Strategic adaptation is a continuous process that is very challenging for international firms as they do not have any pre-established vendor networks and supply links in India, unlike the incumbent domestic firms, to navigate through the transformational shifts in the automobile industry as noted by Rehman and Jajja (2025).</w:t>
      </w:r>
      <w:r>
        <w:rPr>
          <w:rFonts w:ascii="Geist Fallback" w:hAnsi="Geist Fallback"/>
          <w:szCs w:val="24"/>
        </w:rPr>
        <w:t xml:space="preserve"> </w:t>
      </w:r>
    </w:p>
    <w:p w14:paraId="34357463">
      <w:pPr>
        <w:rPr>
          <w:rFonts w:ascii="Geist Fallback" w:hAnsi="Geist Fallback"/>
          <w:szCs w:val="24"/>
        </w:rPr>
      </w:pPr>
      <w:r>
        <w:rPr>
          <w:rStyle w:val="24"/>
          <w:rFonts w:ascii="Geist Fallback" w:hAnsi="Geist Fallback"/>
          <w:szCs w:val="24"/>
        </w:rPr>
        <w:t>On this point, Arora and Singh (2024) highlighted how, apart from the complexities of supply chains, the Indian passenger vehicle market is very price sensitive, directly conflicting with the premium pricing models used by foreign EV brands.</w:t>
      </w:r>
      <w:r>
        <w:rPr>
          <w:rFonts w:ascii="Geist Fallback" w:hAnsi="Geist Fallback"/>
          <w:szCs w:val="24"/>
        </w:rPr>
        <w:t xml:space="preserve"> </w:t>
      </w:r>
      <w:r>
        <w:rPr>
          <w:rStyle w:val="24"/>
          <w:rFonts w:ascii="Geist Fallback" w:hAnsi="Geist Fallback"/>
          <w:szCs w:val="24"/>
        </w:rPr>
        <w:t>COO (total cost of ownership) and perceived LTV (long-term value) and functional affordability are some of the key factors influencing consumer purchase decisions in India, with high upfront cost of acquisition being a key deterrent for wide consumer adoption.</w:t>
      </w:r>
      <w:r>
        <w:rPr>
          <w:rFonts w:ascii="Geist Fallback" w:hAnsi="Geist Fallback"/>
          <w:szCs w:val="24"/>
        </w:rPr>
        <w:t xml:space="preserve"> </w:t>
      </w:r>
      <w:r>
        <w:rPr>
          <w:rStyle w:val="24"/>
          <w:rFonts w:ascii="Geist Fallback" w:hAnsi="Geist Fallback"/>
          <w:szCs w:val="24"/>
        </w:rPr>
        <w:t>Aithal (2025) reported that market leaders, such as domestic companies, have the ability to dominate the market by adapting existing, cost-efficient platform architectures for EVs and establish a high competitive barrier for foreign brands to enter the lower and mid-tier market segments where mass volume can be achieved.</w:t>
      </w:r>
      <w:r>
        <w:rPr>
          <w:rFonts w:ascii="Geist Fallback" w:hAnsi="Geist Fallback"/>
          <w:szCs w:val="24"/>
        </w:rPr>
        <w:t xml:space="preserve"> </w:t>
      </w:r>
      <w:r>
        <w:rPr>
          <w:rStyle w:val="24"/>
          <w:rFonts w:ascii="Geist Fallback" w:hAnsi="Geist Fallback"/>
          <w:szCs w:val="24"/>
        </w:rPr>
        <w:t>In the work of Pathak et al (2024), they concluded that India requires strategic agility to achieve an operational footprint – opportunities in India's EV market are very much about 'business model innovation' at the local level.</w:t>
      </w:r>
      <w:r>
        <w:rPr>
          <w:rFonts w:ascii="Geist Fallback" w:hAnsi="Geist Fallback"/>
          <w:szCs w:val="24"/>
        </w:rPr>
        <w:t xml:space="preserve"> </w:t>
      </w:r>
    </w:p>
    <w:p w14:paraId="01BEC306">
      <w:pPr>
        <w:rPr>
          <w:rFonts w:ascii="Geist Fallback" w:hAnsi="Geist Fallback"/>
          <w:szCs w:val="24"/>
        </w:rPr>
      </w:pPr>
      <w:r>
        <w:rPr>
          <w:rStyle w:val="24"/>
          <w:rFonts w:ascii="Geist Fallback" w:hAnsi="Geist Fallback"/>
          <w:szCs w:val="24"/>
        </w:rPr>
        <w:t xml:space="preserve">Cho </w:t>
      </w:r>
      <w:r>
        <w:rPr>
          <w:rStyle w:val="24"/>
          <w:rFonts w:ascii="Geist Fallback" w:hAnsi="Geist Fallback"/>
          <w:i/>
          <w:szCs w:val="24"/>
        </w:rPr>
        <w:t xml:space="preserve">et al. </w:t>
      </w:r>
      <w:r>
        <w:rPr>
          <w:rStyle w:val="24"/>
          <w:rFonts w:ascii="Geist Fallback" w:hAnsi="Geist Fallback"/>
          <w:szCs w:val="24"/>
        </w:rPr>
        <w:t xml:space="preserve"> (2025) pointed out that the key to mid-to-long-term growth in market entry is to find and use effective combinations of resources.</w:t>
      </w:r>
      <w:r>
        <w:rPr>
          <w:rFonts w:ascii="Geist Fallback" w:hAnsi="Geist Fallback"/>
          <w:szCs w:val="24"/>
        </w:rPr>
        <w:t xml:space="preserve"> </w:t>
      </w:r>
      <w:r>
        <w:rPr>
          <w:rStyle w:val="24"/>
          <w:rFonts w:ascii="Geist Fallback" w:hAnsi="Geist Fallback"/>
          <w:szCs w:val="24"/>
        </w:rPr>
        <w:t>European companies often underestimate the fit between their technology and the unique operating environment of developing markets, including the effects of extreme weather on battery thermal management, insufficient charging infrastructure, and diverse road infrastructure.</w:t>
      </w:r>
      <w:r>
        <w:rPr>
          <w:rFonts w:ascii="Geist Fallback" w:hAnsi="Geist Fallback"/>
          <w:szCs w:val="24"/>
        </w:rPr>
        <w:t xml:space="preserve"> </w:t>
      </w:r>
      <w:r>
        <w:rPr>
          <w:rStyle w:val="24"/>
          <w:rFonts w:ascii="Geist Fallback" w:hAnsi="Geist Fallback"/>
          <w:szCs w:val="24"/>
        </w:rPr>
        <w:t xml:space="preserve">Khaleel </w:t>
      </w:r>
      <w:r>
        <w:rPr>
          <w:rStyle w:val="24"/>
          <w:rFonts w:ascii="Geist Fallback" w:hAnsi="Geist Fallback"/>
          <w:i/>
          <w:szCs w:val="24"/>
        </w:rPr>
        <w:t xml:space="preserve">et al. </w:t>
      </w:r>
      <w:r>
        <w:rPr>
          <w:rStyle w:val="24"/>
          <w:rFonts w:ascii="Geist Fallback" w:hAnsi="Geist Fallback"/>
          <w:szCs w:val="24"/>
        </w:rPr>
        <w:t xml:space="preserve"> (2024) noted that the global transition toward electric mobility is at a fast pace due to environmental demands, advancements in technology, and policy support in a tri-polar world defined by China, Europe and the United States.</w:t>
      </w:r>
      <w:r>
        <w:rPr>
          <w:rFonts w:ascii="Geist Fallback" w:hAnsi="Geist Fallback"/>
          <w:szCs w:val="24"/>
        </w:rPr>
        <w:t xml:space="preserve"> </w:t>
      </w:r>
      <w:r>
        <w:rPr>
          <w:rStyle w:val="24"/>
          <w:rFonts w:ascii="Geist Fallback" w:hAnsi="Geist Fallback"/>
          <w:szCs w:val="24"/>
        </w:rPr>
        <w:t xml:space="preserve">In these key geographies, the shift in consumer adoption goes beyond luxury passenger vehicles to include a wider range of vehicle types, commercial transit vehicles and multi-category electric mobility (Akinsooto </w:t>
      </w:r>
      <w:r>
        <w:rPr>
          <w:rStyle w:val="24"/>
          <w:rFonts w:ascii="Geist Fallback" w:hAnsi="Geist Fallback"/>
          <w:i/>
          <w:szCs w:val="24"/>
        </w:rPr>
        <w:t xml:space="preserve">et al. </w:t>
      </w:r>
      <w:r>
        <w:rPr>
          <w:rStyle w:val="24"/>
          <w:rFonts w:ascii="Geist Fallback" w:hAnsi="Geist Fallback"/>
          <w:szCs w:val="24"/>
        </w:rPr>
        <w:t xml:space="preserve"> 2025).</w:t>
      </w:r>
      <w:r>
        <w:rPr>
          <w:rFonts w:ascii="Geist Fallback" w:hAnsi="Geist Fallback"/>
          <w:szCs w:val="24"/>
        </w:rPr>
        <w:t xml:space="preserve"> </w:t>
      </w:r>
      <w:r>
        <w:rPr>
          <w:rStyle w:val="24"/>
          <w:rFonts w:ascii="Geist Fallback" w:hAnsi="Geist Fallback"/>
          <w:szCs w:val="24"/>
        </w:rPr>
        <w:t xml:space="preserve">Gnanavendan </w:t>
      </w:r>
      <w:r>
        <w:rPr>
          <w:rStyle w:val="24"/>
          <w:rFonts w:ascii="Geist Fallback" w:hAnsi="Geist Fallback"/>
          <w:i/>
          <w:szCs w:val="24"/>
        </w:rPr>
        <w:t xml:space="preserve">et al. </w:t>
      </w:r>
      <w:r>
        <w:rPr>
          <w:rStyle w:val="24"/>
          <w:rFonts w:ascii="Geist Fallback" w:hAnsi="Geist Fallback"/>
          <w:szCs w:val="24"/>
        </w:rPr>
        <w:t xml:space="preserve"> (2024) pointed out that future trends in EV technology focus on the solution of basic operational issues by advancing high-efficiency drivetrains, battery management architectures and thermal stability.</w:t>
      </w:r>
      <w:r>
        <w:rPr>
          <w:rFonts w:ascii="Geist Fallback" w:hAnsi="Geist Fallback"/>
          <w:szCs w:val="24"/>
        </w:rPr>
        <w:t xml:space="preserve"> </w:t>
      </w:r>
      <w:r>
        <w:rPr>
          <w:rStyle w:val="24"/>
          <w:rFonts w:ascii="Geist Fallback" w:hAnsi="Geist Fallback"/>
          <w:szCs w:val="24"/>
        </w:rPr>
        <w:t>At the same time, global EV expansion is inextricably linked to infrastructure scaling, with the global charging market rapidly transitioning from low-power to high-power fast charging networks, and smart-grid integration and standardised interoperability protocols becoming increasingly critical to reduce peak load pressures on regional power networks (Alsharif, 2025).</w:t>
      </w:r>
      <w:r>
        <w:rPr>
          <w:rFonts w:ascii="Geist Fallback" w:hAnsi="Geist Fallback"/>
          <w:szCs w:val="24"/>
        </w:rPr>
        <w:t xml:space="preserve"> </w:t>
      </w:r>
    </w:p>
    <w:p w14:paraId="0E4C747B">
      <w:pPr>
        <w:rPr>
          <w:rFonts w:ascii="Geist Fallback" w:hAnsi="Geist Fallback"/>
          <w:szCs w:val="24"/>
        </w:rPr>
      </w:pPr>
      <w:r>
        <w:rPr>
          <w:rStyle w:val="24"/>
          <w:rFonts w:ascii="Geist Fallback" w:hAnsi="Geist Fallback"/>
          <w:szCs w:val="24"/>
        </w:rPr>
        <w:t xml:space="preserve">Gupta </w:t>
      </w:r>
      <w:r>
        <w:rPr>
          <w:rStyle w:val="24"/>
          <w:rFonts w:ascii="Geist Fallback" w:hAnsi="Geist Fallback"/>
          <w:i/>
          <w:szCs w:val="24"/>
        </w:rPr>
        <w:t xml:space="preserve">et al. </w:t>
      </w:r>
      <w:r>
        <w:rPr>
          <w:rStyle w:val="24"/>
          <w:rFonts w:ascii="Geist Fallback" w:hAnsi="Geist Fallback"/>
          <w:szCs w:val="24"/>
        </w:rPr>
        <w:t xml:space="preserve"> (2024) found that consumer willingness to purchase EVs in emerging markets is strongly affected by their awareness and functional understanding of EVs' features and environmental advantages.</w:t>
      </w:r>
      <w:r>
        <w:rPr>
          <w:rFonts w:ascii="Geist Fallback" w:hAnsi="Geist Fallback"/>
          <w:szCs w:val="24"/>
        </w:rPr>
        <w:t xml:space="preserve"> </w:t>
      </w:r>
      <w:r>
        <w:rPr>
          <w:rStyle w:val="24"/>
          <w:rFonts w:ascii="Geist Fallback" w:hAnsi="Geist Fallback"/>
          <w:szCs w:val="24"/>
        </w:rPr>
        <w:t xml:space="preserve">Samarasinghe </w:t>
      </w:r>
      <w:r>
        <w:rPr>
          <w:rStyle w:val="24"/>
          <w:rFonts w:ascii="Geist Fallback" w:hAnsi="Geist Fallback"/>
          <w:i/>
          <w:szCs w:val="24"/>
        </w:rPr>
        <w:t xml:space="preserve">et al. </w:t>
      </w:r>
      <w:r>
        <w:rPr>
          <w:rStyle w:val="24"/>
          <w:rFonts w:ascii="Geist Fallback" w:hAnsi="Geist Fallback"/>
          <w:szCs w:val="24"/>
        </w:rPr>
        <w:t xml:space="preserve"> (2024) found that the non-users assess EVs based on perceived usefulness, environmental attitude and performance expectancy.</w:t>
      </w:r>
      <w:r>
        <w:rPr>
          <w:rFonts w:ascii="Geist Fallback" w:hAnsi="Geist Fallback"/>
          <w:szCs w:val="24"/>
        </w:rPr>
        <w:t xml:space="preserve"> </w:t>
      </w:r>
      <w:r>
        <w:rPr>
          <w:rStyle w:val="24"/>
          <w:rFonts w:ascii="Geist Fallback" w:hAnsi="Geist Fallback"/>
          <w:szCs w:val="24"/>
        </w:rPr>
        <w:t xml:space="preserve">However, Sharma </w:t>
      </w:r>
      <w:r>
        <w:rPr>
          <w:rStyle w:val="24"/>
          <w:rFonts w:ascii="Geist Fallback" w:hAnsi="Geist Fallback"/>
          <w:i/>
          <w:szCs w:val="24"/>
        </w:rPr>
        <w:t xml:space="preserve">et al. </w:t>
      </w:r>
      <w:r>
        <w:rPr>
          <w:rStyle w:val="24"/>
          <w:rFonts w:ascii="Geist Fallback" w:hAnsi="Geist Fallback"/>
          <w:szCs w:val="24"/>
        </w:rPr>
        <w:t xml:space="preserve"> (2024) pointed out that positive expected emotions like pride, excitement and self-satisfaction play a crucial role in BEV purchase intentions, and that global branding frequently accentuates the expected status and prestige of ownership.</w:t>
      </w:r>
      <w:r>
        <w:rPr>
          <w:rFonts w:ascii="Geist Fallback" w:hAnsi="Geist Fallback"/>
          <w:szCs w:val="24"/>
        </w:rPr>
        <w:t xml:space="preserve"> </w:t>
      </w:r>
      <w:r>
        <w:rPr>
          <w:rStyle w:val="24"/>
          <w:rFonts w:ascii="Geist Fallback" w:hAnsi="Geist Fallback"/>
          <w:szCs w:val="24"/>
        </w:rPr>
        <w:t>Dhar (2024) examined consumer perception and the intention to buy in the changing market of India and concluded that the factors influencing consumers as they consider the purchase of electric vehicles are perceived reliability of the brand, safety rating and advanced features of the vehicle.</w:t>
      </w:r>
      <w:r>
        <w:rPr>
          <w:rFonts w:ascii="Geist Fallback" w:hAnsi="Geist Fallback"/>
          <w:szCs w:val="24"/>
        </w:rPr>
        <w:t xml:space="preserve"> </w:t>
      </w:r>
      <w:r>
        <w:rPr>
          <w:rStyle w:val="24"/>
          <w:rFonts w:ascii="Geist Fallback" w:hAnsi="Geist Fallback"/>
          <w:szCs w:val="24"/>
        </w:rPr>
        <w:t xml:space="preserve">In the built environment, performance credibility, driving range assurance, and charging convenience serve as the key prerequisites for driving consumer interest towards actual purchase intent (Thakur </w:t>
      </w:r>
      <w:r>
        <w:rPr>
          <w:rStyle w:val="24"/>
          <w:rFonts w:ascii="Geist Fallback" w:hAnsi="Geist Fallback"/>
          <w:i/>
          <w:szCs w:val="24"/>
        </w:rPr>
        <w:t xml:space="preserve">et al. </w:t>
      </w:r>
      <w:r>
        <w:rPr>
          <w:rStyle w:val="24"/>
          <w:rFonts w:ascii="Geist Fallback" w:hAnsi="Geist Fallback"/>
          <w:szCs w:val="24"/>
        </w:rPr>
        <w:t xml:space="preserve"> 2025).</w:t>
      </w:r>
      <w:r>
        <w:rPr>
          <w:rFonts w:ascii="Geist Fallback" w:hAnsi="Geist Fallback"/>
          <w:szCs w:val="24"/>
        </w:rPr>
        <w:t xml:space="preserve"> </w:t>
      </w:r>
      <w:r>
        <w:rPr>
          <w:rStyle w:val="24"/>
          <w:rFonts w:ascii="Geist Fallback" w:hAnsi="Geist Fallback"/>
          <w:szCs w:val="24"/>
        </w:rPr>
        <w:t xml:space="preserve">Higueras-Castillo </w:t>
      </w:r>
      <w:r>
        <w:rPr>
          <w:rStyle w:val="24"/>
          <w:rFonts w:ascii="Geist Fallback" w:hAnsi="Geist Fallback"/>
          <w:i/>
          <w:szCs w:val="24"/>
        </w:rPr>
        <w:t xml:space="preserve">et al. </w:t>
      </w:r>
      <w:r>
        <w:rPr>
          <w:rStyle w:val="24"/>
          <w:rFonts w:ascii="Geist Fallback" w:hAnsi="Geist Fallback"/>
          <w:szCs w:val="24"/>
        </w:rPr>
        <w:t xml:space="preserve"> (2024) undertook a cross-cultural analysis, and the results indicated that expectations towards adoption depend on cultural values, social influence and openness to international innovations, which obviously favours foreign brands with good international references.</w:t>
      </w:r>
      <w:r>
        <w:rPr>
          <w:rFonts w:ascii="Geist Fallback" w:hAnsi="Geist Fallback"/>
          <w:szCs w:val="24"/>
        </w:rPr>
        <w:t xml:space="preserve"> </w:t>
      </w:r>
      <w:r>
        <w:rPr>
          <w:rStyle w:val="24"/>
          <w:rFonts w:ascii="Geist Fallback" w:hAnsi="Geist Fallback"/>
          <w:szCs w:val="24"/>
        </w:rPr>
        <w:t>Suvittawat (2024) showed that agility of the supply chain and particular characteristics of the vehicle directly affect the intention to purchase, thus confirming that foreign OEMs with responsive service and reliable supply chains are better able to build consumer confidence in emerging markets.</w:t>
      </w:r>
      <w:r>
        <w:rPr>
          <w:rFonts w:cs="Times New Roman"/>
          <w:b/>
        </w:rPr>
        <w:br w:type="page"/>
      </w:r>
    </w:p>
    <w:p w14:paraId="261D481D">
      <w:pPr>
        <w:pStyle w:val="3"/>
        <w:spacing w:after="160"/>
        <w:rPr>
          <w:lang w:val="en-GB"/>
        </w:rPr>
      </w:pPr>
      <w:bookmarkStart w:id="36" w:name="_dxw8yimo1ssv" w:colFirst="0" w:colLast="0"/>
      <w:bookmarkEnd w:id="36"/>
      <w:bookmarkStart w:id="37" w:name="_smf3o8ocja9o" w:colFirst="0" w:colLast="0"/>
      <w:bookmarkEnd w:id="37"/>
      <w:bookmarkStart w:id="38" w:name="_Toc241218774"/>
      <w:r>
        <w:rPr>
          <w:lang w:val="en-GB"/>
        </w:rPr>
        <w:t>2.9 Literature gap</w:t>
      </w:r>
      <w:bookmarkEnd w:id="38"/>
      <w:r>
        <w:rPr>
          <w:lang w:val="en-GB"/>
        </w:rPr>
        <w:t xml:space="preserve"> </w:t>
      </w:r>
    </w:p>
    <w:p w14:paraId="4C643835">
      <w:pPr>
        <w:rPr>
          <w:lang w:val="en-GB"/>
        </w:rPr>
      </w:pPr>
      <w:r>
        <w:rPr>
          <w:lang w:val="en-GB"/>
        </w:rPr>
        <w:t>The literature review supports substantial evidence regarding technology acceptance, electric vehicle adoption, and consumer purchasing behaviour. However, several literature-based gaps remain concerning the specific acceptance of foreign EV brands in India. Existing literature-based studies tend to examine general EV adoption instead of distinguishing between foreign brands and domestic brands. In the literature review, it is observed that research finds social influence, perceived usefulness, and facilitating conditions to be important determinants of technology acceptance through TAM and UTAUT. Other studies have emphasised emotional responses, price sensitivity, reliability, infrastructure and environmental awareness. A further gap concerns the relationship between psychological consumer factors and structural market barriers. The literature separately identifies charging infrastructure, after-sales support, supply-chain weaknesses, high acquisition costs, regulatory conditions and domestic-brand dominance as important barriers. However, limited attention is given to the way structural conditions interact with consumers' perceptions of usefulness, trust, value, and technological performance when evaluating foreign brands.</w:t>
      </w:r>
    </w:p>
    <w:p w14:paraId="3BCD2185">
      <w:pPr>
        <w:rPr>
          <w:lang w:val="en-GB"/>
        </w:rPr>
      </w:pPr>
      <w:r>
        <w:rPr>
          <w:lang w:val="en-GB"/>
        </w:rPr>
        <w:t>Moreover, the published studies have also identified purchasing intention drivers such as environmental consciousness, awareness, reliability, safety, advanced features and charging convenience, there remains insufficient integration of these variables with foreign-brand market-entry challenges. It is also observed that there is a gap in integrating technology-acceptance perspectives with psychological and structural factors, economic factors, and other factors to explain customer acceptance of foreign EV brands in India.</w:t>
      </w:r>
      <w:bookmarkStart w:id="39" w:name="_ata62u6es5r8" w:colFirst="0" w:colLast="0"/>
      <w:bookmarkEnd w:id="39"/>
    </w:p>
    <w:p w14:paraId="478BC41B">
      <w:pPr>
        <w:spacing w:line="259" w:lineRule="auto"/>
        <w:jc w:val="left"/>
        <w:rPr>
          <w:lang w:val="en-GB"/>
        </w:rPr>
      </w:pPr>
      <w:r>
        <w:rPr>
          <w:lang w:val="en-GB"/>
        </w:rPr>
        <w:br w:type="page"/>
      </w:r>
    </w:p>
    <w:p w14:paraId="57EF2303">
      <w:pPr>
        <w:pStyle w:val="3"/>
        <w:rPr>
          <w:lang w:val="en-GB"/>
        </w:rPr>
      </w:pPr>
      <w:bookmarkStart w:id="40" w:name="_Toc241218775"/>
      <w:r>
        <w:rPr>
          <w:lang w:val="en-GB"/>
        </w:rPr>
        <w:t>2.10 Conceptual framework</w:t>
      </w:r>
      <w:bookmarkEnd w:id="40"/>
      <w:r>
        <w:rPr>
          <w:lang w:val="en-GB"/>
        </w:rPr>
        <w:t xml:space="preserve"> </w:t>
      </w:r>
    </w:p>
    <w:p w14:paraId="0C1F16D0">
      <w:pPr>
        <w:rPr>
          <w:lang w:val="en-GB"/>
        </w:rPr>
      </w:pPr>
      <w:r>
        <w:rPr>
          <w:lang w:val="en-GB" w:eastAsia="en-GB"/>
        </w:rPr>
        <mc:AlternateContent>
          <mc:Choice Requires="wpg">
            <w:drawing>
              <wp:anchor distT="0" distB="0" distL="114300" distR="114300" simplePos="0" relativeHeight="251673600" behindDoc="0" locked="0" layoutInCell="1" allowOverlap="1">
                <wp:simplePos x="0" y="0"/>
                <wp:positionH relativeFrom="column">
                  <wp:posOffset>-312420</wp:posOffset>
                </wp:positionH>
                <wp:positionV relativeFrom="paragraph">
                  <wp:posOffset>111760</wp:posOffset>
                </wp:positionV>
                <wp:extent cx="6377940" cy="6019800"/>
                <wp:effectExtent l="0" t="0" r="22860" b="19050"/>
                <wp:wrapNone/>
                <wp:docPr id="862789102" name="Group 862789102"/>
                <wp:cNvGraphicFramePr/>
                <a:graphic xmlns:a="http://schemas.openxmlformats.org/drawingml/2006/main">
                  <a:graphicData uri="http://schemas.microsoft.com/office/word/2010/wordprocessingGroup">
                    <wpg:wgp>
                      <wpg:cNvGrpSpPr/>
                      <wpg:grpSpPr>
                        <a:xfrm>
                          <a:off x="0" y="0"/>
                          <a:ext cx="6377940" cy="6019800"/>
                          <a:chOff x="0" y="0"/>
                          <a:chExt cx="6377940" cy="6019800"/>
                        </a:xfrm>
                      </wpg:grpSpPr>
                      <wps:wsp>
                        <wps:cNvPr id="862789088" name="Rounded Rectangle 862789088"/>
                        <wps:cNvSpPr/>
                        <wps:spPr>
                          <a:xfrm>
                            <a:off x="0" y="0"/>
                            <a:ext cx="6377940" cy="72390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1C9C5790">
                              <w:pPr>
                                <w:jc w:val="center"/>
                                <w:rPr>
                                  <w:b/>
                                  <w:sz w:val="28"/>
                                </w:rPr>
                              </w:pPr>
                              <w:r>
                                <w:rPr>
                                  <w:b/>
                                  <w:sz w:val="28"/>
                                </w:rPr>
                                <w:t>Factors Influencing Customer Acceptance of Foreign Electric Vehicle Brands in India</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62789089" name="Down Arrow 862789089"/>
                        <wps:cNvSpPr/>
                        <wps:spPr>
                          <a:xfrm>
                            <a:off x="2971800" y="723900"/>
                            <a:ext cx="388620" cy="4343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862789090" name="Round Diagonal Corner Rectangle 862789090"/>
                        <wps:cNvSpPr/>
                        <wps:spPr>
                          <a:xfrm>
                            <a:off x="876300" y="1158240"/>
                            <a:ext cx="4572000" cy="480060"/>
                          </a:xfrm>
                          <a:prstGeom prst="round2DiagRect">
                            <a:avLst/>
                          </a:prstGeom>
                        </wps:spPr>
                        <wps:style>
                          <a:lnRef idx="1">
                            <a:schemeClr val="accent4"/>
                          </a:lnRef>
                          <a:fillRef idx="2">
                            <a:schemeClr val="accent4"/>
                          </a:fillRef>
                          <a:effectRef idx="1">
                            <a:schemeClr val="accent4"/>
                          </a:effectRef>
                          <a:fontRef idx="minor">
                            <a:schemeClr val="dk1"/>
                          </a:fontRef>
                        </wps:style>
                        <wps:txbx>
                          <w:txbxContent>
                            <w:p w14:paraId="599CEB9F">
                              <w:pPr>
                                <w:jc w:val="center"/>
                                <w:rPr>
                                  <w:b/>
                                  <w:i/>
                                  <w:sz w:val="28"/>
                                </w:rPr>
                              </w:pPr>
                              <w:r>
                                <w:rPr>
                                  <w:b/>
                                  <w:i/>
                                  <w:sz w:val="28"/>
                                </w:rPr>
                                <w:t xml:space="preserve">Psychological and Behavioural Drivers of EV Acceptance </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62789091" name="Straight Arrow Connector 862789091"/>
                        <wps:cNvCnPr/>
                        <wps:spPr>
                          <a:xfrm flipH="1">
                            <a:off x="3124200" y="1638300"/>
                            <a:ext cx="45719" cy="548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62789093" name="Oval 862789093"/>
                        <wps:cNvSpPr/>
                        <wps:spPr>
                          <a:xfrm>
                            <a:off x="2110740" y="2118360"/>
                            <a:ext cx="1988820" cy="89154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7695A20F">
                              <w:pPr>
                                <w:jc w:val="center"/>
                              </w:pPr>
                              <w:r>
                                <w:rPr>
                                  <w:rFonts w:cs="Times New Roman"/>
                                  <w:i/>
                                  <w:color w:val="000000" w:themeColor="text1"/>
                                  <w14:textFill>
                                    <w14:solidFill>
                                      <w14:schemeClr w14:val="tx1"/>
                                    </w14:solidFill>
                                  </w14:textFill>
                                </w:rPr>
                                <w:t>Technology Acceptance Model</w:t>
                              </w:r>
                              <w:r>
                                <w:rPr>
                                  <w:rFonts w:cs="Times New Roman"/>
                                  <w:color w:val="000000" w:themeColor="text1"/>
                                  <w14:textFill>
                                    <w14:solidFill>
                                      <w14:schemeClr w14:val="tx1"/>
                                    </w14:soli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62789095" name="Straight Arrow Connector 862789095"/>
                        <wps:cNvCnPr/>
                        <wps:spPr>
                          <a:xfrm flipH="1">
                            <a:off x="830580" y="3009900"/>
                            <a:ext cx="2247900" cy="571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62789096" name="Straight Arrow Connector 862789096"/>
                        <wps:cNvCnPr/>
                        <wps:spPr>
                          <a:xfrm>
                            <a:off x="3078480" y="3009900"/>
                            <a:ext cx="2560320" cy="571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62789097" name="Rectangle 862789097"/>
                        <wps:cNvSpPr/>
                        <wps:spPr>
                          <a:xfrm>
                            <a:off x="228600" y="3482340"/>
                            <a:ext cx="2468880" cy="11430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23DDFBE7">
                              <w:pPr>
                                <w:jc w:val="center"/>
                                <w:rPr>
                                  <w:b/>
                                  <w:i/>
                                </w:rPr>
                              </w:pPr>
                              <w:r>
                                <w:rPr>
                                  <w:b/>
                                  <w:i/>
                                </w:rPr>
                                <w:t>Market Penetration Barriers and Structural Friction faced by Foreign Electric Vehicle Brands in India</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62789098" name="Rectangle 862789098"/>
                        <wps:cNvSpPr/>
                        <wps:spPr>
                          <a:xfrm>
                            <a:off x="4099560" y="3528060"/>
                            <a:ext cx="2148840" cy="9525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5313870B">
                              <w:pPr>
                                <w:jc w:val="center"/>
                                <w:rPr>
                                  <w:b/>
                                  <w:i/>
                                </w:rPr>
                              </w:pPr>
                              <w:r>
                                <w:rPr>
                                  <w:b/>
                                  <w:i/>
                                </w:rPr>
                                <w:t>Factors influencing Indian consumers’ acceptance of foreign electric vehicle brands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62789099" name="Straight Connector 862789099"/>
                        <wps:cNvCnPr/>
                        <wps:spPr>
                          <a:xfrm>
                            <a:off x="1226820" y="4625340"/>
                            <a:ext cx="1798320" cy="57912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62789100" name="Straight Connector 862789100"/>
                        <wps:cNvCnPr/>
                        <wps:spPr>
                          <a:xfrm flipH="1">
                            <a:off x="3025140" y="4480560"/>
                            <a:ext cx="2613660" cy="7239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62789101" name="Snip Diagonal Corner Rectangle 862789101"/>
                        <wps:cNvSpPr/>
                        <wps:spPr>
                          <a:xfrm>
                            <a:off x="1120140" y="5204460"/>
                            <a:ext cx="4267200" cy="815340"/>
                          </a:xfrm>
                          <a:prstGeom prst="snip2DiagRect">
                            <a:avLst/>
                          </a:prstGeom>
                        </wps:spPr>
                        <wps:style>
                          <a:lnRef idx="1">
                            <a:schemeClr val="accent6"/>
                          </a:lnRef>
                          <a:fillRef idx="2">
                            <a:schemeClr val="accent6"/>
                          </a:fillRef>
                          <a:effectRef idx="1">
                            <a:schemeClr val="accent6"/>
                          </a:effectRef>
                          <a:fontRef idx="minor">
                            <a:schemeClr val="dk1"/>
                          </a:fontRef>
                        </wps:style>
                        <wps:txbx>
                          <w:txbxContent>
                            <w:p w14:paraId="73DAEA74">
                              <w:pPr>
                                <w:jc w:val="center"/>
                                <w:rPr>
                                  <w:b/>
                                  <w:i/>
                                  <w:sz w:val="28"/>
                                </w:rPr>
                              </w:pPr>
                              <w:r>
                                <w:rPr>
                                  <w:b/>
                                  <w:i/>
                                  <w:sz w:val="28"/>
                                </w:rPr>
                                <w:t>The issues based on penetrating the Indian market by Foreign Electric Vehicle Brands</w:t>
                              </w:r>
                            </w:p>
                          </w:txbxContent>
                        </wps:txbx>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24.6pt;margin-top:8.8pt;height:474pt;width:502.2pt;z-index:251673600;mso-width-relative:page;mso-height-relative:page;" coordsize="6377940,6019800" o:gfxdata="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">
                <o:lock v:ext="edit" aspectratio="f"/>
                <v:roundrect id="_x0000_s1026" o:spid="_x0000_s1026" o:spt="2" style="position:absolute;left:0;top:0;height:723900;width:6377940;v-text-anchor:middle;" fillcolor="#F7BDA4 [3536]" filled="t" stroked="t" coordsize="21600,21600" arcsize="0.166666666666667" o:gfxdata="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wA+L&#10;/MEAAADiAAAADwAAAAAAAAABACAAAAAiAAAAZHJzL2Rvd25yZXYueG1sUEsBAhQAFAAAAAgAh07i&#10;QDMvBZ47AAAAOQAAABAAAAAAAAAAAQAgAAAAEAEAAGRycy9zaGFwZXhtbC54bWxQSwUGAAAAAAYA&#10;BgBbAQAAugMAAAAA&#10;">
                  <v:fill type="gradient" on="t" color2="#F8A581 [3376]" colors="0f #F7BDA4;32768f #F5B195;65536f #F8A581" focus="100%" focussize="0f,0f" focusposition="0f,0f" rotate="t">
                    <o:fill type="gradientUnscaled" v:ext="backwardCompatible"/>
                  </v:fill>
                  <v:stroke weight="0.5pt" color="#ED7D31 [3205]" miterlimit="8" joinstyle="miter"/>
                  <v:imagedata o:title=""/>
                  <o:lock v:ext="edit" aspectratio="f"/>
                  <v:textbox>
                    <w:txbxContent>
                      <w:p w14:paraId="1C9C5790">
                        <w:pPr>
                          <w:jc w:val="center"/>
                          <w:rPr>
                            <w:b/>
                            <w:sz w:val="28"/>
                          </w:rPr>
                        </w:pPr>
                        <w:r>
                          <w:rPr>
                            <w:b/>
                            <w:sz w:val="28"/>
                          </w:rPr>
                          <w:t>Factors Influencing Customer Acceptance of Foreign Electric Vehicle Brands in India</w:t>
                        </w:r>
                      </w:p>
                    </w:txbxContent>
                  </v:textbox>
                </v:roundrect>
                <v:shape id="_x0000_s1026" o:spid="_x0000_s1026" o:spt="67" type="#_x0000_t67" style="position:absolute;left:2971800;top:723900;height:434340;width:388620;v-text-anchor:middle;" fillcolor="#5B9BD5 [3204]" filled="t" stroked="t" coordsize="21600,21600" o:gfxdata="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N2kfBMQAAADiAAAADwAAAAAAAAABACAAAAAiAAAAZHJzL2Rvd25yZXYueG1sUEsBAhQAFAAAAAgA&#10;h07iQDMvBZ47AAAAOQAAABAAAAAAAAAAAQAgAAAAEwEAAGRycy9zaGFwZXhtbC54bWxQSwUGAAAA&#10;AAYABgBbAQAAvQMAAAAA&#10;" adj="11937,5400">
                  <v:fill on="t" focussize="0,0"/>
                  <v:stroke weight="1pt" color="#41719C [3204]" miterlimit="8" joinstyle="miter"/>
                  <v:imagedata o:title=""/>
                  <o:lock v:ext="edit" aspectratio="f"/>
                </v:shape>
                <v:shape id="_x0000_s1026" o:spid="_x0000_s1026" style="position:absolute;left:876300;top:1158240;height:480060;width:4572000;v-text-anchor:middle;" fillcolor="#FFDD9C [3536]" filled="t" stroked="t" coordsize="4572000,480060" o:gfxdata="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L66&#10;dC3CAAAA4gAAAA8AAAAAAAAAAQAgAAAAIgAAAGRycy9kb3ducmV2LnhtbFBLAQIUABQAAAAIAIdO&#10;4kAzLwWeOwAAADkAAAAQAAAAAAAAAAEAIAAAABEBAABkcnMvc2hhcGV4bWwueG1sUEsFBgAAAAAG&#10;AAYAWwEAALsDAAAAAAAA&#10;" path="m80011,0l4572000,0,4572000,0,4572000,400048c4572000,444237,4536178,480059,4491989,480059l0,480060,0,480060,0,80011c0,35822,35822,0,80011,0xe">
                  <v:path textboxrect="0,0,4572000,480060" o:connectlocs="4572000,240030;2286000,480060;0,240030;2286000,0" o:connectangles="0,82,164,247"/>
                  <v:fill type="gradient" on="t" color2="#FFD479 [3376]" colors="0f #FFDD9C;32768f #FFD78E;65536f #FFD479" focus="100%" focussize="0f,0f" focusposition="0f,0f" rotate="t">
                    <o:fill type="gradientUnscaled" v:ext="backwardCompatible"/>
                  </v:fill>
                  <v:stroke weight="0.5pt" color="#FFC000 [3207]" miterlimit="8" joinstyle="miter"/>
                  <v:imagedata o:title=""/>
                  <o:lock v:ext="edit" aspectratio="f"/>
                  <v:textbox>
                    <w:txbxContent>
                      <w:p w14:paraId="599CEB9F">
                        <w:pPr>
                          <w:jc w:val="center"/>
                          <w:rPr>
                            <w:b/>
                            <w:i/>
                            <w:sz w:val="28"/>
                          </w:rPr>
                        </w:pPr>
                        <w:r>
                          <w:rPr>
                            <w:b/>
                            <w:i/>
                            <w:sz w:val="28"/>
                          </w:rPr>
                          <w:t xml:space="preserve">Psychological and Behavioural Drivers of EV Acceptance </w:t>
                        </w:r>
                      </w:p>
                    </w:txbxContent>
                  </v:textbox>
                </v:shape>
                <v:shape id="_x0000_s1026" o:spid="_x0000_s1026" o:spt="32" type="#_x0000_t32" style="position:absolute;left:3124200;top:1638300;flip:x;height:548640;width:45719;" filled="f" stroked="t" coordsize="21600,21600" o:gfxdata="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GJA&#10;iTXCAAAA4gAAAA8AAAAAAAAAAQAgAAAAIgAAAGRycy9kb3ducmV2LnhtbFBLAQIUABQAAAAIAIdO&#10;4kAzLwWeOwAAADkAAAAQAAAAAAAAAAEAIAAAABEBAABkcnMvc2hhcGV4bWwueG1sUEsFBgAAAAAG&#10;AAYAWwEAALsDAAAAAAAA&#10;">
                  <v:fill on="f" focussize="0,0"/>
                  <v:stroke weight="0.5pt" color="#5B9BD5 [3204]" miterlimit="8" joinstyle="miter" endarrow="block"/>
                  <v:imagedata o:title=""/>
                  <o:lock v:ext="edit" aspectratio="f"/>
                </v:shape>
                <v:shape id="_x0000_s1026" o:spid="_x0000_s1026" o:spt="3" type="#_x0000_t3" style="position:absolute;left:2110740;top:2118360;height:891540;width:1988820;v-text-anchor:middle;" fillcolor="#F7BDA4 [3536]" filled="t" stroked="t" coordsize="21600,21600" o:gfxdata="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Lh2JCe/&#10;AAAA4gAAAA8AAAAAAAAAAQAgAAAAIgAAAGRycy9kb3ducmV2LnhtbFBLAQIUABQAAAAIAIdO4kAz&#10;LwWeOwAAADkAAAAQAAAAAAAAAAEAIAAAAA4BAABkcnMvc2hhcGV4bWwueG1sUEsFBgAAAAAGAAYA&#10;WwEAALgDAAAAAAAA&#10;">
                  <v:fill type="gradient" on="t" color2="#F8A581 [3376]" colors="0f #F7BDA4;32768f #F5B195;65536f #F8A581" focus="100%" focussize="0f,0f" focusposition="0f,0f" rotate="t">
                    <o:fill type="gradientUnscaled" v:ext="backwardCompatible"/>
                  </v:fill>
                  <v:stroke weight="0.5pt" color="#ED7D31 [3205]" miterlimit="8" joinstyle="miter"/>
                  <v:imagedata o:title=""/>
                  <o:lock v:ext="edit" aspectratio="f"/>
                  <v:textbox>
                    <w:txbxContent>
                      <w:p w14:paraId="7695A20F">
                        <w:pPr>
                          <w:jc w:val="center"/>
                        </w:pPr>
                        <w:r>
                          <w:rPr>
                            <w:rFonts w:cs="Times New Roman"/>
                            <w:i/>
                            <w:color w:val="000000" w:themeColor="text1"/>
                            <w14:textFill>
                              <w14:solidFill>
                                <w14:schemeClr w14:val="tx1"/>
                              </w14:solidFill>
                            </w14:textFill>
                          </w:rPr>
                          <w:t>Technology Acceptance Model</w:t>
                        </w:r>
                        <w:r>
                          <w:rPr>
                            <w:rFonts w:cs="Times New Roman"/>
                            <w:color w:val="000000" w:themeColor="text1"/>
                            <w14:textFill>
                              <w14:solidFill>
                                <w14:schemeClr w14:val="tx1"/>
                              </w14:solidFill>
                            </w14:textFill>
                          </w:rPr>
                          <w:t xml:space="preserve"> </w:t>
                        </w:r>
                      </w:p>
                    </w:txbxContent>
                  </v:textbox>
                </v:shape>
                <v:shape id="_x0000_s1026" o:spid="_x0000_s1026" o:spt="32" type="#_x0000_t32" style="position:absolute;left:830580;top:3009900;flip:x;height:571500;width:2247900;" filled="f" stroked="t" coordsize="21600,21600" o:gfxdata="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B17&#10;jzbCAAAA4gAAAA8AAAAAAAAAAQAgAAAAIgAAAGRycy9kb3ducmV2LnhtbFBLAQIUABQAAAAIAIdO&#10;4kAzLwWeOwAAADkAAAAQAAAAAAAAAAEAIAAAABEBAABkcnMvc2hhcGV4bWwueG1sUEsFBgAAAAAG&#10;AAYAWwEAALsDAAAAAAAA&#10;">
                  <v:fill on="f" focussize="0,0"/>
                  <v:stroke weight="0.5pt" color="#5B9BD5 [3204]" miterlimit="8" joinstyle="miter" endarrow="block"/>
                  <v:imagedata o:title=""/>
                  <o:lock v:ext="edit" aspectratio="f"/>
                </v:shape>
                <v:shape id="_x0000_s1026" o:spid="_x0000_s1026" o:spt="32" type="#_x0000_t32" style="position:absolute;left:3078480;top:3009900;height:571500;width:2560320;" filled="f" stroked="t" coordsize="21600,21600" o:gfxdata="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8qJLGMQAAADiAAAADwAAAAAAAAABACAAAAAiAAAAZHJzL2Rvd25yZXYueG1sUEsBAhQAFAAAAAgA&#10;h07iQDMvBZ47AAAAOQAAABAAAAAAAAAAAQAgAAAAEwEAAGRycy9zaGFwZXhtbC54bWxQSwUGAAAA&#10;AAYABgBbAQAAvQMAAAAA&#10;">
                  <v:fill on="f" focussize="0,0"/>
                  <v:stroke weight="0.5pt" color="#5B9BD5 [3204]" miterlimit="8" joinstyle="miter" endarrow="block"/>
                  <v:imagedata o:title=""/>
                  <o:lock v:ext="edit" aspectratio="f"/>
                </v:shape>
                <v:rect id="Rectangle 862789097" o:spid="_x0000_s1026" o:spt="1" style="position:absolute;left:228600;top:3482340;height:1143000;width:2468880;v-text-anchor:middle;" fillcolor="#D2D2D2 [3536]" filled="t" stroked="t" coordsize="21600,21600" o:gfxdata="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tYfs1sQAAADiAAAADwAAAAAAAAABACAAAAAiAAAAZHJzL2Rvd25yZXYueG1sUEsBAhQAFAAAAAgA&#10;h07iQDMvBZ47AAAAOQAAABAAAAAAAAAAAQAgAAAAEwEAAGRycy9zaGFwZXhtbC54bWxQSwUGAAAA&#10;AAYABgBbAQAAvQMAAAAA&#10;">
                  <v:fill type="gradient" on="t" color2="#C0C0C0 [3376]" colors="0f #D2D2D2;32768f #C8C8C8;65536f #C0C0C0" focus="100%" focussize="0f,0f" focusposition="0f,0f" rotate="t">
                    <o:fill type="gradientUnscaled" v:ext="backwardCompatible"/>
                  </v:fill>
                  <v:stroke weight="0.5pt" color="#A5A5A5 [3206]" miterlimit="8" joinstyle="miter"/>
                  <v:imagedata o:title=""/>
                  <o:lock v:ext="edit" aspectratio="f"/>
                  <v:textbox>
                    <w:txbxContent>
                      <w:p w14:paraId="23DDFBE7">
                        <w:pPr>
                          <w:jc w:val="center"/>
                          <w:rPr>
                            <w:b/>
                            <w:i/>
                          </w:rPr>
                        </w:pPr>
                        <w:r>
                          <w:rPr>
                            <w:b/>
                            <w:i/>
                          </w:rPr>
                          <w:t>Market Penetration Barriers and Structural Friction faced by Foreign Electric Vehicle Brands in India</w:t>
                        </w:r>
                      </w:p>
                    </w:txbxContent>
                  </v:textbox>
                </v:rect>
                <v:rect id="Rectangle 862789098" o:spid="_x0000_s1026" o:spt="1" style="position:absolute;left:4099560;top:3528060;height:952500;width:2148840;v-text-anchor:middle;" fillcolor="#D2D2D2 [3536]" filled="t" stroked="t" coordsize="21600,21600" o:gfxdata="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xBh4&#10;pMEAAADiAAAADwAAAAAAAAABACAAAAAiAAAAZHJzL2Rvd25yZXYueG1sUEsBAhQAFAAAAAgAh07i&#10;QDMvBZ47AAAAOQAAABAAAAAAAAAAAQAgAAAAEAEAAGRycy9zaGFwZXhtbC54bWxQSwUGAAAAAAYA&#10;BgBbAQAAugMAAAAA&#10;">
                  <v:fill type="gradient" on="t" color2="#C0C0C0 [3376]" colors="0f #D2D2D2;32768f #C8C8C8;65536f #C0C0C0" focus="100%" focussize="0f,0f" focusposition="0f,0f" rotate="t">
                    <o:fill type="gradientUnscaled" v:ext="backwardCompatible"/>
                  </v:fill>
                  <v:stroke weight="0.5pt" color="#A5A5A5 [3206]" miterlimit="8" joinstyle="miter"/>
                  <v:imagedata o:title=""/>
                  <o:lock v:ext="edit" aspectratio="f"/>
                  <v:textbox>
                    <w:txbxContent>
                      <w:p w14:paraId="5313870B">
                        <w:pPr>
                          <w:jc w:val="center"/>
                          <w:rPr>
                            <w:b/>
                            <w:i/>
                          </w:rPr>
                        </w:pPr>
                        <w:r>
                          <w:rPr>
                            <w:b/>
                            <w:i/>
                          </w:rPr>
                          <w:t>Factors influencing Indian consumers’ acceptance of foreign electric vehicle brands</w:t>
                        </w:r>
                      </w:p>
                    </w:txbxContent>
                  </v:textbox>
                </v:rect>
                <v:line id="_x0000_s1026" o:spid="_x0000_s1026" o:spt="20" style="position:absolute;left:1226820;top:4625340;height:579120;width:1798320;" filled="f" stroked="t" coordsize="21600,21600" o:gfxdata="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HJvE2MQAAADiAAAADwAAAAAAAAABACAAAAAiAAAAZHJzL2Rvd25yZXYueG1sUEsBAhQAFAAAAAgA&#10;h07iQDMvBZ47AAAAOQAAABAAAAAAAAAAAQAgAAAAEwEAAGRycy9zaGFwZXhtbC54bWxQSwUGAAAA&#10;AAYABgBbAQAAvQMAAAAA&#10;">
                  <v:fill on="f" focussize="0,0"/>
                  <v:stroke weight="0.5pt" color="#5B9BD5 [3204]" miterlimit="8" joinstyle="miter"/>
                  <v:imagedata o:title=""/>
                  <o:lock v:ext="edit" aspectratio="f"/>
                </v:line>
                <v:line id="_x0000_s1026" o:spid="_x0000_s1026" o:spt="20" style="position:absolute;left:3025140;top:4480560;flip:x;height:723900;width:2613660;" filled="f" stroked="t" coordsize="21600,21600" o:gfxdata="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D6&#10;ltgPwwAAAOIAAAAPAAAAAAAAAAEAIAAAACIAAABkcnMvZG93bnJldi54bWxQSwECFAAUAAAACACH&#10;TuJAMy8FnjsAAAA5AAAAEAAAAAAAAAABACAAAAASAQAAZHJzL3NoYXBleG1sLnhtbFBLBQYAAAAA&#10;BgAGAFsBAAC8AwAAAAAA&#10;">
                  <v:fill on="f" focussize="0,0"/>
                  <v:stroke weight="0.5pt" color="#5B9BD5 [3204]" miterlimit="8" joinstyle="miter"/>
                  <v:imagedata o:title=""/>
                  <o:lock v:ext="edit" aspectratio="f"/>
                </v:line>
                <v:shape id="_x0000_s1026" o:spid="_x0000_s1026" style="position:absolute;left:1120140;top:5204460;height:815340;width:4267200;v-text-anchor:middle;" fillcolor="#B5D5A7 [3536]" filled="t" stroked="t" coordsize="4267200,815340" o:gfxdata="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BR&#10;hfxbwwAAAOIAAAAPAAAAAAAAAAEAIAAAACIAAABkcnMvZG93bnJldi54bWxQSwECFAAUAAAACACH&#10;TuJAMy8FnjsAAAA5AAAAEAAAAAAAAAABACAAAAASAQAAZHJzL3NoYXBleG1sLnhtbFBLBQYAAAAA&#10;BgAGAFsBAAC8AwAAAAAA&#10;" path="m0,0l4131307,0,4267200,135892,4267200,815340,4267200,815340,135892,815340,0,679447,0,0xe">
                  <v:path textboxrect="0,0,4267200,815340" o:connectlocs="4267200,407670;2133600,815340;0,407670;2133600,0" o:connectangles="0,82,164,247"/>
                  <v:fill type="gradient" on="t" color2="#9CCA86 [3376]" colors="0f #B5D5A7;32768f #AACE99;65536f #9CCA86" focus="100%" focussize="0f,0f" focusposition="0f,0f" rotate="t">
                    <o:fill type="gradientUnscaled" v:ext="backwardCompatible"/>
                  </v:fill>
                  <v:stroke weight="0.5pt" color="#70AD47 [3209]" miterlimit="8" joinstyle="miter"/>
                  <v:imagedata o:title=""/>
                  <o:lock v:ext="edit" aspectratio="f"/>
                  <v:textbox>
                    <w:txbxContent>
                      <w:p w14:paraId="73DAEA74">
                        <w:pPr>
                          <w:jc w:val="center"/>
                          <w:rPr>
                            <w:b/>
                            <w:i/>
                            <w:sz w:val="28"/>
                          </w:rPr>
                        </w:pPr>
                        <w:r>
                          <w:rPr>
                            <w:b/>
                            <w:i/>
                            <w:sz w:val="28"/>
                          </w:rPr>
                          <w:t>The issues based on penetrating the Indian market by Foreign Electric Vehicle Brands</w:t>
                        </w:r>
                      </w:p>
                    </w:txbxContent>
                  </v:textbox>
                </v:shape>
              </v:group>
            </w:pict>
          </mc:Fallback>
        </mc:AlternateContent>
      </w:r>
    </w:p>
    <w:p w14:paraId="1FBAF28C">
      <w:pPr>
        <w:rPr>
          <w:lang w:val="en-GB"/>
        </w:rPr>
      </w:pPr>
    </w:p>
    <w:p w14:paraId="61F79530">
      <w:pPr>
        <w:rPr>
          <w:lang w:val="en-GB"/>
        </w:rPr>
      </w:pPr>
      <w:bookmarkStart w:id="41" w:name="_lc3uzmhwnxds" w:colFirst="0" w:colLast="0"/>
      <w:bookmarkEnd w:id="41"/>
    </w:p>
    <w:p w14:paraId="72233258">
      <w:pPr>
        <w:rPr>
          <w:lang w:val="en-GB"/>
        </w:rPr>
      </w:pPr>
    </w:p>
    <w:p w14:paraId="4B4F46FD">
      <w:pPr>
        <w:rPr>
          <w:lang w:val="en-GB"/>
        </w:rPr>
      </w:pPr>
    </w:p>
    <w:p w14:paraId="3B633CD7">
      <w:pPr>
        <w:rPr>
          <w:lang w:val="en-GB"/>
        </w:rPr>
      </w:pPr>
    </w:p>
    <w:p w14:paraId="6921D148">
      <w:pPr>
        <w:rPr>
          <w:lang w:val="en-GB"/>
        </w:rPr>
      </w:pPr>
    </w:p>
    <w:p w14:paraId="51669471">
      <w:pPr>
        <w:rPr>
          <w:lang w:val="en-GB"/>
        </w:rPr>
      </w:pPr>
    </w:p>
    <w:p w14:paraId="6759925C">
      <w:pPr>
        <w:rPr>
          <w:lang w:val="en-GB"/>
        </w:rPr>
      </w:pPr>
    </w:p>
    <w:p w14:paraId="7250AF0E">
      <w:pPr>
        <w:rPr>
          <w:lang w:val="en-GB"/>
        </w:rPr>
      </w:pPr>
    </w:p>
    <w:p w14:paraId="1C58B1E9">
      <w:pPr>
        <w:rPr>
          <w:lang w:val="en-GB"/>
        </w:rPr>
      </w:pPr>
    </w:p>
    <w:p w14:paraId="11ADFB02">
      <w:pPr>
        <w:rPr>
          <w:lang w:val="en-GB"/>
        </w:rPr>
      </w:pPr>
    </w:p>
    <w:p w14:paraId="5A833A84">
      <w:pPr>
        <w:rPr>
          <w:lang w:val="en-GB"/>
        </w:rPr>
      </w:pPr>
    </w:p>
    <w:p w14:paraId="7768BC08">
      <w:pPr>
        <w:rPr>
          <w:lang w:val="en-GB"/>
        </w:rPr>
      </w:pPr>
    </w:p>
    <w:p w14:paraId="08027632">
      <w:pPr>
        <w:rPr>
          <w:lang w:val="en-GB"/>
        </w:rPr>
      </w:pPr>
    </w:p>
    <w:p w14:paraId="617D163B">
      <w:pPr>
        <w:rPr>
          <w:lang w:val="en-GB"/>
        </w:rPr>
      </w:pPr>
    </w:p>
    <w:p w14:paraId="16CACCDF">
      <w:pPr>
        <w:rPr>
          <w:lang w:val="en-GB"/>
        </w:rPr>
      </w:pPr>
    </w:p>
    <w:p w14:paraId="7D224F04">
      <w:pPr>
        <w:rPr>
          <w:lang w:val="en-GB"/>
        </w:rPr>
      </w:pPr>
    </w:p>
    <w:p w14:paraId="283E3BA6">
      <w:pPr>
        <w:pStyle w:val="5"/>
        <w:rPr>
          <w:lang w:val="en-GB"/>
        </w:rPr>
      </w:pPr>
      <w:bookmarkStart w:id="42" w:name="_Toc238759267"/>
      <w:r>
        <w:rPr>
          <w:lang w:val="en-GB"/>
        </w:rPr>
        <w:t>Figure 2.5: Conceptual framework</w:t>
      </w:r>
      <w:bookmarkEnd w:id="42"/>
    </w:p>
    <w:p w14:paraId="7683180F">
      <w:pPr>
        <w:jc w:val="center"/>
        <w:rPr>
          <w:lang w:val="en-GB"/>
        </w:rPr>
      </w:pPr>
      <w:r>
        <w:rPr>
          <w:lang w:val="en-GB"/>
        </w:rPr>
        <w:t>(Source: Self-developed)</w:t>
      </w:r>
    </w:p>
    <w:p w14:paraId="1E3EDF9A">
      <w:pPr>
        <w:pStyle w:val="3"/>
        <w:spacing w:after="160"/>
        <w:rPr>
          <w:lang w:val="en-GB"/>
        </w:rPr>
      </w:pPr>
      <w:bookmarkStart w:id="43" w:name="_Toc241218776"/>
      <w:r>
        <w:rPr>
          <w:lang w:val="en-GB"/>
        </w:rPr>
        <w:t>2.11 Summary</w:t>
      </w:r>
      <w:bookmarkEnd w:id="43"/>
      <w:r>
        <w:rPr>
          <w:lang w:val="en-GB"/>
        </w:rPr>
        <w:t xml:space="preserve"> </w:t>
      </w:r>
    </w:p>
    <w:p w14:paraId="6D14DD00">
      <w:pPr>
        <w:rPr>
          <w:lang w:val="en-GB"/>
        </w:rPr>
      </w:pPr>
      <w:r>
        <w:rPr>
          <w:lang w:val="en-GB"/>
        </w:rPr>
        <w:t xml:space="preserve">This chapter summarises the reviewed literature concerning global EV development along with customer acceptance of foreign EV brands in India. UTAUT and TAM were identified as the principal theoretical foundations; however, behavioural, psychological, and structural factors were also examined. The literature review has also found a gap in integrating these dimensions, particularly within the context of foreign EV brands in India. The proposed conceptual framework therefore combines TAM and UTAUT with consumer, economic and market factors that focus on purchasing intention and customer acceptance. </w:t>
      </w:r>
    </w:p>
    <w:p w14:paraId="546F42D5">
      <w:pPr>
        <w:spacing w:line="259" w:lineRule="auto"/>
        <w:jc w:val="left"/>
        <w:rPr>
          <w:rFonts w:eastAsiaTheme="majorEastAsia" w:cstheme="majorBidi"/>
          <w:b/>
          <w:color w:val="000000" w:themeColor="text1"/>
          <w:sz w:val="28"/>
          <w:szCs w:val="32"/>
          <w:lang w:val="en-GB"/>
          <w14:textFill>
            <w14:solidFill>
              <w14:schemeClr w14:val="tx1"/>
            </w14:solidFill>
          </w14:textFill>
        </w:rPr>
      </w:pPr>
      <w:bookmarkStart w:id="44" w:name="_4k8394ii8ukw" w:colFirst="0" w:colLast="0"/>
      <w:bookmarkEnd w:id="44"/>
      <w:r>
        <w:rPr>
          <w:lang w:val="en-GB"/>
        </w:rPr>
        <w:br w:type="page"/>
      </w:r>
    </w:p>
    <w:p w14:paraId="4B63CCB4">
      <w:pPr>
        <w:pStyle w:val="2"/>
        <w:rPr>
          <w:lang w:val="en-GB"/>
        </w:rPr>
      </w:pPr>
      <w:bookmarkStart w:id="45" w:name="_Toc241218777"/>
      <w:r>
        <w:rPr>
          <w:lang w:val="en-GB"/>
        </w:rPr>
        <w:t>Chapter 3: Research Methodology</w:t>
      </w:r>
      <w:bookmarkEnd w:id="45"/>
      <w:r>
        <w:rPr>
          <w:lang w:val="en-GB"/>
        </w:rPr>
        <w:t xml:space="preserve"> </w:t>
      </w:r>
    </w:p>
    <w:p w14:paraId="4EB101BD">
      <w:pPr>
        <w:pStyle w:val="3"/>
        <w:rPr>
          <w:lang w:val="en-GB"/>
        </w:rPr>
      </w:pPr>
      <w:bookmarkStart w:id="46" w:name="_7flxpgottgv4" w:colFirst="0" w:colLast="0"/>
      <w:bookmarkEnd w:id="46"/>
      <w:bookmarkStart w:id="47" w:name="_Toc241218778"/>
      <w:r>
        <w:rPr>
          <w:lang w:val="en-GB"/>
        </w:rPr>
        <w:t>3.1 Chapter Introduction</w:t>
      </w:r>
      <w:bookmarkEnd w:id="47"/>
      <w:r>
        <w:rPr>
          <w:lang w:val="en-GB"/>
        </w:rPr>
        <w:t xml:space="preserve"> </w:t>
      </w:r>
    </w:p>
    <w:p w14:paraId="779C7C29">
      <w:pPr>
        <w:rPr>
          <w:lang w:val="en-GB"/>
        </w:rPr>
      </w:pPr>
      <w:r>
        <w:rPr>
          <w:lang w:val="en-GB"/>
        </w:rPr>
        <w:t>This methodology chapter introduces the methodological choices which are required to investigate the factors influencing customer acceptance of foreign electric vehicle (EV) brands in India. The aim of this research is to evaluate the effective factors that influence customers' expectations by examining the reasons responsible for customers' purchasing intention. These methodological choices have supported identifying issues affecting the market penetration of foreign EV brands. Interpretivism philosophy focuses on existing evidence concerning attitudes, consumer perceptions, purchasing intentions, trust, and market experiences. An inductive research approach is intended to develop theoretical findings mainly based on industry and academic sources, which support the design of meaningful themes.</w:t>
      </w:r>
    </w:p>
    <w:p w14:paraId="49541C31">
      <w:pPr>
        <w:pStyle w:val="3"/>
        <w:rPr>
          <w:lang w:val="en-GB"/>
        </w:rPr>
      </w:pPr>
      <w:bookmarkStart w:id="48" w:name="_73mnp5x3xjk" w:colFirst="0" w:colLast="0"/>
      <w:bookmarkEnd w:id="48"/>
      <w:bookmarkStart w:id="49" w:name="_Toc241218779"/>
      <w:r>
        <w:rPr>
          <w:lang w:val="en-GB"/>
        </w:rPr>
        <w:t>3.2 Research Philosophy</w:t>
      </w:r>
      <w:bookmarkEnd w:id="49"/>
      <w:r>
        <w:rPr>
          <w:lang w:val="en-GB"/>
        </w:rPr>
        <w:t xml:space="preserve"> </w:t>
      </w:r>
    </w:p>
    <w:p w14:paraId="01182703">
      <w:pPr>
        <w:rPr>
          <w:b/>
          <w:bCs/>
          <w:i/>
          <w:iCs/>
          <w:lang w:val="en-GB"/>
        </w:rPr>
      </w:pPr>
      <w:r>
        <w:rPr>
          <w:lang w:val="en-GB"/>
        </w:rPr>
        <w:t xml:space="preserve">Research philosophy has been defined by underlying assumptions concerning the way knowledge can be understood and generated. In research methodology, two commonly discussed philosophical positions are interpretivism and positivism. Positivism is defined by assuming that reality can be objectively measured and observed (Khanday </w:t>
      </w:r>
      <w:r>
        <w:rPr>
          <w:i/>
          <w:iCs/>
          <w:lang w:val="en-GB"/>
        </w:rPr>
        <w:t>et al.,</w:t>
      </w:r>
      <w:r>
        <w:rPr>
          <w:lang w:val="en-GB"/>
        </w:rPr>
        <w:t xml:space="preserve"> 2024). Whereas interpretivism focuses on emphasising the interpretation of experiences, meanings and social contexts (William, 2024). In this research, an interpretivist philosophy has been adopted and considered appropriate because this study seeks to understand Indian consumers' acceptance of foreign EV brands. </w:t>
      </w:r>
      <w:bookmarkStart w:id="115" w:name="_GoBack"/>
      <w:bookmarkEnd w:id="115"/>
    </w:p>
    <w:p w14:paraId="169D5085">
      <w:pPr>
        <w:spacing w:before="240" w:after="240"/>
        <w:rPr>
          <w:lang w:val="en-GB"/>
        </w:rPr>
      </w:pPr>
      <w:r>
        <w:rPr>
          <w:lang w:val="en-GB"/>
        </w:rPr>
        <w:t xml:space="preserve">In this research, the interpretivist position is justified as the identified research questions cover the significant factors that influence the Indian customer’s acceptance, the reasons behind the development of their purchasing intentions and the particular barriers to the foreign brands' experience, along with the strategy to increase their acceptance. These research questions are important for understanding market and customer perspectives instead of testing a predetermined statistical relationship. Interpretivist philosophy supports secondary data analysis focusing on real-time data evidence (Mehrad </w:t>
      </w:r>
      <w:r>
        <w:rPr>
          <w:i/>
          <w:iCs/>
          <w:lang w:val="en-GB"/>
        </w:rPr>
        <w:t>et al.,</w:t>
      </w:r>
      <w:r>
        <w:rPr>
          <w:lang w:val="en-GB"/>
        </w:rPr>
        <w:t xml:space="preserve"> 2024). Furthermore, the study focuses on the secondary data collection process on Indian consumers’ expectations for foreign EV brands. It focuses on interpreting findings from published studies and other secondary sources. Consequently, an interpretivist philosophy delivers stronger alignment with the qualitative thematic analysis that is embedded with secondary contextual evidence. An interpretivist perspective covers contextual factors to be examined collectively instead of treating consumer acceptance as a single objective that is considered a measurable variable (Ash, 2024). The research philosophy supports focusing on the Indian context. Consumer acceptance of foreign EV brands can be influenced by price consciousness, local preferences, trust, brand identity, infrastructure and after-sales support. </w:t>
      </w:r>
    </w:p>
    <w:p w14:paraId="2C26BB29">
      <w:pPr>
        <w:pStyle w:val="3"/>
        <w:rPr>
          <w:lang w:val="en-GB"/>
        </w:rPr>
      </w:pPr>
      <w:bookmarkStart w:id="50" w:name="_dv81l8kj8mw3" w:colFirst="0" w:colLast="0"/>
      <w:bookmarkEnd w:id="50"/>
      <w:bookmarkStart w:id="51" w:name="_Toc241218780"/>
      <w:r>
        <w:rPr>
          <w:lang w:val="en-GB"/>
        </w:rPr>
        <w:t>3.3 Research Approach</w:t>
      </w:r>
      <w:bookmarkEnd w:id="51"/>
      <w:r>
        <w:rPr>
          <w:lang w:val="en-GB"/>
        </w:rPr>
        <w:t xml:space="preserve"> </w:t>
      </w:r>
    </w:p>
    <w:p w14:paraId="64E6E5C0">
      <w:pPr>
        <w:rPr>
          <w:lang w:val="en-GB"/>
        </w:rPr>
      </w:pPr>
      <w:r>
        <w:rPr>
          <w:lang w:val="en-GB"/>
        </w:rPr>
        <w:t xml:space="preserve">An inductive approach has been adopted in this research, which mainly covers evidence-based observation by developing broader concepts and patterns (Kumar and Ujire, 2024). This approach supports an explanation of findings, which mainly leads to appropriateness. In this research, the deductive approach has been rejected, as in this case a single predetermined hypothesis delivers limited value (Robinson and Bailey-Rodriguez, 2026). With the help of interpretivist research philosophy and an inductive approach, it supports examining existing evidence relating to consumer acceptance of foreign EV brands. This approach is also justified by identifying influencing factors that help to investigate market-entry challenges and consumer purchasing intentions. </w:t>
      </w:r>
    </w:p>
    <w:p w14:paraId="0908F4BF">
      <w:pPr>
        <w:rPr>
          <w:b/>
          <w:bCs/>
          <w:i/>
          <w:iCs/>
          <w:lang w:val="en-GB"/>
        </w:rPr>
      </w:pPr>
    </w:p>
    <w:p w14:paraId="37A1F417">
      <w:pPr>
        <w:rPr>
          <w:lang w:val="en-GB"/>
        </w:rPr>
      </w:pPr>
      <w:r>
        <w:rPr>
          <w:lang w:val="en-GB"/>
        </w:rPr>
        <w:t xml:space="preserve">The appropriateness of an inductive approach is higher as the research investigates a relatively developing market phenomenon. It also covers the acceptance of foreign EV brands within India's rapidly expanding EV market. The secondary literature review helps to investigate how in-depth analysis of behavioural buying patterns can be directly connected with the wider automotive transition. These supports answering how foreign EV market-entry strategies are related to infrastructure-related concerns of the brand and Indian consumers' price consciousness. Interpretivist research philosophy is important for an inductive approach that has been employed to develop a methodological strategy for secondary data (Lyhne </w:t>
      </w:r>
      <w:r>
        <w:rPr>
          <w:i/>
          <w:iCs/>
          <w:lang w:val="en-GB"/>
        </w:rPr>
        <w:t>et al.,</w:t>
      </w:r>
      <w:r>
        <w:rPr>
          <w:lang w:val="en-GB"/>
        </w:rPr>
        <w:t xml:space="preserve"> 2025). Instead of restricting the investigation to factors that can be identified through the emergence of the literature review. For the secondary database, variables such as brand trust, perceived quality, after-sales service, price, technological usefulness and infrastructure can be examined by collecting different sources, which are grouped into broader themes. This approach is consistent with the proposed thematic codebook method, in which categories, sub-themes and final themes are developed from the collected evidence. The approach delivers flexibility while maintaining a systematic analytical process.</w:t>
      </w:r>
    </w:p>
    <w:p w14:paraId="5B1DF2BE">
      <w:pPr>
        <w:pStyle w:val="3"/>
        <w:rPr>
          <w:lang w:val="en-GB"/>
        </w:rPr>
      </w:pPr>
      <w:bookmarkStart w:id="52" w:name="_3pbhkdndbaj" w:colFirst="0" w:colLast="0"/>
      <w:bookmarkEnd w:id="52"/>
      <w:bookmarkStart w:id="53" w:name="_Toc241218781"/>
      <w:r>
        <w:rPr>
          <w:lang w:val="en-GB"/>
        </w:rPr>
        <w:t>3.4 Research Strategy</w:t>
      </w:r>
      <w:bookmarkEnd w:id="53"/>
      <w:r>
        <w:rPr>
          <w:lang w:val="en-GB"/>
        </w:rPr>
        <w:t xml:space="preserve"> </w:t>
      </w:r>
    </w:p>
    <w:p w14:paraId="26F63B71">
      <w:pPr>
        <w:rPr>
          <w:lang w:val="en-GB"/>
        </w:rPr>
      </w:pPr>
      <w:r>
        <w:rPr>
          <w:lang w:val="en-GB"/>
        </w:rPr>
        <w:t xml:space="preserve">In this research, a qualitative secondary strategy has been selected based on a structured review of academic sources. This research strategy covers systematically screening, identifying and analysing existing evidence instead of collecting new information directly from consumers. The qualitative strategy supports an imperative, grounded and clear understanding of secondary literature findings (Bouncken </w:t>
      </w:r>
      <w:r>
        <w:rPr>
          <w:i/>
          <w:iCs/>
          <w:lang w:val="en-GB"/>
        </w:rPr>
        <w:t>et al.,</w:t>
      </w:r>
      <w:r>
        <w:rPr>
          <w:lang w:val="en-GB"/>
        </w:rPr>
        <w:t xml:space="preserve"> 2026). This research is driven by secondary data to support the development of theoretical insights for identifying the factors influencing purchasing behaviour towards foreign EV brands in India. This methodological strategy has incorporated academic journal articles alongside relevant industry and media sources, along with corporate materials (Lim, 2025). This research has developed the ability to examine both theoretical explanations focusing on consumer behaviour. </w:t>
      </w:r>
    </w:p>
    <w:p w14:paraId="4F531E6A">
      <w:pPr>
        <w:rPr>
          <w:b/>
          <w:bCs/>
          <w:i/>
          <w:iCs/>
          <w:lang w:val="en-GB"/>
        </w:rPr>
      </w:pPr>
    </w:p>
    <w:p w14:paraId="42C2A379">
      <w:pPr>
        <w:rPr>
          <w:lang w:val="en-GB"/>
        </w:rPr>
      </w:pPr>
      <w:r>
        <w:rPr>
          <w:lang w:val="en-GB"/>
        </w:rPr>
        <w:t xml:space="preserve">A secondary research strategy is highly justified in this research by supporting the identified research questions.  This can effectively address existing literature concerning EV adoption, consumer behaviour, technology acceptance, brand trust and international market entry. Secondary research selection is justified as this allows the study to compare evidence from multiple existing investigations and market sources for academic analysis. Qualitative research is supported by data saturation, which ensures the collection of new patterns and new themes (Sabnis and Wolgemuth, 2024).  The appropriateness of this strategy is effective, as the research seeks to find out the broad patterns instead of measuring the attitudes of one particular group of respondents. Existing studies deliver evidence concerning diversified consumer contexts. In this case, company information and industry reports can contribute evidence about foreign-brand challenges and market conditions. The combination provides support for interpreting diversified sources. Another significance of this research strategy is that it guides the focus to the Indian context by using secondary evidence. It is required to interpret the influencing factors such as infrastructure, price consciousness, after-sales service and brand trust. </w:t>
      </w:r>
    </w:p>
    <w:p w14:paraId="40062010">
      <w:pPr>
        <w:pStyle w:val="3"/>
        <w:rPr>
          <w:lang w:val="en-GB"/>
        </w:rPr>
      </w:pPr>
      <w:bookmarkStart w:id="54" w:name="_ivsncxniakcq" w:colFirst="0" w:colLast="0"/>
      <w:bookmarkEnd w:id="54"/>
      <w:bookmarkStart w:id="55" w:name="_Toc241218782"/>
      <w:r>
        <w:rPr>
          <w:lang w:val="en-GB"/>
        </w:rPr>
        <w:t>3.5 Source Selection</w:t>
      </w:r>
      <w:bookmarkEnd w:id="55"/>
    </w:p>
    <w:p w14:paraId="4608EE1D">
      <w:pPr>
        <w:spacing w:before="240" w:after="240"/>
        <w:rPr>
          <w:lang w:val="en-GB"/>
        </w:rPr>
      </w:pPr>
      <w:r>
        <w:rPr>
          <w:lang w:val="en-GB"/>
        </w:rPr>
        <w:t xml:space="preserve">Secondary sources have been selected in this research according to credibility, recency, relevance and direct connection with the research questions. In this research, for collecting secondary data, a total of 20 sources has been identified, consisting of approximately 10 primary sources and 10 supporting materials. The sources include industry reports, peer-reviewed journal articles, online articles, corporate and company websites, and newspaper materials. For secondary qualitative research, the already existing sources, such as recorded content documents, are considered (Ahmad and Wilkins, 2025). Special priority has been given to peer-reviewed academic literature because it delivers theoretically and empirically informed evidence on consumer behaviour and EV adoption. The selected sources need to be published between 2021 and 2026. (Coe </w:t>
      </w:r>
      <w:r>
        <w:rPr>
          <w:i/>
          <w:iCs/>
          <w:lang w:val="en-GB"/>
        </w:rPr>
        <w:t>et al.,</w:t>
      </w:r>
      <w:r>
        <w:rPr>
          <w:lang w:val="en-GB"/>
        </w:rPr>
        <w:t xml:space="preserve"> 2025). Source selection has been done according to their ability to effectively contribute evidence relating to the research objective. Secondary Sources have been selected, focusing on social influence, consumer acceptance, purchasing intention, and brand trust. Besides this, it also covers perceived quality, technology acceptance, infrastructure, after-sales service and foreign-brand market penetration. The academic materials that are unrelated to foreign brands, EV adoption, consumer behaviour or the Indian market are excluded, as these do not have significant meaningful comparative evidence for secondary data analysis. </w:t>
      </w:r>
    </w:p>
    <w:p w14:paraId="5FA3A261">
      <w:pPr>
        <w:pStyle w:val="3"/>
        <w:rPr>
          <w:lang w:val="en-GB"/>
        </w:rPr>
      </w:pPr>
      <w:bookmarkStart w:id="56" w:name="_90upmz30wqgx" w:colFirst="0" w:colLast="0"/>
      <w:bookmarkEnd w:id="56"/>
      <w:bookmarkStart w:id="57" w:name="_Toc241218783"/>
      <w:r>
        <w:rPr>
          <w:lang w:val="en-GB"/>
        </w:rPr>
        <w:t>3.6 Data Collection Method</w:t>
      </w:r>
      <w:bookmarkEnd w:id="57"/>
      <w:r>
        <w:rPr>
          <w:lang w:val="en-GB"/>
        </w:rPr>
        <w:t xml:space="preserve"> </w:t>
      </w:r>
    </w:p>
    <w:p w14:paraId="239946E5">
      <w:pPr>
        <w:rPr>
          <w:lang w:val="en-GB"/>
        </w:rPr>
      </w:pPr>
      <w:r>
        <w:rPr>
          <w:lang w:val="en-GB"/>
        </w:rPr>
        <w:t xml:space="preserve">In this research, secondary data collection has been conducted through systematic document and literature searching. There are two types of data collection methods generally used in research; however, in this case, primary survey or interview has been rejected. The principal academic databases and search platforms identified as reliable for this research are those that help locate peer-reviewed journal articles. Additional evidence has been obtained from corporate websites, company information, credible industry reports, and relevant newspaper or online sources where contextual information has been delivered about the Indian EV market. Primary data collection is the actual process where the information is directly collected through participants, considering accuracy, relevance and reliability (Midamba </w:t>
      </w:r>
      <w:r>
        <w:rPr>
          <w:i/>
          <w:iCs/>
          <w:lang w:val="en-GB"/>
        </w:rPr>
        <w:t>et al.,</w:t>
      </w:r>
      <w:r>
        <w:rPr>
          <w:lang w:val="en-GB"/>
        </w:rPr>
        <w:t xml:space="preserve"> 2025). Secondary qualitative data collection delivers rich data which are easily accessible and cost-effective (Squire </w:t>
      </w:r>
      <w:r>
        <w:rPr>
          <w:i/>
          <w:iCs/>
          <w:lang w:val="en-GB"/>
        </w:rPr>
        <w:t>et al.,</w:t>
      </w:r>
      <w:r>
        <w:rPr>
          <w:lang w:val="en-GB"/>
        </w:rPr>
        <w:t xml:space="preserve"> 2024). </w:t>
      </w:r>
    </w:p>
    <w:p w14:paraId="4A4188FF">
      <w:pPr>
        <w:rPr>
          <w:b/>
          <w:bCs/>
          <w:i/>
          <w:iCs/>
          <w:lang w:val="en-GB"/>
        </w:rPr>
      </w:pPr>
    </w:p>
    <w:p w14:paraId="4F317541">
      <w:pPr>
        <w:spacing w:before="240" w:after="240"/>
        <w:rPr>
          <w:lang w:val="en-GB"/>
        </w:rPr>
      </w:pPr>
      <w:r>
        <w:rPr>
          <w:lang w:val="en-GB"/>
        </w:rPr>
        <w:t xml:space="preserve">Selection of secondary data collection is highly justified due to the research focusing on synthesising existing knowledge about a rapidly developing EV market. It delivers evidence collected from multiple studies and market sources by comparing them. Search terms include consumer acceptance of EVs, foreign electric vehicle brands in India, brand trust, EV purchasing intention, and electric vehicles. Secondary data has a significant advantage as it emphasises pre-published sources, which mainly help minimise research bias (Verma </w:t>
      </w:r>
      <w:r>
        <w:rPr>
          <w:i/>
          <w:iCs/>
          <w:lang w:val="en-GB"/>
        </w:rPr>
        <w:t>et al.,</w:t>
      </w:r>
      <w:r>
        <w:rPr>
          <w:lang w:val="en-GB"/>
        </w:rPr>
        <w:t xml:space="preserve"> 2024). Technology acceptance and EVs, Indian EV consumers, and foreign EV market entry have also been used for finding secondary materials. The method also supports focusing on the research's inductive orientation because findings have emerged from a broad range of existing evidence instead of being restricted to predetermined questionnaire variables.</w:t>
      </w:r>
    </w:p>
    <w:p w14:paraId="376C178E">
      <w:pPr>
        <w:pStyle w:val="3"/>
        <w:rPr>
          <w:lang w:val="en-GB"/>
        </w:rPr>
      </w:pPr>
      <w:bookmarkStart w:id="58" w:name="_ytc1cvdnpwko" w:colFirst="0" w:colLast="0"/>
      <w:bookmarkEnd w:id="58"/>
      <w:bookmarkStart w:id="59" w:name="_Toc241218784"/>
      <w:r>
        <w:rPr>
          <w:lang w:val="en-GB"/>
        </w:rPr>
        <w:t>3.7 Sampling Technique</w:t>
      </w:r>
      <w:bookmarkEnd w:id="59"/>
      <w:r>
        <w:rPr>
          <w:lang w:val="en-GB"/>
        </w:rPr>
        <w:t xml:space="preserve"> </w:t>
      </w:r>
    </w:p>
    <w:p w14:paraId="48D06D5D">
      <w:pPr>
        <w:rPr>
          <w:lang w:val="en-GB"/>
        </w:rPr>
      </w:pPr>
      <w:r>
        <w:rPr>
          <w:lang w:val="en-GB"/>
        </w:rPr>
        <w:t xml:space="preserve">This research has used purposive sampling of secondary sources, es which supports deliberately selecting the sources as per relevance and ability to answer the research questions. Purposive sampling has been used for selecting and collecting data that has been employed for maintaining the appropriateness of the research (Lim, 2025). The collection process begins by translating the research questions into several key search concepts. Retrieved sources have been screened according to title and abstract or summary information. A total of 20 sources have been selected, of which 10 articles are considered primary sources based on these codes; themes have been generated. The other 10 articles have been used for justification and supporting the findings. The evidence has been organised and recorded based on publication year, source type, research context, key findings and relevance to the research questions. </w:t>
      </w:r>
    </w:p>
    <w:p w14:paraId="7F006D43">
      <w:pPr>
        <w:pStyle w:val="3"/>
        <w:rPr>
          <w:lang w:val="en-GB"/>
        </w:rPr>
      </w:pPr>
      <w:bookmarkStart w:id="60" w:name="_myk67mt7kcgb" w:colFirst="0" w:colLast="0"/>
      <w:bookmarkEnd w:id="60"/>
      <w:bookmarkStart w:id="61" w:name="_Toc241218785"/>
      <w:r>
        <w:rPr>
          <w:lang w:val="en-GB"/>
        </w:rPr>
        <w:t>3.8 Data Analysis</w:t>
      </w:r>
      <w:bookmarkEnd w:id="61"/>
      <w:r>
        <w:rPr>
          <w:lang w:val="en-GB"/>
        </w:rPr>
        <w:t xml:space="preserve"> </w:t>
      </w:r>
    </w:p>
    <w:p w14:paraId="4E6C936F">
      <w:pPr>
        <w:rPr>
          <w:lang w:val="en-GB"/>
        </w:rPr>
      </w:pPr>
      <w:r>
        <w:rPr>
          <w:lang w:val="en-GB"/>
        </w:rPr>
        <w:t xml:space="preserve">The collected secondary evidence has been analysed by using qualitative thematic analysis via a thematic codebook approach. Thematic analysis has support to deliver guidance d for systematically identifying, organising, and offering insight into patterns of meaning (themes) across a data set (Kushnir, 2025). It has been explicitly defined as qualitative analysis, which states that coding involves categories, sub-themes and final themes. Secondary data findings have developed with approximately five themes expected to emerge from the evidence. The analysis is therefore organised as a structured progression from individual evidence to broader patterns. In this initial stage, it is familiarisation with the selected sources. These sources repeatedly record findings that directly relate to the research questions. In the second stage, it covers developing initial coding that helps to develop relevant statements, and findings are assigned descriptive codes (Ahmed </w:t>
      </w:r>
      <w:r>
        <w:rPr>
          <w:i/>
          <w:iCs/>
          <w:lang w:val="en-GB"/>
        </w:rPr>
        <w:t>et al.,</w:t>
      </w:r>
      <w:r>
        <w:rPr>
          <w:lang w:val="en-GB"/>
        </w:rPr>
        <w:t xml:space="preserve"> 2025). Evidence concerning consumer confidence in foreign manufacturers is considered as evidence from the sources based on which initial codes, like brand trust, have been developed. This evidence concerning repair facilities or battery warranties may be coded as after-sales support. In the same way, evidence concerning affordability supports the development of codes such as price sensitivity. </w:t>
      </w:r>
    </w:p>
    <w:p w14:paraId="3660D8F9">
      <w:pPr>
        <w:rPr>
          <w:lang w:val="en-GB"/>
        </w:rPr>
      </w:pPr>
      <w:r>
        <w:rPr>
          <w:lang w:val="en-GB"/>
        </w:rPr>
        <w:t>Thematic analysis has been suitable for this research because the research seeks to find out the recurring factors influencing consumer acceptance across diverse secondary sources. This is a systematic mechanism for organising complex technological, behavioural and market evidence into interpretable themes. It also aligns directly with the proposal's planned thematic codebook approach. This thematic analysis has been associated with an inductive approach and an interpretivist philosophy of the study, in which support for themes is developed from patterns identified across the evidence. It also enables findings from academic research to be considered alongside industry and market evidence, thereby supporting a broader understanding of the factors influencing foreign EV acceptance in India. The codes are subsequently compared and grouped into broader categories. Related categories are then developed into sub-themes and final themes. Possible themes emerging from the proposal's literature include consumer trust and brand perception, price and value considerations, technology acceptance and perceived usefulness, infrastructure and after-sales support, and market-entry and local adaptation challenges. These themes are treated as analytical possibilities and are confirmed or modified according to the evidence obtained during the final analysis.</w:t>
      </w:r>
    </w:p>
    <w:p w14:paraId="3C70A585">
      <w:pPr>
        <w:pStyle w:val="3"/>
        <w:rPr>
          <w:lang w:val="en-GB"/>
        </w:rPr>
      </w:pPr>
      <w:bookmarkStart w:id="62" w:name="_2mauujpi3fvp" w:colFirst="0" w:colLast="0"/>
      <w:bookmarkEnd w:id="62"/>
      <w:bookmarkStart w:id="63" w:name="_Toc241218786"/>
      <w:r>
        <w:rPr>
          <w:lang w:val="en-GB"/>
        </w:rPr>
        <w:t>3.9 Ethical Considerations</w:t>
      </w:r>
      <w:bookmarkEnd w:id="63"/>
      <w:r>
        <w:rPr>
          <w:lang w:val="en-GB"/>
        </w:rPr>
        <w:t xml:space="preserve"> </w:t>
      </w:r>
    </w:p>
    <w:p w14:paraId="488AA9B8">
      <w:pPr>
        <w:rPr>
          <w:lang w:val="en-GB"/>
        </w:rPr>
      </w:pPr>
      <w:r>
        <w:rPr>
          <w:lang w:val="en-GB"/>
        </w:rPr>
        <w:t xml:space="preserve">The research has maintained academic integrity by accurately representing the collected data based on the selected sources. Appropriate citations and referencing have been provided whenever ideas, evidence or data from external sources are used. As per the ethical principle, manipulating evidence has also been avoided to support predetermined conclusions. Contradictory findings have been gathered where relevant, and sources have been assessed critically, mainly to support the expected outcome (Swain, 2025). Particular care has been taken when using company websites and newspaper articles because such sources may reflect organisational or editorial perspectives. Academic evidence has received greater weight when establishing theoretical conclusions. Identifying secondary data sources includes journal articles, online articles, corporate websites, company websites, industry reports and newspaper articles, all collected from reliable and valid sources. It is committed to avoiding any kind of manipulation of information by acknowledging the original authors. </w:t>
      </w:r>
    </w:p>
    <w:p w14:paraId="0A9DDFD9">
      <w:pPr>
        <w:pStyle w:val="3"/>
        <w:rPr>
          <w:lang w:val="en-GB"/>
        </w:rPr>
      </w:pPr>
      <w:bookmarkStart w:id="64" w:name="_9g22s01n17wp" w:colFirst="0" w:colLast="0"/>
      <w:bookmarkEnd w:id="64"/>
      <w:bookmarkStart w:id="65" w:name="_Toc241218787"/>
      <w:r>
        <w:rPr>
          <w:lang w:val="en-GB"/>
        </w:rPr>
        <w:t>3.10 Methodological Limitation</w:t>
      </w:r>
      <w:bookmarkEnd w:id="65"/>
      <w:r>
        <w:rPr>
          <w:lang w:val="en-GB"/>
        </w:rPr>
        <w:t xml:space="preserve"> </w:t>
      </w:r>
    </w:p>
    <w:p w14:paraId="65A13FCD">
      <w:pPr>
        <w:rPr>
          <w:lang w:val="en-GB"/>
        </w:rPr>
      </w:pPr>
      <w:r>
        <w:rPr>
          <w:lang w:val="en-GB"/>
        </w:rPr>
        <w:t>The methodology has several limitations; for example, First, reliance on secondary sources indicates that there is a lack of control over the original data collection methods.  Consequently, differences between sources have negatively impacted comparability. Second, the restriction in accessing some high-quality academic publications creates a barrier for data interpretation. Third, the relatively focused source pool might not capture every available perspective on foreign EV acceptance in India.</w:t>
      </w:r>
    </w:p>
    <w:p w14:paraId="76198F9C">
      <w:pPr>
        <w:pStyle w:val="3"/>
        <w:rPr>
          <w:lang w:val="en-GB"/>
        </w:rPr>
      </w:pPr>
      <w:bookmarkStart w:id="66" w:name="_sxs6fvjnshr2" w:colFirst="0" w:colLast="0"/>
      <w:bookmarkEnd w:id="66"/>
      <w:bookmarkStart w:id="67" w:name="_Toc241218788"/>
      <w:r>
        <w:rPr>
          <w:lang w:val="en-GB"/>
        </w:rPr>
        <w:t>3.11 Chapter Summary</w:t>
      </w:r>
      <w:bookmarkEnd w:id="67"/>
      <w:r>
        <w:rPr>
          <w:lang w:val="en-GB"/>
        </w:rPr>
        <w:t xml:space="preserve"> </w:t>
      </w:r>
    </w:p>
    <w:p w14:paraId="4DA74257">
      <w:pPr>
        <w:rPr>
          <w:lang w:val="en-GB"/>
        </w:rPr>
      </w:pPr>
      <w:r>
        <w:rPr>
          <w:lang w:val="en-GB"/>
        </w:rPr>
        <w:t xml:space="preserve">The secondary data collection method has also covered the required recommendations for designing feasible strategies that are beneficial for foreign EV brands. To meet the identified research objectives, an interpretivist research philosophy and an inductive research approach have been adopted for this research. A qualitative secondary research strategy has been employed, which supports identifying and using published academic literature. This research strategy supports practical conditions that have negatively impacted foreign EV brands in India. The necessary data have been collected from industry reports, academic literature, relevant online material, and corporate information. </w:t>
      </w:r>
    </w:p>
    <w:p w14:paraId="24A8E863">
      <w:pPr>
        <w:spacing w:line="259" w:lineRule="auto"/>
        <w:jc w:val="left"/>
        <w:rPr>
          <w:lang w:val="en-GB"/>
        </w:rPr>
      </w:pPr>
      <w:r>
        <w:rPr>
          <w:lang w:val="en-GB"/>
        </w:rPr>
        <w:br w:type="page"/>
      </w:r>
    </w:p>
    <w:p w14:paraId="7EE7DD33">
      <w:pPr>
        <w:pStyle w:val="2"/>
      </w:pPr>
      <w:bookmarkStart w:id="68" w:name="_Toc241218789"/>
      <w:r>
        <w:t>Chapter 4: Findings and analysis</w:t>
      </w:r>
      <w:bookmarkEnd w:id="68"/>
      <w:r>
        <w:t xml:space="preserve"> </w:t>
      </w:r>
    </w:p>
    <w:p w14:paraId="201DF96C">
      <w:pPr>
        <w:pStyle w:val="3"/>
      </w:pPr>
      <w:bookmarkStart w:id="69" w:name="_Toc241218790"/>
      <w:r>
        <w:t>4.1 Introduction</w:t>
      </w:r>
      <w:bookmarkEnd w:id="69"/>
    </w:p>
    <w:p w14:paraId="38F65C82">
      <w:pPr>
        <w:rPr>
          <w:rFonts w:cs="Times New Roman"/>
          <w:szCs w:val="24"/>
        </w:rPr>
      </w:pPr>
      <w:r>
        <w:rPr>
          <w:rFonts w:cs="Times New Roman"/>
          <w:szCs w:val="24"/>
        </w:rPr>
        <w:t>This chapter is developed based on obtaining empirical and the theoretical results from secondary literature study which has been analysed systematically and qualitatively. The analysis centres on context of consumer acceptance of foreign electric vehicle (EV) brands in India. A rigorous, thematic coding approach is applied that has helped to evaluate different sources critically and understanding the market penetration barriers from the academic, industry and corporate community. Thus, the main aim of the chapter is focused to the issues foreign original equipment manufacturers (OEMs) encounter in India and how they can overcome them to make their product competitive in the changing market of sustainable mobility in India.</w:t>
      </w:r>
    </w:p>
    <w:p w14:paraId="5E47AA83">
      <w:pPr>
        <w:pStyle w:val="3"/>
      </w:pPr>
      <w:bookmarkStart w:id="70" w:name="_Toc241218791"/>
      <w:r>
        <w:t>4.2 Sources used</w:t>
      </w:r>
      <w:bookmarkEnd w:id="70"/>
    </w:p>
    <w:p w14:paraId="7E6541C5">
      <w:pPr>
        <w:rPr>
          <w:rFonts w:cs="Times New Roman"/>
          <w:szCs w:val="24"/>
        </w:rPr>
      </w:pPr>
      <w:r>
        <w:rPr>
          <w:rFonts w:cs="Times New Roman"/>
          <w:szCs w:val="24"/>
        </w:rPr>
        <w:t>A total of 20 secondary sources were critically reviewed for this study, including 13 peer-reviewed journal articles and 7 industry reports, market intelligence reports, and corporate reports. The sources involved global market trends, theoretical acceptance models (TAM and UTAUT), consumer psychological factors and local structural entry barriers in emerging markets.</w:t>
      </w:r>
    </w:p>
    <w:p w14:paraId="0D992F23">
      <w:pPr>
        <w:pStyle w:val="3"/>
      </w:pPr>
      <w:bookmarkStart w:id="71" w:name="_Toc241218792"/>
      <w:r>
        <w:t>4.3 Development of source statements and initial codes</w:t>
      </w:r>
      <w:bookmarkEnd w:id="71"/>
      <w:r>
        <w:t xml:space="preserve"> </w:t>
      </w:r>
    </w:p>
    <w:tbl>
      <w:tblPr>
        <w:tblStyle w:val="25"/>
        <w:tblW w:w="0" w:type="auto"/>
        <w:tblInd w:w="0" w:type="dxa"/>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Layout w:type="fixed"/>
        <w:tblCellMar>
          <w:top w:w="0" w:type="dxa"/>
          <w:left w:w="108" w:type="dxa"/>
          <w:bottom w:w="0" w:type="dxa"/>
          <w:right w:w="108" w:type="dxa"/>
        </w:tblCellMar>
      </w:tblPr>
      <w:tblGrid>
        <w:gridCol w:w="640"/>
        <w:gridCol w:w="1723"/>
        <w:gridCol w:w="3482"/>
        <w:gridCol w:w="3171"/>
      </w:tblGrid>
      <w:tr w14:paraId="3A7BD0D1">
        <w:tblPrEx>
          <w:tblLayout w:type="fixed"/>
        </w:tblPrEx>
        <w:tc>
          <w:tcPr>
            <w:tcW w:w="640" w:type="dxa"/>
            <w:tcBorders>
              <w:top w:val="single" w:color="4472C4" w:themeColor="accent5" w:sz="4" w:space="0"/>
              <w:left w:val="single" w:color="4472C4" w:themeColor="accent5" w:sz="4" w:space="0"/>
              <w:bottom w:val="single" w:color="4472C4" w:themeColor="accent5" w:sz="4" w:space="0"/>
              <w:right w:val="nil"/>
              <w:insideH w:val="single" w:sz="4" w:space="0"/>
              <w:insideV w:val="nil"/>
            </w:tcBorders>
            <w:shd w:val="clear" w:color="auto" w:fill="4472C4" w:themeFill="accent5"/>
          </w:tcPr>
          <w:p w14:paraId="48B1FBE6">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SL NO</w:t>
            </w:r>
          </w:p>
        </w:tc>
        <w:tc>
          <w:tcPr>
            <w:tcW w:w="1723" w:type="dxa"/>
            <w:tcBorders>
              <w:top w:val="single" w:color="4472C4" w:themeColor="accent5" w:sz="4" w:space="0"/>
              <w:bottom w:val="single" w:color="4472C4" w:themeColor="accent5" w:sz="4" w:space="0"/>
              <w:right w:val="nil"/>
              <w:insideH w:val="single" w:sz="4" w:space="0"/>
              <w:insideV w:val="nil"/>
            </w:tcBorders>
            <w:shd w:val="clear" w:color="auto" w:fill="4472C4" w:themeFill="accent5"/>
          </w:tcPr>
          <w:p w14:paraId="6F198A82">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Source</w:t>
            </w:r>
          </w:p>
        </w:tc>
        <w:tc>
          <w:tcPr>
            <w:tcW w:w="3482" w:type="dxa"/>
            <w:tcBorders>
              <w:top w:val="single" w:color="4472C4" w:themeColor="accent5" w:sz="4" w:space="0"/>
              <w:bottom w:val="single" w:color="4472C4" w:themeColor="accent5" w:sz="4" w:space="0"/>
              <w:right w:val="nil"/>
              <w:insideH w:val="single" w:sz="4" w:space="0"/>
              <w:insideV w:val="nil"/>
            </w:tcBorders>
            <w:shd w:val="clear" w:color="auto" w:fill="4472C4" w:themeFill="accent5"/>
          </w:tcPr>
          <w:p w14:paraId="41E382E8">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Statement</w:t>
            </w:r>
          </w:p>
        </w:tc>
        <w:tc>
          <w:tcPr>
            <w:tcW w:w="3171" w:type="dxa"/>
            <w:tcBorders>
              <w:top w:val="single" w:color="4472C4" w:themeColor="accent5" w:sz="4" w:space="0"/>
              <w:bottom w:val="single" w:color="4472C4" w:themeColor="accent5" w:sz="4" w:space="0"/>
              <w:right w:val="single" w:color="4472C4" w:themeColor="accent5" w:sz="4" w:space="0"/>
              <w:insideH w:val="single" w:sz="4" w:space="0"/>
              <w:insideV w:val="nil"/>
            </w:tcBorders>
            <w:shd w:val="clear" w:color="auto" w:fill="4472C4" w:themeFill="accent5"/>
          </w:tcPr>
          <w:p w14:paraId="5021C47D">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Initial codes</w:t>
            </w:r>
          </w:p>
        </w:tc>
      </w:tr>
      <w:tr w14:paraId="7B98FF40">
        <w:tblPrEx>
          <w:tblLayout w:type="fixed"/>
        </w:tblPrEx>
        <w:tc>
          <w:tcPr>
            <w:tcW w:w="640" w:type="dxa"/>
            <w:shd w:val="clear" w:color="auto" w:fill="D9E2F3" w:themeFill="accent5" w:themeFillTint="33"/>
          </w:tcPr>
          <w:p w14:paraId="3B06C0DC">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w:t>
            </w:r>
          </w:p>
        </w:tc>
        <w:tc>
          <w:tcPr>
            <w:tcW w:w="1723" w:type="dxa"/>
            <w:shd w:val="clear" w:color="auto" w:fill="D9E2F3" w:themeFill="accent5" w:themeFillTint="33"/>
          </w:tcPr>
          <w:p w14:paraId="0D219716">
            <w:pPr>
              <w:spacing w:after="0"/>
              <w:rPr>
                <w:rFonts w:eastAsia="Times New Roman" w:cs="Times New Roman"/>
                <w:color w:val="1F1F1F"/>
                <w:szCs w:val="24"/>
                <w:lang w:val="en-GB" w:eastAsia="en-GB"/>
              </w:rPr>
            </w:pPr>
            <w:r>
              <w:rPr>
                <w:rFonts w:eastAsia="Times New Roman" w:cs="Times New Roman"/>
                <w:color w:val="1F1F1F"/>
                <w:szCs w:val="24"/>
                <w:lang w:val="en-GB" w:eastAsia="en-GB"/>
              </w:rPr>
              <w:t>Higueras</w:t>
            </w:r>
            <w:r>
              <w:rPr>
                <w:rFonts w:eastAsia="Times New Roman" w:cs="Times New Roman"/>
                <w:color w:val="1F1F1F"/>
                <w:szCs w:val="24"/>
                <w:lang w:val="en-GB" w:eastAsia="en-GB"/>
              </w:rPr>
              <w:t xml:space="preserve">-Castillo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(2024) </w:t>
            </w:r>
          </w:p>
          <w:p w14:paraId="5CADCE54">
            <w:pPr>
              <w:spacing w:after="0"/>
              <w:rPr>
                <w:rFonts w:eastAsia="Times New Roman" w:cs="Times New Roman"/>
                <w:color w:val="1F1F1F"/>
                <w:szCs w:val="24"/>
                <w:lang w:val="en-GB" w:eastAsia="en-GB"/>
              </w:rPr>
            </w:pPr>
          </w:p>
        </w:tc>
        <w:tc>
          <w:tcPr>
            <w:tcW w:w="3482" w:type="dxa"/>
            <w:shd w:val="clear" w:color="auto" w:fill="D9E2F3" w:themeFill="accent5" w:themeFillTint="33"/>
          </w:tcPr>
          <w:p w14:paraId="12D15438">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Cross-cultural factors influencing the intention of consumers to adopt electric vehicles. </w:t>
            </w:r>
          </w:p>
        </w:tc>
        <w:tc>
          <w:tcPr>
            <w:tcW w:w="3171" w:type="dxa"/>
            <w:shd w:val="clear" w:color="auto" w:fill="D9E2F3" w:themeFill="accent5" w:themeFillTint="33"/>
          </w:tcPr>
          <w:p w14:paraId="0398AACF">
            <w:pPr>
              <w:pStyle w:val="26"/>
              <w:numPr>
                <w:ilvl w:val="0"/>
                <w:numId w:val="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Cross-cultural adoption</w:t>
            </w:r>
          </w:p>
          <w:p w14:paraId="12DD7F19">
            <w:pPr>
              <w:pStyle w:val="26"/>
              <w:numPr>
                <w:ilvl w:val="0"/>
                <w:numId w:val="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Adoption intentions</w:t>
            </w:r>
          </w:p>
          <w:p w14:paraId="5661A8E3">
            <w:pPr>
              <w:pStyle w:val="26"/>
              <w:numPr>
                <w:ilvl w:val="0"/>
                <w:numId w:val="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Consumer attitudes</w:t>
            </w:r>
          </w:p>
        </w:tc>
      </w:tr>
      <w:tr w14:paraId="5DDB6683">
        <w:tblPrEx>
          <w:tblLayout w:type="fixed"/>
        </w:tblPrEx>
        <w:tc>
          <w:tcPr>
            <w:tcW w:w="640" w:type="dxa"/>
          </w:tcPr>
          <w:p w14:paraId="378544F1">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2</w:t>
            </w:r>
          </w:p>
        </w:tc>
        <w:tc>
          <w:tcPr>
            <w:tcW w:w="1723" w:type="dxa"/>
          </w:tcPr>
          <w:p w14:paraId="0EB2B3C9">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Samarasinghe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(2024) </w:t>
            </w:r>
          </w:p>
          <w:p w14:paraId="78A7DE83">
            <w:pPr>
              <w:spacing w:after="0"/>
              <w:rPr>
                <w:rFonts w:eastAsia="Times New Roman" w:cs="Times New Roman"/>
                <w:color w:val="1F1F1F"/>
                <w:szCs w:val="24"/>
                <w:lang w:val="en-GB" w:eastAsia="en-GB"/>
              </w:rPr>
            </w:pPr>
          </w:p>
        </w:tc>
        <w:tc>
          <w:tcPr>
            <w:tcW w:w="3482" w:type="dxa"/>
          </w:tcPr>
          <w:p w14:paraId="5B104624">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Non-user perspectives on factors driving purchase intention toward electric vehicles. </w:t>
            </w:r>
          </w:p>
        </w:tc>
        <w:tc>
          <w:tcPr>
            <w:tcW w:w="3171" w:type="dxa"/>
          </w:tcPr>
          <w:p w14:paraId="1A5FCB57">
            <w:pPr>
              <w:pStyle w:val="26"/>
              <w:numPr>
                <w:ilvl w:val="0"/>
                <w:numId w:val="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Non-user perspectives</w:t>
            </w:r>
          </w:p>
          <w:p w14:paraId="68089089">
            <w:pPr>
              <w:pStyle w:val="26"/>
              <w:numPr>
                <w:ilvl w:val="0"/>
                <w:numId w:val="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Purchase intention</w:t>
            </w:r>
          </w:p>
          <w:p w14:paraId="2B9DBFFF">
            <w:pPr>
              <w:pStyle w:val="26"/>
              <w:numPr>
                <w:ilvl w:val="0"/>
                <w:numId w:val="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Adoption barriers</w:t>
            </w:r>
          </w:p>
        </w:tc>
      </w:tr>
      <w:tr w14:paraId="4F0AF900">
        <w:tblPrEx>
          <w:tblLayout w:type="fixed"/>
        </w:tblPrEx>
        <w:tc>
          <w:tcPr>
            <w:tcW w:w="640" w:type="dxa"/>
            <w:shd w:val="clear" w:color="auto" w:fill="D9E2F3" w:themeFill="accent5" w:themeFillTint="33"/>
          </w:tcPr>
          <w:p w14:paraId="44F8975E">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3</w:t>
            </w:r>
          </w:p>
        </w:tc>
        <w:tc>
          <w:tcPr>
            <w:tcW w:w="1723" w:type="dxa"/>
            <w:shd w:val="clear" w:color="auto" w:fill="D9E2F3" w:themeFill="accent5" w:themeFillTint="33"/>
          </w:tcPr>
          <w:p w14:paraId="0FD3BA95">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Arora and Singh (2024) </w:t>
            </w:r>
          </w:p>
          <w:p w14:paraId="48A999E7">
            <w:pPr>
              <w:spacing w:after="0"/>
              <w:rPr>
                <w:rFonts w:eastAsia="Times New Roman" w:cs="Times New Roman"/>
                <w:color w:val="1F1F1F"/>
                <w:szCs w:val="24"/>
                <w:lang w:val="en-GB" w:eastAsia="en-GB"/>
              </w:rPr>
            </w:pPr>
          </w:p>
        </w:tc>
        <w:tc>
          <w:tcPr>
            <w:tcW w:w="3482" w:type="dxa"/>
            <w:shd w:val="clear" w:color="auto" w:fill="D9E2F3" w:themeFill="accent5" w:themeFillTint="33"/>
          </w:tcPr>
          <w:p w14:paraId="2D822077">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Investigating dual drivers behind EV purchasing decisions within the Indian market transition to green mobility. </w:t>
            </w:r>
          </w:p>
          <w:p w14:paraId="74243E22">
            <w:pPr>
              <w:spacing w:after="0"/>
              <w:rPr>
                <w:rFonts w:eastAsia="Times New Roman" w:cs="Times New Roman"/>
                <w:color w:val="1F1F1F"/>
                <w:szCs w:val="24"/>
                <w:lang w:val="en-GB" w:eastAsia="en-GB"/>
              </w:rPr>
            </w:pPr>
          </w:p>
        </w:tc>
        <w:tc>
          <w:tcPr>
            <w:tcW w:w="3171" w:type="dxa"/>
            <w:shd w:val="clear" w:color="auto" w:fill="D9E2F3" w:themeFill="accent5" w:themeFillTint="33"/>
          </w:tcPr>
          <w:p w14:paraId="2D709471">
            <w:pPr>
              <w:pStyle w:val="26"/>
              <w:numPr>
                <w:ilvl w:val="0"/>
                <w:numId w:val="3"/>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Green mobility transition</w:t>
            </w:r>
          </w:p>
          <w:p w14:paraId="52FB70B7">
            <w:pPr>
              <w:pStyle w:val="26"/>
              <w:numPr>
                <w:ilvl w:val="0"/>
                <w:numId w:val="3"/>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Purchase motivators</w:t>
            </w:r>
          </w:p>
          <w:p w14:paraId="13200921">
            <w:pPr>
              <w:pStyle w:val="26"/>
              <w:numPr>
                <w:ilvl w:val="0"/>
                <w:numId w:val="3"/>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Emerging market dynamics</w:t>
            </w:r>
          </w:p>
        </w:tc>
      </w:tr>
      <w:tr w14:paraId="04E808F4">
        <w:tblPrEx>
          <w:tblLayout w:type="fixed"/>
        </w:tblPrEx>
        <w:tc>
          <w:tcPr>
            <w:tcW w:w="640" w:type="dxa"/>
          </w:tcPr>
          <w:p w14:paraId="72FF4FCF">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4</w:t>
            </w:r>
          </w:p>
        </w:tc>
        <w:tc>
          <w:tcPr>
            <w:tcW w:w="1723" w:type="dxa"/>
          </w:tcPr>
          <w:p w14:paraId="47A5BE19">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Al Shurideh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(2025) </w:t>
            </w:r>
          </w:p>
          <w:p w14:paraId="3C7A8F56">
            <w:pPr>
              <w:spacing w:after="0"/>
              <w:rPr>
                <w:rFonts w:eastAsia="Times New Roman" w:cs="Times New Roman"/>
                <w:color w:val="1F1F1F"/>
                <w:szCs w:val="24"/>
                <w:lang w:val="en-GB" w:eastAsia="en-GB"/>
              </w:rPr>
            </w:pPr>
          </w:p>
        </w:tc>
        <w:tc>
          <w:tcPr>
            <w:tcW w:w="3482" w:type="dxa"/>
          </w:tcPr>
          <w:p w14:paraId="44D9B04E">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Consumer and economic influences on EV adoption, examining attitudes as a mediator and demographic factors as moderators.</w:t>
            </w:r>
          </w:p>
        </w:tc>
        <w:tc>
          <w:tcPr>
            <w:tcW w:w="3171" w:type="dxa"/>
          </w:tcPr>
          <w:p w14:paraId="6E4D86E9">
            <w:pPr>
              <w:pStyle w:val="26"/>
              <w:numPr>
                <w:ilvl w:val="0"/>
                <w:numId w:val="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Economic influences</w:t>
            </w:r>
          </w:p>
          <w:p w14:paraId="2F3D8C09">
            <w:pPr>
              <w:pStyle w:val="26"/>
              <w:numPr>
                <w:ilvl w:val="0"/>
                <w:numId w:val="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Attitude mediation</w:t>
            </w:r>
          </w:p>
          <w:p w14:paraId="6732049E">
            <w:pPr>
              <w:pStyle w:val="26"/>
              <w:numPr>
                <w:ilvl w:val="0"/>
                <w:numId w:val="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Demographic moderation</w:t>
            </w:r>
          </w:p>
        </w:tc>
      </w:tr>
      <w:tr w14:paraId="1361CEF1">
        <w:tblPrEx>
          <w:tblLayout w:type="fixed"/>
        </w:tblPrEx>
        <w:tc>
          <w:tcPr>
            <w:tcW w:w="640" w:type="dxa"/>
            <w:shd w:val="clear" w:color="auto" w:fill="D9E2F3" w:themeFill="accent5" w:themeFillTint="33"/>
          </w:tcPr>
          <w:p w14:paraId="54AC2D2A">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5</w:t>
            </w:r>
          </w:p>
        </w:tc>
        <w:tc>
          <w:tcPr>
            <w:tcW w:w="1723" w:type="dxa"/>
            <w:shd w:val="clear" w:color="auto" w:fill="D9E2F3" w:themeFill="accent5" w:themeFillTint="33"/>
          </w:tcPr>
          <w:p w14:paraId="6C4D8AC2">
            <w:pPr>
              <w:spacing w:after="0"/>
              <w:rPr>
                <w:rFonts w:eastAsia="Times New Roman" w:cs="Times New Roman"/>
                <w:color w:val="1F1F1F"/>
                <w:szCs w:val="24"/>
                <w:lang w:val="en-GB" w:eastAsia="en-GB"/>
              </w:rPr>
            </w:pPr>
            <w:r>
              <w:rPr>
                <w:rFonts w:eastAsia="Times New Roman" w:cs="Times New Roman"/>
                <w:color w:val="1F1F1F"/>
                <w:szCs w:val="24"/>
                <w:lang w:val="en-GB" w:eastAsia="en-GB"/>
              </w:rPr>
              <w:t>Schvartz</w:t>
            </w:r>
            <w:r>
              <w:rPr>
                <w:rFonts w:eastAsia="Times New Roman" w:cs="Times New Roman"/>
                <w:color w:val="1F1F1F"/>
                <w:szCs w:val="24"/>
                <w:lang w:val="en-GB" w:eastAsia="en-GB"/>
              </w:rPr>
              <w:t xml:space="preserve">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(2024) </w:t>
            </w:r>
          </w:p>
          <w:p w14:paraId="75D120E5">
            <w:pPr>
              <w:spacing w:after="0"/>
              <w:rPr>
                <w:rFonts w:eastAsia="Times New Roman" w:cs="Times New Roman"/>
                <w:color w:val="1F1F1F"/>
                <w:szCs w:val="24"/>
                <w:lang w:val="en-GB" w:eastAsia="en-GB"/>
              </w:rPr>
            </w:pPr>
          </w:p>
        </w:tc>
        <w:tc>
          <w:tcPr>
            <w:tcW w:w="3482" w:type="dxa"/>
            <w:shd w:val="clear" w:color="auto" w:fill="D9E2F3" w:themeFill="accent5" w:themeFillTint="33"/>
          </w:tcPr>
          <w:p w14:paraId="72E7EB19">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Systematic review mapping key purchase decision factors in the Brazilian EV market. </w:t>
            </w:r>
          </w:p>
          <w:p w14:paraId="46330C4D">
            <w:pPr>
              <w:spacing w:after="0"/>
              <w:rPr>
                <w:rFonts w:eastAsia="Times New Roman" w:cs="Times New Roman"/>
                <w:i/>
                <w:color w:val="1F1F1F"/>
                <w:szCs w:val="24"/>
                <w:lang w:val="en-GB" w:eastAsia="en-GB"/>
              </w:rPr>
            </w:pPr>
          </w:p>
        </w:tc>
        <w:tc>
          <w:tcPr>
            <w:tcW w:w="3171" w:type="dxa"/>
            <w:shd w:val="clear" w:color="auto" w:fill="D9E2F3" w:themeFill="accent5" w:themeFillTint="33"/>
          </w:tcPr>
          <w:p w14:paraId="2F6BC74E">
            <w:pPr>
              <w:pStyle w:val="26"/>
              <w:numPr>
                <w:ilvl w:val="0"/>
                <w:numId w:val="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Systematic literature review</w:t>
            </w:r>
          </w:p>
          <w:p w14:paraId="54C9D34D">
            <w:pPr>
              <w:pStyle w:val="26"/>
              <w:numPr>
                <w:ilvl w:val="0"/>
                <w:numId w:val="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Regional market drivers</w:t>
            </w:r>
          </w:p>
          <w:p w14:paraId="5DBC1440">
            <w:pPr>
              <w:pStyle w:val="26"/>
              <w:numPr>
                <w:ilvl w:val="0"/>
                <w:numId w:val="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Decision factors</w:t>
            </w:r>
          </w:p>
        </w:tc>
      </w:tr>
      <w:tr w14:paraId="33CCF8ED">
        <w:tblPrEx>
          <w:tblLayout w:type="fixed"/>
        </w:tblPrEx>
        <w:tc>
          <w:tcPr>
            <w:tcW w:w="640" w:type="dxa"/>
          </w:tcPr>
          <w:p w14:paraId="2A4CB869">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6</w:t>
            </w:r>
          </w:p>
        </w:tc>
        <w:tc>
          <w:tcPr>
            <w:tcW w:w="1723" w:type="dxa"/>
          </w:tcPr>
          <w:p w14:paraId="5C4B6B36">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Venus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(2024) </w:t>
            </w:r>
          </w:p>
          <w:p w14:paraId="545CD301">
            <w:pPr>
              <w:spacing w:after="0"/>
              <w:rPr>
                <w:rFonts w:eastAsia="Times New Roman" w:cs="Times New Roman"/>
                <w:color w:val="1F1F1F"/>
                <w:szCs w:val="24"/>
                <w:lang w:val="en-GB" w:eastAsia="en-GB"/>
              </w:rPr>
            </w:pPr>
          </w:p>
        </w:tc>
        <w:tc>
          <w:tcPr>
            <w:tcW w:w="3482" w:type="dxa"/>
          </w:tcPr>
          <w:p w14:paraId="0817A5C8">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Consumer perceptions, attitudes, and expectations regarding electric vehicles across European markets. </w:t>
            </w:r>
          </w:p>
        </w:tc>
        <w:tc>
          <w:tcPr>
            <w:tcW w:w="3171" w:type="dxa"/>
          </w:tcPr>
          <w:p w14:paraId="0E3FAA06">
            <w:pPr>
              <w:pStyle w:val="26"/>
              <w:numPr>
                <w:ilvl w:val="0"/>
                <w:numId w:val="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European consumer perception</w:t>
            </w:r>
          </w:p>
          <w:p w14:paraId="3B6A5CC8">
            <w:pPr>
              <w:pStyle w:val="26"/>
              <w:numPr>
                <w:ilvl w:val="0"/>
                <w:numId w:val="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Market readiness</w:t>
            </w:r>
          </w:p>
          <w:p w14:paraId="7A762BC3">
            <w:pPr>
              <w:pStyle w:val="26"/>
              <w:numPr>
                <w:ilvl w:val="0"/>
                <w:numId w:val="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Attitude mapping</w:t>
            </w:r>
          </w:p>
          <w:p w14:paraId="2279C024">
            <w:pPr>
              <w:spacing w:after="0"/>
              <w:rPr>
                <w:rFonts w:eastAsia="Times New Roman" w:cs="Times New Roman"/>
                <w:color w:val="1F1F1F"/>
                <w:szCs w:val="24"/>
                <w:lang w:val="en-GB" w:eastAsia="en-GB"/>
              </w:rPr>
            </w:pPr>
          </w:p>
        </w:tc>
      </w:tr>
      <w:tr w14:paraId="733B6F63">
        <w:tblPrEx>
          <w:tblLayout w:type="fixed"/>
        </w:tblPrEx>
        <w:tc>
          <w:tcPr>
            <w:tcW w:w="640" w:type="dxa"/>
            <w:shd w:val="clear" w:color="auto" w:fill="D9E2F3" w:themeFill="accent5" w:themeFillTint="33"/>
          </w:tcPr>
          <w:p w14:paraId="59765963">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7</w:t>
            </w:r>
          </w:p>
        </w:tc>
        <w:tc>
          <w:tcPr>
            <w:tcW w:w="1723" w:type="dxa"/>
            <w:shd w:val="clear" w:color="auto" w:fill="D9E2F3" w:themeFill="accent5" w:themeFillTint="33"/>
          </w:tcPr>
          <w:p w14:paraId="2C501B22">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MSX (2025) </w:t>
            </w:r>
          </w:p>
          <w:p w14:paraId="182DBDF9">
            <w:pPr>
              <w:spacing w:after="0"/>
              <w:rPr>
                <w:rFonts w:eastAsia="Times New Roman" w:cs="Times New Roman"/>
                <w:color w:val="1F1F1F"/>
                <w:szCs w:val="24"/>
                <w:lang w:val="en-GB" w:eastAsia="en-GB"/>
              </w:rPr>
            </w:pPr>
          </w:p>
        </w:tc>
        <w:tc>
          <w:tcPr>
            <w:tcW w:w="3482" w:type="dxa"/>
            <w:shd w:val="clear" w:color="auto" w:fill="D9E2F3" w:themeFill="accent5" w:themeFillTint="33"/>
          </w:tcPr>
          <w:p w14:paraId="2DDDAC09">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Evolving consumer expectations and changing needs driven by automotive electrification. </w:t>
            </w:r>
          </w:p>
          <w:p w14:paraId="2C1DA00D">
            <w:pPr>
              <w:spacing w:after="0"/>
              <w:rPr>
                <w:rFonts w:eastAsia="Times New Roman" w:cs="Times New Roman"/>
                <w:i/>
                <w:color w:val="1F1F1F"/>
                <w:szCs w:val="24"/>
                <w:lang w:val="en-GB" w:eastAsia="en-GB"/>
              </w:rPr>
            </w:pPr>
          </w:p>
        </w:tc>
        <w:tc>
          <w:tcPr>
            <w:tcW w:w="3171" w:type="dxa"/>
            <w:shd w:val="clear" w:color="auto" w:fill="D9E2F3" w:themeFill="accent5" w:themeFillTint="33"/>
          </w:tcPr>
          <w:p w14:paraId="0791D0D8">
            <w:pPr>
              <w:pStyle w:val="26"/>
              <w:numPr>
                <w:ilvl w:val="0"/>
                <w:numId w:val="7"/>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Changing consumer needs</w:t>
            </w:r>
          </w:p>
          <w:p w14:paraId="000591D7">
            <w:pPr>
              <w:pStyle w:val="26"/>
              <w:numPr>
                <w:ilvl w:val="0"/>
                <w:numId w:val="7"/>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Electrification impact</w:t>
            </w:r>
          </w:p>
          <w:p w14:paraId="70B88E63">
            <w:pPr>
              <w:pStyle w:val="26"/>
              <w:numPr>
                <w:ilvl w:val="0"/>
                <w:numId w:val="7"/>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Industry adaptation</w:t>
            </w:r>
          </w:p>
        </w:tc>
      </w:tr>
      <w:tr w14:paraId="17F46941">
        <w:tblPrEx>
          <w:tblLayout w:type="fixed"/>
        </w:tblPrEx>
        <w:tc>
          <w:tcPr>
            <w:tcW w:w="640" w:type="dxa"/>
          </w:tcPr>
          <w:p w14:paraId="4A2D27AB">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8</w:t>
            </w:r>
          </w:p>
        </w:tc>
        <w:tc>
          <w:tcPr>
            <w:tcW w:w="1723" w:type="dxa"/>
          </w:tcPr>
          <w:p w14:paraId="4157AAF4">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Goswamy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(2024) </w:t>
            </w:r>
          </w:p>
          <w:p w14:paraId="5B4638B1">
            <w:pPr>
              <w:spacing w:after="0"/>
              <w:rPr>
                <w:rFonts w:eastAsia="Times New Roman" w:cs="Times New Roman"/>
                <w:color w:val="1F1F1F"/>
                <w:szCs w:val="24"/>
                <w:lang w:val="en-GB" w:eastAsia="en-GB"/>
              </w:rPr>
            </w:pPr>
          </w:p>
        </w:tc>
        <w:tc>
          <w:tcPr>
            <w:tcW w:w="3482" w:type="dxa"/>
          </w:tcPr>
          <w:p w14:paraId="2FF9C747">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Insights into how consumer demand is actively driving the electric vehicle shift in India. </w:t>
            </w:r>
          </w:p>
          <w:p w14:paraId="1C5EB4A1">
            <w:pPr>
              <w:spacing w:after="0"/>
              <w:rPr>
                <w:rFonts w:eastAsia="Times New Roman" w:cs="Times New Roman"/>
                <w:i/>
                <w:color w:val="1F1F1F"/>
                <w:szCs w:val="24"/>
                <w:lang w:val="en-GB" w:eastAsia="en-GB"/>
              </w:rPr>
            </w:pPr>
          </w:p>
        </w:tc>
        <w:tc>
          <w:tcPr>
            <w:tcW w:w="3171" w:type="dxa"/>
          </w:tcPr>
          <w:p w14:paraId="7844430D">
            <w:pPr>
              <w:pStyle w:val="26"/>
              <w:numPr>
                <w:ilvl w:val="0"/>
                <w:numId w:val="8"/>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Consumer-driven demand</w:t>
            </w:r>
          </w:p>
          <w:p w14:paraId="6DCD3D42">
            <w:pPr>
              <w:pStyle w:val="26"/>
              <w:numPr>
                <w:ilvl w:val="0"/>
                <w:numId w:val="8"/>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Transition drivers</w:t>
            </w:r>
          </w:p>
          <w:p w14:paraId="75B410C6">
            <w:pPr>
              <w:pStyle w:val="26"/>
              <w:numPr>
                <w:ilvl w:val="0"/>
                <w:numId w:val="8"/>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Indian automotive shift</w:t>
            </w:r>
          </w:p>
        </w:tc>
      </w:tr>
      <w:tr w14:paraId="5728BF45">
        <w:tblPrEx>
          <w:tblLayout w:type="fixed"/>
        </w:tblPrEx>
        <w:tc>
          <w:tcPr>
            <w:tcW w:w="640" w:type="dxa"/>
            <w:shd w:val="clear" w:color="auto" w:fill="D9E2F3" w:themeFill="accent5" w:themeFillTint="33"/>
          </w:tcPr>
          <w:p w14:paraId="167696B1">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9</w:t>
            </w:r>
          </w:p>
        </w:tc>
        <w:tc>
          <w:tcPr>
            <w:tcW w:w="1723" w:type="dxa"/>
            <w:shd w:val="clear" w:color="auto" w:fill="D9E2F3" w:themeFill="accent5" w:themeFillTint="33"/>
          </w:tcPr>
          <w:p w14:paraId="5E7FC0FE">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Deloitte (2025) </w:t>
            </w:r>
          </w:p>
          <w:p w14:paraId="661BAF0E">
            <w:pPr>
              <w:spacing w:after="0"/>
              <w:rPr>
                <w:rFonts w:eastAsia="Times New Roman" w:cs="Times New Roman"/>
                <w:color w:val="1F1F1F"/>
                <w:szCs w:val="24"/>
                <w:lang w:val="en-GB" w:eastAsia="en-GB"/>
              </w:rPr>
            </w:pPr>
          </w:p>
        </w:tc>
        <w:tc>
          <w:tcPr>
            <w:tcW w:w="3482" w:type="dxa"/>
            <w:shd w:val="clear" w:color="auto" w:fill="D9E2F3" w:themeFill="accent5" w:themeFillTint="33"/>
          </w:tcPr>
          <w:p w14:paraId="4F17A3AC">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Consumer evaluation balancing EV advantages against practical obstacles like charging speed, infrastructure, and battery safety. </w:t>
            </w:r>
          </w:p>
          <w:p w14:paraId="58EED36D">
            <w:pPr>
              <w:spacing w:after="0"/>
              <w:rPr>
                <w:rFonts w:eastAsia="Times New Roman" w:cs="Times New Roman"/>
                <w:i/>
                <w:color w:val="1F1F1F"/>
                <w:szCs w:val="24"/>
                <w:lang w:val="en-GB" w:eastAsia="en-GB"/>
              </w:rPr>
            </w:pPr>
          </w:p>
        </w:tc>
        <w:tc>
          <w:tcPr>
            <w:tcW w:w="3171" w:type="dxa"/>
            <w:shd w:val="clear" w:color="auto" w:fill="D9E2F3" w:themeFill="accent5" w:themeFillTint="33"/>
          </w:tcPr>
          <w:p w14:paraId="5D31E38C">
            <w:pPr>
              <w:pStyle w:val="26"/>
              <w:numPr>
                <w:ilvl w:val="0"/>
                <w:numId w:val="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Trade-off evaluation</w:t>
            </w:r>
          </w:p>
          <w:p w14:paraId="5DF361BA">
            <w:pPr>
              <w:pStyle w:val="26"/>
              <w:numPr>
                <w:ilvl w:val="0"/>
                <w:numId w:val="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Infrastructure availability</w:t>
            </w:r>
          </w:p>
          <w:p w14:paraId="5CF8FDAD">
            <w:pPr>
              <w:pStyle w:val="26"/>
              <w:numPr>
                <w:ilvl w:val="0"/>
                <w:numId w:val="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Battery safety concerns</w:t>
            </w:r>
          </w:p>
        </w:tc>
      </w:tr>
      <w:tr w14:paraId="0872C081">
        <w:tblPrEx>
          <w:tblLayout w:type="fixed"/>
        </w:tblPrEx>
        <w:tc>
          <w:tcPr>
            <w:tcW w:w="640" w:type="dxa"/>
          </w:tcPr>
          <w:p w14:paraId="513EA9B5">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10</w:t>
            </w:r>
          </w:p>
        </w:tc>
        <w:tc>
          <w:tcPr>
            <w:tcW w:w="1723" w:type="dxa"/>
          </w:tcPr>
          <w:p w14:paraId="6C017751">
            <w:pPr>
              <w:spacing w:after="0"/>
              <w:rPr>
                <w:rFonts w:eastAsia="Times New Roman" w:cs="Times New Roman"/>
                <w:color w:val="1F1F1F"/>
                <w:szCs w:val="24"/>
                <w:lang w:val="en-GB" w:eastAsia="en-GB"/>
              </w:rPr>
            </w:pPr>
            <w:r>
              <w:rPr>
                <w:rFonts w:eastAsia="Times New Roman" w:cs="Times New Roman"/>
                <w:color w:val="1F1F1F"/>
                <w:szCs w:val="24"/>
                <w:lang w:val="en-GB" w:eastAsia="en-GB"/>
              </w:rPr>
              <w:t>Joghee</w:t>
            </w:r>
            <w:r>
              <w:rPr>
                <w:rFonts w:eastAsia="Times New Roman" w:cs="Times New Roman"/>
                <w:color w:val="1F1F1F"/>
                <w:szCs w:val="24"/>
                <w:lang w:val="en-GB" w:eastAsia="en-GB"/>
              </w:rPr>
              <w:t xml:space="preserve">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(2024) </w:t>
            </w:r>
          </w:p>
          <w:p w14:paraId="0F4B5437">
            <w:pPr>
              <w:spacing w:after="0"/>
              <w:rPr>
                <w:rFonts w:eastAsia="Times New Roman" w:cs="Times New Roman"/>
                <w:color w:val="1F1F1F"/>
                <w:szCs w:val="24"/>
                <w:lang w:val="en-GB" w:eastAsia="en-GB"/>
              </w:rPr>
            </w:pPr>
          </w:p>
        </w:tc>
        <w:tc>
          <w:tcPr>
            <w:tcW w:w="3482" w:type="dxa"/>
          </w:tcPr>
          <w:p w14:paraId="57EA8A23">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Examination of consumer decision-making patterns specific to the SUV market context in India. </w:t>
            </w:r>
          </w:p>
          <w:p w14:paraId="5BC2377B">
            <w:pPr>
              <w:spacing w:after="0"/>
              <w:rPr>
                <w:rFonts w:eastAsia="Times New Roman" w:cs="Times New Roman"/>
                <w:i/>
                <w:color w:val="1F1F1F"/>
                <w:szCs w:val="24"/>
                <w:lang w:val="en-GB" w:eastAsia="en-GB"/>
              </w:rPr>
            </w:pPr>
          </w:p>
        </w:tc>
        <w:tc>
          <w:tcPr>
            <w:tcW w:w="3171" w:type="dxa"/>
          </w:tcPr>
          <w:p w14:paraId="44D7508F">
            <w:pPr>
              <w:pStyle w:val="26"/>
              <w:numPr>
                <w:ilvl w:val="0"/>
                <w:numId w:val="1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SUV market dynamics</w:t>
            </w:r>
          </w:p>
          <w:p w14:paraId="133A66DA">
            <w:pPr>
              <w:pStyle w:val="26"/>
              <w:numPr>
                <w:ilvl w:val="0"/>
                <w:numId w:val="1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Decision-making process</w:t>
            </w:r>
          </w:p>
          <w:p w14:paraId="4288780F">
            <w:pPr>
              <w:pStyle w:val="26"/>
              <w:numPr>
                <w:ilvl w:val="0"/>
                <w:numId w:val="1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Vehicle segment preferences</w:t>
            </w:r>
          </w:p>
        </w:tc>
      </w:tr>
      <w:tr w14:paraId="6E26ECEC">
        <w:tblPrEx>
          <w:tblLayout w:type="fixed"/>
        </w:tblPrEx>
        <w:tc>
          <w:tcPr>
            <w:tcW w:w="640" w:type="dxa"/>
            <w:shd w:val="clear" w:color="auto" w:fill="D9E2F3" w:themeFill="accent5" w:themeFillTint="33"/>
          </w:tcPr>
          <w:p w14:paraId="354FBB4D">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11</w:t>
            </w:r>
          </w:p>
        </w:tc>
        <w:tc>
          <w:tcPr>
            <w:tcW w:w="1723" w:type="dxa"/>
            <w:shd w:val="clear" w:color="auto" w:fill="D9E2F3" w:themeFill="accent5" w:themeFillTint="33"/>
          </w:tcPr>
          <w:p w14:paraId="4ED159C8">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Astuti and Susanto (2024) </w:t>
            </w:r>
          </w:p>
          <w:p w14:paraId="506E1B35">
            <w:pPr>
              <w:spacing w:after="0"/>
              <w:rPr>
                <w:rFonts w:eastAsia="Times New Roman" w:cs="Times New Roman"/>
                <w:color w:val="1F1F1F"/>
                <w:szCs w:val="24"/>
                <w:lang w:val="en-GB" w:eastAsia="en-GB"/>
              </w:rPr>
            </w:pPr>
          </w:p>
        </w:tc>
        <w:tc>
          <w:tcPr>
            <w:tcW w:w="3482" w:type="dxa"/>
            <w:shd w:val="clear" w:color="auto" w:fill="D9E2F3" w:themeFill="accent5" w:themeFillTint="33"/>
          </w:tcPr>
          <w:p w14:paraId="2B169A05">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Uncovering underlying structural challenges and hidden factors inhibiting EV adoption in Indonesia. </w:t>
            </w:r>
          </w:p>
        </w:tc>
        <w:tc>
          <w:tcPr>
            <w:tcW w:w="3171" w:type="dxa"/>
            <w:shd w:val="clear" w:color="auto" w:fill="D9E2F3" w:themeFill="accent5" w:themeFillTint="33"/>
          </w:tcPr>
          <w:p w14:paraId="1D1F7C86">
            <w:pPr>
              <w:pStyle w:val="26"/>
              <w:numPr>
                <w:ilvl w:val="0"/>
                <w:numId w:val="1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Adoption barriers</w:t>
            </w:r>
          </w:p>
          <w:p w14:paraId="5BF8D7D3">
            <w:pPr>
              <w:pStyle w:val="26"/>
              <w:numPr>
                <w:ilvl w:val="0"/>
                <w:numId w:val="1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Hidden friction factors</w:t>
            </w:r>
          </w:p>
          <w:p w14:paraId="747CADDD">
            <w:pPr>
              <w:pStyle w:val="26"/>
              <w:numPr>
                <w:ilvl w:val="0"/>
                <w:numId w:val="1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Emerging economy obstacles</w:t>
            </w:r>
          </w:p>
        </w:tc>
      </w:tr>
      <w:tr w14:paraId="52AAED36">
        <w:tblPrEx>
          <w:tblLayout w:type="fixed"/>
        </w:tblPrEx>
        <w:tc>
          <w:tcPr>
            <w:tcW w:w="640" w:type="dxa"/>
          </w:tcPr>
          <w:p w14:paraId="665BFA77">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12</w:t>
            </w:r>
          </w:p>
        </w:tc>
        <w:tc>
          <w:tcPr>
            <w:tcW w:w="1723" w:type="dxa"/>
          </w:tcPr>
          <w:p w14:paraId="71A49440">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Sun and Lee (2024) </w:t>
            </w:r>
          </w:p>
          <w:p w14:paraId="51D8401A">
            <w:pPr>
              <w:spacing w:after="0"/>
              <w:rPr>
                <w:rFonts w:eastAsia="Times New Roman" w:cs="Times New Roman"/>
                <w:color w:val="1F1F1F"/>
                <w:szCs w:val="24"/>
                <w:lang w:val="en-GB" w:eastAsia="en-GB"/>
              </w:rPr>
            </w:pPr>
          </w:p>
        </w:tc>
        <w:tc>
          <w:tcPr>
            <w:tcW w:w="3482" w:type="dxa"/>
          </w:tcPr>
          <w:p w14:paraId="7020122A">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Evaluating EV adoption intentions through an Extended Technology Acceptance Model framework. </w:t>
            </w:r>
          </w:p>
        </w:tc>
        <w:tc>
          <w:tcPr>
            <w:tcW w:w="3171" w:type="dxa"/>
          </w:tcPr>
          <w:p w14:paraId="1965C49B">
            <w:pPr>
              <w:pStyle w:val="26"/>
              <w:numPr>
                <w:ilvl w:val="0"/>
                <w:numId w:val="1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Extended TAM</w:t>
            </w:r>
          </w:p>
          <w:p w14:paraId="70341EC9">
            <w:pPr>
              <w:pStyle w:val="26"/>
              <w:numPr>
                <w:ilvl w:val="0"/>
                <w:numId w:val="1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Perceived usefulness</w:t>
            </w:r>
          </w:p>
          <w:p w14:paraId="1A8DF2DE">
            <w:pPr>
              <w:pStyle w:val="26"/>
              <w:numPr>
                <w:ilvl w:val="0"/>
                <w:numId w:val="1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Technology acceptance</w:t>
            </w:r>
          </w:p>
        </w:tc>
      </w:tr>
      <w:tr w14:paraId="474C73D8">
        <w:tblPrEx>
          <w:tblLayout w:type="fixed"/>
        </w:tblPrEx>
        <w:tc>
          <w:tcPr>
            <w:tcW w:w="640" w:type="dxa"/>
            <w:shd w:val="clear" w:color="auto" w:fill="D9E2F3" w:themeFill="accent5" w:themeFillTint="33"/>
          </w:tcPr>
          <w:p w14:paraId="025B2429">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13</w:t>
            </w:r>
          </w:p>
        </w:tc>
        <w:tc>
          <w:tcPr>
            <w:tcW w:w="1723" w:type="dxa"/>
            <w:shd w:val="clear" w:color="auto" w:fill="D9E2F3" w:themeFill="accent5" w:themeFillTint="33"/>
          </w:tcPr>
          <w:p w14:paraId="7D86EFD0">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Song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(2025) </w:t>
            </w:r>
          </w:p>
          <w:p w14:paraId="3CAB043D">
            <w:pPr>
              <w:spacing w:after="0"/>
              <w:rPr>
                <w:rFonts w:eastAsia="Times New Roman" w:cs="Times New Roman"/>
                <w:color w:val="1F1F1F"/>
                <w:szCs w:val="24"/>
                <w:lang w:val="en-GB" w:eastAsia="en-GB"/>
              </w:rPr>
            </w:pPr>
          </w:p>
        </w:tc>
        <w:tc>
          <w:tcPr>
            <w:tcW w:w="3482" w:type="dxa"/>
            <w:shd w:val="clear" w:color="auto" w:fill="D9E2F3" w:themeFill="accent5" w:themeFillTint="33"/>
          </w:tcPr>
          <w:p w14:paraId="07CE6484">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Role of marketing communications in driving purchase intention for luxury EVs in China, mediated by brand preference and perceived value. </w:t>
            </w:r>
          </w:p>
        </w:tc>
        <w:tc>
          <w:tcPr>
            <w:tcW w:w="3171" w:type="dxa"/>
            <w:shd w:val="clear" w:color="auto" w:fill="D9E2F3" w:themeFill="accent5" w:themeFillTint="33"/>
          </w:tcPr>
          <w:p w14:paraId="13F2D2F4">
            <w:pPr>
              <w:pStyle w:val="26"/>
              <w:numPr>
                <w:ilvl w:val="0"/>
                <w:numId w:val="13"/>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Marketing communications</w:t>
            </w:r>
          </w:p>
          <w:p w14:paraId="65939A8D">
            <w:pPr>
              <w:pStyle w:val="26"/>
              <w:numPr>
                <w:ilvl w:val="0"/>
                <w:numId w:val="13"/>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Perceived value</w:t>
            </w:r>
          </w:p>
          <w:p w14:paraId="6A9D111A">
            <w:pPr>
              <w:pStyle w:val="26"/>
              <w:numPr>
                <w:ilvl w:val="0"/>
                <w:numId w:val="13"/>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Luxury EV segment</w:t>
            </w:r>
          </w:p>
          <w:p w14:paraId="26A5F248">
            <w:pPr>
              <w:spacing w:after="0"/>
              <w:rPr>
                <w:rFonts w:eastAsia="Times New Roman" w:cs="Times New Roman"/>
                <w:color w:val="1F1F1F"/>
                <w:szCs w:val="24"/>
                <w:lang w:val="en-GB" w:eastAsia="en-GB"/>
              </w:rPr>
            </w:pPr>
          </w:p>
        </w:tc>
      </w:tr>
      <w:tr w14:paraId="38C4932D">
        <w:tblPrEx>
          <w:tblLayout w:type="fixed"/>
        </w:tblPrEx>
        <w:tc>
          <w:tcPr>
            <w:tcW w:w="640" w:type="dxa"/>
          </w:tcPr>
          <w:p w14:paraId="5B050E71">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14</w:t>
            </w:r>
          </w:p>
        </w:tc>
        <w:tc>
          <w:tcPr>
            <w:tcW w:w="1723" w:type="dxa"/>
          </w:tcPr>
          <w:p w14:paraId="6C07F13F">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Xue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(2024) </w:t>
            </w:r>
          </w:p>
          <w:p w14:paraId="07BEE2D2">
            <w:pPr>
              <w:spacing w:after="0"/>
              <w:rPr>
                <w:rFonts w:eastAsia="Times New Roman" w:cs="Times New Roman"/>
                <w:color w:val="1F1F1F"/>
                <w:szCs w:val="24"/>
                <w:lang w:val="en-GB" w:eastAsia="en-GB"/>
              </w:rPr>
            </w:pPr>
          </w:p>
        </w:tc>
        <w:tc>
          <w:tcPr>
            <w:tcW w:w="3482" w:type="dxa"/>
          </w:tcPr>
          <w:p w14:paraId="4110392D">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Applying Innovation Resistance Theory to evaluate consumer hesitation and purchasing barriers. </w:t>
            </w:r>
          </w:p>
          <w:p w14:paraId="266E579B">
            <w:pPr>
              <w:spacing w:after="0"/>
              <w:rPr>
                <w:rFonts w:eastAsia="Times New Roman" w:cs="Times New Roman"/>
                <w:i/>
                <w:color w:val="1F1F1F"/>
                <w:szCs w:val="24"/>
                <w:lang w:val="en-GB" w:eastAsia="en-GB"/>
              </w:rPr>
            </w:pPr>
          </w:p>
        </w:tc>
        <w:tc>
          <w:tcPr>
            <w:tcW w:w="3171" w:type="dxa"/>
          </w:tcPr>
          <w:p w14:paraId="72238A21">
            <w:pPr>
              <w:pStyle w:val="26"/>
              <w:numPr>
                <w:ilvl w:val="0"/>
                <w:numId w:val="1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Innovation Resistance Theory</w:t>
            </w:r>
          </w:p>
          <w:p w14:paraId="5877165D">
            <w:pPr>
              <w:pStyle w:val="26"/>
              <w:numPr>
                <w:ilvl w:val="0"/>
                <w:numId w:val="1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Consumer hesitancy</w:t>
            </w:r>
          </w:p>
          <w:p w14:paraId="6BA1C9B8">
            <w:pPr>
              <w:pStyle w:val="26"/>
              <w:numPr>
                <w:ilvl w:val="0"/>
                <w:numId w:val="1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Functional &amp; psychological barriers</w:t>
            </w:r>
          </w:p>
        </w:tc>
      </w:tr>
      <w:tr w14:paraId="73D2933A">
        <w:tblPrEx>
          <w:tblLayout w:type="fixed"/>
        </w:tblPrEx>
        <w:tc>
          <w:tcPr>
            <w:tcW w:w="640" w:type="dxa"/>
            <w:shd w:val="clear" w:color="auto" w:fill="D9E2F3" w:themeFill="accent5" w:themeFillTint="33"/>
          </w:tcPr>
          <w:p w14:paraId="684EFE96">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15</w:t>
            </w:r>
          </w:p>
        </w:tc>
        <w:tc>
          <w:tcPr>
            <w:tcW w:w="1723" w:type="dxa"/>
            <w:shd w:val="clear" w:color="auto" w:fill="D9E2F3" w:themeFill="accent5" w:themeFillTint="33"/>
          </w:tcPr>
          <w:p w14:paraId="3989A725">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Gupta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(2024) </w:t>
            </w:r>
          </w:p>
          <w:p w14:paraId="70DE0A6F">
            <w:pPr>
              <w:spacing w:after="0"/>
              <w:rPr>
                <w:rFonts w:eastAsia="Times New Roman" w:cs="Times New Roman"/>
                <w:color w:val="1F1F1F"/>
                <w:szCs w:val="24"/>
                <w:lang w:val="en-GB" w:eastAsia="en-GB"/>
              </w:rPr>
            </w:pPr>
          </w:p>
        </w:tc>
        <w:tc>
          <w:tcPr>
            <w:tcW w:w="3482" w:type="dxa"/>
            <w:shd w:val="clear" w:color="auto" w:fill="D9E2F3" w:themeFill="accent5" w:themeFillTint="33"/>
          </w:tcPr>
          <w:p w14:paraId="114335EB">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Exploring consumer adoption intentions with awareness and knowledge serving key mediating roles. </w:t>
            </w:r>
          </w:p>
        </w:tc>
        <w:tc>
          <w:tcPr>
            <w:tcW w:w="3171" w:type="dxa"/>
            <w:shd w:val="clear" w:color="auto" w:fill="D9E2F3" w:themeFill="accent5" w:themeFillTint="33"/>
          </w:tcPr>
          <w:p w14:paraId="5A7839EF">
            <w:pPr>
              <w:pStyle w:val="26"/>
              <w:numPr>
                <w:ilvl w:val="0"/>
                <w:numId w:val="1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Information mediation</w:t>
            </w:r>
          </w:p>
          <w:p w14:paraId="51535D31">
            <w:pPr>
              <w:pStyle w:val="26"/>
              <w:numPr>
                <w:ilvl w:val="0"/>
                <w:numId w:val="1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Consumer awareness</w:t>
            </w:r>
          </w:p>
          <w:p w14:paraId="062AF2B4">
            <w:pPr>
              <w:pStyle w:val="26"/>
              <w:numPr>
                <w:ilvl w:val="0"/>
                <w:numId w:val="1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Domain knowledge</w:t>
            </w:r>
          </w:p>
          <w:p w14:paraId="38AD84F6">
            <w:pPr>
              <w:spacing w:after="0"/>
              <w:rPr>
                <w:rFonts w:eastAsia="Times New Roman" w:cs="Times New Roman"/>
                <w:color w:val="1F1F1F"/>
                <w:szCs w:val="24"/>
                <w:lang w:val="en-GB" w:eastAsia="en-GB"/>
              </w:rPr>
            </w:pPr>
          </w:p>
        </w:tc>
      </w:tr>
      <w:tr w14:paraId="2F21168F">
        <w:tblPrEx>
          <w:tblLayout w:type="fixed"/>
        </w:tblPrEx>
        <w:tc>
          <w:tcPr>
            <w:tcW w:w="640" w:type="dxa"/>
          </w:tcPr>
          <w:p w14:paraId="70670B4F">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16</w:t>
            </w:r>
          </w:p>
        </w:tc>
        <w:tc>
          <w:tcPr>
            <w:tcW w:w="1723" w:type="dxa"/>
          </w:tcPr>
          <w:p w14:paraId="3C29BDA0">
            <w:pPr>
              <w:spacing w:after="0"/>
              <w:rPr>
                <w:rFonts w:eastAsia="Times New Roman" w:cs="Times New Roman"/>
                <w:color w:val="1F1F1F"/>
                <w:szCs w:val="24"/>
                <w:lang w:val="en-GB" w:eastAsia="en-GB"/>
              </w:rPr>
            </w:pPr>
            <w:r>
              <w:rPr>
                <w:rFonts w:eastAsia="Times New Roman" w:cs="Times New Roman"/>
                <w:color w:val="1F1F1F"/>
                <w:szCs w:val="24"/>
                <w:lang w:val="en-GB" w:eastAsia="en-GB"/>
              </w:rPr>
              <w:t>Pamidimukkala</w:t>
            </w:r>
            <w:r>
              <w:rPr>
                <w:rFonts w:eastAsia="Times New Roman" w:cs="Times New Roman"/>
                <w:color w:val="1F1F1F"/>
                <w:szCs w:val="24"/>
                <w:lang w:val="en-GB" w:eastAsia="en-GB"/>
              </w:rPr>
              <w:t xml:space="preserve"> </w:t>
            </w:r>
            <w:r>
              <w:rPr>
                <w:rFonts w:eastAsia="Times New Roman" w:cs="Times New Roman"/>
                <w:i/>
                <w:color w:val="1F1F1F"/>
                <w:szCs w:val="24"/>
                <w:lang w:val="en-GB" w:eastAsia="en-GB"/>
              </w:rPr>
              <w:t>et al</w:t>
            </w:r>
            <w:r>
              <w:rPr>
                <w:rFonts w:eastAsia="Times New Roman" w:cs="Times New Roman"/>
                <w:color w:val="1F1F1F"/>
                <w:szCs w:val="24"/>
                <w:lang w:val="en-GB" w:eastAsia="en-GB"/>
              </w:rPr>
              <w:t xml:space="preserve">. (2025) </w:t>
            </w:r>
          </w:p>
          <w:p w14:paraId="285C7A91">
            <w:pPr>
              <w:spacing w:after="0"/>
              <w:rPr>
                <w:rFonts w:eastAsia="Times New Roman" w:cs="Times New Roman"/>
                <w:color w:val="1F1F1F"/>
                <w:szCs w:val="24"/>
                <w:lang w:val="en-GB" w:eastAsia="en-GB"/>
              </w:rPr>
            </w:pPr>
          </w:p>
        </w:tc>
        <w:tc>
          <w:tcPr>
            <w:tcW w:w="3482" w:type="dxa"/>
          </w:tcPr>
          <w:p w14:paraId="7ED6E58A">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Utilizing the Extended Theory of Planned Behaviour to evaluate consumer adoption intentions. </w:t>
            </w:r>
          </w:p>
        </w:tc>
        <w:tc>
          <w:tcPr>
            <w:tcW w:w="3171" w:type="dxa"/>
          </w:tcPr>
          <w:p w14:paraId="1530C94F">
            <w:pPr>
              <w:pStyle w:val="26"/>
              <w:numPr>
                <w:ilvl w:val="0"/>
                <w:numId w:val="1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Extended TPB</w:t>
            </w:r>
          </w:p>
          <w:p w14:paraId="0BA79E04">
            <w:pPr>
              <w:pStyle w:val="26"/>
              <w:numPr>
                <w:ilvl w:val="0"/>
                <w:numId w:val="1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Behavioural control</w:t>
            </w:r>
          </w:p>
          <w:p w14:paraId="3865A96A">
            <w:pPr>
              <w:pStyle w:val="26"/>
              <w:numPr>
                <w:ilvl w:val="0"/>
                <w:numId w:val="1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Subjective norms</w:t>
            </w:r>
          </w:p>
        </w:tc>
      </w:tr>
      <w:tr w14:paraId="33FFE2B7">
        <w:tblPrEx>
          <w:tblLayout w:type="fixed"/>
        </w:tblPrEx>
        <w:tc>
          <w:tcPr>
            <w:tcW w:w="640" w:type="dxa"/>
            <w:shd w:val="clear" w:color="auto" w:fill="D9E2F3" w:themeFill="accent5" w:themeFillTint="33"/>
          </w:tcPr>
          <w:p w14:paraId="236B37A1">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17</w:t>
            </w:r>
          </w:p>
        </w:tc>
        <w:tc>
          <w:tcPr>
            <w:tcW w:w="1723" w:type="dxa"/>
            <w:shd w:val="clear" w:color="auto" w:fill="D9E2F3" w:themeFill="accent5" w:themeFillTint="33"/>
          </w:tcPr>
          <w:p w14:paraId="6341E07F">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IBEF (2025) </w:t>
            </w:r>
          </w:p>
          <w:p w14:paraId="714E4D23">
            <w:pPr>
              <w:spacing w:after="0"/>
              <w:rPr>
                <w:rFonts w:eastAsia="Times New Roman" w:cs="Times New Roman"/>
                <w:color w:val="1F1F1F"/>
                <w:szCs w:val="24"/>
                <w:lang w:val="en-GB" w:eastAsia="en-GB"/>
              </w:rPr>
            </w:pPr>
          </w:p>
        </w:tc>
        <w:tc>
          <w:tcPr>
            <w:tcW w:w="3482" w:type="dxa"/>
            <w:shd w:val="clear" w:color="auto" w:fill="D9E2F3" w:themeFill="accent5" w:themeFillTint="33"/>
          </w:tcPr>
          <w:p w14:paraId="63F23239">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Industry overview detailing market growth trajectory, policy </w:t>
            </w:r>
            <w:r>
              <w:rPr>
                <w:rFonts w:eastAsia="Times New Roman" w:cs="Times New Roman"/>
                <w:i/>
                <w:color w:val="1F1F1F"/>
                <w:szCs w:val="24"/>
                <w:lang w:val="en-GB" w:eastAsia="en-GB"/>
              </w:rPr>
              <w:t xml:space="preserve">developments, and EV innovations in India. </w:t>
            </w:r>
          </w:p>
        </w:tc>
        <w:tc>
          <w:tcPr>
            <w:tcW w:w="3171" w:type="dxa"/>
            <w:shd w:val="clear" w:color="auto" w:fill="D9E2F3" w:themeFill="accent5" w:themeFillTint="33"/>
          </w:tcPr>
          <w:p w14:paraId="5D7D8DF2">
            <w:pPr>
              <w:pStyle w:val="26"/>
              <w:numPr>
                <w:ilvl w:val="0"/>
                <w:numId w:val="17"/>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Market growth projections</w:t>
            </w:r>
          </w:p>
          <w:p w14:paraId="34BB6391">
            <w:pPr>
              <w:pStyle w:val="26"/>
              <w:numPr>
                <w:ilvl w:val="0"/>
                <w:numId w:val="17"/>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Technological innovations</w:t>
            </w:r>
          </w:p>
          <w:p w14:paraId="13E785AC">
            <w:pPr>
              <w:pStyle w:val="26"/>
              <w:numPr>
                <w:ilvl w:val="0"/>
                <w:numId w:val="17"/>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Industry trends</w:t>
            </w:r>
          </w:p>
        </w:tc>
      </w:tr>
      <w:tr w14:paraId="0A840CF0">
        <w:tblPrEx>
          <w:tblLayout w:type="fixed"/>
        </w:tblPrEx>
        <w:tc>
          <w:tcPr>
            <w:tcW w:w="640" w:type="dxa"/>
          </w:tcPr>
          <w:p w14:paraId="7AA9480A">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18</w:t>
            </w:r>
          </w:p>
        </w:tc>
        <w:tc>
          <w:tcPr>
            <w:tcW w:w="1723" w:type="dxa"/>
          </w:tcPr>
          <w:p w14:paraId="4B3DA55D">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IEA (2025) </w:t>
            </w:r>
          </w:p>
          <w:p w14:paraId="16FDB2D6">
            <w:pPr>
              <w:spacing w:after="0"/>
              <w:rPr>
                <w:rFonts w:eastAsia="Times New Roman" w:cs="Times New Roman"/>
                <w:color w:val="1F1F1F"/>
                <w:szCs w:val="24"/>
                <w:lang w:val="en-GB" w:eastAsia="en-GB"/>
              </w:rPr>
            </w:pPr>
          </w:p>
        </w:tc>
        <w:tc>
          <w:tcPr>
            <w:tcW w:w="3482" w:type="dxa"/>
          </w:tcPr>
          <w:p w14:paraId="1DC26B40">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Global tracking of electric car adoption trends, market statistics, and international outlooks. </w:t>
            </w:r>
          </w:p>
        </w:tc>
        <w:tc>
          <w:tcPr>
            <w:tcW w:w="3171" w:type="dxa"/>
          </w:tcPr>
          <w:p w14:paraId="46992FDF">
            <w:pPr>
              <w:pStyle w:val="26"/>
              <w:numPr>
                <w:ilvl w:val="0"/>
                <w:numId w:val="18"/>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Global market trends</w:t>
            </w:r>
          </w:p>
          <w:p w14:paraId="7DCE4BA2">
            <w:pPr>
              <w:pStyle w:val="26"/>
              <w:numPr>
                <w:ilvl w:val="0"/>
                <w:numId w:val="18"/>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EV outlook</w:t>
            </w:r>
          </w:p>
          <w:p w14:paraId="6E388CF2">
            <w:pPr>
              <w:pStyle w:val="26"/>
              <w:numPr>
                <w:ilvl w:val="0"/>
                <w:numId w:val="18"/>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Adoption trajectories</w:t>
            </w:r>
          </w:p>
        </w:tc>
      </w:tr>
      <w:tr w14:paraId="40D427F9">
        <w:tblPrEx>
          <w:tblLayout w:type="fixed"/>
        </w:tblPrEx>
        <w:tc>
          <w:tcPr>
            <w:tcW w:w="640" w:type="dxa"/>
            <w:shd w:val="clear" w:color="auto" w:fill="D9E2F3" w:themeFill="accent5" w:themeFillTint="33"/>
          </w:tcPr>
          <w:p w14:paraId="06F111C2">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19</w:t>
            </w:r>
          </w:p>
        </w:tc>
        <w:tc>
          <w:tcPr>
            <w:tcW w:w="1723" w:type="dxa"/>
            <w:shd w:val="clear" w:color="auto" w:fill="D9E2F3" w:themeFill="accent5" w:themeFillTint="33"/>
          </w:tcPr>
          <w:p w14:paraId="6942E64A">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Fortune Business Insights (2024) </w:t>
            </w:r>
          </w:p>
          <w:p w14:paraId="4689822B">
            <w:pPr>
              <w:spacing w:after="0"/>
              <w:rPr>
                <w:rFonts w:eastAsia="Times New Roman" w:cs="Times New Roman"/>
                <w:color w:val="1F1F1F"/>
                <w:szCs w:val="24"/>
                <w:lang w:val="en-GB" w:eastAsia="en-GB"/>
              </w:rPr>
            </w:pPr>
          </w:p>
        </w:tc>
        <w:tc>
          <w:tcPr>
            <w:tcW w:w="3482" w:type="dxa"/>
            <w:shd w:val="clear" w:color="auto" w:fill="D9E2F3" w:themeFill="accent5" w:themeFillTint="33"/>
          </w:tcPr>
          <w:p w14:paraId="24538AEF">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Commercial market size analysis and revenue forecast for the Indian electric vehicle market through 2029. </w:t>
            </w:r>
          </w:p>
        </w:tc>
        <w:tc>
          <w:tcPr>
            <w:tcW w:w="3171" w:type="dxa"/>
            <w:shd w:val="clear" w:color="auto" w:fill="D9E2F3" w:themeFill="accent5" w:themeFillTint="33"/>
          </w:tcPr>
          <w:p w14:paraId="3405A819">
            <w:pPr>
              <w:pStyle w:val="26"/>
              <w:numPr>
                <w:ilvl w:val="0"/>
                <w:numId w:val="1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Market size forecast</w:t>
            </w:r>
          </w:p>
          <w:p w14:paraId="580EA68A">
            <w:pPr>
              <w:pStyle w:val="26"/>
              <w:numPr>
                <w:ilvl w:val="0"/>
                <w:numId w:val="1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Financial growth trends</w:t>
            </w:r>
          </w:p>
          <w:p w14:paraId="4517E5B5">
            <w:pPr>
              <w:pStyle w:val="26"/>
              <w:numPr>
                <w:ilvl w:val="0"/>
                <w:numId w:val="1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Commercial projections</w:t>
            </w:r>
          </w:p>
        </w:tc>
      </w:tr>
      <w:tr w14:paraId="067C6C42">
        <w:tblPrEx>
          <w:tblLayout w:type="fixed"/>
        </w:tblPrEx>
        <w:tc>
          <w:tcPr>
            <w:tcW w:w="640" w:type="dxa"/>
          </w:tcPr>
          <w:p w14:paraId="260E3F6B">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20</w:t>
            </w:r>
          </w:p>
        </w:tc>
        <w:tc>
          <w:tcPr>
            <w:tcW w:w="1723" w:type="dxa"/>
          </w:tcPr>
          <w:p w14:paraId="0BA3BC0C">
            <w:pPr>
              <w:spacing w:after="0"/>
              <w:rPr>
                <w:rFonts w:eastAsia="Times New Roman" w:cs="Times New Roman"/>
                <w:color w:val="1F1F1F"/>
                <w:szCs w:val="24"/>
                <w:lang w:val="en-GB" w:eastAsia="en-GB"/>
              </w:rPr>
            </w:pPr>
            <w:r>
              <w:rPr>
                <w:rFonts w:eastAsia="Times New Roman" w:cs="Times New Roman"/>
                <w:color w:val="1F1F1F"/>
                <w:szCs w:val="24"/>
                <w:lang w:val="en-GB" w:eastAsia="en-GB"/>
              </w:rPr>
              <w:t xml:space="preserve">Tsai </w:t>
            </w:r>
            <w:r>
              <w:rPr>
                <w:rFonts w:eastAsia="Times New Roman" w:cs="Times New Roman"/>
                <w:i/>
                <w:color w:val="1F1F1F"/>
                <w:szCs w:val="24"/>
                <w:lang w:val="en-GB" w:eastAsia="en-GB"/>
              </w:rPr>
              <w:t>et al</w:t>
            </w:r>
            <w:r>
              <w:rPr>
                <w:rFonts w:eastAsia="Times New Roman" w:cs="Times New Roman"/>
                <w:color w:val="1F1F1F"/>
                <w:szCs w:val="24"/>
                <w:lang w:val="en-GB" w:eastAsia="en-GB"/>
              </w:rPr>
              <w:t>. (2025)</w:t>
            </w:r>
          </w:p>
          <w:p w14:paraId="2371D979">
            <w:pPr>
              <w:spacing w:after="0"/>
              <w:rPr>
                <w:rFonts w:eastAsia="Times New Roman" w:cs="Times New Roman"/>
                <w:color w:val="1F1F1F"/>
                <w:szCs w:val="24"/>
                <w:lang w:val="en-GB" w:eastAsia="en-GB"/>
              </w:rPr>
            </w:pPr>
          </w:p>
        </w:tc>
        <w:tc>
          <w:tcPr>
            <w:tcW w:w="3482" w:type="dxa"/>
          </w:tcPr>
          <w:p w14:paraId="61B0CAE0">
            <w:pPr>
              <w:spacing w:after="0"/>
              <w:rPr>
                <w:rFonts w:eastAsia="Times New Roman" w:cs="Times New Roman"/>
                <w:i/>
                <w:color w:val="1F1F1F"/>
                <w:szCs w:val="24"/>
                <w:lang w:val="en-GB" w:eastAsia="en-GB"/>
              </w:rPr>
            </w:pPr>
            <w:r>
              <w:rPr>
                <w:rFonts w:eastAsia="Times New Roman" w:cs="Times New Roman"/>
                <w:i/>
                <w:color w:val="1F1F1F"/>
                <w:szCs w:val="24"/>
                <w:lang w:val="en-GB" w:eastAsia="en-GB"/>
              </w:rPr>
              <w:t xml:space="preserve">Examination of consumer decision-making patterns specific to the SUV market context in India. </w:t>
            </w:r>
          </w:p>
          <w:p w14:paraId="5663DDFF">
            <w:pPr>
              <w:spacing w:after="0"/>
              <w:rPr>
                <w:rFonts w:eastAsia="Times New Roman" w:cs="Times New Roman"/>
                <w:i/>
                <w:color w:val="1F1F1F"/>
                <w:szCs w:val="24"/>
                <w:lang w:val="en-GB" w:eastAsia="en-GB"/>
              </w:rPr>
            </w:pPr>
          </w:p>
        </w:tc>
        <w:tc>
          <w:tcPr>
            <w:tcW w:w="3171" w:type="dxa"/>
          </w:tcPr>
          <w:p w14:paraId="50486BAF">
            <w:pPr>
              <w:pStyle w:val="26"/>
              <w:numPr>
                <w:ilvl w:val="0"/>
                <w:numId w:val="2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SUV market dynamics</w:t>
            </w:r>
          </w:p>
          <w:p w14:paraId="0557EF92">
            <w:pPr>
              <w:pStyle w:val="26"/>
              <w:numPr>
                <w:ilvl w:val="0"/>
                <w:numId w:val="2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Decision-making process</w:t>
            </w:r>
          </w:p>
          <w:p w14:paraId="198E6319">
            <w:pPr>
              <w:pStyle w:val="26"/>
              <w:numPr>
                <w:ilvl w:val="0"/>
                <w:numId w:val="2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Vehicle segment preferences</w:t>
            </w:r>
          </w:p>
        </w:tc>
      </w:tr>
    </w:tbl>
    <w:p w14:paraId="6E51DFF6">
      <w:pPr>
        <w:pStyle w:val="6"/>
      </w:pPr>
      <w:bookmarkStart w:id="72" w:name="_Toc238753111"/>
      <w:r>
        <w:t>Table 4.1: Development of initial codes</w:t>
      </w:r>
      <w:bookmarkEnd w:id="72"/>
    </w:p>
    <w:p w14:paraId="5609E537">
      <w:pPr>
        <w:jc w:val="center"/>
        <w:rPr>
          <w:rFonts w:cs="Times New Roman"/>
        </w:rPr>
      </w:pPr>
      <w:r>
        <w:rPr>
          <w:rFonts w:cs="Times New Roman"/>
        </w:rPr>
        <w:t>(Source: Self-created)</w:t>
      </w:r>
    </w:p>
    <w:p w14:paraId="54AB4AC4">
      <w:pPr>
        <w:pStyle w:val="3"/>
        <w:rPr>
          <w:rFonts w:eastAsiaTheme="minorHAnsi"/>
          <w:color w:val="auto"/>
          <w:szCs w:val="22"/>
        </w:rPr>
      </w:pPr>
      <w:bookmarkStart w:id="73" w:name="_Toc241218793"/>
      <w:r>
        <w:t>4.4 Development of categories</w:t>
      </w:r>
      <w:bookmarkEnd w:id="73"/>
    </w:p>
    <w:tbl>
      <w:tblPr>
        <w:tblStyle w:val="27"/>
        <w:tblW w:w="0" w:type="auto"/>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495"/>
        <w:gridCol w:w="2372"/>
        <w:gridCol w:w="2149"/>
      </w:tblGrid>
      <w:tr w14:paraId="0A0D1FBE">
        <w:tblPrEx>
          <w:tblLayout w:type="fixed"/>
        </w:tblPrEx>
        <w:trPr>
          <w:jc w:val="center"/>
        </w:trPr>
        <w:tc>
          <w:tcPr>
            <w:tcW w:w="4495" w:type="dxa"/>
            <w:tcBorders>
              <w:top w:val="nil"/>
              <w:left w:val="nil"/>
              <w:right w:val="nil"/>
              <w:insideV w:val="nil"/>
            </w:tcBorders>
            <w:shd w:val="clear" w:color="auto" w:fill="FFC000" w:themeFill="accent4"/>
          </w:tcPr>
          <w:p w14:paraId="4A602E99">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Initial codes</w:t>
            </w:r>
          </w:p>
        </w:tc>
        <w:tc>
          <w:tcPr>
            <w:tcW w:w="2372" w:type="dxa"/>
            <w:tcBorders>
              <w:top w:val="nil"/>
              <w:right w:val="nil"/>
              <w:insideV w:val="nil"/>
            </w:tcBorders>
            <w:shd w:val="clear" w:color="auto" w:fill="FFC000" w:themeFill="accent4"/>
          </w:tcPr>
          <w:p w14:paraId="66E884E9">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Category</w:t>
            </w:r>
          </w:p>
        </w:tc>
        <w:tc>
          <w:tcPr>
            <w:tcW w:w="2149" w:type="dxa"/>
            <w:tcBorders>
              <w:top w:val="nil"/>
              <w:right w:val="nil"/>
              <w:insideV w:val="nil"/>
            </w:tcBorders>
            <w:shd w:val="clear" w:color="auto" w:fill="FFC000" w:themeFill="accent4"/>
          </w:tcPr>
          <w:p w14:paraId="013FDCFA">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Frequency of initial codes</w:t>
            </w:r>
          </w:p>
        </w:tc>
      </w:tr>
      <w:tr w14:paraId="14EE106A">
        <w:tblPrEx>
          <w:tblLayout w:type="fixed"/>
        </w:tblPrEx>
        <w:trPr>
          <w:jc w:val="center"/>
        </w:trPr>
        <w:tc>
          <w:tcPr>
            <w:tcW w:w="4495" w:type="dxa"/>
            <w:tcBorders>
              <w:left w:val="nil"/>
            </w:tcBorders>
            <w:shd w:val="clear" w:color="auto" w:fill="FFC000" w:themeFill="accent4"/>
          </w:tcPr>
          <w:p w14:paraId="348762FD">
            <w:pPr>
              <w:pStyle w:val="26"/>
              <w:numPr>
                <w:ilvl w:val="0"/>
                <w:numId w:val="21"/>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Extended TAM </w:t>
            </w:r>
          </w:p>
          <w:p w14:paraId="48ED5445">
            <w:pPr>
              <w:pStyle w:val="26"/>
              <w:numPr>
                <w:ilvl w:val="0"/>
                <w:numId w:val="21"/>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Perceived usefulness </w:t>
            </w:r>
          </w:p>
          <w:p w14:paraId="53C6C0C8">
            <w:pPr>
              <w:pStyle w:val="26"/>
              <w:numPr>
                <w:ilvl w:val="0"/>
                <w:numId w:val="21"/>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Extended TPB </w:t>
            </w:r>
          </w:p>
          <w:p w14:paraId="0ADE956C">
            <w:pPr>
              <w:pStyle w:val="26"/>
              <w:numPr>
                <w:ilvl w:val="0"/>
                <w:numId w:val="21"/>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Behavioural control </w:t>
            </w:r>
          </w:p>
          <w:p w14:paraId="1816FEC5">
            <w:pPr>
              <w:pStyle w:val="26"/>
              <w:numPr>
                <w:ilvl w:val="0"/>
                <w:numId w:val="21"/>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Subjective norms </w:t>
            </w:r>
          </w:p>
          <w:p w14:paraId="45387753">
            <w:pPr>
              <w:pStyle w:val="26"/>
              <w:numPr>
                <w:ilvl w:val="0"/>
                <w:numId w:val="21"/>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Innovation Resistance Theory </w:t>
            </w:r>
          </w:p>
          <w:p w14:paraId="224687FE">
            <w:pPr>
              <w:pStyle w:val="26"/>
              <w:numPr>
                <w:ilvl w:val="0"/>
                <w:numId w:val="21"/>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Consumer hesitancy </w:t>
            </w:r>
          </w:p>
          <w:p w14:paraId="06DBD0C7">
            <w:pPr>
              <w:pStyle w:val="26"/>
              <w:numPr>
                <w:ilvl w:val="0"/>
                <w:numId w:val="21"/>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Consumer attitudes </w:t>
            </w:r>
          </w:p>
          <w:p w14:paraId="39E509EE">
            <w:pPr>
              <w:pStyle w:val="26"/>
              <w:numPr>
                <w:ilvl w:val="0"/>
                <w:numId w:val="21"/>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Decision-making process </w:t>
            </w:r>
          </w:p>
        </w:tc>
        <w:tc>
          <w:tcPr>
            <w:tcW w:w="2372" w:type="dxa"/>
            <w:shd w:val="clear" w:color="auto" w:fill="FFE599" w:themeFill="accent4" w:themeFillTint="66"/>
          </w:tcPr>
          <w:p w14:paraId="22BACCAD">
            <w:pPr>
              <w:spacing w:after="0"/>
              <w:rPr>
                <w:rFonts w:eastAsia="Times New Roman" w:cs="Times New Roman"/>
                <w:color w:val="1F1F1F"/>
                <w:szCs w:val="24"/>
                <w:lang w:val="en-GB" w:eastAsia="en-GB"/>
              </w:rPr>
            </w:pPr>
            <w:r>
              <w:rPr>
                <w:rFonts w:eastAsia="Times New Roman" w:cs="Times New Roman"/>
                <w:bCs/>
                <w:color w:val="1F1F1F"/>
                <w:szCs w:val="24"/>
                <w:lang w:val="en-GB" w:eastAsia="en-GB"/>
              </w:rPr>
              <w:t>Psychological and Behavioural Frameworks</w:t>
            </w:r>
          </w:p>
        </w:tc>
        <w:tc>
          <w:tcPr>
            <w:tcW w:w="2149" w:type="dxa"/>
            <w:shd w:val="clear" w:color="auto" w:fill="FFE599" w:themeFill="accent4" w:themeFillTint="66"/>
          </w:tcPr>
          <w:p w14:paraId="734ABAD2">
            <w:pPr>
              <w:spacing w:after="0"/>
              <w:rPr>
                <w:rFonts w:eastAsia="Times New Roman" w:cs="Times New Roman"/>
                <w:color w:val="1F1F1F"/>
                <w:szCs w:val="24"/>
                <w:lang w:val="en-GB" w:eastAsia="en-GB"/>
              </w:rPr>
            </w:pPr>
            <w:r>
              <w:rPr>
                <w:rFonts w:eastAsia="Times New Roman" w:cs="Times New Roman"/>
                <w:color w:val="1F1F1F"/>
                <w:szCs w:val="24"/>
                <w:lang w:val="en-GB" w:eastAsia="en-GB"/>
              </w:rPr>
              <w:t>9</w:t>
            </w:r>
          </w:p>
        </w:tc>
      </w:tr>
      <w:tr w14:paraId="6158798E">
        <w:tblPrEx>
          <w:tblLayout w:type="fixed"/>
        </w:tblPrEx>
        <w:trPr>
          <w:jc w:val="center"/>
        </w:trPr>
        <w:tc>
          <w:tcPr>
            <w:tcW w:w="4495" w:type="dxa"/>
            <w:tcBorders>
              <w:left w:val="nil"/>
            </w:tcBorders>
            <w:shd w:val="clear" w:color="auto" w:fill="FFC000" w:themeFill="accent4"/>
          </w:tcPr>
          <w:p w14:paraId="0BF86B62">
            <w:pPr>
              <w:pStyle w:val="26"/>
              <w:numPr>
                <w:ilvl w:val="0"/>
                <w:numId w:val="22"/>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Infrastructure availability </w:t>
            </w:r>
          </w:p>
          <w:p w14:paraId="543C3CE8">
            <w:pPr>
              <w:pStyle w:val="26"/>
              <w:numPr>
                <w:ilvl w:val="0"/>
                <w:numId w:val="22"/>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Battery safety concerns </w:t>
            </w:r>
          </w:p>
          <w:p w14:paraId="25F973DD">
            <w:pPr>
              <w:pStyle w:val="26"/>
              <w:numPr>
                <w:ilvl w:val="0"/>
                <w:numId w:val="22"/>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Trade-off evaluation </w:t>
            </w:r>
          </w:p>
          <w:p w14:paraId="6DDEA81E">
            <w:pPr>
              <w:pStyle w:val="26"/>
              <w:numPr>
                <w:ilvl w:val="0"/>
                <w:numId w:val="22"/>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Adoption barriers </w:t>
            </w:r>
          </w:p>
          <w:p w14:paraId="11E48801">
            <w:pPr>
              <w:pStyle w:val="26"/>
              <w:numPr>
                <w:ilvl w:val="0"/>
                <w:numId w:val="22"/>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Hidden friction factors </w:t>
            </w:r>
          </w:p>
          <w:p w14:paraId="074240A5">
            <w:pPr>
              <w:pStyle w:val="26"/>
              <w:numPr>
                <w:ilvl w:val="0"/>
                <w:numId w:val="22"/>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Functional &amp; psychological barriers </w:t>
            </w:r>
          </w:p>
        </w:tc>
        <w:tc>
          <w:tcPr>
            <w:tcW w:w="2372" w:type="dxa"/>
            <w:shd w:val="clear" w:color="auto" w:fill="FEF2CC" w:themeFill="accent4" w:themeFillTint="33"/>
          </w:tcPr>
          <w:p w14:paraId="13B6A8D9">
            <w:pPr>
              <w:spacing w:after="0"/>
              <w:rPr>
                <w:rFonts w:eastAsia="Times New Roman" w:cs="Times New Roman"/>
                <w:color w:val="1F1F1F"/>
                <w:szCs w:val="24"/>
                <w:lang w:val="en-GB" w:eastAsia="en-GB"/>
              </w:rPr>
            </w:pPr>
            <w:r>
              <w:rPr>
                <w:rFonts w:eastAsia="Times New Roman" w:cs="Times New Roman"/>
                <w:bCs/>
                <w:color w:val="1F1F1F"/>
                <w:szCs w:val="24"/>
                <w:lang w:val="en-GB" w:eastAsia="en-GB"/>
              </w:rPr>
              <w:t>Infrastructural and Operational Constraints</w:t>
            </w:r>
          </w:p>
        </w:tc>
        <w:tc>
          <w:tcPr>
            <w:tcW w:w="2149" w:type="dxa"/>
            <w:shd w:val="clear" w:color="auto" w:fill="FEF2CC" w:themeFill="accent4" w:themeFillTint="33"/>
          </w:tcPr>
          <w:p w14:paraId="61785B6E">
            <w:pPr>
              <w:spacing w:after="0"/>
              <w:rPr>
                <w:rFonts w:eastAsia="Times New Roman" w:cs="Times New Roman"/>
                <w:color w:val="1F1F1F"/>
                <w:szCs w:val="24"/>
                <w:lang w:val="en-GB" w:eastAsia="en-GB"/>
              </w:rPr>
            </w:pPr>
            <w:r>
              <w:rPr>
                <w:rFonts w:eastAsia="Times New Roman" w:cs="Times New Roman"/>
                <w:color w:val="1F1F1F"/>
                <w:szCs w:val="24"/>
                <w:lang w:val="en-GB" w:eastAsia="en-GB"/>
              </w:rPr>
              <w:t>6</w:t>
            </w:r>
          </w:p>
        </w:tc>
      </w:tr>
      <w:tr w14:paraId="00DA88B3">
        <w:tblPrEx>
          <w:tblLayout w:type="fixed"/>
        </w:tblPrEx>
        <w:trPr>
          <w:jc w:val="center"/>
        </w:trPr>
        <w:tc>
          <w:tcPr>
            <w:tcW w:w="4495" w:type="dxa"/>
            <w:tcBorders>
              <w:left w:val="nil"/>
            </w:tcBorders>
            <w:shd w:val="clear" w:color="auto" w:fill="FFC000" w:themeFill="accent4"/>
          </w:tcPr>
          <w:p w14:paraId="1A3C1A53">
            <w:pPr>
              <w:pStyle w:val="26"/>
              <w:numPr>
                <w:ilvl w:val="0"/>
                <w:numId w:val="23"/>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Information mediation</w:t>
            </w:r>
          </w:p>
          <w:p w14:paraId="0ECA9E8C">
            <w:pPr>
              <w:pStyle w:val="26"/>
              <w:numPr>
                <w:ilvl w:val="0"/>
                <w:numId w:val="23"/>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Consumer awareness </w:t>
            </w:r>
          </w:p>
          <w:p w14:paraId="0E3123C6">
            <w:pPr>
              <w:pStyle w:val="26"/>
              <w:numPr>
                <w:ilvl w:val="0"/>
                <w:numId w:val="23"/>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Domain knowledge </w:t>
            </w:r>
          </w:p>
          <w:p w14:paraId="0E361E47">
            <w:pPr>
              <w:pStyle w:val="26"/>
              <w:numPr>
                <w:ilvl w:val="0"/>
                <w:numId w:val="23"/>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Marketing communications </w:t>
            </w:r>
          </w:p>
          <w:p w14:paraId="4D3437E0">
            <w:pPr>
              <w:pStyle w:val="26"/>
              <w:numPr>
                <w:ilvl w:val="0"/>
                <w:numId w:val="23"/>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Perceived value </w:t>
            </w:r>
          </w:p>
          <w:p w14:paraId="67505B0C">
            <w:pPr>
              <w:pStyle w:val="26"/>
              <w:numPr>
                <w:ilvl w:val="0"/>
                <w:numId w:val="23"/>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European consumer perception </w:t>
            </w:r>
          </w:p>
          <w:p w14:paraId="10C1D0ED">
            <w:pPr>
              <w:pStyle w:val="26"/>
              <w:numPr>
                <w:ilvl w:val="0"/>
                <w:numId w:val="23"/>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Changing consumer needs </w:t>
            </w:r>
          </w:p>
        </w:tc>
        <w:tc>
          <w:tcPr>
            <w:tcW w:w="2372" w:type="dxa"/>
            <w:shd w:val="clear" w:color="auto" w:fill="FFE599" w:themeFill="accent4" w:themeFillTint="66"/>
          </w:tcPr>
          <w:p w14:paraId="7678C758">
            <w:pPr>
              <w:spacing w:after="0"/>
              <w:rPr>
                <w:rFonts w:eastAsia="Times New Roman" w:cs="Times New Roman"/>
                <w:color w:val="1F1F1F"/>
                <w:szCs w:val="24"/>
                <w:lang w:val="en-GB" w:eastAsia="en-GB"/>
              </w:rPr>
            </w:pPr>
            <w:r>
              <w:rPr>
                <w:rFonts w:eastAsia="Times New Roman" w:cs="Times New Roman"/>
                <w:bCs/>
                <w:color w:val="1F1F1F"/>
                <w:szCs w:val="24"/>
                <w:lang w:val="en-GB" w:eastAsia="en-GB"/>
              </w:rPr>
              <w:t>Informational and Perceptual Drivers</w:t>
            </w:r>
          </w:p>
        </w:tc>
        <w:tc>
          <w:tcPr>
            <w:tcW w:w="2149" w:type="dxa"/>
            <w:shd w:val="clear" w:color="auto" w:fill="FFE599" w:themeFill="accent4" w:themeFillTint="66"/>
          </w:tcPr>
          <w:p w14:paraId="12848477">
            <w:pPr>
              <w:spacing w:after="0"/>
              <w:rPr>
                <w:rFonts w:eastAsia="Times New Roman" w:cs="Times New Roman"/>
                <w:color w:val="1F1F1F"/>
                <w:szCs w:val="24"/>
                <w:lang w:val="en-GB" w:eastAsia="en-GB"/>
              </w:rPr>
            </w:pPr>
            <w:r>
              <w:rPr>
                <w:rFonts w:eastAsia="Times New Roman" w:cs="Times New Roman"/>
                <w:color w:val="1F1F1F"/>
                <w:szCs w:val="24"/>
                <w:lang w:val="en-GB" w:eastAsia="en-GB"/>
              </w:rPr>
              <w:t>7</w:t>
            </w:r>
          </w:p>
        </w:tc>
      </w:tr>
      <w:tr w14:paraId="2A3C2408">
        <w:tblPrEx>
          <w:tblLayout w:type="fixed"/>
        </w:tblPrEx>
        <w:trPr>
          <w:jc w:val="center"/>
        </w:trPr>
        <w:tc>
          <w:tcPr>
            <w:tcW w:w="4495" w:type="dxa"/>
            <w:tcBorders>
              <w:left w:val="nil"/>
            </w:tcBorders>
            <w:shd w:val="clear" w:color="auto" w:fill="FFC000" w:themeFill="accent4"/>
          </w:tcPr>
          <w:p w14:paraId="5ABAE8BB">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Green mobility transition </w:t>
            </w:r>
          </w:p>
          <w:p w14:paraId="4F7F467E">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Purchase motivators </w:t>
            </w:r>
          </w:p>
          <w:p w14:paraId="60C03F0A">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Emerging market dynamics </w:t>
            </w:r>
          </w:p>
          <w:p w14:paraId="4A3F58B8">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Economic influences </w:t>
            </w:r>
          </w:p>
          <w:p w14:paraId="7B3B6EDF">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Attitude mediation </w:t>
            </w:r>
          </w:p>
          <w:p w14:paraId="32194DA9">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Demographic moderation </w:t>
            </w:r>
          </w:p>
          <w:p w14:paraId="0FC50E8F">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Regional market drivers </w:t>
            </w:r>
          </w:p>
          <w:p w14:paraId="15CC4657">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Systematic literature review </w:t>
            </w:r>
          </w:p>
          <w:p w14:paraId="58B32888">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Consumer-driven demand </w:t>
            </w:r>
          </w:p>
          <w:p w14:paraId="6C26DAB2">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Transition drivers </w:t>
            </w:r>
          </w:p>
          <w:p w14:paraId="29A0D115">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Indian automotive shift </w:t>
            </w:r>
          </w:p>
          <w:p w14:paraId="1981D432">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Emerging economy obstacles</w:t>
            </w:r>
          </w:p>
          <w:p w14:paraId="24B6332B">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SUV market dynamics</w:t>
            </w:r>
          </w:p>
          <w:p w14:paraId="7CD5CA84">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Vehicle segment preferences</w:t>
            </w:r>
          </w:p>
          <w:p w14:paraId="30C71840">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Luxury EV segment </w:t>
            </w:r>
          </w:p>
          <w:p w14:paraId="60FA111C">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Non-user perspectives</w:t>
            </w:r>
          </w:p>
          <w:p w14:paraId="746F5269">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Purchase intention </w:t>
            </w:r>
          </w:p>
          <w:p w14:paraId="6DB96DEB">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Cross-cultural adoption </w:t>
            </w:r>
          </w:p>
          <w:p w14:paraId="7DBAC03C">
            <w:pPr>
              <w:pStyle w:val="26"/>
              <w:numPr>
                <w:ilvl w:val="0"/>
                <w:numId w:val="24"/>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Adoption intentions </w:t>
            </w:r>
          </w:p>
        </w:tc>
        <w:tc>
          <w:tcPr>
            <w:tcW w:w="2372" w:type="dxa"/>
            <w:shd w:val="clear" w:color="auto" w:fill="FEF2CC" w:themeFill="accent4" w:themeFillTint="33"/>
          </w:tcPr>
          <w:p w14:paraId="006DC559">
            <w:pPr>
              <w:spacing w:after="0"/>
              <w:rPr>
                <w:rFonts w:eastAsia="Times New Roman" w:cs="Times New Roman"/>
                <w:color w:val="1F1F1F"/>
                <w:szCs w:val="24"/>
                <w:lang w:val="en-GB" w:eastAsia="en-GB"/>
              </w:rPr>
            </w:pPr>
            <w:r>
              <w:rPr>
                <w:rFonts w:eastAsia="Times New Roman" w:cs="Times New Roman"/>
                <w:bCs/>
                <w:color w:val="1F1F1F"/>
                <w:szCs w:val="24"/>
                <w:lang w:val="en-GB" w:eastAsia="en-GB"/>
              </w:rPr>
              <w:t>Market Dynamics and Socio-Demographic Drivers</w:t>
            </w:r>
          </w:p>
        </w:tc>
        <w:tc>
          <w:tcPr>
            <w:tcW w:w="2149" w:type="dxa"/>
            <w:shd w:val="clear" w:color="auto" w:fill="FEF2CC" w:themeFill="accent4" w:themeFillTint="33"/>
          </w:tcPr>
          <w:p w14:paraId="0E388B14">
            <w:pPr>
              <w:spacing w:after="0"/>
              <w:rPr>
                <w:rFonts w:eastAsia="Times New Roman" w:cs="Times New Roman"/>
                <w:color w:val="1F1F1F"/>
                <w:szCs w:val="24"/>
                <w:lang w:val="en-GB" w:eastAsia="en-GB"/>
              </w:rPr>
            </w:pPr>
            <w:r>
              <w:rPr>
                <w:rFonts w:eastAsia="Times New Roman" w:cs="Times New Roman"/>
                <w:color w:val="1F1F1F"/>
                <w:szCs w:val="24"/>
                <w:lang w:val="en-GB" w:eastAsia="en-GB"/>
              </w:rPr>
              <w:t>19</w:t>
            </w:r>
          </w:p>
        </w:tc>
      </w:tr>
      <w:tr w14:paraId="2A15BF44">
        <w:tblPrEx>
          <w:tblLayout w:type="fixed"/>
        </w:tblPrEx>
        <w:trPr>
          <w:jc w:val="center"/>
        </w:trPr>
        <w:tc>
          <w:tcPr>
            <w:tcW w:w="4495" w:type="dxa"/>
            <w:tcBorders>
              <w:left w:val="nil"/>
              <w:bottom w:val="nil"/>
            </w:tcBorders>
            <w:shd w:val="clear" w:color="auto" w:fill="FFC000" w:themeFill="accent4"/>
          </w:tcPr>
          <w:p w14:paraId="603F1ADD">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Electrification impact </w:t>
            </w:r>
          </w:p>
          <w:p w14:paraId="6FF66B35">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Industry adaptation </w:t>
            </w:r>
          </w:p>
          <w:p w14:paraId="5B7BCD62">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Market growth projections </w:t>
            </w:r>
          </w:p>
          <w:p w14:paraId="37830FA1">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Technological innovations </w:t>
            </w:r>
          </w:p>
          <w:p w14:paraId="39FB63F6">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Industry trends </w:t>
            </w:r>
          </w:p>
          <w:p w14:paraId="7C36B15A">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Global market trends </w:t>
            </w:r>
          </w:p>
          <w:p w14:paraId="593EB37E">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EV outlook </w:t>
            </w:r>
          </w:p>
          <w:p w14:paraId="5578D4E5">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Adoption trajectories </w:t>
            </w:r>
          </w:p>
          <w:p w14:paraId="178C3327">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Market size forecast </w:t>
            </w:r>
          </w:p>
          <w:p w14:paraId="78933076">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 xml:space="preserve">Financial growth trends </w:t>
            </w:r>
          </w:p>
          <w:p w14:paraId="41B72224">
            <w:pPr>
              <w:pStyle w:val="26"/>
              <w:numPr>
                <w:ilvl w:val="0"/>
                <w:numId w:val="25"/>
              </w:numPr>
              <w:spacing w:after="0" w:line="360" w:lineRule="auto"/>
              <w:rPr>
                <w:rFonts w:ascii="Times New Roman" w:hAnsi="Times New Roman" w:eastAsia="Times New Roman" w:cs="Times New Roman"/>
                <w:b/>
                <w:bCs w:val="0"/>
                <w:color w:val="1F1F1F"/>
                <w:sz w:val="24"/>
                <w:szCs w:val="24"/>
                <w:lang w:eastAsia="en-GB"/>
              </w:rPr>
            </w:pPr>
            <w:r>
              <w:rPr>
                <w:rFonts w:ascii="Times New Roman" w:hAnsi="Times New Roman" w:eastAsia="Times New Roman" w:cs="Times New Roman"/>
                <w:b w:val="0"/>
                <w:bCs/>
                <w:color w:val="1F1F1F"/>
                <w:sz w:val="24"/>
                <w:szCs w:val="24"/>
                <w:lang w:eastAsia="en-GB"/>
              </w:rPr>
              <w:t>Commercial projections</w:t>
            </w:r>
            <w:r>
              <w:rPr>
                <w:rFonts w:ascii="Times New Roman" w:hAnsi="Times New Roman" w:eastAsia="Times New Roman" w:cs="Times New Roman"/>
                <w:b/>
                <w:bCs/>
                <w:color w:val="1F1F1F"/>
                <w:sz w:val="24"/>
                <w:szCs w:val="24"/>
                <w:lang w:eastAsia="en-GB"/>
              </w:rPr>
              <w:t xml:space="preserve"> </w:t>
            </w:r>
          </w:p>
        </w:tc>
        <w:tc>
          <w:tcPr>
            <w:tcW w:w="2372" w:type="dxa"/>
            <w:shd w:val="clear" w:color="auto" w:fill="FFE599" w:themeFill="accent4" w:themeFillTint="66"/>
          </w:tcPr>
          <w:p w14:paraId="29A5A1E9">
            <w:pPr>
              <w:spacing w:after="0"/>
              <w:rPr>
                <w:rFonts w:eastAsia="Times New Roman" w:cs="Times New Roman"/>
                <w:color w:val="1F1F1F"/>
                <w:szCs w:val="24"/>
                <w:lang w:val="en-GB" w:eastAsia="en-GB"/>
              </w:rPr>
            </w:pPr>
            <w:r>
              <w:rPr>
                <w:rFonts w:eastAsia="Times New Roman" w:cs="Times New Roman"/>
                <w:bCs/>
                <w:color w:val="1F1F1F"/>
                <w:szCs w:val="24"/>
                <w:lang w:val="en-GB" w:eastAsia="en-GB"/>
              </w:rPr>
              <w:t>Industry Macro-Trends and Projections</w:t>
            </w:r>
          </w:p>
        </w:tc>
        <w:tc>
          <w:tcPr>
            <w:tcW w:w="2149" w:type="dxa"/>
            <w:shd w:val="clear" w:color="auto" w:fill="FFE599" w:themeFill="accent4" w:themeFillTint="66"/>
          </w:tcPr>
          <w:p w14:paraId="52413186">
            <w:pPr>
              <w:spacing w:after="0"/>
              <w:rPr>
                <w:rFonts w:eastAsia="Times New Roman" w:cs="Times New Roman"/>
                <w:color w:val="1F1F1F"/>
                <w:szCs w:val="24"/>
                <w:lang w:val="en-GB" w:eastAsia="en-GB"/>
              </w:rPr>
            </w:pPr>
            <w:r>
              <w:rPr>
                <w:rFonts w:eastAsia="Times New Roman" w:cs="Times New Roman"/>
                <w:color w:val="1F1F1F"/>
                <w:szCs w:val="24"/>
                <w:lang w:val="en-GB" w:eastAsia="en-GB"/>
              </w:rPr>
              <w:t>11</w:t>
            </w:r>
          </w:p>
        </w:tc>
      </w:tr>
    </w:tbl>
    <w:p w14:paraId="1F576886">
      <w:pPr>
        <w:pStyle w:val="6"/>
      </w:pPr>
      <w:bookmarkStart w:id="74" w:name="_Toc238753112"/>
      <w:r>
        <w:t>Table 4.2: Development of categories</w:t>
      </w:r>
      <w:bookmarkEnd w:id="74"/>
      <w:r>
        <w:t xml:space="preserve"> </w:t>
      </w:r>
    </w:p>
    <w:p w14:paraId="7751A7D4">
      <w:pPr>
        <w:jc w:val="center"/>
        <w:rPr>
          <w:rFonts w:cs="Times New Roman"/>
        </w:rPr>
      </w:pPr>
      <w:r>
        <w:rPr>
          <w:rFonts w:cs="Times New Roman"/>
        </w:rPr>
        <w:t>(Source: Self-created)</w:t>
      </w:r>
    </w:p>
    <w:p w14:paraId="12A07757">
      <w:pPr>
        <w:jc w:val="center"/>
        <w:rPr>
          <w:rFonts w:cs="Times New Roman"/>
        </w:rPr>
      </w:pPr>
      <w:r>
        <w:rPr>
          <w:lang w:val="en-GB" w:eastAsia="en-GB"/>
        </w:rPr>
        <w:drawing>
          <wp:inline distT="0" distB="0" distL="0" distR="0">
            <wp:extent cx="5731510" cy="2593340"/>
            <wp:effectExtent l="0" t="0" r="2540" b="1651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10EF9E1">
      <w:pPr>
        <w:pStyle w:val="5"/>
      </w:pPr>
      <w:bookmarkStart w:id="75" w:name="_Toc238759268"/>
      <w:r>
        <w:t>Figure 4.1</w:t>
      </w:r>
      <w:r>
        <w:rPr>
          <w:rStyle w:val="31"/>
          <w:b w:val="0"/>
          <w:iCs w:val="0"/>
        </w:rPr>
        <w:t>:</w:t>
      </w:r>
      <w:r>
        <w:t xml:space="preserve"> Frequency of initial codes</w:t>
      </w:r>
      <w:bookmarkEnd w:id="75"/>
    </w:p>
    <w:p w14:paraId="26950C33">
      <w:pPr>
        <w:jc w:val="center"/>
        <w:rPr>
          <w:rFonts w:cs="Times New Roman"/>
        </w:rPr>
      </w:pPr>
      <w:r>
        <w:rPr>
          <w:rFonts w:cs="Times New Roman"/>
        </w:rPr>
        <w:t>(Source: Self-created)</w:t>
      </w:r>
    </w:p>
    <w:p w14:paraId="3F01C3BD">
      <w:pPr>
        <w:pStyle w:val="3"/>
        <w:rPr>
          <w:rFonts w:eastAsiaTheme="minorHAnsi"/>
          <w:color w:val="auto"/>
          <w:szCs w:val="22"/>
        </w:rPr>
      </w:pPr>
      <w:bookmarkStart w:id="76" w:name="_Toc241218794"/>
      <w:r>
        <w:t>4.5 Development of subthemes and themes</w:t>
      </w:r>
      <w:bookmarkEnd w:id="76"/>
    </w:p>
    <w:tbl>
      <w:tblPr>
        <w:tblStyle w:val="28"/>
        <w:tblW w:w="0" w:type="auto"/>
        <w:tblInd w:w="0" w:type="dxa"/>
        <w:tblBorders>
          <w:top w:val="single" w:color="C8C8C8" w:themeColor="accent3" w:themeTint="99" w:sz="4" w:space="0"/>
          <w:left w:val="single" w:color="C8C8C8" w:themeColor="accent3" w:themeTint="99" w:sz="4" w:space="0"/>
          <w:bottom w:val="single" w:color="C8C8C8" w:themeColor="accent3" w:themeTint="99" w:sz="4" w:space="0"/>
          <w:right w:val="single" w:color="C8C8C8" w:themeColor="accent3" w:themeTint="99" w:sz="4" w:space="0"/>
          <w:insideH w:val="single" w:color="C8C8C8" w:themeColor="accent3" w:themeTint="99" w:sz="4" w:space="0"/>
          <w:insideV w:val="single" w:color="C8C8C8" w:themeColor="accent3" w:themeTint="99" w:sz="4" w:space="0"/>
        </w:tblBorders>
        <w:tblLayout w:type="fixed"/>
        <w:tblCellMar>
          <w:top w:w="0" w:type="dxa"/>
          <w:left w:w="108" w:type="dxa"/>
          <w:bottom w:w="0" w:type="dxa"/>
          <w:right w:w="108" w:type="dxa"/>
        </w:tblCellMar>
      </w:tblPr>
      <w:tblGrid>
        <w:gridCol w:w="6475"/>
        <w:gridCol w:w="2541"/>
      </w:tblGrid>
      <w:tr w14:paraId="03435234">
        <w:tblPrEx>
          <w:tblLayout w:type="fixed"/>
        </w:tblPrEx>
        <w:tc>
          <w:tcPr>
            <w:tcW w:w="6475" w:type="dxa"/>
            <w:tcBorders>
              <w:top w:val="single" w:color="A5A5A5" w:themeColor="accent3" w:sz="4" w:space="0"/>
              <w:left w:val="single" w:color="A5A5A5" w:themeColor="accent3" w:sz="4" w:space="0"/>
              <w:bottom w:val="single" w:color="A5A5A5" w:themeColor="accent3" w:sz="4" w:space="0"/>
              <w:right w:val="nil"/>
              <w:insideH w:val="single" w:sz="4" w:space="0"/>
              <w:insideV w:val="nil"/>
            </w:tcBorders>
            <w:shd w:val="clear" w:color="auto" w:fill="A5A5A5" w:themeFill="accent3"/>
          </w:tcPr>
          <w:p w14:paraId="41BF00E0">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Sub-themes</w:t>
            </w:r>
          </w:p>
        </w:tc>
        <w:tc>
          <w:tcPr>
            <w:tcW w:w="2541" w:type="dxa"/>
            <w:tcBorders>
              <w:top w:val="single" w:color="A5A5A5" w:themeColor="accent3" w:sz="4" w:space="0"/>
              <w:bottom w:val="single" w:color="A5A5A5" w:themeColor="accent3" w:sz="4" w:space="0"/>
              <w:right w:val="single" w:color="A5A5A5" w:themeColor="accent3" w:sz="4" w:space="0"/>
              <w:insideH w:val="single" w:sz="4" w:space="0"/>
              <w:insideV w:val="nil"/>
            </w:tcBorders>
            <w:shd w:val="clear" w:color="auto" w:fill="A5A5A5" w:themeFill="accent3"/>
          </w:tcPr>
          <w:p w14:paraId="57917BB2">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Main Themes</w:t>
            </w:r>
          </w:p>
        </w:tc>
      </w:tr>
      <w:tr w14:paraId="6C020ED8">
        <w:tblPrEx>
          <w:tblLayout w:type="fixed"/>
        </w:tblPrEx>
        <w:tc>
          <w:tcPr>
            <w:tcW w:w="6475" w:type="dxa"/>
            <w:shd w:val="clear" w:color="auto" w:fill="ECECEC" w:themeFill="accent3" w:themeFillTint="33"/>
          </w:tcPr>
          <w:p w14:paraId="48B55601">
            <w:pPr>
              <w:pStyle w:val="26"/>
              <w:numPr>
                <w:ilvl w:val="0"/>
                <w:numId w:val="26"/>
              </w:numPr>
              <w:spacing w:after="0" w:line="360" w:lineRule="auto"/>
              <w:jc w:val="both"/>
              <w:rPr>
                <w:rFonts w:ascii="Times New Roman" w:hAnsi="Times New Roman" w:eastAsia="Times New Roman" w:cs="Times New Roman"/>
                <w:b/>
                <w:bCs w:val="0"/>
                <w:i/>
                <w:color w:val="1F1F1F"/>
                <w:sz w:val="24"/>
                <w:szCs w:val="24"/>
                <w:lang w:eastAsia="en-GB"/>
              </w:rPr>
            </w:pPr>
            <w:r>
              <w:rPr>
                <w:rFonts w:ascii="Times New Roman" w:hAnsi="Times New Roman" w:eastAsia="Times New Roman" w:cs="Times New Roman"/>
                <w:b w:val="0"/>
                <w:bCs/>
                <w:i/>
                <w:color w:val="1F1F1F"/>
                <w:sz w:val="24"/>
                <w:szCs w:val="24"/>
                <w:lang w:eastAsia="en-GB"/>
              </w:rPr>
              <w:t xml:space="preserve">Behavioural decision-making models (TAM, TPB) </w:t>
            </w:r>
          </w:p>
          <w:p w14:paraId="6FB13848">
            <w:pPr>
              <w:pStyle w:val="26"/>
              <w:numPr>
                <w:ilvl w:val="0"/>
                <w:numId w:val="26"/>
              </w:numPr>
              <w:spacing w:after="0" w:line="360" w:lineRule="auto"/>
              <w:jc w:val="both"/>
              <w:rPr>
                <w:rFonts w:ascii="Times New Roman" w:hAnsi="Times New Roman" w:eastAsia="Times New Roman" w:cs="Times New Roman"/>
                <w:b/>
                <w:bCs w:val="0"/>
                <w:i/>
                <w:color w:val="1F1F1F"/>
                <w:sz w:val="24"/>
                <w:szCs w:val="24"/>
                <w:lang w:eastAsia="en-GB"/>
              </w:rPr>
            </w:pPr>
            <w:r>
              <w:rPr>
                <w:rFonts w:ascii="Times New Roman" w:hAnsi="Times New Roman" w:eastAsia="Times New Roman" w:cs="Times New Roman"/>
                <w:b w:val="0"/>
                <w:bCs/>
                <w:i/>
                <w:color w:val="1F1F1F"/>
                <w:sz w:val="24"/>
                <w:szCs w:val="24"/>
                <w:lang w:eastAsia="en-GB"/>
              </w:rPr>
              <w:t xml:space="preserve">Innovation resistance, non-user barriers, and consumer hesitation </w:t>
            </w:r>
          </w:p>
          <w:p w14:paraId="7CC923C7">
            <w:pPr>
              <w:pStyle w:val="26"/>
              <w:numPr>
                <w:ilvl w:val="0"/>
                <w:numId w:val="26"/>
              </w:numPr>
              <w:spacing w:after="0" w:line="360" w:lineRule="auto"/>
              <w:jc w:val="both"/>
              <w:rPr>
                <w:rFonts w:ascii="Times New Roman" w:hAnsi="Times New Roman" w:eastAsia="Times New Roman" w:cs="Times New Roman"/>
                <w:b/>
                <w:bCs w:val="0"/>
                <w:i/>
                <w:color w:val="1F1F1F"/>
                <w:sz w:val="24"/>
                <w:szCs w:val="24"/>
                <w:lang w:eastAsia="en-GB"/>
              </w:rPr>
            </w:pPr>
            <w:r>
              <w:rPr>
                <w:rFonts w:ascii="Times New Roman" w:hAnsi="Times New Roman" w:eastAsia="Times New Roman" w:cs="Times New Roman"/>
                <w:b w:val="0"/>
                <w:bCs/>
                <w:i/>
                <w:color w:val="1F1F1F"/>
                <w:sz w:val="24"/>
                <w:szCs w:val="24"/>
                <w:lang w:eastAsia="en-GB"/>
              </w:rPr>
              <w:t xml:space="preserve">Socio-demographics and cross-cultural adoption intentions </w:t>
            </w:r>
          </w:p>
        </w:tc>
        <w:tc>
          <w:tcPr>
            <w:tcW w:w="2541" w:type="dxa"/>
            <w:shd w:val="clear" w:color="auto" w:fill="ECECEC" w:themeFill="accent3" w:themeFillTint="33"/>
          </w:tcPr>
          <w:p w14:paraId="4B6E92C9">
            <w:pPr>
              <w:spacing w:after="0"/>
              <w:rPr>
                <w:rFonts w:eastAsia="Times New Roman" w:cs="Times New Roman"/>
                <w:color w:val="1F1F1F"/>
                <w:szCs w:val="24"/>
                <w:lang w:val="en-GB" w:eastAsia="en-GB"/>
              </w:rPr>
            </w:pPr>
            <w:r>
              <w:rPr>
                <w:rFonts w:eastAsia="Times New Roman" w:cs="Times New Roman"/>
                <w:i/>
                <w:iCs/>
                <w:color w:val="1F1F1F"/>
                <w:szCs w:val="24"/>
                <w:lang w:val="en-GB" w:eastAsia="en-GB"/>
              </w:rPr>
              <w:t>Theme 1: Behavioural Decision-Making and Consumer Psychology</w:t>
            </w:r>
          </w:p>
        </w:tc>
      </w:tr>
      <w:tr w14:paraId="69625BDA">
        <w:tblPrEx>
          <w:tblLayout w:type="fixed"/>
        </w:tblPrEx>
        <w:tc>
          <w:tcPr>
            <w:tcW w:w="6475" w:type="dxa"/>
          </w:tcPr>
          <w:p w14:paraId="26006EE7">
            <w:pPr>
              <w:pStyle w:val="26"/>
              <w:numPr>
                <w:ilvl w:val="0"/>
                <w:numId w:val="27"/>
              </w:numPr>
              <w:spacing w:after="0" w:line="360" w:lineRule="auto"/>
              <w:jc w:val="both"/>
              <w:rPr>
                <w:rFonts w:ascii="Times New Roman" w:hAnsi="Times New Roman" w:eastAsia="Times New Roman" w:cs="Times New Roman"/>
                <w:b/>
                <w:bCs w:val="0"/>
                <w:i/>
                <w:color w:val="1F1F1F"/>
                <w:sz w:val="24"/>
                <w:szCs w:val="24"/>
                <w:lang w:eastAsia="en-GB"/>
              </w:rPr>
            </w:pPr>
            <w:r>
              <w:rPr>
                <w:rFonts w:ascii="Times New Roman" w:hAnsi="Times New Roman" w:eastAsia="Times New Roman" w:cs="Times New Roman"/>
                <w:b w:val="0"/>
                <w:bCs/>
                <w:i/>
                <w:color w:val="1F1F1F"/>
                <w:sz w:val="24"/>
                <w:szCs w:val="24"/>
                <w:lang w:eastAsia="en-GB"/>
              </w:rPr>
              <w:t xml:space="preserve">Infrastructure availability and charging network limitations </w:t>
            </w:r>
          </w:p>
          <w:p w14:paraId="79AB6643">
            <w:pPr>
              <w:pStyle w:val="26"/>
              <w:numPr>
                <w:ilvl w:val="0"/>
                <w:numId w:val="27"/>
              </w:numPr>
              <w:spacing w:after="0" w:line="360" w:lineRule="auto"/>
              <w:jc w:val="both"/>
              <w:rPr>
                <w:rFonts w:ascii="Times New Roman" w:hAnsi="Times New Roman" w:eastAsia="Times New Roman" w:cs="Times New Roman"/>
                <w:b/>
                <w:bCs w:val="0"/>
                <w:i/>
                <w:color w:val="1F1F1F"/>
                <w:sz w:val="24"/>
                <w:szCs w:val="24"/>
                <w:lang w:eastAsia="en-GB"/>
              </w:rPr>
            </w:pPr>
            <w:r>
              <w:rPr>
                <w:rFonts w:ascii="Times New Roman" w:hAnsi="Times New Roman" w:eastAsia="Times New Roman" w:cs="Times New Roman"/>
                <w:b w:val="0"/>
                <w:bCs/>
                <w:i/>
                <w:color w:val="1F1F1F"/>
                <w:sz w:val="24"/>
                <w:szCs w:val="24"/>
                <w:lang w:eastAsia="en-GB"/>
              </w:rPr>
              <w:t xml:space="preserve">Range anxiety, battery performance and safety concerns </w:t>
            </w:r>
          </w:p>
          <w:p w14:paraId="3F7F0A15">
            <w:pPr>
              <w:pStyle w:val="26"/>
              <w:numPr>
                <w:ilvl w:val="0"/>
                <w:numId w:val="27"/>
              </w:numPr>
              <w:spacing w:after="0" w:line="360" w:lineRule="auto"/>
              <w:jc w:val="both"/>
              <w:rPr>
                <w:rFonts w:ascii="Times New Roman" w:hAnsi="Times New Roman" w:eastAsia="Times New Roman" w:cs="Times New Roman"/>
                <w:b/>
                <w:bCs w:val="0"/>
                <w:i/>
                <w:color w:val="1F1F1F"/>
                <w:sz w:val="24"/>
                <w:szCs w:val="24"/>
                <w:lang w:eastAsia="en-GB"/>
              </w:rPr>
            </w:pPr>
            <w:r>
              <w:rPr>
                <w:rFonts w:ascii="Times New Roman" w:hAnsi="Times New Roman" w:eastAsia="Times New Roman" w:cs="Times New Roman"/>
                <w:b w:val="0"/>
                <w:bCs/>
                <w:i/>
                <w:color w:val="1F1F1F"/>
                <w:sz w:val="24"/>
                <w:szCs w:val="24"/>
                <w:lang w:eastAsia="en-GB"/>
              </w:rPr>
              <w:t xml:space="preserve">Trade-off evaluations between practical obstacles and EV benefits </w:t>
            </w:r>
          </w:p>
        </w:tc>
        <w:tc>
          <w:tcPr>
            <w:tcW w:w="2541" w:type="dxa"/>
          </w:tcPr>
          <w:p w14:paraId="07B29748">
            <w:pPr>
              <w:spacing w:after="0"/>
              <w:rPr>
                <w:rFonts w:eastAsia="Times New Roman" w:cs="Times New Roman"/>
                <w:color w:val="1F1F1F"/>
                <w:szCs w:val="24"/>
                <w:lang w:val="en-GB" w:eastAsia="en-GB"/>
              </w:rPr>
            </w:pPr>
            <w:r>
              <w:rPr>
                <w:rFonts w:eastAsia="Times New Roman" w:cs="Times New Roman"/>
                <w:i/>
                <w:iCs/>
                <w:color w:val="1F1F1F"/>
                <w:szCs w:val="24"/>
                <w:lang w:val="en-GB" w:eastAsia="en-GB"/>
              </w:rPr>
              <w:t>Theme 2: Operational Friction and Infrastructural Bottlenecks</w:t>
            </w:r>
          </w:p>
        </w:tc>
      </w:tr>
      <w:tr w14:paraId="2FC84658">
        <w:tblPrEx>
          <w:tblLayout w:type="fixed"/>
        </w:tblPrEx>
        <w:tc>
          <w:tcPr>
            <w:tcW w:w="6475" w:type="dxa"/>
            <w:shd w:val="clear" w:color="auto" w:fill="ECECEC" w:themeFill="accent3" w:themeFillTint="33"/>
          </w:tcPr>
          <w:p w14:paraId="7D6AAAF5">
            <w:pPr>
              <w:pStyle w:val="26"/>
              <w:numPr>
                <w:ilvl w:val="0"/>
                <w:numId w:val="28"/>
              </w:numPr>
              <w:spacing w:after="0" w:line="360" w:lineRule="auto"/>
              <w:jc w:val="both"/>
              <w:rPr>
                <w:rFonts w:ascii="Times New Roman" w:hAnsi="Times New Roman" w:eastAsia="Times New Roman" w:cs="Times New Roman"/>
                <w:b/>
                <w:bCs w:val="0"/>
                <w:i/>
                <w:color w:val="1F1F1F"/>
                <w:sz w:val="24"/>
                <w:szCs w:val="24"/>
                <w:lang w:eastAsia="en-GB"/>
              </w:rPr>
            </w:pPr>
            <w:r>
              <w:rPr>
                <w:rFonts w:ascii="Times New Roman" w:hAnsi="Times New Roman" w:eastAsia="Times New Roman" w:cs="Times New Roman"/>
                <w:b w:val="0"/>
                <w:bCs/>
                <w:i/>
                <w:color w:val="1F1F1F"/>
                <w:sz w:val="24"/>
                <w:szCs w:val="24"/>
                <w:lang w:eastAsia="en-GB"/>
              </w:rPr>
              <w:t xml:space="preserve">Role of consumer awareness and domain knowledge as mediators </w:t>
            </w:r>
          </w:p>
          <w:p w14:paraId="002D875F">
            <w:pPr>
              <w:pStyle w:val="26"/>
              <w:numPr>
                <w:ilvl w:val="0"/>
                <w:numId w:val="28"/>
              </w:numPr>
              <w:spacing w:after="0" w:line="360" w:lineRule="auto"/>
              <w:jc w:val="both"/>
              <w:rPr>
                <w:rFonts w:ascii="Times New Roman" w:hAnsi="Times New Roman" w:eastAsia="Times New Roman" w:cs="Times New Roman"/>
                <w:b/>
                <w:bCs w:val="0"/>
                <w:i/>
                <w:color w:val="1F1F1F"/>
                <w:sz w:val="24"/>
                <w:szCs w:val="24"/>
                <w:lang w:eastAsia="en-GB"/>
              </w:rPr>
            </w:pPr>
            <w:r>
              <w:rPr>
                <w:rFonts w:ascii="Times New Roman" w:hAnsi="Times New Roman" w:eastAsia="Times New Roman" w:cs="Times New Roman"/>
                <w:b w:val="0"/>
                <w:bCs/>
                <w:i/>
                <w:color w:val="1F1F1F"/>
                <w:sz w:val="24"/>
                <w:szCs w:val="24"/>
                <w:lang w:eastAsia="en-GB"/>
              </w:rPr>
              <w:t xml:space="preserve">Marketing communications, brand preference, and perceived value </w:t>
            </w:r>
          </w:p>
          <w:p w14:paraId="6DAEFF7B">
            <w:pPr>
              <w:pStyle w:val="26"/>
              <w:numPr>
                <w:ilvl w:val="0"/>
                <w:numId w:val="28"/>
              </w:numPr>
              <w:spacing w:after="0" w:line="360" w:lineRule="auto"/>
              <w:jc w:val="both"/>
              <w:rPr>
                <w:rFonts w:ascii="Times New Roman" w:hAnsi="Times New Roman" w:eastAsia="Times New Roman" w:cs="Times New Roman"/>
                <w:b/>
                <w:bCs w:val="0"/>
                <w:i/>
                <w:color w:val="1F1F1F"/>
                <w:sz w:val="24"/>
                <w:szCs w:val="24"/>
                <w:lang w:eastAsia="en-GB"/>
              </w:rPr>
            </w:pPr>
            <w:r>
              <w:rPr>
                <w:rFonts w:ascii="Times New Roman" w:hAnsi="Times New Roman" w:eastAsia="Times New Roman" w:cs="Times New Roman"/>
                <w:b w:val="0"/>
                <w:bCs/>
                <w:i/>
                <w:color w:val="1F1F1F"/>
                <w:sz w:val="24"/>
                <w:szCs w:val="24"/>
                <w:lang w:eastAsia="en-GB"/>
              </w:rPr>
              <w:t xml:space="preserve">Segment dynamics across luxury vehicles, SUVs, and regional markets </w:t>
            </w:r>
          </w:p>
        </w:tc>
        <w:tc>
          <w:tcPr>
            <w:tcW w:w="2541" w:type="dxa"/>
            <w:shd w:val="clear" w:color="auto" w:fill="ECECEC" w:themeFill="accent3" w:themeFillTint="33"/>
          </w:tcPr>
          <w:p w14:paraId="6D8C05D2">
            <w:pPr>
              <w:spacing w:after="0"/>
              <w:rPr>
                <w:rFonts w:eastAsia="Times New Roman" w:cs="Times New Roman"/>
                <w:color w:val="1F1F1F"/>
                <w:szCs w:val="24"/>
                <w:lang w:val="en-GB" w:eastAsia="en-GB"/>
              </w:rPr>
            </w:pPr>
            <w:r>
              <w:rPr>
                <w:rFonts w:eastAsia="Times New Roman" w:cs="Times New Roman"/>
                <w:i/>
                <w:iCs/>
                <w:color w:val="1F1F1F"/>
                <w:szCs w:val="24"/>
                <w:lang w:val="en-GB" w:eastAsia="en-GB"/>
              </w:rPr>
              <w:t>Theme 3: Strategic Marketing, Knowledge Mediation and Market Dynamics</w:t>
            </w:r>
          </w:p>
        </w:tc>
      </w:tr>
    </w:tbl>
    <w:p w14:paraId="313F7DF4">
      <w:pPr>
        <w:pStyle w:val="6"/>
      </w:pPr>
      <w:bookmarkStart w:id="77" w:name="_Toc238753113"/>
      <w:r>
        <w:t>Table 4.3: Development of Themes</w:t>
      </w:r>
      <w:bookmarkEnd w:id="77"/>
      <w:r>
        <w:t xml:space="preserve"> </w:t>
      </w:r>
    </w:p>
    <w:p w14:paraId="6BCFC744">
      <w:pPr>
        <w:jc w:val="center"/>
        <w:rPr>
          <w:rFonts w:cs="Times New Roman"/>
        </w:rPr>
      </w:pPr>
      <w:r>
        <w:rPr>
          <w:rFonts w:cs="Times New Roman"/>
        </w:rPr>
        <w:t>(Source: Self-created)</w:t>
      </w:r>
    </w:p>
    <w:p w14:paraId="1D1C5C70">
      <w:pPr>
        <w:pStyle w:val="3"/>
      </w:pPr>
      <w:bookmarkStart w:id="78" w:name="_Toc241218795"/>
      <w:r>
        <w:t>4.6 Theme frequency findings</w:t>
      </w:r>
      <w:bookmarkEnd w:id="78"/>
    </w:p>
    <w:tbl>
      <w:tblPr>
        <w:tblStyle w:val="18"/>
        <w:tblW w:w="0" w:type="auto"/>
        <w:tblCellSpacing w:w="15" w:type="dxa"/>
        <w:tblInd w:w="0" w:type="dxa"/>
        <w:tblLayout w:type="fixed"/>
        <w:tblCellMar>
          <w:top w:w="0" w:type="dxa"/>
          <w:left w:w="0" w:type="dxa"/>
          <w:bottom w:w="0" w:type="dxa"/>
          <w:right w:w="0" w:type="dxa"/>
        </w:tblCellMar>
      </w:tblPr>
      <w:tblGrid>
        <w:gridCol w:w="7526"/>
        <w:gridCol w:w="1574"/>
      </w:tblGrid>
      <w:tr w14:paraId="2DD3BBDD">
        <w:tblPrEx>
          <w:tblLayout w:type="fixed"/>
        </w:tblPrEx>
        <w:trPr>
          <w:tblHeader/>
          <w:tblCellSpacing w:w="15" w:type="dxa"/>
        </w:trPr>
        <w:tc>
          <w:tcPr>
            <w:tcW w:w="7526" w:type="dxa"/>
            <w:tcBorders>
              <w:top w:val="single" w:color="C4C7C5" w:sz="6" w:space="0"/>
              <w:left w:val="single" w:color="C4C7C5" w:sz="6" w:space="0"/>
              <w:bottom w:val="single" w:color="C4C7C5" w:sz="6" w:space="0"/>
              <w:right w:val="single" w:color="C4C7C5" w:sz="6" w:space="0"/>
            </w:tcBorders>
            <w:tcMar>
              <w:top w:w="120" w:type="dxa"/>
              <w:left w:w="180" w:type="dxa"/>
              <w:bottom w:w="120" w:type="dxa"/>
              <w:right w:w="180" w:type="dxa"/>
            </w:tcMar>
            <w:vAlign w:val="center"/>
          </w:tcPr>
          <w:p w14:paraId="6412FB58">
            <w:pPr>
              <w:spacing w:after="0"/>
              <w:rPr>
                <w:rFonts w:eastAsia="Times New Roman" w:cs="Times New Roman"/>
                <w:color w:val="1F1F1F"/>
                <w:szCs w:val="24"/>
                <w:lang w:eastAsia="en-GB"/>
              </w:rPr>
            </w:pPr>
            <w:r>
              <w:rPr>
                <w:rFonts w:eastAsia="Times New Roman" w:cs="Times New Roman"/>
                <w:b/>
                <w:bCs/>
                <w:color w:val="1F1F1F"/>
                <w:szCs w:val="24"/>
                <w:lang w:eastAsia="en-GB"/>
              </w:rPr>
              <w:t>Themes</w:t>
            </w:r>
          </w:p>
        </w:tc>
        <w:tc>
          <w:tcPr>
            <w:tcW w:w="1574" w:type="dxa"/>
            <w:tcBorders>
              <w:top w:val="single" w:color="C4C7C5" w:sz="6" w:space="0"/>
              <w:left w:val="single" w:color="C4C7C5" w:sz="6" w:space="0"/>
              <w:bottom w:val="single" w:color="C4C7C5" w:sz="6" w:space="0"/>
              <w:right w:val="single" w:color="C4C7C5" w:sz="6" w:space="0"/>
            </w:tcBorders>
            <w:tcMar>
              <w:top w:w="120" w:type="dxa"/>
              <w:left w:w="180" w:type="dxa"/>
              <w:bottom w:w="120" w:type="dxa"/>
              <w:right w:w="180" w:type="dxa"/>
            </w:tcMar>
            <w:vAlign w:val="center"/>
          </w:tcPr>
          <w:p w14:paraId="474143D2">
            <w:pPr>
              <w:spacing w:after="0"/>
              <w:rPr>
                <w:rFonts w:eastAsia="Times New Roman" w:cs="Times New Roman"/>
                <w:color w:val="1F1F1F"/>
                <w:szCs w:val="24"/>
                <w:lang w:eastAsia="en-GB"/>
              </w:rPr>
            </w:pPr>
            <w:r>
              <w:rPr>
                <w:rFonts w:eastAsia="Times New Roman" w:cs="Times New Roman"/>
                <w:b/>
                <w:bCs/>
                <w:color w:val="1F1F1F"/>
                <w:szCs w:val="24"/>
                <w:lang w:eastAsia="en-GB"/>
              </w:rPr>
              <w:t>Frequency</w:t>
            </w:r>
          </w:p>
        </w:tc>
      </w:tr>
      <w:tr w14:paraId="422AA3F0">
        <w:tblPrEx>
          <w:tblLayout w:type="fixed"/>
        </w:tblPrEx>
        <w:trPr>
          <w:tblCellSpacing w:w="15" w:type="dxa"/>
        </w:trPr>
        <w:tc>
          <w:tcPr>
            <w:tcW w:w="7526" w:type="dxa"/>
            <w:tcBorders>
              <w:top w:val="single" w:color="C4C7C5" w:sz="6" w:space="0"/>
              <w:left w:val="single" w:color="C4C7C5" w:sz="6" w:space="0"/>
              <w:bottom w:val="single" w:color="C4C7C5" w:sz="6" w:space="0"/>
              <w:right w:val="single" w:color="C4C7C5" w:sz="6" w:space="0"/>
            </w:tcBorders>
            <w:tcMar>
              <w:top w:w="120" w:type="dxa"/>
              <w:left w:w="180" w:type="dxa"/>
              <w:bottom w:w="120" w:type="dxa"/>
              <w:right w:w="180" w:type="dxa"/>
            </w:tcMar>
            <w:vAlign w:val="center"/>
          </w:tcPr>
          <w:p w14:paraId="2EDAC854">
            <w:pPr>
              <w:spacing w:after="0"/>
              <w:rPr>
                <w:rFonts w:eastAsia="Times New Roman" w:cs="Times New Roman"/>
                <w:color w:val="1F1F1F"/>
                <w:szCs w:val="24"/>
                <w:lang w:eastAsia="en-GB"/>
              </w:rPr>
            </w:pPr>
            <w:r>
              <w:rPr>
                <w:rFonts w:eastAsia="Times New Roman" w:cs="Times New Roman"/>
                <w:b/>
                <w:bCs/>
                <w:color w:val="1F1F1F"/>
                <w:szCs w:val="24"/>
                <w:lang w:eastAsia="en-GB"/>
              </w:rPr>
              <w:t>Theme 1:</w:t>
            </w:r>
            <w:r>
              <w:rPr>
                <w:rFonts w:eastAsia="Times New Roman" w:cs="Times New Roman"/>
                <w:color w:val="1F1F1F"/>
                <w:szCs w:val="24"/>
                <w:lang w:eastAsia="en-GB"/>
              </w:rPr>
              <w:t xml:space="preserve"> </w:t>
            </w:r>
            <w:r>
              <w:rPr>
                <w:rFonts w:eastAsia="Times New Roman" w:cs="Times New Roman"/>
                <w:i/>
                <w:iCs/>
                <w:color w:val="1F1F1F"/>
                <w:szCs w:val="24"/>
                <w:lang w:eastAsia="en-GB"/>
              </w:rPr>
              <w:t>Behavioural decision-making models, consumer attitudes, and psychological barriers significantly dictate initial consumer adoption intentions across diverse demographic and cross-cultural populations</w:t>
            </w:r>
          </w:p>
        </w:tc>
        <w:tc>
          <w:tcPr>
            <w:tcW w:w="1574" w:type="dxa"/>
            <w:tcBorders>
              <w:top w:val="single" w:color="C4C7C5" w:sz="6" w:space="0"/>
              <w:left w:val="single" w:color="C4C7C5" w:sz="6" w:space="0"/>
              <w:bottom w:val="single" w:color="C4C7C5" w:sz="6" w:space="0"/>
              <w:right w:val="single" w:color="C4C7C5" w:sz="6" w:space="0"/>
            </w:tcBorders>
            <w:tcMar>
              <w:top w:w="120" w:type="dxa"/>
              <w:left w:w="180" w:type="dxa"/>
              <w:bottom w:w="120" w:type="dxa"/>
              <w:right w:w="180" w:type="dxa"/>
            </w:tcMar>
            <w:vAlign w:val="center"/>
          </w:tcPr>
          <w:p w14:paraId="1A441D74">
            <w:pPr>
              <w:spacing w:after="0"/>
              <w:rPr>
                <w:rFonts w:eastAsia="Times New Roman" w:cs="Times New Roman"/>
                <w:color w:val="1F1F1F"/>
                <w:szCs w:val="24"/>
                <w:lang w:eastAsia="en-GB"/>
              </w:rPr>
            </w:pPr>
            <w:r>
              <w:rPr>
                <w:rFonts w:eastAsia="Times New Roman" w:cs="Times New Roman"/>
                <w:b/>
                <w:bCs/>
                <w:color w:val="1F1F1F"/>
                <w:szCs w:val="24"/>
                <w:lang w:eastAsia="en-GB"/>
              </w:rPr>
              <w:t>9</w:t>
            </w:r>
          </w:p>
        </w:tc>
      </w:tr>
      <w:tr w14:paraId="7B520314">
        <w:tblPrEx>
          <w:tblLayout w:type="fixed"/>
        </w:tblPrEx>
        <w:trPr>
          <w:tblCellSpacing w:w="15" w:type="dxa"/>
        </w:trPr>
        <w:tc>
          <w:tcPr>
            <w:tcW w:w="7526" w:type="dxa"/>
            <w:tcBorders>
              <w:top w:val="single" w:color="C4C7C5" w:sz="6" w:space="0"/>
              <w:left w:val="single" w:color="C4C7C5" w:sz="6" w:space="0"/>
              <w:bottom w:val="single" w:color="C4C7C5" w:sz="6" w:space="0"/>
              <w:right w:val="single" w:color="C4C7C5" w:sz="6" w:space="0"/>
            </w:tcBorders>
            <w:tcMar>
              <w:top w:w="120" w:type="dxa"/>
              <w:left w:w="180" w:type="dxa"/>
              <w:bottom w:w="120" w:type="dxa"/>
              <w:right w:w="180" w:type="dxa"/>
            </w:tcMar>
            <w:vAlign w:val="center"/>
          </w:tcPr>
          <w:p w14:paraId="78DFFBE3">
            <w:pPr>
              <w:spacing w:after="0"/>
              <w:rPr>
                <w:rFonts w:eastAsia="Times New Roman" w:cs="Times New Roman"/>
                <w:color w:val="1F1F1F"/>
                <w:szCs w:val="24"/>
                <w:lang w:eastAsia="en-GB"/>
              </w:rPr>
            </w:pPr>
            <w:r>
              <w:rPr>
                <w:rFonts w:eastAsia="Times New Roman" w:cs="Times New Roman"/>
                <w:b/>
                <w:bCs/>
                <w:color w:val="1F1F1F"/>
                <w:szCs w:val="24"/>
                <w:lang w:eastAsia="en-GB"/>
              </w:rPr>
              <w:t>Theme 2:</w:t>
            </w:r>
            <w:r>
              <w:rPr>
                <w:rFonts w:eastAsia="Times New Roman" w:cs="Times New Roman"/>
                <w:color w:val="1F1F1F"/>
                <w:szCs w:val="24"/>
                <w:lang w:eastAsia="en-GB"/>
              </w:rPr>
              <w:t xml:space="preserve"> </w:t>
            </w:r>
            <w:r>
              <w:rPr>
                <w:rFonts w:eastAsia="Times New Roman" w:cs="Times New Roman"/>
                <w:i/>
                <w:iCs/>
                <w:color w:val="1F1F1F"/>
                <w:szCs w:val="24"/>
                <w:lang w:eastAsia="en-GB"/>
              </w:rPr>
              <w:t>Infrastructural deficiencies, charging availability, and battery performance/safety concerns act as critical operational bottlenecks limiting full EV adoption</w:t>
            </w:r>
          </w:p>
        </w:tc>
        <w:tc>
          <w:tcPr>
            <w:tcW w:w="1574" w:type="dxa"/>
            <w:tcBorders>
              <w:top w:val="single" w:color="C4C7C5" w:sz="6" w:space="0"/>
              <w:left w:val="single" w:color="C4C7C5" w:sz="6" w:space="0"/>
              <w:bottom w:val="single" w:color="C4C7C5" w:sz="6" w:space="0"/>
              <w:right w:val="single" w:color="C4C7C5" w:sz="6" w:space="0"/>
            </w:tcBorders>
            <w:tcMar>
              <w:top w:w="120" w:type="dxa"/>
              <w:left w:w="180" w:type="dxa"/>
              <w:bottom w:w="120" w:type="dxa"/>
              <w:right w:w="180" w:type="dxa"/>
            </w:tcMar>
            <w:vAlign w:val="center"/>
          </w:tcPr>
          <w:p w14:paraId="43CF1B2A">
            <w:pPr>
              <w:spacing w:after="0"/>
              <w:rPr>
                <w:rFonts w:eastAsia="Times New Roman" w:cs="Times New Roman"/>
                <w:color w:val="1F1F1F"/>
                <w:szCs w:val="24"/>
                <w:lang w:eastAsia="en-GB"/>
              </w:rPr>
            </w:pPr>
            <w:r>
              <w:rPr>
                <w:rFonts w:eastAsia="Times New Roman" w:cs="Times New Roman"/>
                <w:b/>
                <w:bCs/>
                <w:color w:val="1F1F1F"/>
                <w:szCs w:val="24"/>
                <w:lang w:eastAsia="en-GB"/>
              </w:rPr>
              <w:t>6</w:t>
            </w:r>
          </w:p>
        </w:tc>
      </w:tr>
      <w:tr w14:paraId="35B9F062">
        <w:tblPrEx>
          <w:tblLayout w:type="fixed"/>
        </w:tblPrEx>
        <w:trPr>
          <w:tblCellSpacing w:w="15" w:type="dxa"/>
        </w:trPr>
        <w:tc>
          <w:tcPr>
            <w:tcW w:w="7526" w:type="dxa"/>
            <w:tcBorders>
              <w:top w:val="single" w:color="C4C7C5" w:sz="6" w:space="0"/>
              <w:left w:val="single" w:color="C4C7C5" w:sz="6" w:space="0"/>
              <w:bottom w:val="single" w:color="C4C7C5" w:sz="6" w:space="0"/>
              <w:right w:val="single" w:color="C4C7C5" w:sz="6" w:space="0"/>
            </w:tcBorders>
            <w:tcMar>
              <w:top w:w="120" w:type="dxa"/>
              <w:left w:w="180" w:type="dxa"/>
              <w:bottom w:w="120" w:type="dxa"/>
              <w:right w:w="180" w:type="dxa"/>
            </w:tcMar>
            <w:vAlign w:val="center"/>
          </w:tcPr>
          <w:p w14:paraId="144D1AE4">
            <w:pPr>
              <w:spacing w:after="0"/>
              <w:rPr>
                <w:rFonts w:eastAsia="Times New Roman" w:cs="Times New Roman"/>
                <w:color w:val="1F1F1F"/>
                <w:szCs w:val="24"/>
                <w:lang w:eastAsia="en-GB"/>
              </w:rPr>
            </w:pPr>
            <w:r>
              <w:rPr>
                <w:rFonts w:eastAsia="Times New Roman" w:cs="Times New Roman"/>
                <w:b/>
                <w:bCs/>
                <w:color w:val="1F1F1F"/>
                <w:szCs w:val="24"/>
                <w:lang w:eastAsia="en-GB"/>
              </w:rPr>
              <w:t>Theme 3:</w:t>
            </w:r>
            <w:r>
              <w:rPr>
                <w:rFonts w:eastAsia="Times New Roman" w:cs="Times New Roman"/>
                <w:color w:val="1F1F1F"/>
                <w:szCs w:val="24"/>
                <w:lang w:eastAsia="en-GB"/>
              </w:rPr>
              <w:t xml:space="preserve"> </w:t>
            </w:r>
            <w:r>
              <w:rPr>
                <w:rFonts w:eastAsia="Times New Roman" w:cs="Times New Roman"/>
                <w:i/>
                <w:iCs/>
                <w:color w:val="1F1F1F"/>
                <w:szCs w:val="24"/>
                <w:lang w:eastAsia="en-GB"/>
              </w:rPr>
              <w:t>Strategic marketing communications, perceived value framing, domain awareness and segment-specific dynamics directly influence market transition and consumer preferences.</w:t>
            </w:r>
          </w:p>
        </w:tc>
        <w:tc>
          <w:tcPr>
            <w:tcW w:w="1574" w:type="dxa"/>
            <w:tcBorders>
              <w:top w:val="single" w:color="C4C7C5" w:sz="6" w:space="0"/>
              <w:left w:val="single" w:color="C4C7C5" w:sz="6" w:space="0"/>
              <w:bottom w:val="single" w:color="C4C7C5" w:sz="6" w:space="0"/>
              <w:right w:val="single" w:color="C4C7C5" w:sz="6" w:space="0"/>
            </w:tcBorders>
            <w:tcMar>
              <w:top w:w="120" w:type="dxa"/>
              <w:left w:w="180" w:type="dxa"/>
              <w:bottom w:w="120" w:type="dxa"/>
              <w:right w:w="180" w:type="dxa"/>
            </w:tcMar>
            <w:vAlign w:val="center"/>
          </w:tcPr>
          <w:p w14:paraId="6D0D63C8">
            <w:pPr>
              <w:spacing w:after="0"/>
              <w:rPr>
                <w:rFonts w:eastAsia="Times New Roman" w:cs="Times New Roman"/>
                <w:color w:val="1F1F1F"/>
                <w:szCs w:val="24"/>
                <w:lang w:eastAsia="en-GB"/>
              </w:rPr>
            </w:pPr>
            <w:r>
              <w:rPr>
                <w:rFonts w:eastAsia="Times New Roman" w:cs="Times New Roman"/>
                <w:b/>
                <w:bCs/>
                <w:color w:val="1F1F1F"/>
                <w:szCs w:val="24"/>
                <w:lang w:eastAsia="en-GB"/>
              </w:rPr>
              <w:t>26</w:t>
            </w:r>
          </w:p>
        </w:tc>
      </w:tr>
    </w:tbl>
    <w:p w14:paraId="3947BBD7">
      <w:pPr>
        <w:pStyle w:val="6"/>
      </w:pPr>
      <w:bookmarkStart w:id="79" w:name="_Toc238753114"/>
      <w:r>
        <w:t>Table 4.4: Theme frequency findings</w:t>
      </w:r>
      <w:bookmarkEnd w:id="79"/>
    </w:p>
    <w:p w14:paraId="0FFDF196">
      <w:pPr>
        <w:jc w:val="center"/>
        <w:rPr>
          <w:rFonts w:cs="Times New Roman"/>
        </w:rPr>
      </w:pPr>
      <w:r>
        <w:rPr>
          <w:rFonts w:cs="Times New Roman"/>
        </w:rPr>
        <w:t>(Source: Self-created)</w:t>
      </w:r>
    </w:p>
    <w:p w14:paraId="1C29D01A">
      <w:pPr>
        <w:jc w:val="center"/>
        <w:rPr>
          <w:rFonts w:cs="Times New Roman"/>
        </w:rPr>
      </w:pPr>
      <w:r>
        <w:rPr>
          <w:lang w:val="en-GB" w:eastAsia="en-GB"/>
        </w:rPr>
        <w:drawing>
          <wp:inline distT="0" distB="0" distL="0" distR="0">
            <wp:extent cx="5731510" cy="3105150"/>
            <wp:effectExtent l="0" t="0" r="2540"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B21294D">
      <w:pPr>
        <w:pStyle w:val="5"/>
      </w:pPr>
      <w:bookmarkStart w:id="80" w:name="_Toc238759269"/>
      <w:r>
        <w:t>Figure 4.2: Theme frequency findings</w:t>
      </w:r>
      <w:bookmarkEnd w:id="80"/>
      <w:r>
        <w:t xml:space="preserve"> </w:t>
      </w:r>
    </w:p>
    <w:p w14:paraId="123A16C3">
      <w:pPr>
        <w:jc w:val="center"/>
        <w:rPr>
          <w:rFonts w:cs="Times New Roman"/>
        </w:rPr>
      </w:pPr>
      <w:r>
        <w:rPr>
          <w:rFonts w:cs="Times New Roman"/>
        </w:rPr>
        <w:t>(Source: Self-created)</w:t>
      </w:r>
    </w:p>
    <w:p w14:paraId="5987FB9F">
      <w:pPr>
        <w:pStyle w:val="3"/>
        <w:rPr>
          <w:rFonts w:eastAsiaTheme="minorHAnsi"/>
          <w:color w:val="auto"/>
          <w:szCs w:val="22"/>
        </w:rPr>
      </w:pPr>
      <w:bookmarkStart w:id="81" w:name="_Toc241218796"/>
      <w:r>
        <w:t>4.7 Source classification</w:t>
      </w:r>
      <w:bookmarkEnd w:id="81"/>
      <w:r>
        <w:t xml:space="preserve"> </w:t>
      </w:r>
    </w:p>
    <w:tbl>
      <w:tblPr>
        <w:tblStyle w:val="25"/>
        <w:tblW w:w="0" w:type="auto"/>
        <w:tblInd w:w="0" w:type="dxa"/>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Layout w:type="fixed"/>
        <w:tblCellMar>
          <w:top w:w="0" w:type="dxa"/>
          <w:left w:w="108" w:type="dxa"/>
          <w:bottom w:w="0" w:type="dxa"/>
          <w:right w:w="108" w:type="dxa"/>
        </w:tblCellMar>
      </w:tblPr>
      <w:tblGrid>
        <w:gridCol w:w="2165"/>
        <w:gridCol w:w="2600"/>
        <w:gridCol w:w="3394"/>
        <w:gridCol w:w="857"/>
      </w:tblGrid>
      <w:tr w14:paraId="3897BD62">
        <w:tblPrEx>
          <w:tblLayout w:type="fixed"/>
        </w:tblPrEx>
        <w:tc>
          <w:tcPr>
            <w:tcW w:w="2165" w:type="dxa"/>
            <w:tcBorders>
              <w:top w:val="single" w:color="4472C4" w:themeColor="accent5" w:sz="4" w:space="0"/>
              <w:left w:val="single" w:color="4472C4" w:themeColor="accent5" w:sz="4" w:space="0"/>
              <w:bottom w:val="single" w:color="4472C4" w:themeColor="accent5" w:sz="4" w:space="0"/>
              <w:right w:val="nil"/>
              <w:insideH w:val="single" w:sz="4" w:space="0"/>
              <w:insideV w:val="nil"/>
            </w:tcBorders>
            <w:shd w:val="clear" w:color="auto" w:fill="4472C4" w:themeFill="accent5"/>
          </w:tcPr>
          <w:p w14:paraId="50CCF939">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Primary Category</w:t>
            </w:r>
          </w:p>
        </w:tc>
        <w:tc>
          <w:tcPr>
            <w:tcW w:w="2600" w:type="dxa"/>
            <w:tcBorders>
              <w:top w:val="single" w:color="4472C4" w:themeColor="accent5" w:sz="4" w:space="0"/>
              <w:bottom w:val="single" w:color="4472C4" w:themeColor="accent5" w:sz="4" w:space="0"/>
              <w:right w:val="nil"/>
              <w:insideH w:val="single" w:sz="4" w:space="0"/>
              <w:insideV w:val="nil"/>
            </w:tcBorders>
            <w:shd w:val="clear" w:color="auto" w:fill="4472C4" w:themeFill="accent5"/>
          </w:tcPr>
          <w:p w14:paraId="6281E036">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Secondary Methodological / Focus Domain</w:t>
            </w:r>
          </w:p>
        </w:tc>
        <w:tc>
          <w:tcPr>
            <w:tcW w:w="3394" w:type="dxa"/>
            <w:tcBorders>
              <w:top w:val="single" w:color="4472C4" w:themeColor="accent5" w:sz="4" w:space="0"/>
              <w:bottom w:val="single" w:color="4472C4" w:themeColor="accent5" w:sz="4" w:space="0"/>
              <w:right w:val="nil"/>
              <w:insideH w:val="single" w:sz="4" w:space="0"/>
              <w:insideV w:val="nil"/>
            </w:tcBorders>
            <w:shd w:val="clear" w:color="auto" w:fill="4472C4" w:themeFill="accent5"/>
          </w:tcPr>
          <w:p w14:paraId="2B837606">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Sources Included</w:t>
            </w:r>
          </w:p>
        </w:tc>
        <w:tc>
          <w:tcPr>
            <w:tcW w:w="857" w:type="dxa"/>
            <w:tcBorders>
              <w:top w:val="single" w:color="4472C4" w:themeColor="accent5" w:sz="4" w:space="0"/>
              <w:bottom w:val="single" w:color="4472C4" w:themeColor="accent5" w:sz="4" w:space="0"/>
              <w:right w:val="single" w:color="4472C4" w:themeColor="accent5" w:sz="4" w:space="0"/>
              <w:insideH w:val="single" w:sz="4" w:space="0"/>
              <w:insideV w:val="nil"/>
            </w:tcBorders>
            <w:shd w:val="clear" w:color="auto" w:fill="4472C4" w:themeFill="accent5"/>
          </w:tcPr>
          <w:p w14:paraId="6D538810">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Count</w:t>
            </w:r>
          </w:p>
        </w:tc>
      </w:tr>
      <w:tr w14:paraId="0AAC1FD7">
        <w:tblPrEx>
          <w:tblLayout w:type="fixed"/>
        </w:tblPrEx>
        <w:tc>
          <w:tcPr>
            <w:tcW w:w="2165" w:type="dxa"/>
            <w:shd w:val="clear" w:color="auto" w:fill="D9E2F3" w:themeFill="accent5" w:themeFillTint="33"/>
          </w:tcPr>
          <w:p w14:paraId="30491DE9">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Peer-Reviewed Academic Journals</w:t>
            </w:r>
          </w:p>
        </w:tc>
        <w:tc>
          <w:tcPr>
            <w:tcW w:w="2600" w:type="dxa"/>
            <w:shd w:val="clear" w:color="auto" w:fill="D9E2F3" w:themeFill="accent5" w:themeFillTint="33"/>
          </w:tcPr>
          <w:p w14:paraId="000D4E2A">
            <w:pPr>
              <w:spacing w:after="0"/>
              <w:rPr>
                <w:rFonts w:eastAsia="Times New Roman" w:cs="Times New Roman"/>
                <w:color w:val="1F1F1F"/>
                <w:szCs w:val="24"/>
                <w:lang w:val="en-GB" w:eastAsia="en-GB"/>
              </w:rPr>
            </w:pPr>
            <w:r>
              <w:rPr>
                <w:rFonts w:eastAsia="Times New Roman" w:cs="Times New Roman"/>
                <w:b/>
                <w:bCs/>
                <w:color w:val="1F1F1F"/>
                <w:szCs w:val="24"/>
                <w:lang w:val="en-GB" w:eastAsia="en-GB"/>
              </w:rPr>
              <w:t>Theoretical Frameworks and Modelling Studies</w:t>
            </w:r>
            <w:r>
              <w:rPr>
                <w:rFonts w:eastAsia="Times New Roman" w:cs="Times New Roman"/>
                <w:color w:val="1F1F1F"/>
                <w:szCs w:val="24"/>
                <w:lang w:val="en-GB" w:eastAsia="en-GB"/>
              </w:rPr>
              <w:t xml:space="preserve"> </w:t>
            </w:r>
            <w:r>
              <w:rPr>
                <w:rFonts w:eastAsia="Times New Roman" w:cs="Times New Roman"/>
                <w:i/>
                <w:iCs/>
                <w:color w:val="1F1F1F"/>
                <w:szCs w:val="24"/>
                <w:lang w:val="en-GB" w:eastAsia="en-GB"/>
              </w:rPr>
              <w:t>(TPB, Extended TAM, UTAUT, IRT)</w:t>
            </w:r>
          </w:p>
        </w:tc>
        <w:tc>
          <w:tcPr>
            <w:tcW w:w="3394" w:type="dxa"/>
            <w:shd w:val="clear" w:color="auto" w:fill="D9E2F3" w:themeFill="accent5" w:themeFillTint="33"/>
          </w:tcPr>
          <w:p w14:paraId="197C3E8F">
            <w:pPr>
              <w:pStyle w:val="26"/>
              <w:numPr>
                <w:ilvl w:val="0"/>
                <w:numId w:val="2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Higueras</w:t>
            </w:r>
            <w:r>
              <w:rPr>
                <w:rFonts w:ascii="Times New Roman" w:hAnsi="Times New Roman" w:eastAsia="Times New Roman" w:cs="Times New Roman"/>
                <w:color w:val="1F1F1F"/>
                <w:sz w:val="24"/>
                <w:szCs w:val="24"/>
                <w:lang w:eastAsia="en-GB"/>
              </w:rPr>
              <w:t xml:space="preserve">-Castillo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4E78A840">
            <w:pPr>
              <w:pStyle w:val="26"/>
              <w:numPr>
                <w:ilvl w:val="0"/>
                <w:numId w:val="2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Sun and Lee (2024) </w:t>
            </w:r>
          </w:p>
          <w:p w14:paraId="05DB7E82">
            <w:pPr>
              <w:pStyle w:val="26"/>
              <w:numPr>
                <w:ilvl w:val="0"/>
                <w:numId w:val="2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Xue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5090E7AA">
            <w:pPr>
              <w:pStyle w:val="26"/>
              <w:numPr>
                <w:ilvl w:val="0"/>
                <w:numId w:val="2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Pamidimukkala</w:t>
            </w:r>
            <w:r>
              <w:rPr>
                <w:rFonts w:ascii="Times New Roman" w:hAnsi="Times New Roman" w:eastAsia="Times New Roman" w:cs="Times New Roman"/>
                <w:color w:val="1F1F1F"/>
                <w:sz w:val="24"/>
                <w:szCs w:val="24"/>
                <w:lang w:eastAsia="en-GB"/>
              </w:rPr>
              <w:t xml:space="preserv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(2025) </w:t>
            </w:r>
          </w:p>
          <w:p w14:paraId="62144590">
            <w:pPr>
              <w:pStyle w:val="26"/>
              <w:numPr>
                <w:ilvl w:val="0"/>
                <w:numId w:val="29"/>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Tsai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(2025)</w:t>
            </w:r>
          </w:p>
        </w:tc>
        <w:tc>
          <w:tcPr>
            <w:tcW w:w="857" w:type="dxa"/>
            <w:shd w:val="clear" w:color="auto" w:fill="D9E2F3" w:themeFill="accent5" w:themeFillTint="33"/>
          </w:tcPr>
          <w:p w14:paraId="3EBD993A">
            <w:pPr>
              <w:spacing w:after="0"/>
              <w:rPr>
                <w:rFonts w:eastAsia="Times New Roman" w:cs="Times New Roman"/>
                <w:color w:val="1F1F1F"/>
                <w:szCs w:val="24"/>
                <w:lang w:val="en-GB" w:eastAsia="en-GB"/>
              </w:rPr>
            </w:pPr>
            <w:r>
              <w:rPr>
                <w:rFonts w:eastAsia="Times New Roman" w:cs="Times New Roman"/>
                <w:color w:val="1F1F1F"/>
                <w:szCs w:val="24"/>
                <w:lang w:val="en-GB" w:eastAsia="en-GB"/>
              </w:rPr>
              <w:t>4</w:t>
            </w:r>
          </w:p>
        </w:tc>
      </w:tr>
      <w:tr w14:paraId="15DB882A">
        <w:tblPrEx>
          <w:tblLayout w:type="fixed"/>
        </w:tblPrEx>
        <w:tc>
          <w:tcPr>
            <w:tcW w:w="2165" w:type="dxa"/>
          </w:tcPr>
          <w:p w14:paraId="084E1F73">
            <w:pPr>
              <w:spacing w:after="0"/>
              <w:rPr>
                <w:rFonts w:eastAsia="Times New Roman" w:cs="Times New Roman"/>
                <w:b w:val="0"/>
                <w:bCs w:val="0"/>
                <w:color w:val="1F1F1F"/>
                <w:szCs w:val="24"/>
                <w:lang w:val="en-GB" w:eastAsia="en-GB"/>
              </w:rPr>
            </w:pPr>
          </w:p>
        </w:tc>
        <w:tc>
          <w:tcPr>
            <w:tcW w:w="2600" w:type="dxa"/>
          </w:tcPr>
          <w:p w14:paraId="381935ED">
            <w:pPr>
              <w:spacing w:after="0"/>
              <w:rPr>
                <w:rFonts w:eastAsia="Times New Roman" w:cs="Times New Roman"/>
                <w:color w:val="1F1F1F"/>
                <w:szCs w:val="24"/>
                <w:lang w:val="en-GB" w:eastAsia="en-GB"/>
              </w:rPr>
            </w:pPr>
            <w:r>
              <w:rPr>
                <w:rFonts w:eastAsia="Times New Roman" w:cs="Times New Roman"/>
                <w:b/>
                <w:bCs/>
                <w:color w:val="1F1F1F"/>
                <w:szCs w:val="24"/>
                <w:lang w:val="en-GB" w:eastAsia="en-GB"/>
              </w:rPr>
              <w:t>Empirical Consumer and Behavioural Research</w:t>
            </w:r>
            <w:r>
              <w:rPr>
                <w:rFonts w:eastAsia="Times New Roman" w:cs="Times New Roman"/>
                <w:color w:val="1F1F1F"/>
                <w:szCs w:val="24"/>
                <w:lang w:val="en-GB" w:eastAsia="en-GB"/>
              </w:rPr>
              <w:t xml:space="preserve"> </w:t>
            </w:r>
            <w:r>
              <w:rPr>
                <w:rFonts w:eastAsia="Times New Roman" w:cs="Times New Roman"/>
                <w:i/>
                <w:iCs/>
                <w:color w:val="1F1F1F"/>
                <w:szCs w:val="24"/>
                <w:lang w:val="en-GB" w:eastAsia="en-GB"/>
              </w:rPr>
              <w:t>(Non-user attitudes, decision factors, awareness)</w:t>
            </w:r>
          </w:p>
        </w:tc>
        <w:tc>
          <w:tcPr>
            <w:tcW w:w="3394" w:type="dxa"/>
          </w:tcPr>
          <w:p w14:paraId="3A3692F3">
            <w:pPr>
              <w:pStyle w:val="26"/>
              <w:numPr>
                <w:ilvl w:val="0"/>
                <w:numId w:val="3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Samarasinghe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5AB0438D">
            <w:pPr>
              <w:pStyle w:val="26"/>
              <w:numPr>
                <w:ilvl w:val="0"/>
                <w:numId w:val="3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Arora and Singh (2024) </w:t>
            </w:r>
          </w:p>
          <w:p w14:paraId="371C58CE">
            <w:pPr>
              <w:pStyle w:val="26"/>
              <w:numPr>
                <w:ilvl w:val="0"/>
                <w:numId w:val="3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Al Shurideh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(2025) </w:t>
            </w:r>
          </w:p>
          <w:p w14:paraId="5587B5D8">
            <w:pPr>
              <w:pStyle w:val="26"/>
              <w:numPr>
                <w:ilvl w:val="0"/>
                <w:numId w:val="30"/>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Gupta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tc>
        <w:tc>
          <w:tcPr>
            <w:tcW w:w="857" w:type="dxa"/>
          </w:tcPr>
          <w:p w14:paraId="52580598">
            <w:pPr>
              <w:spacing w:after="0"/>
              <w:rPr>
                <w:rFonts w:eastAsia="Times New Roman" w:cs="Times New Roman"/>
                <w:color w:val="1F1F1F"/>
                <w:szCs w:val="24"/>
                <w:lang w:val="en-GB" w:eastAsia="en-GB"/>
              </w:rPr>
            </w:pPr>
            <w:r>
              <w:rPr>
                <w:rFonts w:eastAsia="Times New Roman" w:cs="Times New Roman"/>
                <w:color w:val="1F1F1F"/>
                <w:szCs w:val="24"/>
                <w:lang w:val="en-GB" w:eastAsia="en-GB"/>
              </w:rPr>
              <w:t>4</w:t>
            </w:r>
          </w:p>
        </w:tc>
      </w:tr>
      <w:tr w14:paraId="672ECD96">
        <w:tblPrEx>
          <w:tblLayout w:type="fixed"/>
        </w:tblPrEx>
        <w:tc>
          <w:tcPr>
            <w:tcW w:w="2165" w:type="dxa"/>
            <w:shd w:val="clear" w:color="auto" w:fill="D9E2F3" w:themeFill="accent5" w:themeFillTint="33"/>
          </w:tcPr>
          <w:p w14:paraId="220374F9">
            <w:pPr>
              <w:spacing w:after="0"/>
              <w:rPr>
                <w:rFonts w:eastAsia="Times New Roman" w:cs="Times New Roman"/>
                <w:b w:val="0"/>
                <w:bCs w:val="0"/>
                <w:color w:val="1F1F1F"/>
                <w:szCs w:val="24"/>
                <w:lang w:val="en-GB" w:eastAsia="en-GB"/>
              </w:rPr>
            </w:pPr>
          </w:p>
        </w:tc>
        <w:tc>
          <w:tcPr>
            <w:tcW w:w="2600" w:type="dxa"/>
            <w:shd w:val="clear" w:color="auto" w:fill="D9E2F3" w:themeFill="accent5" w:themeFillTint="33"/>
          </w:tcPr>
          <w:p w14:paraId="79AB3365">
            <w:pPr>
              <w:spacing w:after="0"/>
              <w:rPr>
                <w:rFonts w:eastAsia="Times New Roman" w:cs="Times New Roman"/>
                <w:color w:val="1F1F1F"/>
                <w:szCs w:val="24"/>
                <w:lang w:val="en-GB" w:eastAsia="en-GB"/>
              </w:rPr>
            </w:pPr>
            <w:r>
              <w:rPr>
                <w:rFonts w:eastAsia="Times New Roman" w:cs="Times New Roman"/>
                <w:b/>
                <w:bCs/>
                <w:color w:val="1F1F1F"/>
                <w:szCs w:val="24"/>
                <w:lang w:val="en-GB" w:eastAsia="en-GB"/>
              </w:rPr>
              <w:t>Regional and Segment-Specific Studies</w:t>
            </w:r>
            <w:r>
              <w:rPr>
                <w:rFonts w:eastAsia="Times New Roman" w:cs="Times New Roman"/>
                <w:color w:val="1F1F1F"/>
                <w:szCs w:val="24"/>
                <w:lang w:val="en-GB" w:eastAsia="en-GB"/>
              </w:rPr>
              <w:t xml:space="preserve"> </w:t>
            </w:r>
            <w:r>
              <w:rPr>
                <w:rFonts w:eastAsia="Times New Roman" w:cs="Times New Roman"/>
                <w:i/>
                <w:iCs/>
                <w:color w:val="1F1F1F"/>
                <w:szCs w:val="24"/>
                <w:lang w:val="en-GB" w:eastAsia="en-GB"/>
              </w:rPr>
              <w:t>(Emerging economies, luxury EVs, SUV markets)</w:t>
            </w:r>
          </w:p>
        </w:tc>
        <w:tc>
          <w:tcPr>
            <w:tcW w:w="3394" w:type="dxa"/>
            <w:shd w:val="clear" w:color="auto" w:fill="D9E2F3" w:themeFill="accent5" w:themeFillTint="33"/>
          </w:tcPr>
          <w:p w14:paraId="37DF99B6">
            <w:pPr>
              <w:pStyle w:val="26"/>
              <w:numPr>
                <w:ilvl w:val="0"/>
                <w:numId w:val="3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Schvartz</w:t>
            </w:r>
            <w:r>
              <w:rPr>
                <w:rFonts w:ascii="Times New Roman" w:hAnsi="Times New Roman" w:eastAsia="Times New Roman" w:cs="Times New Roman"/>
                <w:color w:val="1F1F1F"/>
                <w:sz w:val="24"/>
                <w:szCs w:val="24"/>
                <w:lang w:eastAsia="en-GB"/>
              </w:rPr>
              <w:t xml:space="preserv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1818A3E0">
            <w:pPr>
              <w:pStyle w:val="26"/>
              <w:numPr>
                <w:ilvl w:val="0"/>
                <w:numId w:val="3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Joghee</w:t>
            </w:r>
            <w:r>
              <w:rPr>
                <w:rFonts w:ascii="Times New Roman" w:hAnsi="Times New Roman" w:eastAsia="Times New Roman" w:cs="Times New Roman"/>
                <w:color w:val="1F1F1F"/>
                <w:sz w:val="24"/>
                <w:szCs w:val="24"/>
                <w:lang w:eastAsia="en-GB"/>
              </w:rPr>
              <w:t xml:space="preserv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04538A2A">
            <w:pPr>
              <w:pStyle w:val="26"/>
              <w:numPr>
                <w:ilvl w:val="0"/>
                <w:numId w:val="3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Astuti and Susanto (2024) </w:t>
            </w:r>
          </w:p>
          <w:p w14:paraId="13E8332B">
            <w:pPr>
              <w:pStyle w:val="26"/>
              <w:numPr>
                <w:ilvl w:val="0"/>
                <w:numId w:val="31"/>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Song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(2025) </w:t>
            </w:r>
          </w:p>
        </w:tc>
        <w:tc>
          <w:tcPr>
            <w:tcW w:w="857" w:type="dxa"/>
            <w:shd w:val="clear" w:color="auto" w:fill="D9E2F3" w:themeFill="accent5" w:themeFillTint="33"/>
          </w:tcPr>
          <w:p w14:paraId="4DFFBE27">
            <w:pPr>
              <w:spacing w:after="0"/>
              <w:rPr>
                <w:rFonts w:eastAsia="Times New Roman" w:cs="Times New Roman"/>
                <w:color w:val="1F1F1F"/>
                <w:szCs w:val="24"/>
                <w:lang w:val="en-GB" w:eastAsia="en-GB"/>
              </w:rPr>
            </w:pPr>
            <w:r>
              <w:rPr>
                <w:rFonts w:eastAsia="Times New Roman" w:cs="Times New Roman"/>
                <w:color w:val="1F1F1F"/>
                <w:szCs w:val="24"/>
                <w:lang w:val="en-GB" w:eastAsia="en-GB"/>
              </w:rPr>
              <w:t>4</w:t>
            </w:r>
          </w:p>
        </w:tc>
      </w:tr>
      <w:tr w14:paraId="5CE2B375">
        <w:tblPrEx>
          <w:tblLayout w:type="fixed"/>
        </w:tblPrEx>
        <w:tc>
          <w:tcPr>
            <w:tcW w:w="2165" w:type="dxa"/>
          </w:tcPr>
          <w:p w14:paraId="0991D128">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Industry Reports and Market Intelligence</w:t>
            </w:r>
          </w:p>
        </w:tc>
        <w:tc>
          <w:tcPr>
            <w:tcW w:w="2600" w:type="dxa"/>
          </w:tcPr>
          <w:p w14:paraId="3A11A0F5">
            <w:pPr>
              <w:spacing w:after="0"/>
              <w:rPr>
                <w:rFonts w:eastAsia="Times New Roman" w:cs="Times New Roman"/>
                <w:color w:val="1F1F1F"/>
                <w:szCs w:val="24"/>
                <w:lang w:val="en-GB" w:eastAsia="en-GB"/>
              </w:rPr>
            </w:pPr>
            <w:r>
              <w:rPr>
                <w:rFonts w:eastAsia="Times New Roman" w:cs="Times New Roman"/>
                <w:b/>
                <w:bCs/>
                <w:color w:val="1F1F1F"/>
                <w:szCs w:val="24"/>
                <w:lang w:val="en-GB" w:eastAsia="en-GB"/>
              </w:rPr>
              <w:t>Consulting and Consumer Insight Reports</w:t>
            </w:r>
            <w:r>
              <w:rPr>
                <w:rFonts w:eastAsia="Times New Roman" w:cs="Times New Roman"/>
                <w:color w:val="1F1F1F"/>
                <w:szCs w:val="24"/>
                <w:lang w:val="en-GB" w:eastAsia="en-GB"/>
              </w:rPr>
              <w:t xml:space="preserve"> </w:t>
            </w:r>
            <w:r>
              <w:rPr>
                <w:rFonts w:eastAsia="Times New Roman" w:cs="Times New Roman"/>
                <w:i/>
                <w:iCs/>
                <w:color w:val="1F1F1F"/>
                <w:szCs w:val="24"/>
                <w:lang w:val="en-GB" w:eastAsia="en-GB"/>
              </w:rPr>
              <w:t>(Consumer expectations, trade-off evaluations)</w:t>
            </w:r>
          </w:p>
        </w:tc>
        <w:tc>
          <w:tcPr>
            <w:tcW w:w="3394" w:type="dxa"/>
          </w:tcPr>
          <w:p w14:paraId="51589E09">
            <w:pPr>
              <w:pStyle w:val="26"/>
              <w:numPr>
                <w:ilvl w:val="0"/>
                <w:numId w:val="3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Venus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4FB3A09A">
            <w:pPr>
              <w:pStyle w:val="26"/>
              <w:numPr>
                <w:ilvl w:val="0"/>
                <w:numId w:val="3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MSX (2025) </w:t>
            </w:r>
          </w:p>
          <w:p w14:paraId="39250BE9">
            <w:pPr>
              <w:pStyle w:val="26"/>
              <w:numPr>
                <w:ilvl w:val="0"/>
                <w:numId w:val="3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Goswamy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(2024)</w:t>
            </w:r>
          </w:p>
          <w:p w14:paraId="5D46CCEC">
            <w:pPr>
              <w:pStyle w:val="26"/>
              <w:numPr>
                <w:ilvl w:val="0"/>
                <w:numId w:val="32"/>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Deloitte (2025) </w:t>
            </w:r>
          </w:p>
        </w:tc>
        <w:tc>
          <w:tcPr>
            <w:tcW w:w="857" w:type="dxa"/>
          </w:tcPr>
          <w:p w14:paraId="00306D6E">
            <w:pPr>
              <w:spacing w:after="0"/>
              <w:rPr>
                <w:rFonts w:eastAsia="Times New Roman" w:cs="Times New Roman"/>
                <w:color w:val="1F1F1F"/>
                <w:szCs w:val="24"/>
                <w:lang w:val="en-GB" w:eastAsia="en-GB"/>
              </w:rPr>
            </w:pPr>
            <w:r>
              <w:rPr>
                <w:rFonts w:eastAsia="Times New Roman" w:cs="Times New Roman"/>
                <w:color w:val="1F1F1F"/>
                <w:szCs w:val="24"/>
                <w:lang w:val="en-GB" w:eastAsia="en-GB"/>
              </w:rPr>
              <w:t>4</w:t>
            </w:r>
          </w:p>
        </w:tc>
      </w:tr>
      <w:tr w14:paraId="28333F11">
        <w:tblPrEx>
          <w:tblLayout w:type="fixed"/>
        </w:tblPrEx>
        <w:tc>
          <w:tcPr>
            <w:tcW w:w="2165" w:type="dxa"/>
            <w:shd w:val="clear" w:color="auto" w:fill="D9E2F3" w:themeFill="accent5" w:themeFillTint="33"/>
          </w:tcPr>
          <w:p w14:paraId="000B6694">
            <w:pPr>
              <w:spacing w:after="0"/>
              <w:rPr>
                <w:rFonts w:eastAsia="Times New Roman" w:cs="Times New Roman"/>
                <w:b w:val="0"/>
                <w:bCs w:val="0"/>
                <w:color w:val="1F1F1F"/>
                <w:szCs w:val="24"/>
                <w:lang w:val="en-GB" w:eastAsia="en-GB"/>
              </w:rPr>
            </w:pPr>
          </w:p>
        </w:tc>
        <w:tc>
          <w:tcPr>
            <w:tcW w:w="2600" w:type="dxa"/>
            <w:shd w:val="clear" w:color="auto" w:fill="D9E2F3" w:themeFill="accent5" w:themeFillTint="33"/>
          </w:tcPr>
          <w:p w14:paraId="506AD9D0">
            <w:pPr>
              <w:spacing w:after="0"/>
              <w:rPr>
                <w:rFonts w:eastAsia="Times New Roman" w:cs="Times New Roman"/>
                <w:color w:val="1F1F1F"/>
                <w:szCs w:val="24"/>
                <w:lang w:val="en-GB" w:eastAsia="en-GB"/>
              </w:rPr>
            </w:pPr>
            <w:r>
              <w:rPr>
                <w:rFonts w:eastAsia="Times New Roman" w:cs="Times New Roman"/>
                <w:b/>
                <w:bCs/>
                <w:color w:val="1F1F1F"/>
                <w:szCs w:val="24"/>
                <w:lang w:val="en-GB" w:eastAsia="en-GB"/>
              </w:rPr>
              <w:t>Global and National Market Forecasting</w:t>
            </w:r>
            <w:r>
              <w:rPr>
                <w:rFonts w:eastAsia="Times New Roman" w:cs="Times New Roman"/>
                <w:color w:val="1F1F1F"/>
                <w:szCs w:val="24"/>
                <w:lang w:val="en-GB" w:eastAsia="en-GB"/>
              </w:rPr>
              <w:t xml:space="preserve"> </w:t>
            </w:r>
            <w:r>
              <w:rPr>
                <w:rFonts w:eastAsia="Times New Roman" w:cs="Times New Roman"/>
                <w:i/>
                <w:iCs/>
                <w:color w:val="1F1F1F"/>
                <w:szCs w:val="24"/>
                <w:lang w:val="en-GB" w:eastAsia="en-GB"/>
              </w:rPr>
              <w:t>(Growth trajectories, innovations, macro trends)</w:t>
            </w:r>
          </w:p>
        </w:tc>
        <w:tc>
          <w:tcPr>
            <w:tcW w:w="3394" w:type="dxa"/>
            <w:shd w:val="clear" w:color="auto" w:fill="D9E2F3" w:themeFill="accent5" w:themeFillTint="33"/>
          </w:tcPr>
          <w:p w14:paraId="2E32D42F">
            <w:pPr>
              <w:pStyle w:val="26"/>
              <w:numPr>
                <w:ilvl w:val="0"/>
                <w:numId w:val="33"/>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IBEF (2025) </w:t>
            </w:r>
          </w:p>
          <w:p w14:paraId="6F02EB75">
            <w:pPr>
              <w:pStyle w:val="26"/>
              <w:numPr>
                <w:ilvl w:val="0"/>
                <w:numId w:val="33"/>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IEA (2025) </w:t>
            </w:r>
          </w:p>
          <w:p w14:paraId="5E0FE648">
            <w:pPr>
              <w:pStyle w:val="26"/>
              <w:numPr>
                <w:ilvl w:val="0"/>
                <w:numId w:val="33"/>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Fortune Business Insights (2024) </w:t>
            </w:r>
          </w:p>
        </w:tc>
        <w:tc>
          <w:tcPr>
            <w:tcW w:w="857" w:type="dxa"/>
            <w:shd w:val="clear" w:color="auto" w:fill="D9E2F3" w:themeFill="accent5" w:themeFillTint="33"/>
          </w:tcPr>
          <w:p w14:paraId="23023EE3">
            <w:pPr>
              <w:spacing w:after="0"/>
              <w:rPr>
                <w:rFonts w:eastAsia="Times New Roman" w:cs="Times New Roman"/>
                <w:color w:val="1F1F1F"/>
                <w:szCs w:val="24"/>
                <w:lang w:val="en-GB" w:eastAsia="en-GB"/>
              </w:rPr>
            </w:pPr>
            <w:r>
              <w:rPr>
                <w:rFonts w:eastAsia="Times New Roman" w:cs="Times New Roman"/>
                <w:color w:val="1F1F1F"/>
                <w:szCs w:val="24"/>
                <w:lang w:val="en-GB" w:eastAsia="en-GB"/>
              </w:rPr>
              <w:t>3</w:t>
            </w:r>
          </w:p>
        </w:tc>
      </w:tr>
    </w:tbl>
    <w:p w14:paraId="51073648">
      <w:pPr>
        <w:pStyle w:val="6"/>
      </w:pPr>
      <w:bookmarkStart w:id="82" w:name="_Toc238753115"/>
      <w:r>
        <w:t xml:space="preserve">Table 4.5: </w:t>
      </w:r>
      <w:bookmarkEnd w:id="82"/>
      <w:r>
        <w:t>Source classification</w:t>
      </w:r>
    </w:p>
    <w:p w14:paraId="1CBA5075">
      <w:pPr>
        <w:jc w:val="center"/>
        <w:rPr>
          <w:rFonts w:cs="Times New Roman"/>
        </w:rPr>
      </w:pPr>
      <w:r>
        <w:rPr>
          <w:rFonts w:cs="Times New Roman"/>
        </w:rPr>
        <w:t>(Source: Self-created)</w:t>
      </w:r>
    </w:p>
    <w:p w14:paraId="32AD6C5A">
      <w:pPr>
        <w:pStyle w:val="3"/>
        <w:rPr>
          <w:rFonts w:eastAsiaTheme="minorHAnsi"/>
          <w:color w:val="auto"/>
          <w:szCs w:val="22"/>
        </w:rPr>
      </w:pPr>
      <w:bookmarkStart w:id="83" w:name="_Toc241218797"/>
      <w:r>
        <w:t>4.8 Mapping the sources with themes</w:t>
      </w:r>
      <w:bookmarkEnd w:id="83"/>
      <w:r>
        <w:t xml:space="preserve"> </w:t>
      </w:r>
    </w:p>
    <w:tbl>
      <w:tblPr>
        <w:tblStyle w:val="29"/>
        <w:tblW w:w="0" w:type="auto"/>
        <w:tblInd w:w="0" w:type="dxa"/>
        <w:tblBorders>
          <w:top w:val="single" w:color="C8C8C8" w:themeColor="accent3" w:themeTint="99" w:sz="2" w:space="0"/>
          <w:left w:val="none" w:color="auto" w:sz="0" w:space="0"/>
          <w:bottom w:val="single" w:color="C8C8C8" w:themeColor="accent3" w:themeTint="99" w:sz="2" w:space="0"/>
          <w:right w:val="none" w:color="auto" w:sz="0" w:space="0"/>
          <w:insideH w:val="single" w:color="C8C8C8" w:themeColor="accent3" w:themeTint="99" w:sz="2" w:space="0"/>
          <w:insideV w:val="single" w:color="C8C8C8" w:themeColor="accent3" w:themeTint="99" w:sz="2" w:space="0"/>
        </w:tblBorders>
        <w:tblLayout w:type="fixed"/>
        <w:tblCellMar>
          <w:top w:w="0" w:type="dxa"/>
          <w:left w:w="108" w:type="dxa"/>
          <w:bottom w:w="0" w:type="dxa"/>
          <w:right w:w="108" w:type="dxa"/>
        </w:tblCellMar>
      </w:tblPr>
      <w:tblGrid>
        <w:gridCol w:w="2965"/>
        <w:gridCol w:w="4759"/>
        <w:gridCol w:w="1292"/>
      </w:tblGrid>
      <w:tr w14:paraId="6DACC305">
        <w:tblPrEx>
          <w:tblLayout w:type="fixed"/>
        </w:tblPrEx>
        <w:tc>
          <w:tcPr>
            <w:tcW w:w="2965" w:type="dxa"/>
            <w:tcBorders>
              <w:top w:val="single" w:color="auto" w:sz="4" w:space="0"/>
              <w:left w:val="single" w:color="auto" w:sz="4" w:space="0"/>
              <w:bottom w:val="single" w:color="C8C8C8" w:themeColor="accent3" w:themeTint="99" w:sz="12" w:space="0"/>
              <w:right w:val="nil"/>
              <w:insideH w:val="single" w:sz="12" w:space="0"/>
              <w:insideV w:val="nil"/>
            </w:tcBorders>
            <w:shd w:val="clear" w:color="auto" w:fill="FFFFFF" w:themeFill="background1"/>
          </w:tcPr>
          <w:p w14:paraId="422275FD">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Theme</w:t>
            </w:r>
          </w:p>
        </w:tc>
        <w:tc>
          <w:tcPr>
            <w:tcW w:w="4759" w:type="dxa"/>
            <w:tcBorders>
              <w:top w:val="single" w:color="auto" w:sz="4" w:space="0"/>
              <w:bottom w:val="single" w:color="C8C8C8" w:themeColor="accent3" w:themeTint="99" w:sz="12" w:space="0"/>
              <w:right w:val="nil"/>
              <w:insideH w:val="single" w:sz="12" w:space="0"/>
              <w:insideV w:val="nil"/>
            </w:tcBorders>
            <w:shd w:val="clear" w:color="auto" w:fill="FFFFFF" w:themeFill="background1"/>
          </w:tcPr>
          <w:p w14:paraId="3F1534B7">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Corresponding Sources</w:t>
            </w:r>
          </w:p>
        </w:tc>
        <w:tc>
          <w:tcPr>
            <w:tcW w:w="1292" w:type="dxa"/>
            <w:tcBorders>
              <w:top w:val="single" w:color="auto" w:sz="4" w:space="0"/>
              <w:bottom w:val="single" w:color="C8C8C8" w:themeColor="accent3" w:themeTint="99" w:sz="12" w:space="0"/>
              <w:right w:val="single" w:color="auto" w:sz="4" w:space="0"/>
              <w:insideH w:val="single" w:sz="12" w:space="0"/>
              <w:insideV w:val="nil"/>
            </w:tcBorders>
            <w:shd w:val="clear" w:color="auto" w:fill="FFFFFF" w:themeFill="background1"/>
          </w:tcPr>
          <w:p w14:paraId="2B942719">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Source Count</w:t>
            </w:r>
          </w:p>
        </w:tc>
      </w:tr>
      <w:tr w14:paraId="3C3C5A1A">
        <w:tblPrEx>
          <w:tblLayout w:type="fixed"/>
        </w:tblPrEx>
        <w:tc>
          <w:tcPr>
            <w:tcW w:w="2965" w:type="dxa"/>
            <w:tcBorders>
              <w:left w:val="single" w:color="auto" w:sz="4" w:space="0"/>
            </w:tcBorders>
            <w:shd w:val="clear" w:color="auto" w:fill="ECECEC" w:themeFill="accent3" w:themeFillTint="33"/>
          </w:tcPr>
          <w:p w14:paraId="17C287F6">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Theme 1: Behavioural Decision-Making and Consumer Psychology</w:t>
            </w:r>
          </w:p>
        </w:tc>
        <w:tc>
          <w:tcPr>
            <w:tcW w:w="4759" w:type="dxa"/>
            <w:shd w:val="clear" w:color="auto" w:fill="ECECEC" w:themeFill="accent3" w:themeFillTint="33"/>
          </w:tcPr>
          <w:p w14:paraId="1CE6A6A3">
            <w:pPr>
              <w:pStyle w:val="26"/>
              <w:numPr>
                <w:ilvl w:val="0"/>
                <w:numId w:val="3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Higueras</w:t>
            </w:r>
            <w:r>
              <w:rPr>
                <w:rFonts w:ascii="Times New Roman" w:hAnsi="Times New Roman" w:eastAsia="Times New Roman" w:cs="Times New Roman"/>
                <w:color w:val="1F1F1F"/>
                <w:sz w:val="24"/>
                <w:szCs w:val="24"/>
                <w:lang w:eastAsia="en-GB"/>
              </w:rPr>
              <w:t xml:space="preserve">-Castillo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57936C84">
            <w:pPr>
              <w:pStyle w:val="26"/>
              <w:numPr>
                <w:ilvl w:val="0"/>
                <w:numId w:val="3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Samarasinghe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4DB6F1B9">
            <w:pPr>
              <w:pStyle w:val="26"/>
              <w:numPr>
                <w:ilvl w:val="0"/>
                <w:numId w:val="3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Arora and Singh (2024) </w:t>
            </w:r>
          </w:p>
          <w:p w14:paraId="7E642404">
            <w:pPr>
              <w:pStyle w:val="26"/>
              <w:numPr>
                <w:ilvl w:val="0"/>
                <w:numId w:val="3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Al Shurideh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(2025) </w:t>
            </w:r>
          </w:p>
          <w:p w14:paraId="62C6972D">
            <w:pPr>
              <w:pStyle w:val="26"/>
              <w:numPr>
                <w:ilvl w:val="0"/>
                <w:numId w:val="3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Sun and Lee (2024) </w:t>
            </w:r>
          </w:p>
          <w:p w14:paraId="77A27E93">
            <w:pPr>
              <w:pStyle w:val="26"/>
              <w:numPr>
                <w:ilvl w:val="0"/>
                <w:numId w:val="3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Xue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2FDEB674">
            <w:pPr>
              <w:pStyle w:val="26"/>
              <w:numPr>
                <w:ilvl w:val="0"/>
                <w:numId w:val="34"/>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Pamidimukkala</w:t>
            </w:r>
            <w:r>
              <w:rPr>
                <w:rFonts w:ascii="Times New Roman" w:hAnsi="Times New Roman" w:eastAsia="Times New Roman" w:cs="Times New Roman"/>
                <w:color w:val="1F1F1F"/>
                <w:sz w:val="24"/>
                <w:szCs w:val="24"/>
                <w:lang w:eastAsia="en-GB"/>
              </w:rPr>
              <w:t xml:space="preserv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(2025) </w:t>
            </w:r>
          </w:p>
        </w:tc>
        <w:tc>
          <w:tcPr>
            <w:tcW w:w="1292" w:type="dxa"/>
            <w:tcBorders>
              <w:right w:val="single" w:color="auto" w:sz="4" w:space="0"/>
            </w:tcBorders>
            <w:shd w:val="clear" w:color="auto" w:fill="ECECEC" w:themeFill="accent3" w:themeFillTint="33"/>
          </w:tcPr>
          <w:p w14:paraId="0E0A4D18">
            <w:pPr>
              <w:spacing w:after="0"/>
              <w:rPr>
                <w:rFonts w:eastAsia="Times New Roman" w:cs="Times New Roman"/>
                <w:color w:val="1F1F1F"/>
                <w:szCs w:val="24"/>
                <w:lang w:val="en-GB" w:eastAsia="en-GB"/>
              </w:rPr>
            </w:pPr>
            <w:r>
              <w:rPr>
                <w:rFonts w:eastAsia="Times New Roman" w:cs="Times New Roman"/>
                <w:b/>
                <w:bCs/>
                <w:color w:val="1F1F1F"/>
                <w:szCs w:val="24"/>
                <w:lang w:val="en-GB" w:eastAsia="en-GB"/>
              </w:rPr>
              <w:t>7</w:t>
            </w:r>
          </w:p>
        </w:tc>
      </w:tr>
      <w:tr w14:paraId="4D51BE0E">
        <w:tblPrEx>
          <w:tblLayout w:type="fixed"/>
        </w:tblPrEx>
        <w:tc>
          <w:tcPr>
            <w:tcW w:w="2965" w:type="dxa"/>
            <w:tcBorders>
              <w:left w:val="single" w:color="auto" w:sz="4" w:space="0"/>
            </w:tcBorders>
          </w:tcPr>
          <w:p w14:paraId="72595CC0">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Theme 2: Operational Friction and Infrastructural Bottlenecks</w:t>
            </w:r>
          </w:p>
        </w:tc>
        <w:tc>
          <w:tcPr>
            <w:tcW w:w="4759" w:type="dxa"/>
          </w:tcPr>
          <w:p w14:paraId="694832A0">
            <w:pPr>
              <w:pStyle w:val="26"/>
              <w:numPr>
                <w:ilvl w:val="0"/>
                <w:numId w:val="3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Schvartz</w:t>
            </w:r>
            <w:r>
              <w:rPr>
                <w:rFonts w:ascii="Times New Roman" w:hAnsi="Times New Roman" w:eastAsia="Times New Roman" w:cs="Times New Roman"/>
                <w:color w:val="1F1F1F"/>
                <w:sz w:val="24"/>
                <w:szCs w:val="24"/>
                <w:lang w:eastAsia="en-GB"/>
              </w:rPr>
              <w:t xml:space="preserv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11CB0E27">
            <w:pPr>
              <w:pStyle w:val="26"/>
              <w:numPr>
                <w:ilvl w:val="0"/>
                <w:numId w:val="3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Deloitte (2025) </w:t>
            </w:r>
          </w:p>
          <w:p w14:paraId="35EAA278">
            <w:pPr>
              <w:pStyle w:val="26"/>
              <w:numPr>
                <w:ilvl w:val="0"/>
                <w:numId w:val="3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Astuti and Susanto (2024) </w:t>
            </w:r>
          </w:p>
          <w:p w14:paraId="0567A732">
            <w:pPr>
              <w:pStyle w:val="26"/>
              <w:numPr>
                <w:ilvl w:val="0"/>
                <w:numId w:val="35"/>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Tsai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(2025)</w:t>
            </w:r>
          </w:p>
        </w:tc>
        <w:tc>
          <w:tcPr>
            <w:tcW w:w="1292" w:type="dxa"/>
            <w:tcBorders>
              <w:right w:val="single" w:color="auto" w:sz="4" w:space="0"/>
            </w:tcBorders>
          </w:tcPr>
          <w:p w14:paraId="7485D538">
            <w:pPr>
              <w:spacing w:after="0"/>
              <w:rPr>
                <w:rFonts w:eastAsia="Times New Roman" w:cs="Times New Roman"/>
                <w:color w:val="1F1F1F"/>
                <w:szCs w:val="24"/>
                <w:lang w:val="en-GB" w:eastAsia="en-GB"/>
              </w:rPr>
            </w:pPr>
            <w:r>
              <w:rPr>
                <w:rFonts w:eastAsia="Times New Roman" w:cs="Times New Roman"/>
                <w:b/>
                <w:bCs/>
                <w:color w:val="1F1F1F"/>
                <w:szCs w:val="24"/>
                <w:lang w:val="en-GB" w:eastAsia="en-GB"/>
              </w:rPr>
              <w:t>4</w:t>
            </w:r>
          </w:p>
        </w:tc>
      </w:tr>
      <w:tr w14:paraId="5F960001">
        <w:tblPrEx>
          <w:tblLayout w:type="fixed"/>
        </w:tblPrEx>
        <w:tc>
          <w:tcPr>
            <w:tcW w:w="2965" w:type="dxa"/>
            <w:tcBorders>
              <w:left w:val="single" w:color="auto" w:sz="4" w:space="0"/>
              <w:bottom w:val="single" w:color="auto" w:sz="4" w:space="0"/>
            </w:tcBorders>
            <w:shd w:val="clear" w:color="auto" w:fill="ECECEC" w:themeFill="accent3" w:themeFillTint="33"/>
          </w:tcPr>
          <w:p w14:paraId="53F4EA8A">
            <w:pPr>
              <w:spacing w:after="0"/>
              <w:rPr>
                <w:rFonts w:eastAsia="Times New Roman" w:cs="Times New Roman"/>
                <w:b w:val="0"/>
                <w:bCs w:val="0"/>
                <w:color w:val="1F1F1F"/>
                <w:szCs w:val="24"/>
                <w:lang w:val="en-GB" w:eastAsia="en-GB"/>
              </w:rPr>
            </w:pPr>
            <w:r>
              <w:rPr>
                <w:rFonts w:eastAsia="Times New Roman" w:cs="Times New Roman"/>
                <w:b/>
                <w:bCs/>
                <w:color w:val="1F1F1F"/>
                <w:szCs w:val="24"/>
                <w:lang w:val="en-GB" w:eastAsia="en-GB"/>
              </w:rPr>
              <w:t xml:space="preserve">Theme 3: Strategic Marketing, Knowledge </w:t>
            </w:r>
            <w:r>
              <w:rPr>
                <w:rFonts w:eastAsia="Times New Roman" w:cs="Times New Roman"/>
                <w:b/>
                <w:bCs/>
                <w:color w:val="1F1F1F"/>
                <w:szCs w:val="24"/>
                <w:lang w:val="en-GB" w:eastAsia="en-GB"/>
              </w:rPr>
              <w:t>Mediation, &amp; Market Dynamics</w:t>
            </w:r>
          </w:p>
        </w:tc>
        <w:tc>
          <w:tcPr>
            <w:tcW w:w="4759" w:type="dxa"/>
            <w:tcBorders>
              <w:bottom w:val="single" w:color="auto" w:sz="4" w:space="0"/>
            </w:tcBorders>
            <w:shd w:val="clear" w:color="auto" w:fill="ECECEC" w:themeFill="accent3" w:themeFillTint="33"/>
          </w:tcPr>
          <w:p w14:paraId="75D68699">
            <w:pPr>
              <w:pStyle w:val="26"/>
              <w:numPr>
                <w:ilvl w:val="0"/>
                <w:numId w:val="3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Venus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41F68CF3">
            <w:pPr>
              <w:pStyle w:val="26"/>
              <w:numPr>
                <w:ilvl w:val="0"/>
                <w:numId w:val="3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MSX (2025) </w:t>
            </w:r>
          </w:p>
          <w:p w14:paraId="2A8A1960">
            <w:pPr>
              <w:pStyle w:val="26"/>
              <w:numPr>
                <w:ilvl w:val="0"/>
                <w:numId w:val="3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Goswamy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0EFC3C37">
            <w:pPr>
              <w:pStyle w:val="26"/>
              <w:numPr>
                <w:ilvl w:val="0"/>
                <w:numId w:val="3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Joghee</w:t>
            </w:r>
            <w:r>
              <w:rPr>
                <w:rFonts w:ascii="Times New Roman" w:hAnsi="Times New Roman" w:eastAsia="Times New Roman" w:cs="Times New Roman"/>
                <w:color w:val="1F1F1F"/>
                <w:sz w:val="24"/>
                <w:szCs w:val="24"/>
                <w:lang w:eastAsia="en-GB"/>
              </w:rPr>
              <w:t xml:space="preserve">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7D9EB044">
            <w:pPr>
              <w:pStyle w:val="26"/>
              <w:numPr>
                <w:ilvl w:val="0"/>
                <w:numId w:val="3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Song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(2025) </w:t>
            </w:r>
          </w:p>
          <w:p w14:paraId="4BDD19F0">
            <w:pPr>
              <w:pStyle w:val="26"/>
              <w:numPr>
                <w:ilvl w:val="0"/>
                <w:numId w:val="3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Gupta </w:t>
            </w:r>
            <w:r>
              <w:rPr>
                <w:rFonts w:ascii="Times New Roman" w:hAnsi="Times New Roman" w:eastAsia="Times New Roman" w:cs="Times New Roman"/>
                <w:i/>
                <w:color w:val="1F1F1F"/>
                <w:sz w:val="24"/>
                <w:szCs w:val="24"/>
                <w:lang w:eastAsia="en-GB"/>
              </w:rPr>
              <w:t>et al</w:t>
            </w:r>
            <w:r>
              <w:rPr>
                <w:rFonts w:ascii="Times New Roman" w:hAnsi="Times New Roman" w:eastAsia="Times New Roman" w:cs="Times New Roman"/>
                <w:color w:val="1F1F1F"/>
                <w:sz w:val="24"/>
                <w:szCs w:val="24"/>
                <w:lang w:eastAsia="en-GB"/>
              </w:rPr>
              <w:t xml:space="preserve">. (2024) </w:t>
            </w:r>
          </w:p>
          <w:p w14:paraId="7C38E220">
            <w:pPr>
              <w:pStyle w:val="26"/>
              <w:numPr>
                <w:ilvl w:val="0"/>
                <w:numId w:val="3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IBEF (2025) </w:t>
            </w:r>
          </w:p>
          <w:p w14:paraId="2D47F2F1">
            <w:pPr>
              <w:pStyle w:val="26"/>
              <w:numPr>
                <w:ilvl w:val="0"/>
                <w:numId w:val="3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IEA (2025) </w:t>
            </w:r>
          </w:p>
          <w:p w14:paraId="3C3FD135">
            <w:pPr>
              <w:pStyle w:val="26"/>
              <w:numPr>
                <w:ilvl w:val="0"/>
                <w:numId w:val="36"/>
              </w:numPr>
              <w:spacing w:after="0" w:line="360" w:lineRule="auto"/>
              <w:rPr>
                <w:rFonts w:ascii="Times New Roman" w:hAnsi="Times New Roman" w:eastAsia="Times New Roman" w:cs="Times New Roman"/>
                <w:color w:val="1F1F1F"/>
                <w:sz w:val="24"/>
                <w:szCs w:val="24"/>
                <w:lang w:eastAsia="en-GB"/>
              </w:rPr>
            </w:pPr>
            <w:r>
              <w:rPr>
                <w:rFonts w:ascii="Times New Roman" w:hAnsi="Times New Roman" w:eastAsia="Times New Roman" w:cs="Times New Roman"/>
                <w:color w:val="1F1F1F"/>
                <w:sz w:val="24"/>
                <w:szCs w:val="24"/>
                <w:lang w:eastAsia="en-GB"/>
              </w:rPr>
              <w:t xml:space="preserve">Fortune Business Insights (2024) </w:t>
            </w:r>
          </w:p>
        </w:tc>
        <w:tc>
          <w:tcPr>
            <w:tcW w:w="1292" w:type="dxa"/>
            <w:tcBorders>
              <w:bottom w:val="single" w:color="auto" w:sz="4" w:space="0"/>
              <w:right w:val="single" w:color="auto" w:sz="4" w:space="0"/>
            </w:tcBorders>
            <w:shd w:val="clear" w:color="auto" w:fill="ECECEC" w:themeFill="accent3" w:themeFillTint="33"/>
          </w:tcPr>
          <w:p w14:paraId="7749A6EE">
            <w:pPr>
              <w:spacing w:after="0"/>
              <w:rPr>
                <w:rFonts w:eastAsia="Times New Roman" w:cs="Times New Roman"/>
                <w:color w:val="1F1F1F"/>
                <w:szCs w:val="24"/>
                <w:lang w:val="en-GB" w:eastAsia="en-GB"/>
              </w:rPr>
            </w:pPr>
            <w:r>
              <w:rPr>
                <w:rFonts w:eastAsia="Times New Roman" w:cs="Times New Roman"/>
                <w:b/>
                <w:bCs/>
                <w:color w:val="1F1F1F"/>
                <w:szCs w:val="24"/>
                <w:lang w:val="en-GB" w:eastAsia="en-GB"/>
              </w:rPr>
              <w:t>9</w:t>
            </w:r>
          </w:p>
        </w:tc>
      </w:tr>
    </w:tbl>
    <w:p w14:paraId="188B16D5">
      <w:pPr>
        <w:pStyle w:val="6"/>
      </w:pPr>
      <w:bookmarkStart w:id="84" w:name="_Toc238753116"/>
      <w:r>
        <w:t>Table 4.6: Mapping themes with sources</w:t>
      </w:r>
      <w:bookmarkEnd w:id="84"/>
      <w:r>
        <w:t xml:space="preserve"> </w:t>
      </w:r>
    </w:p>
    <w:p w14:paraId="2AF7B582">
      <w:pPr>
        <w:jc w:val="center"/>
        <w:rPr>
          <w:rFonts w:cs="Times New Roman"/>
        </w:rPr>
      </w:pPr>
      <w:r>
        <w:rPr>
          <w:rFonts w:cs="Times New Roman"/>
        </w:rPr>
        <w:t>(Source: Self-created)</w:t>
      </w:r>
    </w:p>
    <w:p w14:paraId="7BFB04AE">
      <w:pPr>
        <w:jc w:val="center"/>
        <w:rPr>
          <w:rFonts w:cs="Times New Roman"/>
        </w:rPr>
      </w:pPr>
      <w:r>
        <w:rPr>
          <w:lang w:val="en-GB" w:eastAsia="en-GB"/>
        </w:rPr>
        <w:drawing>
          <wp:inline distT="0" distB="0" distL="0" distR="0">
            <wp:extent cx="4572000" cy="27432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7EF79D9">
      <w:pPr>
        <w:pStyle w:val="5"/>
      </w:pPr>
      <w:bookmarkStart w:id="85" w:name="_Toc238759270"/>
      <w:r>
        <w:t>Figure 4.3: Mapping sources with themes</w:t>
      </w:r>
      <w:bookmarkEnd w:id="85"/>
    </w:p>
    <w:p w14:paraId="692276BC">
      <w:pPr>
        <w:jc w:val="center"/>
        <w:rPr>
          <w:rFonts w:cs="Times New Roman"/>
        </w:rPr>
      </w:pPr>
      <w:r>
        <w:rPr>
          <w:rFonts w:cs="Times New Roman"/>
        </w:rPr>
        <w:t>(Source: Self-created)</w:t>
      </w:r>
    </w:p>
    <w:p w14:paraId="6A3202A1">
      <w:pPr>
        <w:rPr>
          <w:rFonts w:eastAsiaTheme="majorEastAsia" w:cstheme="majorBidi"/>
          <w:b/>
          <w:color w:val="000000" w:themeColor="text1"/>
          <w:sz w:val="26"/>
          <w:szCs w:val="26"/>
          <w14:textFill>
            <w14:solidFill>
              <w14:schemeClr w14:val="tx1"/>
            </w14:solidFill>
          </w14:textFill>
        </w:rPr>
      </w:pPr>
      <w:r>
        <w:br w:type="page"/>
      </w:r>
    </w:p>
    <w:p w14:paraId="1B9BCFC1">
      <w:pPr>
        <w:pStyle w:val="3"/>
      </w:pPr>
      <w:bookmarkStart w:id="86" w:name="_Toc241218798"/>
      <w:r>
        <w:rPr>
          <w:lang w:val="en-GB" w:eastAsia="en-GB"/>
        </w:rPr>
        <mc:AlternateContent>
          <mc:Choice Requires="wpg">
            <w:drawing>
              <wp:anchor distT="0" distB="0" distL="114300" distR="114300" simplePos="0" relativeHeight="251658240" behindDoc="0" locked="0" layoutInCell="1" allowOverlap="1">
                <wp:simplePos x="0" y="0"/>
                <wp:positionH relativeFrom="column">
                  <wp:posOffset>-434340</wp:posOffset>
                </wp:positionH>
                <wp:positionV relativeFrom="paragraph">
                  <wp:posOffset>297180</wp:posOffset>
                </wp:positionV>
                <wp:extent cx="6614160" cy="9037320"/>
                <wp:effectExtent l="0" t="0" r="15240" b="11430"/>
                <wp:wrapNone/>
                <wp:docPr id="5" name="Group 5"/>
                <wp:cNvGraphicFramePr/>
                <a:graphic xmlns:a="http://schemas.openxmlformats.org/drawingml/2006/main">
                  <a:graphicData uri="http://schemas.microsoft.com/office/word/2010/wordprocessingGroup">
                    <wpg:wgp>
                      <wpg:cNvGrpSpPr/>
                      <wpg:grpSpPr>
                        <a:xfrm>
                          <a:off x="0" y="0"/>
                          <a:ext cx="6614160" cy="9037320"/>
                          <a:chOff x="0" y="0"/>
                          <a:chExt cx="6614160" cy="9037320"/>
                        </a:xfrm>
                      </wpg:grpSpPr>
                      <wps:wsp>
                        <wps:cNvPr id="6" name="Rounded Rectangle 6"/>
                        <wps:cNvSpPr/>
                        <wps:spPr>
                          <a:xfrm>
                            <a:off x="99060" y="0"/>
                            <a:ext cx="1988820" cy="411480"/>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2458EA06">
                              <w:pPr>
                                <w:jc w:val="center"/>
                                <w:rPr>
                                  <w:lang w:val="en-US"/>
                                </w:rPr>
                              </w:pPr>
                              <w:r>
                                <w:rPr>
                                  <w:lang w:val="en-US"/>
                                </w:rPr>
                                <w:t>Initial codes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7" name="Rounded Rectangle 7"/>
                        <wps:cNvSpPr/>
                        <wps:spPr>
                          <a:xfrm>
                            <a:off x="2346960" y="0"/>
                            <a:ext cx="1988820" cy="411480"/>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3BAE478D">
                              <w:pPr>
                                <w:jc w:val="center"/>
                                <w:rPr>
                                  <w:lang w:val="en-US"/>
                                </w:rPr>
                              </w:pPr>
                              <w:r>
                                <w:rPr>
                                  <w:lang w:val="en-US"/>
                                </w:rPr>
                                <w:t>Subthemes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 name="Rounded Rectangle 8"/>
                        <wps:cNvSpPr/>
                        <wps:spPr>
                          <a:xfrm>
                            <a:off x="4625340" y="0"/>
                            <a:ext cx="1988820" cy="411480"/>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02A208B4">
                              <w:pPr>
                                <w:jc w:val="center"/>
                                <w:rPr>
                                  <w:lang w:val="en-US"/>
                                </w:rPr>
                              </w:pPr>
                              <w:r>
                                <w:rPr>
                                  <w:lang w:val="en-US"/>
                                </w:rPr>
                                <w:t>Themes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9" name="Rectangle 9"/>
                        <wps:cNvSpPr/>
                        <wps:spPr>
                          <a:xfrm>
                            <a:off x="0" y="556260"/>
                            <a:ext cx="2240280" cy="208788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07118560">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Cross-cultural adoption</w:t>
                              </w:r>
                            </w:p>
                            <w:p w14:paraId="46366E7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Adoption intentions</w:t>
                              </w:r>
                            </w:p>
                            <w:p w14:paraId="3138CD15">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Consumer attitudes</w:t>
                              </w:r>
                            </w:p>
                            <w:p w14:paraId="6B207026">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Non-user perspectives</w:t>
                              </w:r>
                            </w:p>
                            <w:p w14:paraId="567B539F">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Purchase intention</w:t>
                              </w:r>
                            </w:p>
                            <w:p w14:paraId="5443D14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Adoption barriers</w:t>
                              </w:r>
                            </w:p>
                            <w:p w14:paraId="48C16F4F">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Green mobility transition</w:t>
                              </w:r>
                            </w:p>
                            <w:p w14:paraId="3FD7F899">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Purchase motivators</w:t>
                              </w:r>
                            </w:p>
                            <w:p w14:paraId="5B68E9AF">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Emerging market dynamics</w:t>
                              </w:r>
                            </w:p>
                            <w:p w14:paraId="62D9D230">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Economic influences</w:t>
                              </w:r>
                            </w:p>
                            <w:p w14:paraId="59615FB1">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Attitude mediation</w:t>
                              </w:r>
                            </w:p>
                            <w:p w14:paraId="07A0E47E">
                              <w:pPr>
                                <w:pStyle w:val="26"/>
                                <w:numPr>
                                  <w:ilvl w:val="0"/>
                                  <w:numId w:val="1"/>
                                </w:numPr>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Regional market drivers</w:t>
                              </w:r>
                            </w:p>
                            <w:p w14:paraId="426A6B6C">
                              <w:pPr>
                                <w:pStyle w:val="26"/>
                                <w:numPr>
                                  <w:ilvl w:val="0"/>
                                  <w:numId w:val="1"/>
                                </w:numPr>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European consumer perception</w:t>
                              </w:r>
                            </w:p>
                            <w:p w14:paraId="07A7EA2D">
                              <w:pPr>
                                <w:pStyle w:val="26"/>
                                <w:numPr>
                                  <w:ilvl w:val="0"/>
                                  <w:numId w:val="1"/>
                                </w:numPr>
                                <w:spacing w:line="240" w:lineRule="auto"/>
                                <w:rPr>
                                  <w:rFonts w:ascii="Times New Roman" w:hAnsi="Times New Roman" w:eastAsia="Times New Roman" w:cs="Times New Roman"/>
                                  <w:color w:val="1F1F1F"/>
                                  <w:sz w:val="20"/>
                                  <w:szCs w:val="24"/>
                                  <w:lang w:eastAsia="en-GB"/>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0" name="Rectangle 10"/>
                        <wps:cNvSpPr/>
                        <wps:spPr>
                          <a:xfrm>
                            <a:off x="0" y="2796540"/>
                            <a:ext cx="2240280" cy="208788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63E05FBA">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Changing consumer needs</w:t>
                              </w:r>
                            </w:p>
                            <w:p w14:paraId="31C561A6">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Electrification impact</w:t>
                              </w:r>
                            </w:p>
                            <w:p w14:paraId="7C3FF98A">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Industry adaptation</w:t>
                              </w:r>
                            </w:p>
                            <w:p w14:paraId="3D5513FA">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Consumer-driven demand</w:t>
                              </w:r>
                            </w:p>
                            <w:p w14:paraId="03EC2694">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Transition drivers</w:t>
                              </w:r>
                            </w:p>
                            <w:p w14:paraId="1590BD8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Indian automotive shift</w:t>
                              </w:r>
                            </w:p>
                            <w:p w14:paraId="6CC4B67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Trade-off evaluation</w:t>
                              </w:r>
                            </w:p>
                            <w:p w14:paraId="5199EBAB">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Infrastructure availability</w:t>
                              </w:r>
                            </w:p>
                            <w:p w14:paraId="18F2EE8B">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Battery safety concerns</w:t>
                              </w:r>
                            </w:p>
                            <w:p w14:paraId="3AB601CB">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Adoption barriers</w:t>
                              </w:r>
                            </w:p>
                            <w:p w14:paraId="736FA48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Hidden friction factors</w:t>
                              </w:r>
                            </w:p>
                            <w:p w14:paraId="1D07E2C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Emerging economy obstacles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1" name="Rectangle 11"/>
                        <wps:cNvSpPr/>
                        <wps:spPr>
                          <a:xfrm>
                            <a:off x="0" y="5044440"/>
                            <a:ext cx="2240280" cy="200406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2DC2BDC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Extended TAM</w:t>
                              </w:r>
                            </w:p>
                            <w:p w14:paraId="22F844C1">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Perceived usefulness</w:t>
                              </w:r>
                            </w:p>
                            <w:p w14:paraId="29726D71">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Technology acceptance</w:t>
                              </w:r>
                            </w:p>
                            <w:p w14:paraId="25DD4CE9">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Marketing communications</w:t>
                              </w:r>
                            </w:p>
                            <w:p w14:paraId="35DC5DB6">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Perceived value</w:t>
                              </w:r>
                            </w:p>
                            <w:p w14:paraId="6203EB81">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Luxury EV segment</w:t>
                              </w:r>
                            </w:p>
                            <w:p w14:paraId="4B6E8C47">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Information mediation</w:t>
                              </w:r>
                            </w:p>
                            <w:p w14:paraId="6B086684">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Consumer awareness</w:t>
                              </w:r>
                            </w:p>
                            <w:p w14:paraId="3C51D74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Domain knowledge</w:t>
                              </w:r>
                            </w:p>
                            <w:p w14:paraId="2ABCAC6A">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Extended TPB</w:t>
                              </w:r>
                            </w:p>
                            <w:p w14:paraId="232F2E62">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Behavioural control</w:t>
                              </w:r>
                            </w:p>
                            <w:p w14:paraId="64133134">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Subjective norms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2" name="Rectangle 12"/>
                        <wps:cNvSpPr/>
                        <wps:spPr>
                          <a:xfrm>
                            <a:off x="0" y="7178040"/>
                            <a:ext cx="2240280" cy="185928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0D4325F">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Market growth projections</w:t>
                              </w:r>
                            </w:p>
                            <w:p w14:paraId="779D3A47">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Technological innovations</w:t>
                              </w:r>
                            </w:p>
                            <w:p w14:paraId="65D1B8D7">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Industry trends</w:t>
                              </w:r>
                            </w:p>
                            <w:p w14:paraId="39AD047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Global market trends</w:t>
                              </w:r>
                            </w:p>
                            <w:p w14:paraId="3D914CC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EV outlook</w:t>
                              </w:r>
                            </w:p>
                            <w:p w14:paraId="0A3C532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Adoption trajectories</w:t>
                              </w:r>
                            </w:p>
                            <w:p w14:paraId="474FC51B">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Market size forecast</w:t>
                              </w:r>
                            </w:p>
                            <w:p w14:paraId="5A497BE4">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Financial growth trends</w:t>
                              </w:r>
                            </w:p>
                            <w:p w14:paraId="5022C6EC">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Commercial projections</w:t>
                              </w:r>
                            </w:p>
                            <w:p w14:paraId="6136378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SUV market dynamics</w:t>
                              </w:r>
                            </w:p>
                            <w:p w14:paraId="77FE2B0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Decision-making process</w:t>
                              </w:r>
                            </w:p>
                            <w:p w14:paraId="6CC5DA0C">
                              <w:pPr>
                                <w:spacing w:line="240" w:lineRule="auto"/>
                                <w:rPr>
                                  <w:rFonts w:eastAsia="Times New Roman" w:cs="Times New Roman"/>
                                  <w:color w:val="1F1F1F"/>
                                  <w:sz w:val="20"/>
                                  <w:szCs w:val="24"/>
                                  <w:lang w:eastAsia="en-GB"/>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3" name="Rounded Rectangle 13"/>
                        <wps:cNvSpPr/>
                        <wps:spPr>
                          <a:xfrm>
                            <a:off x="2621280" y="784860"/>
                            <a:ext cx="1912620" cy="20955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4153E937">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Behavioural decision-making models (TAM, TPB) </w:t>
                              </w:r>
                            </w:p>
                            <w:p w14:paraId="4B26B57A">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Innovation resistance, non-user barriers, and consumer hesitation </w:t>
                              </w:r>
                            </w:p>
                            <w:p w14:paraId="270CE2A3">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Socio-demographics and cross-cultural adoption intentions </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4" name="Rounded Rectangle 14"/>
                        <wps:cNvSpPr/>
                        <wps:spPr>
                          <a:xfrm>
                            <a:off x="2674620" y="3573780"/>
                            <a:ext cx="1912620" cy="20955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475247D5">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Infrastructure availability and charging network limitations </w:t>
                              </w:r>
                            </w:p>
                            <w:p w14:paraId="3A9A81FB">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Range anxiety, battery performance and safety concerns </w:t>
                              </w:r>
                            </w:p>
                            <w:p w14:paraId="54795E96">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Trade-off evaluations between practical obstacles and EV benefits </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5" name="Rounded Rectangle 15"/>
                        <wps:cNvSpPr/>
                        <wps:spPr>
                          <a:xfrm>
                            <a:off x="2674620" y="6438900"/>
                            <a:ext cx="1912620" cy="229362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4762462B">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Role of consumer awareness and domain knowledge as mediators </w:t>
                              </w:r>
                            </w:p>
                            <w:p w14:paraId="202ABC4F">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Marketing communications, brand preference, and perceived value </w:t>
                              </w:r>
                            </w:p>
                            <w:p w14:paraId="2286F0A0">
                              <w:pPr>
                                <w:pStyle w:val="26"/>
                                <w:numPr>
                                  <w:ilvl w:val="0"/>
                                  <w:numId w:val="26"/>
                                </w:numPr>
                                <w:spacing w:after="0" w:line="240" w:lineRule="auto"/>
                                <w:jc w:val="both"/>
                                <w:rPr>
                                  <w:rFonts w:ascii="Times New Roman" w:hAnsi="Times New Roman" w:eastAsia="Times New Roman" w:cs="Times New Roman"/>
                                  <w:color w:val="1F1F1F"/>
                                  <w:sz w:val="16"/>
                                  <w:szCs w:val="24"/>
                                  <w:lang w:eastAsia="en-GB"/>
                                </w:rPr>
                              </w:pPr>
                              <w:r>
                                <w:rPr>
                                  <w:rFonts w:ascii="Times New Roman" w:hAnsi="Times New Roman" w:eastAsia="Times New Roman" w:cs="Times New Roman"/>
                                  <w:color w:val="1F1F1F"/>
                                  <w:sz w:val="20"/>
                                  <w:szCs w:val="24"/>
                                  <w:lang w:eastAsia="en-GB"/>
                                </w:rPr>
                                <w:t xml:space="preserve">Segment dynamics across luxury vehicles, SUVs, and regional markets </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6" name="Snip Diagonal Corner Rectangle 16"/>
                        <wps:cNvSpPr/>
                        <wps:spPr>
                          <a:xfrm>
                            <a:off x="4960620" y="1104900"/>
                            <a:ext cx="1470660" cy="1691640"/>
                          </a:xfrm>
                          <a:prstGeom prst="snip2DiagRect">
                            <a:avLst/>
                          </a:prstGeom>
                        </wps:spPr>
                        <wps:style>
                          <a:lnRef idx="1">
                            <a:schemeClr val="accent2"/>
                          </a:lnRef>
                          <a:fillRef idx="2">
                            <a:schemeClr val="accent2"/>
                          </a:fillRef>
                          <a:effectRef idx="1">
                            <a:schemeClr val="accent2"/>
                          </a:effectRef>
                          <a:fontRef idx="minor">
                            <a:schemeClr val="dk1"/>
                          </a:fontRef>
                        </wps:style>
                        <wps:txbx>
                          <w:txbxContent>
                            <w:p w14:paraId="397CF29C">
                              <w:pPr>
                                <w:jc w:val="center"/>
                              </w:pPr>
                              <w:r>
                                <w:rPr>
                                  <w:rFonts w:eastAsia="Times New Roman" w:cs="Times New Roman"/>
                                  <w:i/>
                                  <w:iCs/>
                                  <w:color w:val="1F1F1F"/>
                                  <w:szCs w:val="24"/>
                                  <w:lang w:eastAsia="en-GB"/>
                                </w:rPr>
                                <w:t>Theme 1: Behavioural Decision-Making and Consumer Psychology</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7" name="Snip Diagonal Corner Rectangle 17"/>
                        <wps:cNvSpPr/>
                        <wps:spPr>
                          <a:xfrm>
                            <a:off x="5013960" y="3893820"/>
                            <a:ext cx="1470660" cy="1493520"/>
                          </a:xfrm>
                          <a:prstGeom prst="snip2DiagRect">
                            <a:avLst/>
                          </a:prstGeom>
                        </wps:spPr>
                        <wps:style>
                          <a:lnRef idx="1">
                            <a:schemeClr val="accent2"/>
                          </a:lnRef>
                          <a:fillRef idx="2">
                            <a:schemeClr val="accent2"/>
                          </a:fillRef>
                          <a:effectRef idx="1">
                            <a:schemeClr val="accent2"/>
                          </a:effectRef>
                          <a:fontRef idx="minor">
                            <a:schemeClr val="dk1"/>
                          </a:fontRef>
                        </wps:style>
                        <wps:txbx>
                          <w:txbxContent>
                            <w:p w14:paraId="487E3DB1">
                              <w:pPr>
                                <w:jc w:val="center"/>
                              </w:pPr>
                              <w:r>
                                <w:rPr>
                                  <w:rFonts w:eastAsia="Times New Roman" w:cs="Times New Roman"/>
                                  <w:i/>
                                  <w:iCs/>
                                  <w:color w:val="1F1F1F"/>
                                  <w:szCs w:val="24"/>
                                  <w:lang w:eastAsia="en-GB"/>
                                </w:rPr>
                                <w:t>Theme 2: Operational Friction and Infrastructural Bottlenecks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8" name="Snip Diagonal Corner Rectangle 18"/>
                        <wps:cNvSpPr/>
                        <wps:spPr>
                          <a:xfrm>
                            <a:off x="5013960" y="6667500"/>
                            <a:ext cx="1470660" cy="1775460"/>
                          </a:xfrm>
                          <a:prstGeom prst="snip2DiagRect">
                            <a:avLst/>
                          </a:prstGeom>
                        </wps:spPr>
                        <wps:style>
                          <a:lnRef idx="1">
                            <a:schemeClr val="accent2"/>
                          </a:lnRef>
                          <a:fillRef idx="2">
                            <a:schemeClr val="accent2"/>
                          </a:fillRef>
                          <a:effectRef idx="1">
                            <a:schemeClr val="accent2"/>
                          </a:effectRef>
                          <a:fontRef idx="minor">
                            <a:schemeClr val="dk1"/>
                          </a:fontRef>
                        </wps:style>
                        <wps:txbx>
                          <w:txbxContent>
                            <w:p w14:paraId="72007929">
                              <w:pPr>
                                <w:jc w:val="center"/>
                              </w:pPr>
                              <w:r>
                                <w:rPr>
                                  <w:rFonts w:eastAsia="Times New Roman" w:cs="Times New Roman"/>
                                  <w:i/>
                                  <w:iCs/>
                                  <w:color w:val="1F1F1F"/>
                                  <w:szCs w:val="24"/>
                                  <w:lang w:eastAsia="en-GB"/>
                                </w:rPr>
                                <w:t>Theme 3: Strategic Marketing, Knowledge Mediation and Market Dynamics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9" name="Straight Arrow Connector 19"/>
                        <wps:cNvCnPr/>
                        <wps:spPr>
                          <a:xfrm>
                            <a:off x="2240280" y="1234440"/>
                            <a:ext cx="381000" cy="236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 name="Straight Arrow Connector 20"/>
                        <wps:cNvCnPr/>
                        <wps:spPr>
                          <a:xfrm>
                            <a:off x="2240280" y="1234440"/>
                            <a:ext cx="434340" cy="3390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 name="Straight Arrow Connector 21"/>
                        <wps:cNvCnPr/>
                        <wps:spPr>
                          <a:xfrm>
                            <a:off x="2240280" y="3977640"/>
                            <a:ext cx="434340" cy="754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wps:cNvCnPr/>
                        <wps:spPr>
                          <a:xfrm flipV="1">
                            <a:off x="2202180" y="5242560"/>
                            <a:ext cx="472440" cy="1043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flipV="1">
                            <a:off x="2202180" y="2118360"/>
                            <a:ext cx="419100" cy="1661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a:off x="2202180" y="6233160"/>
                            <a:ext cx="472440" cy="17297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 name="Straight Arrow Connector 25"/>
                        <wps:cNvCnPr/>
                        <wps:spPr>
                          <a:xfrm flipV="1">
                            <a:off x="2240280" y="7901940"/>
                            <a:ext cx="434340" cy="434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 name="Straight Arrow Connector 26"/>
                        <wps:cNvCnPr/>
                        <wps:spPr>
                          <a:xfrm>
                            <a:off x="4495800" y="1798320"/>
                            <a:ext cx="464820" cy="106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 name="Straight Arrow Connector 27"/>
                        <wps:cNvCnPr/>
                        <wps:spPr>
                          <a:xfrm>
                            <a:off x="4587240" y="4366260"/>
                            <a:ext cx="42672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wps:spPr>
                          <a:xfrm>
                            <a:off x="4587240" y="7277100"/>
                            <a:ext cx="426720" cy="137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_x0000_s1026" o:spid="_x0000_s1026" o:spt="203" style="position:absolute;left:0pt;margin-left:-34.2pt;margin-top:23.4pt;height:711.6pt;width:520.8pt;z-index:251658240;mso-width-relative:page;mso-height-relative:page;" coordsize="6614160,9037320" o:gfxdata="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&#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">
                <o:lock v:ext="edit" aspectratio="f"/>
                <v:roundrect id="_x0000_s1026" o:spid="_x0000_s1026" o:spt="2" style="position:absolute;left:99060;top:0;height:411480;width:1988820;v-text-anchor:middle;" fillcolor="#FFFFFF [3201]" filled="t" stroked="t" coordsize="21600,21600" arcsize="0.166666666666667" o:gfxdata="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P7dre8AAAA&#10;2gAAAA8AAAAAAAAAAQAgAAAAIgAAAGRycy9kb3ducmV2LnhtbFBLAQIUABQAAAAIAIdO4kAzLwWe&#10;OwAAADkAAAAQAAAAAAAAAAEAIAAAAAsBAABkcnMvc2hhcGV4bWwueG1sUEsFBgAAAAAGAAYAWwEA&#10;ALUDAAAAAAAA&#10;">
                  <v:fill on="t" focussize="0,0"/>
                  <v:stroke weight="1pt" color="#A5A5A5 [3206]" miterlimit="8" joinstyle="miter"/>
                  <v:imagedata o:title=""/>
                  <o:lock v:ext="edit" aspectratio="f"/>
                  <v:textbox>
                    <w:txbxContent>
                      <w:p w14:paraId="2458EA06">
                        <w:pPr>
                          <w:jc w:val="center"/>
                          <w:rPr>
                            <w:lang w:val="en-US"/>
                          </w:rPr>
                        </w:pPr>
                        <w:r>
                          <w:rPr>
                            <w:lang w:val="en-US"/>
                          </w:rPr>
                          <w:t>Initial codes</w:t>
                        </w:r>
                      </w:p>
                    </w:txbxContent>
                  </v:textbox>
                </v:roundrect>
                <v:roundrect id="_x0000_s1026" o:spid="_x0000_s1026" o:spt="2" style="position:absolute;left:2346960;top:0;height:411480;width:1988820;v-text-anchor:middle;" fillcolor="#FFFFFF [3201]" filled="t" stroked="t" coordsize="21600,21600" arcsize="0.166666666666667" o:gfxdata="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ct9MsvQAA&#10;ANoAAAAPAAAAAAAAAAEAIAAAACIAAABkcnMvZG93bnJldi54bWxQSwECFAAUAAAACACHTuJAMy8F&#10;njsAAAA5AAAAEAAAAAAAAAABACAAAAAMAQAAZHJzL3NoYXBleG1sLnhtbFBLBQYAAAAABgAGAFsB&#10;AAC2AwAAAAAA&#10;">
                  <v:fill on="t" focussize="0,0"/>
                  <v:stroke weight="1pt" color="#A5A5A5 [3206]" miterlimit="8" joinstyle="miter"/>
                  <v:imagedata o:title=""/>
                  <o:lock v:ext="edit" aspectratio="f"/>
                  <v:textbox>
                    <w:txbxContent>
                      <w:p w14:paraId="3BAE478D">
                        <w:pPr>
                          <w:jc w:val="center"/>
                          <w:rPr>
                            <w:lang w:val="en-US"/>
                          </w:rPr>
                        </w:pPr>
                        <w:r>
                          <w:rPr>
                            <w:lang w:val="en-US"/>
                          </w:rPr>
                          <w:t>Subthemes</w:t>
                        </w:r>
                      </w:p>
                    </w:txbxContent>
                  </v:textbox>
                </v:roundrect>
                <v:roundrect id="_x0000_s1026" o:spid="_x0000_s1026" o:spt="2" style="position:absolute;left:4625340;top:0;height:411480;width:1988820;v-text-anchor:middle;" fillcolor="#FFFFFF [3201]" filled="t" stroked="t" coordsize="21600,21600" arcsize="0.166666666666667" o:gfxdata="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LShHXrsAAADa&#10;AAAADwAAAAAAAAABACAAAAAiAAAAZHJzL2Rvd25yZXYueG1sUEsBAhQAFAAAAAgAh07iQDMvBZ47&#10;AAAAOQAAABAAAAAAAAAAAQAgAAAACgEAAGRycy9zaGFwZXhtbC54bWxQSwUGAAAAAAYABgBbAQAA&#10;tAMAAAAA&#10;">
                  <v:fill on="t" focussize="0,0"/>
                  <v:stroke weight="1pt" color="#A5A5A5 [3206]" miterlimit="8" joinstyle="miter"/>
                  <v:imagedata o:title=""/>
                  <o:lock v:ext="edit" aspectratio="f"/>
                  <v:textbox>
                    <w:txbxContent>
                      <w:p w14:paraId="02A208B4">
                        <w:pPr>
                          <w:jc w:val="center"/>
                          <w:rPr>
                            <w:lang w:val="en-US"/>
                          </w:rPr>
                        </w:pPr>
                        <w:r>
                          <w:rPr>
                            <w:lang w:val="en-US"/>
                          </w:rPr>
                          <w:t>Themes</w:t>
                        </w:r>
                      </w:p>
                    </w:txbxContent>
                  </v:textbox>
                </v:roundrect>
                <v:rect id="Rectangle 9" o:spid="_x0000_s1026" o:spt="1" style="position:absolute;left:0;top:556260;height:2087880;width:2240280;v-text-anchor:middle;" fillcolor="#FFDD9C [3536]" filled="t" stroked="t" coordsize="21600,21600" o:gfxdata="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Mn/f5S/&#10;AAAA2gAAAA8AAAAAAAAAAQAgAAAAIgAAAGRycy9kb3ducmV2LnhtbFBLAQIUABQAAAAIAIdO4kAz&#10;LwWeOwAAADkAAAAQAAAAAAAAAAEAIAAAAA4BAABkcnMvc2hhcGV4bWwueG1sUEsFBgAAAAAGAAYA&#10;WwEAALgDAAAAAAAA&#10;">
                  <v:fill type="gradient" on="t" color2="#FFD479 [3376]" colors="0f #FFDD9C;32768f #FFD78E;65536f #FFD479" focus="100%" focussize="0f,0f" focusposition="0f,0f" rotate="t">
                    <o:fill type="gradientUnscaled" v:ext="backwardCompatible"/>
                  </v:fill>
                  <v:stroke weight="0.5pt" color="#FFC000 [3207]" miterlimit="8" joinstyle="miter"/>
                  <v:imagedata o:title=""/>
                  <o:lock v:ext="edit" aspectratio="f"/>
                  <v:textbox>
                    <w:txbxContent>
                      <w:p w14:paraId="07118560">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Cross-cultural adoption</w:t>
                        </w:r>
                      </w:p>
                      <w:p w14:paraId="46366E7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Adoption intentions</w:t>
                        </w:r>
                      </w:p>
                      <w:p w14:paraId="3138CD15">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Consumer attitudes</w:t>
                        </w:r>
                      </w:p>
                      <w:p w14:paraId="6B207026">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Non-user perspectives</w:t>
                        </w:r>
                      </w:p>
                      <w:p w14:paraId="567B539F">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Purchase intention</w:t>
                        </w:r>
                      </w:p>
                      <w:p w14:paraId="5443D14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Adoption barriers</w:t>
                        </w:r>
                      </w:p>
                      <w:p w14:paraId="48C16F4F">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Green mobility transition</w:t>
                        </w:r>
                      </w:p>
                      <w:p w14:paraId="3FD7F899">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Purchase motivators</w:t>
                        </w:r>
                      </w:p>
                      <w:p w14:paraId="5B68E9AF">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Emerging market dynamics</w:t>
                        </w:r>
                      </w:p>
                      <w:p w14:paraId="62D9D230">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Economic influences</w:t>
                        </w:r>
                      </w:p>
                      <w:p w14:paraId="59615FB1">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Attitude mediation</w:t>
                        </w:r>
                      </w:p>
                      <w:p w14:paraId="07A0E47E">
                        <w:pPr>
                          <w:pStyle w:val="26"/>
                          <w:numPr>
                            <w:ilvl w:val="0"/>
                            <w:numId w:val="1"/>
                          </w:numPr>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Regional market drivers</w:t>
                        </w:r>
                      </w:p>
                      <w:p w14:paraId="426A6B6C">
                        <w:pPr>
                          <w:pStyle w:val="26"/>
                          <w:numPr>
                            <w:ilvl w:val="0"/>
                            <w:numId w:val="1"/>
                          </w:numPr>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European consumer perception</w:t>
                        </w:r>
                      </w:p>
                      <w:p w14:paraId="07A7EA2D">
                        <w:pPr>
                          <w:pStyle w:val="26"/>
                          <w:numPr>
                            <w:ilvl w:val="0"/>
                            <w:numId w:val="1"/>
                          </w:numPr>
                          <w:spacing w:line="240" w:lineRule="auto"/>
                          <w:rPr>
                            <w:rFonts w:ascii="Times New Roman" w:hAnsi="Times New Roman" w:eastAsia="Times New Roman" w:cs="Times New Roman"/>
                            <w:color w:val="1F1F1F"/>
                            <w:sz w:val="20"/>
                            <w:szCs w:val="24"/>
                            <w:lang w:eastAsia="en-GB"/>
                          </w:rPr>
                        </w:pPr>
                      </w:p>
                    </w:txbxContent>
                  </v:textbox>
                </v:rect>
                <v:rect id="Rectangle 10" o:spid="_x0000_s1026" o:spt="1" style="position:absolute;left:0;top:2796540;height:2087880;width:2240280;v-text-anchor:middle;" fillcolor="#FFDD9C [3536]" filled="t" stroked="t" coordsize="21600,21600" o:gfxdata="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DVOFDq/&#10;AAAA2wAAAA8AAAAAAAAAAQAgAAAAIgAAAGRycy9kb3ducmV2LnhtbFBLAQIUABQAAAAIAIdO4kAz&#10;LwWeOwAAADkAAAAQAAAAAAAAAAEAIAAAAA4BAABkcnMvc2hhcGV4bWwueG1sUEsFBgAAAAAGAAYA&#10;WwEAALgDAAAAAAAA&#10;">
                  <v:fill type="gradient" on="t" color2="#FFD479 [3376]" colors="0f #FFDD9C;32768f #FFD78E;65536f #FFD479" focus="100%" focussize="0f,0f" focusposition="0f,0f" rotate="t">
                    <o:fill type="gradientUnscaled" v:ext="backwardCompatible"/>
                  </v:fill>
                  <v:stroke weight="0.5pt" color="#FFC000 [3207]" miterlimit="8" joinstyle="miter"/>
                  <v:imagedata o:title=""/>
                  <o:lock v:ext="edit" aspectratio="f"/>
                  <v:textbox>
                    <w:txbxContent>
                      <w:p w14:paraId="63E05FBA">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Changing consumer needs</w:t>
                        </w:r>
                      </w:p>
                      <w:p w14:paraId="31C561A6">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Electrification impact</w:t>
                        </w:r>
                      </w:p>
                      <w:p w14:paraId="7C3FF98A">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Industry adaptation</w:t>
                        </w:r>
                      </w:p>
                      <w:p w14:paraId="3D5513FA">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Consumer-driven demand</w:t>
                        </w:r>
                      </w:p>
                      <w:p w14:paraId="03EC2694">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Transition drivers</w:t>
                        </w:r>
                      </w:p>
                      <w:p w14:paraId="1590BD8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Indian automotive shift</w:t>
                        </w:r>
                      </w:p>
                      <w:p w14:paraId="6CC4B67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Trade-off evaluation</w:t>
                        </w:r>
                      </w:p>
                      <w:p w14:paraId="5199EBAB">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Infrastructure availability</w:t>
                        </w:r>
                      </w:p>
                      <w:p w14:paraId="18F2EE8B">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Battery safety concerns</w:t>
                        </w:r>
                      </w:p>
                      <w:p w14:paraId="3AB601CB">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Adoption barriers</w:t>
                        </w:r>
                      </w:p>
                      <w:p w14:paraId="736FA48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Hidden friction factors</w:t>
                        </w:r>
                      </w:p>
                      <w:p w14:paraId="1D07E2C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Emerging economy obstacles</w:t>
                        </w:r>
                      </w:p>
                    </w:txbxContent>
                  </v:textbox>
                </v:rect>
                <v:rect id="Rectangle 11" o:spid="_x0000_s1026" o:spt="1" style="position:absolute;left:0;top:5044440;height:2004060;width:2240280;v-text-anchor:middle;" fillcolor="#FFDD9C [3536]" filled="t" stroked="t" coordsize="21600,21600" o:gfxdata="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oCsaG8AAAA&#10;2wAAAA8AAAAAAAAAAQAgAAAAIgAAAGRycy9kb3ducmV2LnhtbFBLAQIUABQAAAAIAIdO4kAzLwWe&#10;OwAAADkAAAAQAAAAAAAAAAEAIAAAAAsBAABkcnMvc2hhcGV4bWwueG1sUEsFBgAAAAAGAAYAWwEA&#10;ALUDAAAAAAAA&#10;">
                  <v:fill type="gradient" on="t" color2="#FFD479 [3376]" colors="0f #FFDD9C;32768f #FFD78E;65536f #FFD479" focus="100%" focussize="0f,0f" focusposition="0f,0f" rotate="t">
                    <o:fill type="gradientUnscaled" v:ext="backwardCompatible"/>
                  </v:fill>
                  <v:stroke weight="0.5pt" color="#FFC000 [3207]" miterlimit="8" joinstyle="miter"/>
                  <v:imagedata o:title=""/>
                  <o:lock v:ext="edit" aspectratio="f"/>
                  <v:textbox>
                    <w:txbxContent>
                      <w:p w14:paraId="2DC2BDC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Extended TAM</w:t>
                        </w:r>
                      </w:p>
                      <w:p w14:paraId="22F844C1">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Perceived usefulness</w:t>
                        </w:r>
                      </w:p>
                      <w:p w14:paraId="29726D71">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Technology acceptance</w:t>
                        </w:r>
                      </w:p>
                      <w:p w14:paraId="25DD4CE9">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Marketing communications</w:t>
                        </w:r>
                      </w:p>
                      <w:p w14:paraId="35DC5DB6">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Perceived value</w:t>
                        </w:r>
                      </w:p>
                      <w:p w14:paraId="6203EB81">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Luxury EV segment</w:t>
                        </w:r>
                      </w:p>
                      <w:p w14:paraId="4B6E8C47">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Information mediation</w:t>
                        </w:r>
                      </w:p>
                      <w:p w14:paraId="6B086684">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Consumer awareness</w:t>
                        </w:r>
                      </w:p>
                      <w:p w14:paraId="3C51D74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Domain knowledge</w:t>
                        </w:r>
                      </w:p>
                      <w:p w14:paraId="2ABCAC6A">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Extended TPB</w:t>
                        </w:r>
                      </w:p>
                      <w:p w14:paraId="232F2E62">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Behavioural control</w:t>
                        </w:r>
                      </w:p>
                      <w:p w14:paraId="64133134">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Subjective norms</w:t>
                        </w:r>
                      </w:p>
                    </w:txbxContent>
                  </v:textbox>
                </v:rect>
                <v:rect id="Rectangle 12" o:spid="_x0000_s1026" o:spt="1" style="position:absolute;left:0;top:7178040;height:1859280;width:2240280;v-text-anchor:middle;" fillcolor="#FFDD9C [3536]" filled="t" stroked="t" coordsize="21600,21600" o:gfxdata="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q0C/WvQAA&#10;ANsAAAAPAAAAAAAAAAEAIAAAACIAAABkcnMvZG93bnJldi54bWxQSwECFAAUAAAACACHTuJAMy8F&#10;njsAAAA5AAAAEAAAAAAAAAABACAAAAAMAQAAZHJzL3NoYXBleG1sLnhtbFBLBQYAAAAABgAGAFsB&#10;AAC2AwAAAAAA&#10;">
                  <v:fill type="gradient" on="t" color2="#FFD479 [3376]" colors="0f #FFDD9C;32768f #FFD78E;65536f #FFD479" focus="100%" focussize="0f,0f" focusposition="0f,0f" rotate="t">
                    <o:fill type="gradientUnscaled" v:ext="backwardCompatible"/>
                  </v:fill>
                  <v:stroke weight="0.5pt" color="#FFC000 [3207]" miterlimit="8" joinstyle="miter"/>
                  <v:imagedata o:title=""/>
                  <o:lock v:ext="edit" aspectratio="f"/>
                  <v:textbox>
                    <w:txbxContent>
                      <w:p w14:paraId="50D4325F">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Market growth projections</w:t>
                        </w:r>
                      </w:p>
                      <w:p w14:paraId="779D3A47">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Technological innovations</w:t>
                        </w:r>
                      </w:p>
                      <w:p w14:paraId="65D1B8D7">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Industry trends</w:t>
                        </w:r>
                      </w:p>
                      <w:p w14:paraId="39AD047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Global market trends</w:t>
                        </w:r>
                      </w:p>
                      <w:p w14:paraId="3D914CC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EV outlook</w:t>
                        </w:r>
                      </w:p>
                      <w:p w14:paraId="0A3C532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Adoption trajectories</w:t>
                        </w:r>
                      </w:p>
                      <w:p w14:paraId="474FC51B">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Market size forecast</w:t>
                        </w:r>
                      </w:p>
                      <w:p w14:paraId="5A497BE4">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Financial growth trends</w:t>
                        </w:r>
                      </w:p>
                      <w:p w14:paraId="5022C6EC">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Commercial projections</w:t>
                        </w:r>
                      </w:p>
                      <w:p w14:paraId="6136378E">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SUV market dynamics</w:t>
                        </w:r>
                      </w:p>
                      <w:p w14:paraId="77FE2B08">
                        <w:pPr>
                          <w:pStyle w:val="26"/>
                          <w:numPr>
                            <w:ilvl w:val="0"/>
                            <w:numId w:val="1"/>
                          </w:numPr>
                          <w:spacing w:line="240" w:lineRule="auto"/>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Decision-making process</w:t>
                        </w:r>
                      </w:p>
                      <w:p w14:paraId="6CC5DA0C">
                        <w:pPr>
                          <w:spacing w:line="240" w:lineRule="auto"/>
                          <w:rPr>
                            <w:rFonts w:eastAsia="Times New Roman" w:cs="Times New Roman"/>
                            <w:color w:val="1F1F1F"/>
                            <w:sz w:val="20"/>
                            <w:szCs w:val="24"/>
                            <w:lang w:eastAsia="en-GB"/>
                          </w:rPr>
                        </w:pPr>
                      </w:p>
                    </w:txbxContent>
                  </v:textbox>
                </v:rect>
                <v:roundrect id="_x0000_s1026" o:spid="_x0000_s1026" o:spt="2" style="position:absolute;left:2621280;top:784860;height:2095500;width:1912620;v-text-anchor:middle;" fillcolor="#B5D5A7 [3536]" filled="t" stroked="t" coordsize="21600,21600" arcsize="0.166666666666667" o:gfxdata="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KZ4pA68AAAA&#10;2wAAAA8AAAAAAAAAAQAgAAAAIgAAAGRycy9kb3ducmV2LnhtbFBLAQIUABQAAAAIAIdO4kAzLwWe&#10;OwAAADkAAAAQAAAAAAAAAAEAIAAAAAsBAABkcnMvc2hhcGV4bWwueG1sUEsFBgAAAAAGAAYAWwEA&#10;ALUDAAAAAAAA&#10;">
                  <v:fill type="gradient" on="t" color2="#9CCA86 [3376]" colors="0f #B5D5A7;32768f #AACE99;65536f #9CCA86" focus="100%" focussize="0f,0f" focusposition="0f,0f" rotate="t">
                    <o:fill type="gradientUnscaled" v:ext="backwardCompatible"/>
                  </v:fill>
                  <v:stroke weight="0.5pt" color="#70AD47 [3209]" miterlimit="8" joinstyle="miter"/>
                  <v:imagedata o:title=""/>
                  <o:lock v:ext="edit" aspectratio="f"/>
                  <v:textbox>
                    <w:txbxContent>
                      <w:p w14:paraId="4153E937">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Behavioural decision-making models (TAM, TPB) </w:t>
                        </w:r>
                      </w:p>
                      <w:p w14:paraId="4B26B57A">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Innovation resistance, non-user barriers, and consumer hesitation </w:t>
                        </w:r>
                      </w:p>
                      <w:p w14:paraId="270CE2A3">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Socio-demographics and cross-cultural adoption intentions </w:t>
                        </w:r>
                      </w:p>
                    </w:txbxContent>
                  </v:textbox>
                </v:roundrect>
                <v:roundrect id="_x0000_s1026" o:spid="_x0000_s1026" o:spt="2" style="position:absolute;left:2674620;top:3573780;height:2095500;width:1912620;v-text-anchor:middle;" fillcolor="#B5D5A7 [3536]" filled="t" stroked="t" coordsize="21600,21600" arcsize="0.166666666666667" o:gfxdata="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mRPHq8AAAA&#10;2wAAAA8AAAAAAAAAAQAgAAAAIgAAAGRycy9kb3ducmV2LnhtbFBLAQIUABQAAAAIAIdO4kAzLwWe&#10;OwAAADkAAAAQAAAAAAAAAAEAIAAAAAsBAABkcnMvc2hhcGV4bWwueG1sUEsFBgAAAAAGAAYAWwEA&#10;ALUDAAAAAAAA&#10;">
                  <v:fill type="gradient" on="t" color2="#9CCA86 [3376]" colors="0f #B5D5A7;32768f #AACE99;65536f #9CCA86" focus="100%" focussize="0f,0f" focusposition="0f,0f" rotate="t">
                    <o:fill type="gradientUnscaled" v:ext="backwardCompatible"/>
                  </v:fill>
                  <v:stroke weight="0.5pt" color="#70AD47 [3209]" miterlimit="8" joinstyle="miter"/>
                  <v:imagedata o:title=""/>
                  <o:lock v:ext="edit" aspectratio="f"/>
                  <v:textbox>
                    <w:txbxContent>
                      <w:p w14:paraId="475247D5">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Infrastructure availability and charging network limitations </w:t>
                        </w:r>
                      </w:p>
                      <w:p w14:paraId="3A9A81FB">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Range anxiety, battery performance and safety concerns </w:t>
                        </w:r>
                      </w:p>
                      <w:p w14:paraId="54795E96">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Trade-off evaluations between practical obstacles and EV benefits </w:t>
                        </w:r>
                      </w:p>
                    </w:txbxContent>
                  </v:textbox>
                </v:roundrect>
                <v:roundrect id="_x0000_s1026" o:spid="_x0000_s1026" o:spt="2" style="position:absolute;left:2674620;top:6438900;height:2293620;width:1912620;v-text-anchor:middle;" fillcolor="#B5D5A7 [3536]" filled="t" stroked="t" coordsize="21600,21600" arcsize="0.166666666666667" o:gfxdata="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bdmeG8AAAA&#10;2wAAAA8AAAAAAAAAAQAgAAAAIgAAAGRycy9kb3ducmV2LnhtbFBLAQIUABQAAAAIAIdO4kAzLwWe&#10;OwAAADkAAAAQAAAAAAAAAAEAIAAAAAsBAABkcnMvc2hhcGV4bWwueG1sUEsFBgAAAAAGAAYAWwEA&#10;ALUDAAAAAAAA&#10;">
                  <v:fill type="gradient" on="t" color2="#9CCA86 [3376]" colors="0f #B5D5A7;32768f #AACE99;65536f #9CCA86" focus="100%" focussize="0f,0f" focusposition="0f,0f" rotate="t">
                    <o:fill type="gradientUnscaled" v:ext="backwardCompatible"/>
                  </v:fill>
                  <v:stroke weight="0.5pt" color="#70AD47 [3209]" miterlimit="8" joinstyle="miter"/>
                  <v:imagedata o:title=""/>
                  <o:lock v:ext="edit" aspectratio="f"/>
                  <v:textbox>
                    <w:txbxContent>
                      <w:p w14:paraId="4762462B">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Role of consumer awareness and domain knowledge as mediators </w:t>
                        </w:r>
                      </w:p>
                      <w:p w14:paraId="202ABC4F">
                        <w:pPr>
                          <w:pStyle w:val="26"/>
                          <w:numPr>
                            <w:ilvl w:val="0"/>
                            <w:numId w:val="26"/>
                          </w:numPr>
                          <w:spacing w:after="0" w:line="240" w:lineRule="auto"/>
                          <w:jc w:val="both"/>
                          <w:rPr>
                            <w:rFonts w:ascii="Times New Roman" w:hAnsi="Times New Roman" w:eastAsia="Times New Roman" w:cs="Times New Roman"/>
                            <w:color w:val="1F1F1F"/>
                            <w:sz w:val="20"/>
                            <w:szCs w:val="24"/>
                            <w:lang w:eastAsia="en-GB"/>
                          </w:rPr>
                        </w:pPr>
                        <w:r>
                          <w:rPr>
                            <w:rFonts w:ascii="Times New Roman" w:hAnsi="Times New Roman" w:eastAsia="Times New Roman" w:cs="Times New Roman"/>
                            <w:color w:val="1F1F1F"/>
                            <w:sz w:val="20"/>
                            <w:szCs w:val="24"/>
                            <w:lang w:eastAsia="en-GB"/>
                          </w:rPr>
                          <w:t xml:space="preserve">Marketing communications, brand preference, and perceived value </w:t>
                        </w:r>
                      </w:p>
                      <w:p w14:paraId="2286F0A0">
                        <w:pPr>
                          <w:pStyle w:val="26"/>
                          <w:numPr>
                            <w:ilvl w:val="0"/>
                            <w:numId w:val="26"/>
                          </w:numPr>
                          <w:spacing w:after="0" w:line="240" w:lineRule="auto"/>
                          <w:jc w:val="both"/>
                          <w:rPr>
                            <w:rFonts w:ascii="Times New Roman" w:hAnsi="Times New Roman" w:eastAsia="Times New Roman" w:cs="Times New Roman"/>
                            <w:color w:val="1F1F1F"/>
                            <w:sz w:val="16"/>
                            <w:szCs w:val="24"/>
                            <w:lang w:eastAsia="en-GB"/>
                          </w:rPr>
                        </w:pPr>
                        <w:r>
                          <w:rPr>
                            <w:rFonts w:ascii="Times New Roman" w:hAnsi="Times New Roman" w:eastAsia="Times New Roman" w:cs="Times New Roman"/>
                            <w:color w:val="1F1F1F"/>
                            <w:sz w:val="20"/>
                            <w:szCs w:val="24"/>
                            <w:lang w:eastAsia="en-GB"/>
                          </w:rPr>
                          <w:t xml:space="preserve">Segment dynamics across luxury vehicles, SUVs, and regional markets </w:t>
                        </w:r>
                      </w:p>
                    </w:txbxContent>
                  </v:textbox>
                </v:roundrect>
                <v:shape id="_x0000_s1026" o:spid="_x0000_s1026" style="position:absolute;left:4960620;top:1104900;height:1691640;width:1470660;v-text-anchor:middle;" fillcolor="#F7BDA4 [3536]" filled="t" stroked="t" coordsize="1470660,1691640" o:gfxdata="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PJCoyugAAANsA&#10;AAAPAAAAAAAAAAEAIAAAACIAAABkcnMvZG93bnJldi54bWxQSwECFAAUAAAACACHTuJAMy8FnjsA&#10;AAA5AAAAEAAAAAAAAAABACAAAAAJAQAAZHJzL3NoYXBleG1sLnhtbFBLBQYAAAAABgAGAFsBAACz&#10;AwAAAAAA&#10;" path="m0,0l1225545,0,1470660,245114,1470660,1691640,1470660,1691640,245114,1691640,0,1446525,0,0xe">
                  <v:path textboxrect="0,0,1470660,1691640" o:connectlocs="1470660,845820;735330,1691640;0,845820;735330,0" o:connectangles="0,82,164,247"/>
                  <v:fill type="gradient" on="t" color2="#F8A581 [3376]" colors="0f #F7BDA4;32768f #F5B195;65536f #F8A581" focus="100%" focussize="0f,0f" focusposition="0f,0f" rotate="t">
                    <o:fill type="gradientUnscaled" v:ext="backwardCompatible"/>
                  </v:fill>
                  <v:stroke weight="0.5pt" color="#ED7D31 [3205]" miterlimit="8" joinstyle="miter"/>
                  <v:imagedata o:title=""/>
                  <o:lock v:ext="edit" aspectratio="f"/>
                  <v:textbox>
                    <w:txbxContent>
                      <w:p w14:paraId="397CF29C">
                        <w:pPr>
                          <w:jc w:val="center"/>
                        </w:pPr>
                        <w:r>
                          <w:rPr>
                            <w:rFonts w:eastAsia="Times New Roman" w:cs="Times New Roman"/>
                            <w:i/>
                            <w:iCs/>
                            <w:color w:val="1F1F1F"/>
                            <w:szCs w:val="24"/>
                            <w:lang w:eastAsia="en-GB"/>
                          </w:rPr>
                          <w:t>Theme 1: Behavioural Decision-Making and Consumer Psychology</w:t>
                        </w:r>
                      </w:p>
                    </w:txbxContent>
                  </v:textbox>
                </v:shape>
                <v:shape id="_x0000_s1026" o:spid="_x0000_s1026" style="position:absolute;left:5013960;top:3893820;height:1493520;width:1470660;v-text-anchor:middle;" fillcolor="#F7BDA4 [3536]" filled="t" stroked="t" coordsize="1470660,1493520" o:gfxdata="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GfXRnC5AAAA2wAA&#10;AA8AAAAAAAAAAQAgAAAAIgAAAGRycy9kb3ducmV2LnhtbFBLAQIUABQAAAAIAIdO4kAzLwWeOwAA&#10;ADkAAAAQAAAAAAAAAAEAIAAAAAgBAABkcnMvc2hhcGV4bWwueG1sUEsFBgAAAAAGAAYAWwEAALID&#10;AAAAAAAA&#10;" path="m0,0l1225545,0,1470660,245114,1470660,1493520,1470660,1493520,245114,1493520,0,1248405,0,0xe">
                  <v:path textboxrect="0,0,1470660,1493520" o:connectlocs="1470660,746760;735330,1493520;0,746760;735330,0" o:connectangles="0,82,164,247"/>
                  <v:fill type="gradient" on="t" color2="#F8A581 [3376]" colors="0f #F7BDA4;32768f #F5B195;65536f #F8A581" focus="100%" focussize="0f,0f" focusposition="0f,0f" rotate="t">
                    <o:fill type="gradientUnscaled" v:ext="backwardCompatible"/>
                  </v:fill>
                  <v:stroke weight="0.5pt" color="#ED7D31 [3205]" miterlimit="8" joinstyle="miter"/>
                  <v:imagedata o:title=""/>
                  <o:lock v:ext="edit" aspectratio="f"/>
                  <v:textbox>
                    <w:txbxContent>
                      <w:p w14:paraId="487E3DB1">
                        <w:pPr>
                          <w:jc w:val="center"/>
                        </w:pPr>
                        <w:r>
                          <w:rPr>
                            <w:rFonts w:eastAsia="Times New Roman" w:cs="Times New Roman"/>
                            <w:i/>
                            <w:iCs/>
                            <w:color w:val="1F1F1F"/>
                            <w:szCs w:val="24"/>
                            <w:lang w:eastAsia="en-GB"/>
                          </w:rPr>
                          <w:t>Theme 2: Operational Friction and Infrastructural Bottlenecks</w:t>
                        </w:r>
                      </w:p>
                    </w:txbxContent>
                  </v:textbox>
                </v:shape>
                <v:shape id="_x0000_s1026" o:spid="_x0000_s1026" style="position:absolute;left:5013960;top:6667500;height:1775460;width:1470660;v-text-anchor:middle;" fillcolor="#F7BDA4 [3536]" filled="t" stroked="t" coordsize="1470660,1775460" o:gfxdata="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ORkBY74A&#10;AADbAAAADwAAAAAAAAABACAAAAAiAAAAZHJzL2Rvd25yZXYueG1sUEsBAhQAFAAAAAgAh07iQDMv&#10;BZ47AAAAOQAAABAAAAAAAAAAAQAgAAAADQEAAGRycy9zaGFwZXhtbC54bWxQSwUGAAAAAAYABgBb&#10;AQAAtwMAAAAA&#10;" path="m0,0l1225545,0,1470660,245114,1470660,1775460,1470660,1775460,245114,1775460,0,1530345,0,0xe">
                  <v:path textboxrect="0,0,1470660,1775460" o:connectlocs="1470660,887730;735330,1775460;0,887730;735330,0" o:connectangles="0,82,164,247"/>
                  <v:fill type="gradient" on="t" color2="#F8A581 [3376]" colors="0f #F7BDA4;32768f #F5B195;65536f #F8A581" focus="100%" focussize="0f,0f" focusposition="0f,0f" rotate="t">
                    <o:fill type="gradientUnscaled" v:ext="backwardCompatible"/>
                  </v:fill>
                  <v:stroke weight="0.5pt" color="#ED7D31 [3205]" miterlimit="8" joinstyle="miter"/>
                  <v:imagedata o:title=""/>
                  <o:lock v:ext="edit" aspectratio="f"/>
                  <v:textbox>
                    <w:txbxContent>
                      <w:p w14:paraId="72007929">
                        <w:pPr>
                          <w:jc w:val="center"/>
                        </w:pPr>
                        <w:r>
                          <w:rPr>
                            <w:rFonts w:eastAsia="Times New Roman" w:cs="Times New Roman"/>
                            <w:i/>
                            <w:iCs/>
                            <w:color w:val="1F1F1F"/>
                            <w:szCs w:val="24"/>
                            <w:lang w:eastAsia="en-GB"/>
                          </w:rPr>
                          <w:t>Theme 3: Strategic Marketing, Knowledge Mediation and Market Dynamics</w:t>
                        </w:r>
                      </w:p>
                    </w:txbxContent>
                  </v:textbox>
                </v:shape>
                <v:shape id="_x0000_s1026" o:spid="_x0000_s1026" o:spt="32" type="#_x0000_t32" style="position:absolute;left:2240280;top:1234440;height:236220;width:381000;" filled="f" stroked="t" coordsize="21600,21600" o:gfxdata="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o0kEy8AAAA&#10;2wAAAA8AAAAAAAAAAQAgAAAAIgAAAGRycy9kb3ducmV2LnhtbFBLAQIUABQAAAAIAIdO4kAzLwWe&#10;OwAAADkAAAAQAAAAAAAAAAEAIAAAAAsBAABkcnMvc2hhcGV4bWwueG1sUEsFBgAAAAAGAAYAWwEA&#10;ALUDAAAAAAAA&#10;">
                  <v:fill on="f" focussize="0,0"/>
                  <v:stroke weight="0.5pt" color="#5B9BD5 [3204]" miterlimit="8" joinstyle="miter" endarrow="block"/>
                  <v:imagedata o:title=""/>
                  <o:lock v:ext="edit" aspectratio="f"/>
                </v:shape>
                <v:shape id="_x0000_s1026" o:spid="_x0000_s1026" o:spt="32" type="#_x0000_t32" style="position:absolute;left:2240280;top:1234440;height:3390900;width:434340;" filled="f" stroked="t" coordsize="21600,21600" o:gfxdata="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1YvNsugAAANsA&#10;AAAPAAAAAAAAAAEAIAAAACIAAABkcnMvZG93bnJldi54bWxQSwECFAAUAAAACACHTuJAMy8FnjsA&#10;AAA5AAAAEAAAAAAAAAABACAAAAAJAQAAZHJzL3NoYXBleG1sLnhtbFBLBQYAAAAABgAGAFsBAACz&#10;AwAAAAAA&#10;">
                  <v:fill on="f" focussize="0,0"/>
                  <v:stroke weight="0.5pt" color="#5B9BD5 [3204]" miterlimit="8" joinstyle="miter" endarrow="block"/>
                  <v:imagedata o:title=""/>
                  <o:lock v:ext="edit" aspectratio="f"/>
                </v:shape>
                <v:shape id="_x0000_s1026" o:spid="_x0000_s1026" o:spt="32" type="#_x0000_t32" style="position:absolute;left:2240280;top:3977640;height:754380;width:434340;" filled="f" stroked="t" coordsize="21600,21600" o:gfxdata="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aLlb3vQAA&#10;ANsAAAAPAAAAAAAAAAEAIAAAACIAAABkcnMvZG93bnJldi54bWxQSwECFAAUAAAACACHTuJAMy8F&#10;njsAAAA5AAAAEAAAAAAAAAABACAAAAAMAQAAZHJzL3NoYXBleG1sLnhtbFBLBQYAAAAABgAGAFsB&#10;AAC2AwAAAAAA&#10;">
                  <v:fill on="f" focussize="0,0"/>
                  <v:stroke weight="0.5pt" color="#5B9BD5 [3204]" miterlimit="8" joinstyle="miter" endarrow="block"/>
                  <v:imagedata o:title=""/>
                  <o:lock v:ext="edit" aspectratio="f"/>
                </v:shape>
                <v:shape id="_x0000_s1026" o:spid="_x0000_s1026" o:spt="32" type="#_x0000_t32" style="position:absolute;left:2202180;top:5242560;flip:y;height:1043940;width:472440;" filled="f" stroked="t" coordsize="21600,21600" o:gfxdata="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fP3LJvQAA&#10;ANsAAAAPAAAAAAAAAAEAIAAAACIAAABkcnMvZG93bnJldi54bWxQSwECFAAUAAAACACHTuJAMy8F&#10;njsAAAA5AAAAEAAAAAAAAAABACAAAAAMAQAAZHJzL3NoYXBleG1sLnhtbFBLBQYAAAAABgAGAFsB&#10;AAC2AwAAAAAA&#10;">
                  <v:fill on="f" focussize="0,0"/>
                  <v:stroke weight="0.5pt" color="#5B9BD5 [3204]" miterlimit="8" joinstyle="miter" endarrow="block"/>
                  <v:imagedata o:title=""/>
                  <o:lock v:ext="edit" aspectratio="f"/>
                </v:shape>
                <v:shape id="_x0000_s1026" o:spid="_x0000_s1026" o:spt="32" type="#_x0000_t32" style="position:absolute;left:2202180;top:2118360;flip:y;height:1661160;width:419100;" filled="f" stroked="t" coordsize="21600,21600" o:gfxdata="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HBz11K8AAAA&#10;2wAAAA8AAAAAAAAAAQAgAAAAIgAAAGRycy9kb3ducmV2LnhtbFBLAQIUABQAAAAIAIdO4kAzLwWe&#10;OwAAADkAAAAQAAAAAAAAAAEAIAAAAAsBAABkcnMvc2hhcGV4bWwueG1sUEsFBgAAAAAGAAYAWwEA&#10;ALUDAAAAAAAA&#10;">
                  <v:fill on="f" focussize="0,0"/>
                  <v:stroke weight="0.5pt" color="#5B9BD5 [3204]" miterlimit="8" joinstyle="miter" endarrow="block"/>
                  <v:imagedata o:title=""/>
                  <o:lock v:ext="edit" aspectratio="f"/>
                </v:shape>
                <v:shape id="_x0000_s1026" o:spid="_x0000_s1026" o:spt="32" type="#_x0000_t32" style="position:absolute;left:2202180;top:6233160;height:1729740;width:472440;" filled="f" stroked="t" coordsize="21600,21600" o:gfxdata="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Sln1b74A&#10;AADbAAAADwAAAAAAAAABACAAAAAiAAAAZHJzL2Rvd25yZXYueG1sUEsBAhQAFAAAAAgAh07iQDMv&#10;BZ47AAAAOQAAABAAAAAAAAAAAQAgAAAADQEAAGRycy9zaGFwZXhtbC54bWxQSwUGAAAAAAYABgBb&#10;AQAAtwMAAAAA&#10;">
                  <v:fill on="f" focussize="0,0"/>
                  <v:stroke weight="0.5pt" color="#5B9BD5 [3204]" miterlimit="8" joinstyle="miter" endarrow="block"/>
                  <v:imagedata o:title=""/>
                  <o:lock v:ext="edit" aspectratio="f"/>
                </v:shape>
                <v:shape id="_x0000_s1026" o:spid="_x0000_s1026" o:spt="32" type="#_x0000_t32" style="position:absolute;left:2240280;top:7901940;flip:y;height:434340;width:434340;" filled="f" stroked="t" coordsize="21600,21600" o:gfxdata="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Q1uq9ugAAANsA&#10;AAAPAAAAAAAAAAEAIAAAACIAAABkcnMvZG93bnJldi54bWxQSwECFAAUAAAACACHTuJAMy8FnjsA&#10;AAA5AAAAEAAAAAAAAAABACAAAAAJAQAAZHJzL3NoYXBleG1sLnhtbFBLBQYAAAAABgAGAFsBAACz&#10;AwAAAAAA&#10;">
                  <v:fill on="f" focussize="0,0"/>
                  <v:stroke weight="0.5pt" color="#5B9BD5 [3204]" miterlimit="8" joinstyle="miter" endarrow="block"/>
                  <v:imagedata o:title=""/>
                  <o:lock v:ext="edit" aspectratio="f"/>
                </v:shape>
                <v:shape id="_x0000_s1026" o:spid="_x0000_s1026" o:spt="32" type="#_x0000_t32" style="position:absolute;left:4495800;top:1798320;height:106680;width:464820;" filled="f" stroked="t" coordsize="21600,21600" o:gfxdata="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Vx86DvQAA&#10;ANsAAAAPAAAAAAAAAAEAIAAAACIAAABkcnMvZG93bnJldi54bWxQSwECFAAUAAAACACHTuJAMy8F&#10;njsAAAA5AAAAEAAAAAAAAAABACAAAAAMAQAAZHJzL3NoYXBleG1sLnhtbFBLBQYAAAAABgAGAFsB&#10;AAC2AwAAAAAA&#10;">
                  <v:fill on="f" focussize="0,0"/>
                  <v:stroke weight="0.5pt" color="#5B9BD5 [3204]" miterlimit="8" joinstyle="miter" endarrow="block"/>
                  <v:imagedata o:title=""/>
                  <o:lock v:ext="edit" aspectratio="f"/>
                </v:shape>
                <v:shape id="_x0000_s1026" o:spid="_x0000_s1026" o:spt="32" type="#_x0000_t32" style="position:absolute;left:4587240;top:4366260;height:190500;width:426720;" filled="f" stroked="t" coordsize="21600,21600" o:gfxdata="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uotrGL4A&#10;AADbAAAADwAAAAAAAAABACAAAAAiAAAAZHJzL2Rvd25yZXYueG1sUEsBAhQAFAAAAAgAh07iQDMv&#10;BZ47AAAAOQAAABAAAAAAAAAAAQAgAAAADQEAAGRycy9zaGFwZXhtbC54bWxQSwUGAAAAAAYABgBb&#10;AQAAtwMAAAAA&#10;">
                  <v:fill on="f" focussize="0,0"/>
                  <v:stroke weight="0.5pt" color="#5B9BD5 [3204]" miterlimit="8" joinstyle="miter" endarrow="block"/>
                  <v:imagedata o:title=""/>
                  <o:lock v:ext="edit" aspectratio="f"/>
                </v:shape>
                <v:shape id="_x0000_s1026" o:spid="_x0000_s1026" o:spt="32" type="#_x0000_t32" style="position:absolute;left:4587240;top:7277100;height:137160;width:426720;" filled="f" stroked="t" coordsize="21600,21600" o:gfxdata="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LFP9qugAAANsA&#10;AAAPAAAAAAAAAAEAIAAAACIAAABkcnMvZG93bnJldi54bWxQSwECFAAUAAAACACHTuJAMy8FnjsA&#10;AAA5AAAAEAAAAAAAAAABACAAAAAJAQAAZHJzL3NoYXBleG1sLnhtbFBLBQYAAAAABgAGAFsBAACz&#10;AwAAAAAA&#10;">
                  <v:fill on="f" focussize="0,0"/>
                  <v:stroke weight="0.5pt" color="#5B9BD5 [3204]" miterlimit="8" joinstyle="miter" endarrow="block"/>
                  <v:imagedata o:title=""/>
                  <o:lock v:ext="edit" aspectratio="f"/>
                </v:shape>
              </v:group>
            </w:pict>
          </mc:Fallback>
        </mc:AlternateContent>
      </w:r>
      <w:r>
        <w:t>4.9 Thematic tree</w:t>
      </w:r>
      <w:bookmarkEnd w:id="86"/>
      <w:r>
        <w:t xml:space="preserve"> </w:t>
      </w:r>
    </w:p>
    <w:p w14:paraId="437DDCDB">
      <w:pPr>
        <w:rPr>
          <w:rFonts w:cs="Times New Roman"/>
          <w:b/>
        </w:rPr>
      </w:pPr>
    </w:p>
    <w:p w14:paraId="4E8E8ACF">
      <w:pPr>
        <w:jc w:val="center"/>
        <w:rPr>
          <w:rFonts w:cs="Times New Roman"/>
          <w:b/>
        </w:rPr>
      </w:pPr>
    </w:p>
    <w:p w14:paraId="4D700B74">
      <w:pPr>
        <w:jc w:val="center"/>
        <w:rPr>
          <w:rFonts w:cs="Times New Roman"/>
          <w:b/>
        </w:rPr>
      </w:pPr>
    </w:p>
    <w:p w14:paraId="5E743C54">
      <w:pPr>
        <w:jc w:val="center"/>
        <w:rPr>
          <w:rFonts w:cs="Times New Roman"/>
          <w:b/>
        </w:rPr>
      </w:pPr>
    </w:p>
    <w:p w14:paraId="2C3B3E87">
      <w:pPr>
        <w:jc w:val="center"/>
        <w:rPr>
          <w:rFonts w:cs="Times New Roman"/>
          <w:b/>
        </w:rPr>
      </w:pPr>
    </w:p>
    <w:p w14:paraId="77DA9CFA">
      <w:pPr>
        <w:jc w:val="center"/>
        <w:rPr>
          <w:rFonts w:cs="Times New Roman"/>
          <w:b/>
        </w:rPr>
      </w:pPr>
    </w:p>
    <w:p w14:paraId="18C51E28">
      <w:pPr>
        <w:jc w:val="center"/>
        <w:rPr>
          <w:rFonts w:cs="Times New Roman"/>
          <w:b/>
        </w:rPr>
      </w:pPr>
    </w:p>
    <w:p w14:paraId="5D229768">
      <w:pPr>
        <w:jc w:val="center"/>
        <w:rPr>
          <w:rFonts w:cs="Times New Roman"/>
          <w:b/>
        </w:rPr>
      </w:pPr>
    </w:p>
    <w:p w14:paraId="13175770">
      <w:pPr>
        <w:jc w:val="center"/>
        <w:rPr>
          <w:rFonts w:cs="Times New Roman"/>
          <w:b/>
        </w:rPr>
      </w:pPr>
    </w:p>
    <w:p w14:paraId="01821153">
      <w:pPr>
        <w:jc w:val="center"/>
        <w:rPr>
          <w:rFonts w:cs="Times New Roman"/>
          <w:b/>
        </w:rPr>
      </w:pPr>
    </w:p>
    <w:p w14:paraId="75DF4204">
      <w:pPr>
        <w:jc w:val="center"/>
        <w:rPr>
          <w:rFonts w:cs="Times New Roman"/>
          <w:b/>
        </w:rPr>
      </w:pPr>
    </w:p>
    <w:p w14:paraId="10F47B62">
      <w:pPr>
        <w:jc w:val="center"/>
        <w:rPr>
          <w:rFonts w:cs="Times New Roman"/>
          <w:b/>
        </w:rPr>
      </w:pPr>
    </w:p>
    <w:p w14:paraId="0E2E1B39">
      <w:pPr>
        <w:jc w:val="center"/>
        <w:rPr>
          <w:rFonts w:cs="Times New Roman"/>
          <w:b/>
        </w:rPr>
      </w:pPr>
    </w:p>
    <w:p w14:paraId="19D70B2A">
      <w:pPr>
        <w:jc w:val="center"/>
        <w:rPr>
          <w:rFonts w:cs="Times New Roman"/>
          <w:b/>
        </w:rPr>
      </w:pPr>
    </w:p>
    <w:p w14:paraId="69D3F93C">
      <w:pPr>
        <w:jc w:val="center"/>
        <w:rPr>
          <w:rFonts w:cs="Times New Roman"/>
          <w:b/>
        </w:rPr>
      </w:pPr>
    </w:p>
    <w:p w14:paraId="040D6EBB">
      <w:pPr>
        <w:jc w:val="center"/>
        <w:rPr>
          <w:rFonts w:cs="Times New Roman"/>
          <w:b/>
        </w:rPr>
      </w:pPr>
    </w:p>
    <w:p w14:paraId="125DC00C">
      <w:pPr>
        <w:jc w:val="center"/>
        <w:rPr>
          <w:rFonts w:cs="Times New Roman"/>
          <w:b/>
        </w:rPr>
      </w:pPr>
    </w:p>
    <w:p w14:paraId="319D441B">
      <w:pPr>
        <w:jc w:val="center"/>
        <w:rPr>
          <w:rFonts w:cs="Times New Roman"/>
          <w:b/>
        </w:rPr>
      </w:pPr>
    </w:p>
    <w:p w14:paraId="794A9F0A">
      <w:pPr>
        <w:jc w:val="center"/>
        <w:rPr>
          <w:rFonts w:cs="Times New Roman"/>
          <w:b/>
        </w:rPr>
      </w:pPr>
    </w:p>
    <w:p w14:paraId="3EC43DAA">
      <w:pPr>
        <w:jc w:val="center"/>
        <w:rPr>
          <w:rFonts w:cs="Times New Roman"/>
          <w:b/>
        </w:rPr>
      </w:pPr>
    </w:p>
    <w:p w14:paraId="097E867E">
      <w:pPr>
        <w:jc w:val="center"/>
        <w:rPr>
          <w:rFonts w:cs="Times New Roman"/>
          <w:b/>
        </w:rPr>
      </w:pPr>
    </w:p>
    <w:p w14:paraId="55FA3A2F">
      <w:pPr>
        <w:jc w:val="center"/>
        <w:rPr>
          <w:rFonts w:cs="Times New Roman"/>
          <w:b/>
        </w:rPr>
      </w:pPr>
    </w:p>
    <w:p w14:paraId="7B96EF91">
      <w:pPr>
        <w:jc w:val="center"/>
        <w:rPr>
          <w:rFonts w:cs="Times New Roman"/>
          <w:b/>
        </w:rPr>
      </w:pPr>
    </w:p>
    <w:p w14:paraId="68718D5A">
      <w:pPr>
        <w:jc w:val="center"/>
        <w:rPr>
          <w:rFonts w:cs="Times New Roman"/>
          <w:b/>
        </w:rPr>
      </w:pPr>
    </w:p>
    <w:p w14:paraId="6748A350">
      <w:pPr>
        <w:pStyle w:val="5"/>
      </w:pPr>
      <w:bookmarkStart w:id="87" w:name="_Toc238759271"/>
      <w:r>
        <w:t>Figure 4.4: Thematic tree</w:t>
      </w:r>
      <w:bookmarkEnd w:id="87"/>
    </w:p>
    <w:p w14:paraId="68AE2A4C">
      <w:pPr>
        <w:jc w:val="center"/>
        <w:rPr>
          <w:rFonts w:cs="Times New Roman"/>
        </w:rPr>
      </w:pPr>
      <w:r>
        <w:rPr>
          <w:rFonts w:cs="Times New Roman"/>
        </w:rPr>
        <w:t>(Source: Self-created)</w:t>
      </w:r>
    </w:p>
    <w:p w14:paraId="7C999792">
      <w:pPr>
        <w:pStyle w:val="3"/>
      </w:pPr>
      <w:bookmarkStart w:id="88" w:name="_Toc241218799"/>
      <w:r>
        <w:t>4.10 Thematic analysis</w:t>
      </w:r>
      <w:bookmarkEnd w:id="88"/>
      <w:r>
        <w:t xml:space="preserve"> </w:t>
      </w:r>
    </w:p>
    <w:p w14:paraId="2B58C6CF">
      <w:pPr>
        <w:rPr>
          <w:rFonts w:eastAsia="Times New Roman" w:cs="Times New Roman"/>
          <w:b/>
          <w:i/>
          <w:iCs/>
          <w:color w:val="1F1F1F"/>
          <w:szCs w:val="24"/>
          <w:lang w:eastAsia="en-GB"/>
        </w:rPr>
      </w:pPr>
      <w:r>
        <w:rPr>
          <w:rFonts w:eastAsia="Times New Roman" w:cs="Times New Roman"/>
          <w:b/>
          <w:bCs/>
          <w:color w:val="1F1F1F"/>
          <w:szCs w:val="24"/>
          <w:lang w:eastAsia="en-GB"/>
        </w:rPr>
        <w:t>Theme 1:</w:t>
      </w:r>
      <w:r>
        <w:rPr>
          <w:rFonts w:eastAsia="Times New Roman" w:cs="Times New Roman"/>
          <w:b/>
          <w:color w:val="1F1F1F"/>
          <w:szCs w:val="24"/>
          <w:lang w:eastAsia="en-GB"/>
        </w:rPr>
        <w:t xml:space="preserve"> </w:t>
      </w:r>
      <w:r>
        <w:rPr>
          <w:rFonts w:eastAsia="Times New Roman" w:cs="Times New Roman"/>
          <w:b/>
          <w:i/>
          <w:iCs/>
          <w:color w:val="1F1F1F"/>
          <w:szCs w:val="24"/>
          <w:lang w:eastAsia="en-GB"/>
        </w:rPr>
        <w:t>Behavioural decision-making models, consumer attitudes, and psychological barriers significantly dictate initial consumer adoption intentions across diverse demographic and cross-cultural populations</w:t>
      </w:r>
    </w:p>
    <w:p w14:paraId="07CFB5F7">
      <w:pPr>
        <w:rPr>
          <w:rFonts w:cs="Times New Roman"/>
        </w:rPr>
      </w:pPr>
      <w:r>
        <w:rPr>
          <w:rFonts w:cs="Times New Roman"/>
        </w:rPr>
        <w:t xml:space="preserve">As per the words of Joghee </w:t>
      </w:r>
      <w:r>
        <w:rPr>
          <w:rFonts w:cs="Times New Roman"/>
          <w:i/>
        </w:rPr>
        <w:t>et al</w:t>
      </w:r>
      <w:r>
        <w:rPr>
          <w:rFonts w:cs="Times New Roman"/>
        </w:rPr>
        <w:t xml:space="preserve">. (2024), in order to make the initial purchasing decisions for foreign electric vehicles (EVs) in new markets such as India, there it is needed to analyse multifaceted cognitive assessments and psychological hurdles. According to the theoretical paradigm, the Technology Acceptance Model (TAM) and the Unified Theory of Acceptance and Use of Technology (UTAUT), the Perceived Usefulness (PU) and Effort Expectancy (EE) and Performance Expectancy (PE) directly affect consumer adoption intention (Al Shurideh </w:t>
      </w:r>
      <w:r>
        <w:rPr>
          <w:rFonts w:cs="Times New Roman"/>
          <w:i/>
        </w:rPr>
        <w:t>et al</w:t>
      </w:r>
      <w:r>
        <w:rPr>
          <w:rFonts w:cs="Times New Roman"/>
        </w:rPr>
        <w:t xml:space="preserve">. 2025; Pamidimukkala </w:t>
      </w:r>
      <w:r>
        <w:rPr>
          <w:rFonts w:cs="Times New Roman"/>
          <w:i/>
        </w:rPr>
        <w:t>et al</w:t>
      </w:r>
      <w:r>
        <w:rPr>
          <w:rFonts w:cs="Times New Roman"/>
        </w:rPr>
        <w:t xml:space="preserve">. 2025; Sun &amp; Lee, 2024). The disadvantages mainly include the initial investment required for the purchase and the development of subjective risk and cognitive dissonance due to the unfamiliarity with non-domestic brands (EIA, 2024; Joghee </w:t>
      </w:r>
      <w:r>
        <w:rPr>
          <w:rFonts w:cs="Times New Roman"/>
          <w:i/>
        </w:rPr>
        <w:t>et al</w:t>
      </w:r>
      <w:r>
        <w:rPr>
          <w:rFonts w:cs="Times New Roman"/>
        </w:rPr>
        <w:t xml:space="preserve">. 2024). </w:t>
      </w:r>
    </w:p>
    <w:p w14:paraId="46847223">
      <w:pPr>
        <w:rPr>
          <w:rFonts w:cs="Times New Roman"/>
        </w:rPr>
      </w:pPr>
      <w:r>
        <w:rPr>
          <w:rFonts w:cs="Times New Roman"/>
        </w:rPr>
        <w:t xml:space="preserve">There are a range of factors, which are responsible for dealing with the service for a long period. Additionally, the lack of spare parts and grid compatibility, are weighed against functional utility or needs, such as battery efficiency and driving range (Astuti &amp; Susanto, 2024; Xue </w:t>
      </w:r>
      <w:r>
        <w:rPr>
          <w:rFonts w:cs="Times New Roman"/>
          <w:i/>
        </w:rPr>
        <w:t>et al</w:t>
      </w:r>
      <w:r>
        <w:rPr>
          <w:rFonts w:cs="Times New Roman"/>
        </w:rPr>
        <w:t>. 2024). There are also some other cognitive challenges impacting on demographic factors and social norms in cross-cultural settings (</w:t>
      </w:r>
      <w:r>
        <w:rPr>
          <w:rStyle w:val="24"/>
          <w:rFonts w:ascii="Geist Fallback" w:hAnsi="Geist Fallback"/>
          <w:sz w:val="23"/>
          <w:szCs w:val="23"/>
        </w:rPr>
        <w:t xml:space="preserve">Al Shurideh </w:t>
      </w:r>
      <w:r>
        <w:rPr>
          <w:rStyle w:val="24"/>
          <w:rFonts w:ascii="Geist Fallback" w:hAnsi="Geist Fallback"/>
          <w:i/>
          <w:sz w:val="23"/>
          <w:szCs w:val="23"/>
        </w:rPr>
        <w:t>et al</w:t>
      </w:r>
      <w:r>
        <w:rPr>
          <w:rStyle w:val="24"/>
          <w:rFonts w:ascii="Geist Fallback" w:hAnsi="Geist Fallback"/>
          <w:sz w:val="23"/>
          <w:szCs w:val="23"/>
        </w:rPr>
        <w:t xml:space="preserve">. (2025) and Venus </w:t>
      </w:r>
      <w:r>
        <w:rPr>
          <w:rStyle w:val="24"/>
          <w:rFonts w:ascii="Geist Fallback" w:hAnsi="Geist Fallback"/>
          <w:i/>
          <w:sz w:val="23"/>
          <w:szCs w:val="23"/>
        </w:rPr>
        <w:t>et al</w:t>
      </w:r>
      <w:r>
        <w:rPr>
          <w:rStyle w:val="24"/>
          <w:rFonts w:ascii="Geist Fallback" w:hAnsi="Geist Fallback"/>
          <w:sz w:val="23"/>
          <w:szCs w:val="23"/>
        </w:rPr>
        <w:t>. (2024</w:t>
      </w:r>
      <w:r>
        <w:rPr>
          <w:rFonts w:cs="Times New Roman"/>
        </w:rPr>
        <w:t xml:space="preserve">). The inclusion of theories such as the Theory of Planned Behaviour (TPB) and Innovation Resistance Theory (IRT) shows that once pro-environmental attitudes and high moral norms are present, a general tendency towards green mobility exists (Arora and Singh, 2024; Pamidimukkala </w:t>
      </w:r>
      <w:r>
        <w:rPr>
          <w:rFonts w:cs="Times New Roman"/>
          <w:i/>
        </w:rPr>
        <w:t>et al</w:t>
      </w:r>
      <w:r>
        <w:rPr>
          <w:rFonts w:cs="Times New Roman"/>
        </w:rPr>
        <w:t xml:space="preserve">., 2025; Sun and Lee, 2024). It is highlighted that when the local consumer hesitancy is not addressed, foreign brands often struggle to overcome it (Higueras-Castillo </w:t>
      </w:r>
      <w:r>
        <w:rPr>
          <w:rFonts w:cs="Times New Roman"/>
          <w:i/>
        </w:rPr>
        <w:t>et al</w:t>
      </w:r>
      <w:r>
        <w:rPr>
          <w:rFonts w:cs="Times New Roman"/>
        </w:rPr>
        <w:t xml:space="preserve">. 2024; Venus </w:t>
      </w:r>
      <w:r>
        <w:rPr>
          <w:rFonts w:cs="Times New Roman"/>
          <w:i/>
        </w:rPr>
        <w:t>et al</w:t>
      </w:r>
      <w:r>
        <w:rPr>
          <w:rFonts w:cs="Times New Roman"/>
        </w:rPr>
        <w:t xml:space="preserve">. 2024). As a result of this, while domestic companies had an emotional resonance and relied on their national brands, foreign OEM's need to actively minimise functional and psychological risk perception to overcome passive resistance (Samarasinghe </w:t>
      </w:r>
      <w:r>
        <w:rPr>
          <w:rFonts w:cs="Times New Roman"/>
          <w:i/>
        </w:rPr>
        <w:t>et al</w:t>
      </w:r>
      <w:r>
        <w:rPr>
          <w:rFonts w:cs="Times New Roman"/>
        </w:rPr>
        <w:t>. 2024).</w:t>
      </w:r>
    </w:p>
    <w:p w14:paraId="621B8566">
      <w:pPr>
        <w:rPr>
          <w:rFonts w:eastAsia="Times New Roman" w:cs="Times New Roman"/>
          <w:b/>
          <w:i/>
          <w:iCs/>
          <w:color w:val="1F1F1F"/>
          <w:szCs w:val="24"/>
          <w:lang w:eastAsia="en-GB"/>
        </w:rPr>
      </w:pPr>
      <w:r>
        <w:rPr>
          <w:rFonts w:eastAsia="Times New Roman" w:cs="Times New Roman"/>
          <w:b/>
          <w:bCs/>
          <w:color w:val="1F1F1F"/>
          <w:szCs w:val="24"/>
          <w:lang w:eastAsia="en-GB"/>
        </w:rPr>
        <w:t>Theme 2:</w:t>
      </w:r>
      <w:r>
        <w:rPr>
          <w:rFonts w:eastAsia="Times New Roman" w:cs="Times New Roman"/>
          <w:b/>
          <w:color w:val="1F1F1F"/>
          <w:szCs w:val="24"/>
          <w:lang w:eastAsia="en-GB"/>
        </w:rPr>
        <w:t xml:space="preserve"> </w:t>
      </w:r>
      <w:r>
        <w:rPr>
          <w:rFonts w:eastAsia="Times New Roman" w:cs="Times New Roman"/>
          <w:b/>
          <w:i/>
          <w:iCs/>
          <w:color w:val="1F1F1F"/>
          <w:szCs w:val="24"/>
          <w:lang w:eastAsia="en-GB"/>
        </w:rPr>
        <w:t>Infrastructural deficiencies, charging availability, and battery performance/safety concerns act as critical operational bottlenecks limiting full EV adoption</w:t>
      </w:r>
    </w:p>
    <w:p w14:paraId="54D98E58">
      <w:pPr>
        <w:rPr>
          <w:rFonts w:cs="Times New Roman"/>
        </w:rPr>
      </w:pPr>
      <w:r>
        <w:rPr>
          <w:rFonts w:cs="Times New Roman"/>
        </w:rPr>
        <w:t xml:space="preserve">The main physical barrier to meet the demands of EV adoption and market penetration are based on operational friction and structural inefficiencies for foreign EVs in India (Deloitte, 2025; IEA, 2025; MSX, 2025). First of all, it is mentioned that Public charging network is not adequate. There is low public charger density and no standardised charging network's interoperability protocols create high level range anxiety for prospective buyers (Samarasinghe </w:t>
      </w:r>
      <w:r>
        <w:rPr>
          <w:rFonts w:cs="Times New Roman"/>
          <w:i/>
        </w:rPr>
        <w:t>et al</w:t>
      </w:r>
      <w:r>
        <w:rPr>
          <w:rFonts w:cs="Times New Roman"/>
        </w:rPr>
        <w:t xml:space="preserve">. 2024; Schvartz </w:t>
      </w:r>
      <w:r>
        <w:rPr>
          <w:rFonts w:cs="Times New Roman"/>
          <w:i/>
        </w:rPr>
        <w:t>et al</w:t>
      </w:r>
      <w:r>
        <w:rPr>
          <w:rFonts w:cs="Times New Roman"/>
        </w:rPr>
        <w:t xml:space="preserve">. 2024). In order to overcome the physical challenges, it will be needed to introduce non-users and potential adopters to conduct in-depth trade-offs, considering the theoretical environmental and economic advantages of electric vehicles (Astuti and Susanto, 2024; Fortune Business Insights, 2024; IBEF, 2025). Purchasing dilemma among consumers is supported by battery performance and safety when subjected to extreme weather conditions and uncertainties over battery degradation. It is highlighted that foreign firms have to pay high tariff rates for imported Completely Built Units (CBUs) or Complete Knock down (CKD) kits compared to domestic companies, which can build on low-cost platform architectures and source components locally (Deloitte, 2025; MSX, 2025; Schvartz </w:t>
      </w:r>
      <w:r>
        <w:rPr>
          <w:rFonts w:cs="Times New Roman"/>
          <w:i/>
        </w:rPr>
        <w:t>et al</w:t>
      </w:r>
      <w:r>
        <w:rPr>
          <w:rFonts w:cs="Times New Roman"/>
        </w:rPr>
        <w:t xml:space="preserve">. 2024). In short, it is clear that foreign EV brands may not be able to gain mass market volume without extensive private investments in localized high power fast charging networks, thermal management adaptations for regional climate and robust service ecosystems (Fortune Business Insights, 2024; IBEF, 2025; IEA, 2025). </w:t>
      </w:r>
    </w:p>
    <w:p w14:paraId="39369C36">
      <w:pPr>
        <w:rPr>
          <w:rFonts w:eastAsia="Times New Roman" w:cs="Times New Roman"/>
          <w:b/>
          <w:i/>
          <w:iCs/>
          <w:color w:val="1F1F1F"/>
          <w:szCs w:val="24"/>
          <w:lang w:eastAsia="en-GB"/>
        </w:rPr>
      </w:pPr>
      <w:r>
        <w:rPr>
          <w:rFonts w:eastAsia="Times New Roman" w:cs="Times New Roman"/>
          <w:b/>
          <w:bCs/>
          <w:color w:val="1F1F1F"/>
          <w:szCs w:val="24"/>
          <w:lang w:eastAsia="en-GB"/>
        </w:rPr>
        <w:t>Theme 3:</w:t>
      </w:r>
      <w:r>
        <w:rPr>
          <w:rFonts w:eastAsia="Times New Roman" w:cs="Times New Roman"/>
          <w:b/>
          <w:color w:val="1F1F1F"/>
          <w:szCs w:val="24"/>
          <w:lang w:eastAsia="en-GB"/>
        </w:rPr>
        <w:t xml:space="preserve"> </w:t>
      </w:r>
      <w:r>
        <w:rPr>
          <w:rFonts w:eastAsia="Times New Roman" w:cs="Times New Roman"/>
          <w:b/>
          <w:i/>
          <w:iCs/>
          <w:color w:val="1F1F1F"/>
          <w:szCs w:val="24"/>
          <w:lang w:eastAsia="en-GB"/>
        </w:rPr>
        <w:t>Strategic marketing communications, perceived value framing, domain awareness and segment-specific dynamics directly influence market transition and consumer preferences</w:t>
      </w:r>
    </w:p>
    <w:p w14:paraId="7F13A013">
      <w:pPr>
        <w:rPr>
          <w:rFonts w:cs="Times New Roman"/>
        </w:rPr>
      </w:pPr>
      <w:r>
        <w:rPr>
          <w:rFonts w:cs="Times New Roman"/>
        </w:rPr>
        <w:t xml:space="preserve">Strategic marketing communication, domain awareness and segment specific market dynamics are strong drivers for market transition and consumer brand selection. The domain awareness and consumer knowledge serve as crucial mediators between consumer consciousness of the environment and actual purchasing decisions (Song </w:t>
      </w:r>
      <w:r>
        <w:rPr>
          <w:rFonts w:cs="Times New Roman"/>
          <w:i/>
        </w:rPr>
        <w:t>et al</w:t>
      </w:r>
      <w:r>
        <w:rPr>
          <w:rFonts w:cs="Times New Roman"/>
        </w:rPr>
        <w:t xml:space="preserve">. 2025; Gupta </w:t>
      </w:r>
      <w:r>
        <w:rPr>
          <w:rFonts w:cs="Times New Roman"/>
          <w:i/>
        </w:rPr>
        <w:t>et al</w:t>
      </w:r>
      <w:r>
        <w:rPr>
          <w:rFonts w:cs="Times New Roman"/>
        </w:rPr>
        <w:t xml:space="preserve">. 2024). There are cognitive roadblocks such as information asymmetries around TCO, battery life cycles and localized operational savings that make it difficult to widespread adoption (Deloitte, 2025; Gupta </w:t>
      </w:r>
      <w:r>
        <w:rPr>
          <w:rFonts w:cs="Times New Roman"/>
          <w:i/>
        </w:rPr>
        <w:t>et al</w:t>
      </w:r>
      <w:r>
        <w:rPr>
          <w:rFonts w:cs="Times New Roman"/>
        </w:rPr>
        <w:t xml:space="preserve">. 2024). Consumers' brand preference is significantly influenced by strategic marketing campaigns focusing on the perceived value, green attributes, and technological advantages of the products, mainly in luxury and specialized segments of SUVs (Joghee </w:t>
      </w:r>
      <w:r>
        <w:rPr>
          <w:rFonts w:cs="Times New Roman"/>
          <w:i/>
        </w:rPr>
        <w:t>et al</w:t>
      </w:r>
      <w:r>
        <w:rPr>
          <w:rFonts w:cs="Times New Roman"/>
        </w:rPr>
        <w:t xml:space="preserve">. 2024; Song </w:t>
      </w:r>
      <w:r>
        <w:rPr>
          <w:rFonts w:cs="Times New Roman"/>
          <w:i/>
        </w:rPr>
        <w:t>et al</w:t>
      </w:r>
      <w:r>
        <w:rPr>
          <w:rFonts w:cs="Times New Roman"/>
        </w:rPr>
        <w:t xml:space="preserve">. 2025; Tsai </w:t>
      </w:r>
      <w:r>
        <w:rPr>
          <w:rFonts w:cs="Times New Roman"/>
          <w:i/>
        </w:rPr>
        <w:t>et al</w:t>
      </w:r>
      <w:r>
        <w:rPr>
          <w:rFonts w:cs="Times New Roman"/>
        </w:rPr>
        <w:t xml:space="preserve">. 2025). </w:t>
      </w:r>
    </w:p>
    <w:p w14:paraId="2EF0FEA7">
      <w:pPr>
        <w:rPr>
          <w:rFonts w:cs="Times New Roman"/>
        </w:rPr>
      </w:pPr>
      <w:r>
        <w:rPr>
          <w:rFonts w:cs="Times New Roman"/>
        </w:rPr>
        <w:t xml:space="preserve">The market dynamics reveal a pattern of different adoption curves for different vehicle segments, with commercial vehicles, two-wheelers and low-cost domestic vehicles leading the way in driving uptake at the lower end of the market, while foreign OEMs need to focus on brand-specific green positioning and targeted communication to secure market shares at the premium end (Fortune Business Insights, 2024; Goswamy </w:t>
      </w:r>
      <w:r>
        <w:rPr>
          <w:rFonts w:cs="Times New Roman"/>
          <w:i/>
        </w:rPr>
        <w:t>et al</w:t>
      </w:r>
      <w:r>
        <w:rPr>
          <w:rFonts w:cs="Times New Roman"/>
        </w:rPr>
        <w:t xml:space="preserve">. 2024; IBEF, 2025). Moreover, custom marketing strategies are found to reduce country-of-origin biases through enhancing brand trust and emphasising on the better consumer experience attributes (Song </w:t>
      </w:r>
      <w:r>
        <w:rPr>
          <w:rFonts w:cs="Times New Roman"/>
          <w:i/>
        </w:rPr>
        <w:t>et al</w:t>
      </w:r>
      <w:r>
        <w:rPr>
          <w:rFonts w:cs="Times New Roman"/>
        </w:rPr>
        <w:t xml:space="preserve">. 2025). A sense of perceived value can be created by aligning marketing strategies with regional economic conditions, filling knowledge gaps, and focusing on value that resonates with the local market, all of which will contribute to achieving long-term EV adoption and EV brand equity (Goswamy </w:t>
      </w:r>
      <w:r>
        <w:rPr>
          <w:rFonts w:cs="Times New Roman"/>
          <w:i/>
        </w:rPr>
        <w:t>et al</w:t>
      </w:r>
      <w:r>
        <w:rPr>
          <w:rFonts w:cs="Times New Roman"/>
        </w:rPr>
        <w:t xml:space="preserve">. 2024; Gupta </w:t>
      </w:r>
      <w:r>
        <w:rPr>
          <w:rFonts w:cs="Times New Roman"/>
          <w:i/>
        </w:rPr>
        <w:t>et al</w:t>
      </w:r>
      <w:r>
        <w:rPr>
          <w:rFonts w:cs="Times New Roman"/>
        </w:rPr>
        <w:t>. 2024).</w:t>
      </w:r>
    </w:p>
    <w:p w14:paraId="6E6608FC">
      <w:pPr>
        <w:pStyle w:val="3"/>
      </w:pPr>
      <w:bookmarkStart w:id="89" w:name="_Toc241218800"/>
      <w:r>
        <w:t>4.11 Summary</w:t>
      </w:r>
      <w:bookmarkEnd w:id="89"/>
      <w:r>
        <w:t xml:space="preserve"> </w:t>
      </w:r>
    </w:p>
    <w:p w14:paraId="5B738DDA">
      <w:pPr>
        <w:rPr>
          <w:rFonts w:cs="Times New Roman"/>
        </w:rPr>
      </w:pPr>
      <w:r>
        <w:rPr>
          <w:rFonts w:cs="Times New Roman"/>
        </w:rPr>
        <w:t xml:space="preserve">Thus, it can be summarised that this chapter has considered the chosen source critically and develop the thematic analysis to meet the objectives thoroughly. The thematic codebook approach is followed here and gradual development is done through development of initial coding, categories, sub themes and the final themes. Three themes are developed which have met the objectives and analyse how the entry of foreign EV brands in India can be impacted by external factors. </w:t>
      </w:r>
    </w:p>
    <w:p w14:paraId="7B15CA05">
      <w:pPr>
        <w:spacing w:line="259" w:lineRule="auto"/>
        <w:jc w:val="left"/>
        <w:rPr>
          <w:rFonts w:cs="Times New Roman"/>
        </w:rPr>
      </w:pPr>
      <w:r>
        <w:rPr>
          <w:rFonts w:cs="Times New Roman"/>
        </w:rPr>
        <w:br w:type="page"/>
      </w:r>
    </w:p>
    <w:p w14:paraId="0DF41C41">
      <w:pPr>
        <w:pStyle w:val="2"/>
        <w:rPr>
          <w:lang w:val="en-GB"/>
        </w:rPr>
      </w:pPr>
      <w:bookmarkStart w:id="90" w:name="_Toc241218801"/>
      <w:r>
        <w:rPr>
          <w:lang w:val="en-GB"/>
        </w:rPr>
        <w:t>Chapter 5: Discussion</w:t>
      </w:r>
      <w:bookmarkEnd w:id="90"/>
      <w:r>
        <w:rPr>
          <w:lang w:val="en-GB"/>
        </w:rPr>
        <w:t xml:space="preserve"> </w:t>
      </w:r>
    </w:p>
    <w:p w14:paraId="68EC9598">
      <w:pPr>
        <w:pStyle w:val="3"/>
        <w:rPr>
          <w:lang w:val="en-GB"/>
        </w:rPr>
      </w:pPr>
      <w:bookmarkStart w:id="91" w:name="_6ewuqsr6hw4n" w:colFirst="0" w:colLast="0"/>
      <w:bookmarkEnd w:id="91"/>
      <w:bookmarkStart w:id="92" w:name="_Toc241218802"/>
      <w:r>
        <w:rPr>
          <w:lang w:val="en-GB"/>
        </w:rPr>
        <w:t>5.1 Chapter introduction</w:t>
      </w:r>
      <w:bookmarkEnd w:id="92"/>
    </w:p>
    <w:p w14:paraId="5733D9F5">
      <w:pPr>
        <w:rPr>
          <w:lang w:val="en-GB"/>
        </w:rPr>
      </w:pPr>
      <w:r>
        <w:rPr>
          <w:lang w:val="en-GB"/>
        </w:rPr>
        <w:t>This discussion chapter focuses on discussing and interpreting the secondary findings presented based on selected primary sources in Chapter 4. This supports the research aim, objectives, research questions, and theoretical framework. The research aims covers evaluating the factors highly influencing customer acceptance of foreign electric vehicle (EV) brands in India. The study adopted qualitative secondary research and thematic analysis mainly to generate recurring patterns across academic, industry and corporate sources.  Therefore, this chapter moves beyond describing the findings by explaining their meaning and critically comparing them with previous research. It has considered TAM and UTAUT, which have been used to assess whether the findings can address the literature gap.</w:t>
      </w:r>
    </w:p>
    <w:p w14:paraId="7B3D81DD">
      <w:pPr>
        <w:pStyle w:val="3"/>
        <w:rPr>
          <w:lang w:val="en-GB"/>
        </w:rPr>
      </w:pPr>
      <w:bookmarkStart w:id="93" w:name="_f5o2lnpkb4yh" w:colFirst="0" w:colLast="0"/>
      <w:bookmarkEnd w:id="93"/>
      <w:bookmarkStart w:id="94" w:name="_Toc241218803"/>
      <w:r>
        <w:rPr>
          <w:lang w:val="en-GB"/>
        </w:rPr>
        <w:t>5.2 Summarise the key findings</w:t>
      </w:r>
      <w:bookmarkEnd w:id="94"/>
      <w:r>
        <w:rPr>
          <w:lang w:val="en-GB"/>
        </w:rPr>
        <w:t xml:space="preserve"> </w:t>
      </w:r>
    </w:p>
    <w:p w14:paraId="01ABF0C7">
      <w:pPr>
        <w:rPr>
          <w:lang w:val="en-GB"/>
        </w:rPr>
      </w:pPr>
      <w:r>
        <w:rPr>
          <w:lang w:val="en-GB"/>
        </w:rPr>
        <w:t>The secondary findings in Chapter 4 indicate that Indian customer acceptance of foreign EV brands in India is influenced by an interconnected combination of technological value, economic considerations like price, consumer perceptions, operational support and innovative infrastructure. These factors have strongly influenced foreign-brand market-entry conditions. This finding has been consistent with the thematic approach designed within Chapter 4, where evidence has been collected from 20 secondary sources. The sources include 13 peer-reviewed journal articles and seven industry, market intelligence and corporate reports. It has been demonstrated that Indian consumers evaluate foreign EV brands through overlapping considerations. The considerations are perceived reliability, brand trust and product quality. These considerations have emerged as important influences on customer acceptance. To accept foreign EV products, Indian customers need confidence, brand reliability, technological innovation, and product safety. It has been identified that perceived safety ratings, reliability, performance credibility, advanced features, driving range and charging convenience are important. These are highly important and influence purchase intention. The findings therefore suggest that technological superiority has not automatically translated into acceptance among Indian customers. To maintain this engagement, foreign brands need to establish credibility and show concern to reduce consumers' uncertainty about ownership.</w:t>
      </w:r>
    </w:p>
    <w:p w14:paraId="3C40AE93">
      <w:pPr>
        <w:rPr>
          <w:lang w:val="en-GB"/>
        </w:rPr>
      </w:pPr>
      <w:r>
        <w:rPr>
          <w:lang w:val="en-GB"/>
        </w:rPr>
        <w:t xml:space="preserve">It has also been found that perceived value and price were particularly important. Indian consumers have been shown to be strongly value-conscious, which shows the impact of a high initial purchase price. This can restrict acceptance even when consumers have recognised the technological and environmental advantages of EVs It has been identified that long-term value, total cost of ownership, and functional affordability are important considerations (Kharbanda </w:t>
      </w:r>
      <w:r>
        <w:rPr>
          <w:i/>
          <w:iCs/>
          <w:lang w:val="en-GB"/>
        </w:rPr>
        <w:t>et al.,</w:t>
      </w:r>
      <w:r>
        <w:rPr>
          <w:lang w:val="en-GB"/>
        </w:rPr>
        <w:t xml:space="preserve"> 2024). In this case, high acquisition costs mainly create a barrier for Indian customers. Thus, the purchasing intention of Indian customers does not depend on EVs being desirable, however consumers mainly focus on financial commitment, product quality, brand, and trust. </w:t>
      </w:r>
    </w:p>
    <w:p w14:paraId="187624A9">
      <w:pPr>
        <w:rPr>
          <w:lang w:val="en-GB"/>
        </w:rPr>
      </w:pPr>
      <w:r>
        <w:rPr>
          <w:lang w:val="en-GB"/>
        </w:rPr>
        <w:t xml:space="preserve">Consumer awareness and technology acceptance influence Indian customers’ acceptance of foreign EVs They may respond positively to adopt EV technologies; however, their knowledge is limited regarding EV functionality (Gao </w:t>
      </w:r>
      <w:r>
        <w:rPr>
          <w:i/>
          <w:iCs/>
          <w:lang w:val="en-GB"/>
        </w:rPr>
        <w:t>et al</w:t>
      </w:r>
      <w:r>
        <w:rPr>
          <w:lang w:val="en-GB"/>
        </w:rPr>
        <w:t xml:space="preserve">., 2023). Due to a lack of Indian customers’ knowledge, this is mainly responsible for creating uncertainty and reducing perceived value. The secondary findings consequently indicate that communication and education are important to understand how technological innovation increase customer safety and lowers the impact on the environment. </w:t>
      </w:r>
    </w:p>
    <w:p w14:paraId="0769170D">
      <w:pPr>
        <w:rPr>
          <w:lang w:val="en-GB"/>
        </w:rPr>
      </w:pPr>
      <w:r>
        <w:rPr>
          <w:lang w:val="en-GB"/>
        </w:rPr>
        <w:t xml:space="preserve">Battery performance, charging infrastructure, and after-sales support represent major practical conditions to identify the factors influencing Indian customers. Consumers are concerned about battery performance, spare parts, charging availability, warranties and long-term servicing (Adnan </w:t>
      </w:r>
      <w:r>
        <w:rPr>
          <w:i/>
          <w:iCs/>
          <w:lang w:val="en-GB"/>
        </w:rPr>
        <w:t>et al</w:t>
      </w:r>
      <w:r>
        <w:rPr>
          <w:lang w:val="en-GB"/>
        </w:rPr>
        <w:t xml:space="preserve">., 2024). These services strongly demonstrate that acceptance extends beyond the vehicle itself to the wider ecosystem required for ownership. </w:t>
      </w:r>
    </w:p>
    <w:p w14:paraId="65A61547">
      <w:pPr>
        <w:rPr>
          <w:lang w:val="en-GB"/>
        </w:rPr>
      </w:pPr>
      <w:r>
        <w:rPr>
          <w:lang w:val="en-GB"/>
        </w:rPr>
        <w:t xml:space="preserve">Besides the opportunity, foreign EV brands suffer from structural market-entry barriers, which include supply-chain weaknesses, domestic competition, price sensitivity, and regulatory conditions. These barriers are responsible for increasing customers' intention to shift towards local adaptation. The foreign EV brands also face market competition against domestic manufacturers related to servicing networks, local supply chains, established distribution, and consumer trust (Joghee </w:t>
      </w:r>
      <w:r>
        <w:rPr>
          <w:i/>
          <w:iCs/>
          <w:lang w:val="en-GB"/>
        </w:rPr>
        <w:t>et al.</w:t>
      </w:r>
      <w:r>
        <w:rPr>
          <w:lang w:val="en-GB"/>
        </w:rPr>
        <w:t>, 2024). Consequently, foreign brands need to combine localisation, consumer-focused strategies and infrastructure development. These findings are highly significant to meet the research questions by demonstrating that acceptance is multidimensional. Consumer acceptance heavily depends on foreign brands that can simultaneously deliver acceptable value and credible technology. This influences trustworthy support, operational convenience, and sufficient adaptation to Indian market conditions.</w:t>
      </w:r>
    </w:p>
    <w:p w14:paraId="2F8B308B">
      <w:pPr>
        <w:pStyle w:val="3"/>
        <w:rPr>
          <w:lang w:val="en-GB"/>
        </w:rPr>
      </w:pPr>
      <w:bookmarkStart w:id="95" w:name="_sx2xdyx4iz6n" w:colFirst="0" w:colLast="0"/>
      <w:bookmarkEnd w:id="95"/>
      <w:bookmarkStart w:id="96" w:name="_Toc241218804"/>
      <w:r>
        <w:rPr>
          <w:lang w:val="en-GB"/>
        </w:rPr>
        <w:t>5.3 Discussion of themes</w:t>
      </w:r>
      <w:bookmarkEnd w:id="96"/>
      <w:r>
        <w:rPr>
          <w:lang w:val="en-GB"/>
        </w:rPr>
        <w:t xml:space="preserve"> </w:t>
      </w:r>
    </w:p>
    <w:p w14:paraId="09D1FF9E">
      <w:pPr>
        <w:rPr>
          <w:b/>
          <w:bCs/>
          <w:i/>
          <w:iCs/>
          <w:lang w:val="en-GB"/>
        </w:rPr>
      </w:pPr>
      <w:r>
        <w:rPr>
          <w:b/>
          <w:bCs/>
          <w:i/>
          <w:iCs/>
          <w:lang w:val="en-GB"/>
        </w:rPr>
        <w:t>Consumer trust and brand perception – RQ1</w:t>
      </w:r>
    </w:p>
    <w:p w14:paraId="58480FF0">
      <w:pPr>
        <w:rPr>
          <w:lang w:val="en-GB"/>
        </w:rPr>
      </w:pPr>
      <w:r>
        <w:rPr>
          <w:lang w:val="en-GB"/>
        </w:rPr>
        <w:t xml:space="preserve">The secondary finding is relevant to the first research question, which is identifying the factors that influence Indian consumers' acceptance of foreign electric vehicle brands. The findings indicate that brand perception and trust are central indicators for increasing Indian customers' foreign EV acceptance. Consumers intend to engage with foreign EV brands due to their advanced technological characteristics, high brand value, and perceived manufacturer reliability (Song </w:t>
      </w:r>
      <w:r>
        <w:rPr>
          <w:i/>
          <w:iCs/>
          <w:lang w:val="en-GB"/>
        </w:rPr>
        <w:t>et al.,</w:t>
      </w:r>
      <w:r>
        <w:rPr>
          <w:lang w:val="en-GB"/>
        </w:rPr>
        <w:t xml:space="preserve"> 2025). This increases the acceptability of foreign brands through supporting ownership over the vehicle's lifecycle. These factors are highly responsible in the Indian automobile industry, mainly in leading high-involvement purchases, developing the perceived risk that can substantially influence the decision-making process. </w:t>
      </w:r>
    </w:p>
    <w:p w14:paraId="5F984539">
      <w:pPr>
        <w:rPr>
          <w:lang w:val="en-GB"/>
        </w:rPr>
      </w:pPr>
      <w:r>
        <w:rPr>
          <w:lang w:val="en-GB"/>
        </w:rPr>
        <w:t xml:space="preserve">The secondary finding supports this interpretation, as it is identified that brand reliability, safety and advanced vehicle features play an influential role in changing consumer considerations. The finding has been associated with driving range, performance credibility, and charging convenience with purchase intention (Rehman </w:t>
      </w:r>
      <w:r>
        <w:rPr>
          <w:i/>
          <w:iCs/>
          <w:lang w:val="en-GB"/>
        </w:rPr>
        <w:t>et al.,</w:t>
      </w:r>
      <w:r>
        <w:rPr>
          <w:lang w:val="en-GB"/>
        </w:rPr>
        <w:t xml:space="preserve"> 2025).  However, the findings suggest that positive perceptions of foreign technology are insufficient by themselves. Consumers may strongly recognise the technological sophistication of foreign vehicles. This mainly creates the remaining uncertainty about service accessibility, reliability and long-term ownership. It has been demonstrated that foreign brands need to transform technological credibility into broader brand trust and brand credibility. </w:t>
      </w:r>
    </w:p>
    <w:p w14:paraId="6FA49025">
      <w:pPr>
        <w:rPr>
          <w:b/>
          <w:bCs/>
          <w:i/>
          <w:iCs/>
          <w:lang w:val="en-GB"/>
        </w:rPr>
      </w:pPr>
      <w:r>
        <w:rPr>
          <w:b/>
          <w:bCs/>
          <w:i/>
          <w:iCs/>
          <w:lang w:val="en-GB"/>
        </w:rPr>
        <w:t>Price, value and purchasing intention – RQ1 and RQ2</w:t>
      </w:r>
    </w:p>
    <w:p w14:paraId="173ABFA0">
      <w:pPr>
        <w:spacing w:before="240" w:after="240"/>
        <w:rPr>
          <w:lang w:val="en-GB"/>
        </w:rPr>
      </w:pPr>
      <w:r>
        <w:rPr>
          <w:lang w:val="en-GB"/>
        </w:rPr>
        <w:t>The findings have also evaluated the second research question, which includes identifying the reasons behind developing purchasing intentions for foreign EV brands in India. The evidence delivers suggestions on what mainly influences the purchasing intentions of Indian customers. It leads consumers to perceive a reasonable relationship among performance, price, operating cost and long-term value.</w:t>
      </w:r>
    </w:p>
    <w:p w14:paraId="43D60B0E">
      <w:pPr>
        <w:spacing w:before="240" w:after="240"/>
        <w:rPr>
          <w:lang w:val="en-GB"/>
        </w:rPr>
      </w:pPr>
      <w:r>
        <w:rPr>
          <w:lang w:val="en-GB"/>
        </w:rPr>
        <w:t>This is strongly significant in the Indian context, as consumers are described as highly price sensitive. Lower operating costs and environmental benefits may increase the attractiveness of EVs in the Indian market (Dutta and Padmanaban, 2025). Initial acquisition cost is an important barrier when entering a new market for international brands. In contrast, customers appear to evaluate whether the overall ownership proposition is highly economically meaningful. This finding also helps demonstrate that foreign EV brands may struggle when they launch premium products in the Indian market, where customers are highly price sensitive (Rehman, 2025). When consumers perceive foreign brands as offering expensive luxury or lifestyle products, their potential market becomes influenced by consumers with greater purchasing power (Hamzah and Pontes, 2024). Consequently, Indian customers ‘acceptance requires foreign manufacturers mainly to demonstrate functional and financial value.  It has relied heavily on international brand image in the global automobile industry.</w:t>
      </w:r>
    </w:p>
    <w:p w14:paraId="0572FF31">
      <w:pPr>
        <w:rPr>
          <w:b/>
          <w:bCs/>
          <w:i/>
          <w:iCs/>
          <w:lang w:val="en-GB"/>
        </w:rPr>
      </w:pPr>
      <w:r>
        <w:rPr>
          <w:b/>
          <w:bCs/>
          <w:i/>
          <w:iCs/>
          <w:lang w:val="en-GB"/>
        </w:rPr>
        <w:t>Technology acceptance and perceived usefulness – RQ1 and RQ2</w:t>
      </w:r>
    </w:p>
    <w:p w14:paraId="27B4ABE1">
      <w:pPr>
        <w:rPr>
          <w:lang w:val="en-GB"/>
        </w:rPr>
      </w:pPr>
      <w:r>
        <w:rPr>
          <w:lang w:val="en-GB"/>
        </w:rPr>
        <w:t xml:space="preserve">Technology is another important factor that shows that consumer value depends on advanced features, technological sophistication, vehicle performance and battery efficiency. However, technology is responsible for this acceptance only when consumers understand the usefulness of advanced technology. Limited consumer knowledge can create uncertainty related to the practical benefits of EV ownership. This finding directly connects with the Technology Acceptance Model (TAM) from the perspective of Indian customers. TAM focuses on perceived usefulness, which is related to battery efficiency, driving range, and long-term cost reduction (Sun and Lee, 2024). Young customers are highly attracted by automated features, digital interfaces, and charging systems. In this case, foreign brands need to communicate technological benefits in terms that consumers can connect with everyday mobility instead of presenting technology. </w:t>
      </w:r>
    </w:p>
    <w:p w14:paraId="5932AF9A">
      <w:pPr>
        <w:rPr>
          <w:b/>
          <w:bCs/>
          <w:i/>
          <w:iCs/>
          <w:lang w:val="en-GB"/>
        </w:rPr>
      </w:pPr>
      <w:r>
        <w:rPr>
          <w:b/>
          <w:bCs/>
          <w:i/>
          <w:iCs/>
          <w:lang w:val="en-GB"/>
        </w:rPr>
        <w:t>Infrastructure, after-sales service and facilitating conditions – RQ1 and RQ3</w:t>
      </w:r>
    </w:p>
    <w:p w14:paraId="0887911F">
      <w:pPr>
        <w:rPr>
          <w:lang w:val="en-GB"/>
        </w:rPr>
      </w:pPr>
      <w:r>
        <w:rPr>
          <w:lang w:val="en-GB"/>
        </w:rPr>
        <w:t xml:space="preserve">Charging infrastructure and after-sales support are important factors where consumers may hesitate to purchase a foreign EV. Customers face threats related to inadequate charging facilities, and there might be uncertainty concerning repairs, spare parts, lack of sufficient warranties and battery performance. This demonstrates that customer acceptance is affected by the wider ecosystem of electric vehicles. This finding is strongly connected to UTAUT theory, particularly focusing on facilitating conditions. UTAUT considers performance expectancy, social influence, effort expectancy, and facilitating conditions, which are important dimensions of technology adoption (Ahmad </w:t>
      </w:r>
      <w:r>
        <w:rPr>
          <w:i/>
          <w:iCs/>
          <w:lang w:val="en-GB"/>
        </w:rPr>
        <w:t>et al.,</w:t>
      </w:r>
      <w:r>
        <w:rPr>
          <w:lang w:val="en-GB"/>
        </w:rPr>
        <w:t xml:space="preserve"> 2024). In the Indian EV context, charging networks and accessible local servicing can determine whether consumers believe that EV ownership is practically feasible. </w:t>
      </w:r>
    </w:p>
    <w:p w14:paraId="53D7147F">
      <w:pPr>
        <w:rPr>
          <w:b/>
          <w:bCs/>
          <w:i/>
          <w:iCs/>
          <w:lang w:val="en-GB"/>
        </w:rPr>
      </w:pPr>
      <w:r>
        <w:rPr>
          <w:b/>
          <w:bCs/>
          <w:i/>
          <w:iCs/>
          <w:lang w:val="en-GB"/>
        </w:rPr>
        <w:t>Market-entry barriers and local adaptation – RQ3 and RQ4</w:t>
      </w:r>
    </w:p>
    <w:p w14:paraId="7D3A3BDA">
      <w:pPr>
        <w:rPr>
          <w:lang w:val="en-GB"/>
        </w:rPr>
      </w:pPr>
      <w:r>
        <w:rPr>
          <w:lang w:val="en-GB"/>
        </w:rPr>
        <w:t xml:space="preserve">The third research question highlights issues faced by foreign EV brands when penetrating India. The findings demonstrate that these problems extend beyond consumer attitudes. Foreign manufacturers suffer issues related to critical-material constraints, high costs, supply-chain weaknesses, regulatory complexity, and strong domestic competition (George, 2024). Domestic automobile companies in India possess comparatively high advantages as they have established distribution systems, vendor networks, servicing capabilities and customer trust. On the other hand, the fourth research question has been concerning feasible strategies that focus on competitive pricing, consumer education, local networks, and stronger charging service infrastructure, and supply-chain localisation are important. The secondary evidence highlights that battery-swapping models, charging partnerships, and alternative business models have also supported local opportunities. These themes have demonstrated that market penetration and consumer acceptance cannot be treated independently (Jahan </w:t>
      </w:r>
      <w:r>
        <w:rPr>
          <w:i/>
          <w:iCs/>
          <w:lang w:val="en-GB"/>
        </w:rPr>
        <w:t>et al.,</w:t>
      </w:r>
      <w:r>
        <w:rPr>
          <w:lang w:val="en-GB"/>
        </w:rPr>
        <w:t xml:space="preserve"> 2024). Structural conditions have influenced consumer perceptions, where consumer expectations have simultaneously determined the market by measuring foreign brands' market strategies. </w:t>
      </w:r>
    </w:p>
    <w:p w14:paraId="3E1713BB">
      <w:pPr>
        <w:pStyle w:val="3"/>
        <w:rPr>
          <w:lang w:val="en-GB"/>
        </w:rPr>
      </w:pPr>
      <w:bookmarkStart w:id="97" w:name="_3nrwmrxuc3rz" w:colFirst="0" w:colLast="0"/>
      <w:bookmarkEnd w:id="97"/>
      <w:bookmarkStart w:id="98" w:name="_Toc241218805"/>
      <w:r>
        <w:rPr>
          <w:lang w:val="en-GB"/>
        </w:rPr>
        <w:t>5.4 Linking with literature review</w:t>
      </w:r>
      <w:bookmarkEnd w:id="98"/>
      <w:r>
        <w:rPr>
          <w:lang w:val="en-GB"/>
        </w:rPr>
        <w:t xml:space="preserve"> </w:t>
      </w:r>
    </w:p>
    <w:p w14:paraId="165CB864">
      <w:pPr>
        <w:rPr>
          <w:lang w:val="en-GB"/>
        </w:rPr>
      </w:pPr>
      <w:r>
        <w:rPr>
          <w:lang w:val="en-GB"/>
        </w:rPr>
        <w:t xml:space="preserve">The secondary findings have broadly supported the literature reviewed  here it extends it by demonstrating the relationship among market-level barriers and consumer-level acceptance. The literature review supports finding a significant gap, as it has examined EV adoption instead of distinguishing among domestic and foreign brands (Chen </w:t>
      </w:r>
      <w:r>
        <w:rPr>
          <w:i/>
          <w:iCs/>
          <w:lang w:val="en-GB"/>
        </w:rPr>
        <w:t>et al.,</w:t>
      </w:r>
      <w:r>
        <w:rPr>
          <w:lang w:val="en-GB"/>
        </w:rPr>
        <w:t xml:space="preserve"> 2024). It has found limited integration between structural conditions and psychological factors. These have influenced after-sales support, supply-chain weaknesses, acquisition costs, charging infrastructure, and regulatory conditions (Handarujati, 2024). The present secondary findings support the previous literature findings that reliability, charging convenience, safety and technological performance have an influence on modern Indian customers (Samarasinghe </w:t>
      </w:r>
      <w:r>
        <w:rPr>
          <w:i/>
          <w:iCs/>
          <w:lang w:val="en-GB"/>
        </w:rPr>
        <w:t>et al.,</w:t>
      </w:r>
      <w:r>
        <w:rPr>
          <w:lang w:val="en-GB"/>
        </w:rPr>
        <w:t xml:space="preserve"> 2024). These characteristics are as important as these influences on consumer purchase intention. The current findings have reinforced this argument; however, they indicate that these characteristics are particularly important for foreign brands, as consumers need additional confidence to engage with unfamiliar manufacturers. </w:t>
      </w:r>
    </w:p>
    <w:p w14:paraId="7E1A846E">
      <w:pPr>
        <w:rPr>
          <w:lang w:val="en-GB"/>
        </w:rPr>
      </w:pPr>
      <w:r>
        <w:rPr>
          <w:lang w:val="en-GB"/>
        </w:rPr>
        <w:t xml:space="preserve">The findings also support the previous literature review, as price sensitivity and perceived value can change customers’ purchase intention (Domarchi </w:t>
      </w:r>
      <w:r>
        <w:rPr>
          <w:i/>
          <w:iCs/>
          <w:lang w:val="en-GB"/>
        </w:rPr>
        <w:t>et al.,</w:t>
      </w:r>
      <w:r>
        <w:rPr>
          <w:lang w:val="en-GB"/>
        </w:rPr>
        <w:t xml:space="preserve"> 2024). Long-term value, total ownership cost and functional affordability have influenced Indian consumers' EV decisions. However, high acquisition costs also generate barriers for foreign brands to maintain long-term customer engagement (Domarchi </w:t>
      </w:r>
      <w:r>
        <w:rPr>
          <w:i/>
          <w:iCs/>
          <w:lang w:val="en-GB"/>
        </w:rPr>
        <w:t>et al.,</w:t>
      </w:r>
      <w:r>
        <w:rPr>
          <w:lang w:val="en-GB"/>
        </w:rPr>
        <w:t xml:space="preserve"> 2024). The current findings have reinforced the argument that economic considerations are highly important, as this supports generating positive environmental or technological attitudes (Al Shurideh </w:t>
      </w:r>
      <w:r>
        <w:rPr>
          <w:i/>
          <w:iCs/>
          <w:lang w:val="en-GB"/>
        </w:rPr>
        <w:t>et al.</w:t>
      </w:r>
      <w:r>
        <w:rPr>
          <w:lang w:val="en-GB"/>
        </w:rPr>
        <w:t xml:space="preserve">, 2025). </w:t>
      </w:r>
    </w:p>
    <w:p w14:paraId="5A576153">
      <w:pPr>
        <w:rPr>
          <w:lang w:val="en-GB"/>
        </w:rPr>
      </w:pPr>
      <w:r>
        <w:rPr>
          <w:lang w:val="en-GB"/>
        </w:rPr>
        <w:t xml:space="preserve">However, linking with the existing literature, it has been demonstrated that positive attitudes of customers have not necessarily resulted in foreign-brand acceptance (Mondal and Suman, 2025). The literature indicates that consumers add value by building quality, technological sophistication, and social commitment. On the other hand, unfavourable customer attitudes and insufficient information are responsible for operating barriers in an emerging-market context (Meskine </w:t>
      </w:r>
      <w:r>
        <w:rPr>
          <w:i/>
          <w:iCs/>
          <w:lang w:val="en-GB"/>
        </w:rPr>
        <w:t>et al.,</w:t>
      </w:r>
      <w:r>
        <w:rPr>
          <w:lang w:val="en-GB"/>
        </w:rPr>
        <w:t xml:space="preserve"> 2025). This suggests that acceptance is conditional on practical feasibility that builds good relations between the brand and customers. </w:t>
      </w:r>
    </w:p>
    <w:p w14:paraId="653DA69C">
      <w:pPr>
        <w:rPr>
          <w:lang w:val="en-GB"/>
        </w:rPr>
      </w:pPr>
      <w:r>
        <w:rPr>
          <w:lang w:val="en-GB"/>
        </w:rPr>
        <w:t xml:space="preserve">The findings also extend through the literature by aligning market-entry conditions with consumer acceptance. Previous research has separately demonstrated that supply-chain weaknesses, charging infrastructure, domestic competition, price control and regulation are key barriers (Mondal and Suman, 2025). The present study shows that these factors, together with perceived usefulness, trust, value and technological performance, increase customers’ expectations of foreign EV brands (Venus </w:t>
      </w:r>
      <w:r>
        <w:rPr>
          <w:i/>
          <w:iCs/>
          <w:lang w:val="en-GB"/>
        </w:rPr>
        <w:t>et al.,</w:t>
      </w:r>
      <w:r>
        <w:rPr>
          <w:lang w:val="en-GB"/>
        </w:rPr>
        <w:t xml:space="preserve"> 2024). This has also been addressed: greater integration between psychological factors, economic conditions, and technology acceptance influences the structural market barriers. </w:t>
      </w:r>
    </w:p>
    <w:p w14:paraId="092D9960">
      <w:pPr>
        <w:rPr>
          <w:lang w:val="en-GB"/>
        </w:rPr>
      </w:pPr>
      <w:r>
        <w:rPr>
          <w:lang w:val="en-GB"/>
        </w:rPr>
        <w:t xml:space="preserve">The theoretical support covers TAM, which provides a quality explanation of consumers' perceptions (Sun and Lee, 2024). However, UTAUT delivers a broader understanding via effort expectancy, performance expectancy, and social influence, which drive the market share of foreign EV brands (Pamidimukkala </w:t>
      </w:r>
      <w:r>
        <w:rPr>
          <w:i/>
          <w:iCs/>
          <w:lang w:val="en-GB"/>
        </w:rPr>
        <w:t>et al.,</w:t>
      </w:r>
      <w:r>
        <w:rPr>
          <w:lang w:val="en-GB"/>
        </w:rPr>
        <w:t xml:space="preserve"> 2025). The findings demonstrate that these technology-acceptance dimensions influence infrastructure and innovation that help to change the market conditions. </w:t>
      </w:r>
    </w:p>
    <w:p w14:paraId="35619E2A">
      <w:pPr>
        <w:rPr>
          <w:lang w:val="en-GB"/>
        </w:rPr>
      </w:pPr>
      <w:r>
        <w:rPr>
          <w:lang w:val="en-GB"/>
        </w:rPr>
        <w:t xml:space="preserve">The linking between the literature review and secondary findings has partially bridged the identified literature gap. It is mainly responsible for eliminating the gap because the study is based on secondary evidence. It provides support to directly measure Indian consumers' responses to foreign EV brands. Nevertheless, it contributes by integrating technological, consumer, economic and structural dimensions and driving toward a single interpretation of foreign EV acceptance in India. This represents the primary contribution of the research and delivers ae context-sensitive explanation instead of treating EV adoption as a purely technological decision. </w:t>
      </w:r>
    </w:p>
    <w:p w14:paraId="7CFD8420">
      <w:pPr>
        <w:pStyle w:val="3"/>
        <w:rPr>
          <w:lang w:val="en-GB"/>
        </w:rPr>
      </w:pPr>
      <w:bookmarkStart w:id="99" w:name="_i14bp1lztcy2" w:colFirst="0" w:colLast="0"/>
      <w:bookmarkEnd w:id="99"/>
      <w:bookmarkStart w:id="100" w:name="_Toc241218806"/>
      <w:r>
        <w:rPr>
          <w:lang w:val="en-GB"/>
        </w:rPr>
        <w:t>5.5 Data Interpretation</w:t>
      </w:r>
      <w:bookmarkEnd w:id="100"/>
      <w:r>
        <w:rPr>
          <w:lang w:val="en-GB"/>
        </w:rPr>
        <w:t xml:space="preserve"> </w:t>
      </w:r>
    </w:p>
    <w:p w14:paraId="24C2BBC8">
      <w:pPr>
        <w:spacing w:before="240" w:after="240"/>
        <w:rPr>
          <w:lang w:val="en-GB"/>
        </w:rPr>
      </w:pPr>
      <w:r>
        <w:rPr>
          <w:lang w:val="en-GB"/>
        </w:rPr>
        <w:t xml:space="preserve">The findings can be interpreted as demonstrating that customer acceptance of foreign EV brands in India is conditional. This is highly conditional instead of an automatic process. Consumers mainly appreciate the environmental benefits along with technological innovation. This acceptance depends on the overall ownership proposition that reduces perceived technological, financial and operational risks (Astuti and Susanto, 2024). It can be interpreted that perceived usefulness is dependent on the customer’s satisfaction and review through a practical approach. TAM delivers a useful explanation as young consumers adopt technology (Sun and Lee, 2024). In this case, they mainly perceive it as useful and manageable. In the EV context, this usefulness has been associated with battery efficiency, driving range, advanced features and long-term cost savings. However, the findings mainly indicate that perceived usefulness has been weakened by the charging infrastructure. This is highly insufficient for consumer confidence in after-sales support. The usefulness of an EV is not determined by the technical specifications of the vehicle. This is also influenced by the environment, where the demand for electric vehicles has been growing. </w:t>
      </w:r>
    </w:p>
    <w:p w14:paraId="5DAAC0BF">
      <w:pPr>
        <w:spacing w:before="240" w:after="240"/>
        <w:rPr>
          <w:lang w:val="en-GB"/>
        </w:rPr>
      </w:pPr>
      <w:r>
        <w:rPr>
          <w:lang w:val="en-GB"/>
        </w:rPr>
        <w:t xml:space="preserve">In a similar way, UTAUT share a broader explanation of performance expectancy, which helps to explain why consumers add value to technologically advanced vehicles (Pamidimukkala </w:t>
      </w:r>
      <w:r>
        <w:rPr>
          <w:i/>
          <w:iCs/>
          <w:lang w:val="en-GB"/>
        </w:rPr>
        <w:t>et al.,</w:t>
      </w:r>
      <w:r>
        <w:rPr>
          <w:lang w:val="en-GB"/>
        </w:rPr>
        <w:t xml:space="preserve"> 2025). These are highly facilitating conditions which mainly focus on explaining the importance of servicing, charging networks, and other supporting infrastructure. Social influence is also relevant, as attitudes towards EVs have been influenced by social perceptions and cultural values. The literature identifies performance expectancy, social influence, and facilitating conditions as relevant to technology acceptance. Consequently, foreign brands need to build technological credibility, which influences social adaptation and practical acceptability.</w:t>
      </w:r>
    </w:p>
    <w:p w14:paraId="7AB13819">
      <w:pPr>
        <w:rPr>
          <w:lang w:val="en-GB"/>
        </w:rPr>
      </w:pPr>
      <w:r>
        <w:rPr>
          <w:lang w:val="en-GB"/>
        </w:rPr>
        <w:t xml:space="preserve">These findings indicate that economic value moderation has influenced technological attractiveness. Indian consumers' emphasis on information mediation, infrastructure availability, battery safety concerns, and subjective norms (Tsai </w:t>
      </w:r>
      <w:r>
        <w:rPr>
          <w:i/>
          <w:iCs/>
          <w:lang w:val="en-GB"/>
        </w:rPr>
        <w:t>et al.,</w:t>
      </w:r>
      <w:r>
        <w:rPr>
          <w:lang w:val="en-GB"/>
        </w:rPr>
        <w:t xml:space="preserve"> 2025). This helps to explain the way premium positioning may restrict foreign brands' ability to achieve wider market acceptance. </w:t>
      </w:r>
    </w:p>
    <w:p w14:paraId="7BC219AE">
      <w:pPr>
        <w:rPr>
          <w:lang w:val="en-GB"/>
        </w:rPr>
      </w:pPr>
      <w:r>
        <w:rPr>
          <w:lang w:val="en-GB"/>
        </w:rPr>
        <w:t xml:space="preserve">It can be interpreted that trust is an important mechanism for controlling perceived risk. Customers have shown concerns related to repairing spare parts, regarding battery life, and product warranties. These repair facilities support the foreign brands in gaining customer trust and help to control market uncertainty (Song </w:t>
      </w:r>
      <w:r>
        <w:rPr>
          <w:i/>
          <w:iCs/>
          <w:lang w:val="en-GB"/>
        </w:rPr>
        <w:t>et al.,</w:t>
      </w:r>
      <w:r>
        <w:rPr>
          <w:lang w:val="en-GB"/>
        </w:rPr>
        <w:t xml:space="preserve"> 2025). Evidence suggests that battery-health guarantees, warranty protection, and transparent costs can support these brands in addressing these concerns. Thus, trust-building mechanisms can reduce the perceived risk which has been associated with an unfamiliar foreign manufacturer. Conversely, consumer expectations concerning service, price, and reliability create pressure on foreign manufacturers to localise their operations. </w:t>
      </w:r>
    </w:p>
    <w:p w14:paraId="60601920">
      <w:pPr>
        <w:rPr>
          <w:lang w:val="en-GB"/>
        </w:rPr>
      </w:pPr>
      <w:r>
        <w:rPr>
          <w:lang w:val="en-GB"/>
        </w:rPr>
        <w:t xml:space="preserve">The interpretation suggests that foreign EV brands need to avoid treating the Indian market as a simple extension of an international strategy. Evidence indicates that battery-swapping initiatives, behavioural control, local charging partnerships, alternative business models, and customers' attitudes have delivered market opportunities. Localisation can help brands respond to Indian operating conditions based on purchase motivators and the green mobility transition (Schvartz </w:t>
      </w:r>
      <w:r>
        <w:rPr>
          <w:i/>
          <w:iCs/>
          <w:lang w:val="en-GB"/>
        </w:rPr>
        <w:t>et al.,</w:t>
      </w:r>
      <w:r>
        <w:rPr>
          <w:lang w:val="en-GB"/>
        </w:rPr>
        <w:t xml:space="preserve"> 2024). Overall, the data indicate that this acceptance has emerged from the interaction among perceived value, customer loyalty, advanced infrastructure, technological usefulness and facilitating conditions (Goswamy </w:t>
      </w:r>
      <w:r>
        <w:rPr>
          <w:i/>
          <w:iCs/>
          <w:lang w:val="en-GB"/>
        </w:rPr>
        <w:t>et al.,</w:t>
      </w:r>
      <w:r>
        <w:rPr>
          <w:lang w:val="en-GB"/>
        </w:rPr>
        <w:t xml:space="preserve"> 2024). The findings deliver an important theoretical interpretation of the study as it combines the individual-level perspective of TAM. This focuses on the wider environmental perspective of UTAUT, and it connects both with economic and structural factors identified in the literature.</w:t>
      </w:r>
    </w:p>
    <w:p w14:paraId="61B0D6A3">
      <w:pPr>
        <w:pStyle w:val="3"/>
        <w:rPr>
          <w:lang w:val="en-GB"/>
        </w:rPr>
      </w:pPr>
      <w:bookmarkStart w:id="101" w:name="_v6kvcrhc9wih" w:colFirst="0" w:colLast="0"/>
      <w:bookmarkEnd w:id="101"/>
      <w:bookmarkStart w:id="102" w:name="_Toc241218807"/>
      <w:r>
        <w:rPr>
          <w:lang w:val="en-GB"/>
        </w:rPr>
        <w:t>5.6 Limitations of findings</w:t>
      </w:r>
      <w:bookmarkEnd w:id="102"/>
    </w:p>
    <w:p w14:paraId="58270846">
      <w:pPr>
        <w:rPr>
          <w:lang w:val="en-GB"/>
        </w:rPr>
      </w:pPr>
      <w:r>
        <w:rPr>
          <w:lang w:val="en-GB"/>
        </w:rPr>
        <w:t xml:space="preserve">The findings have been interpreted with several limitations. First, the research heavily relies entirely on secondary qualitative evidence, where the data has not been collected directly from Indian consumers. Consequently, the findings reflect the interpretations reported in existing academic, industry and corporate sources instead of direct consumer experiences. The methodology recognises that secondary research delivers limited control over the original methods used by other authors. This is responsible for reduced comparability between sources. Another limitation in this research context is the insufficiency in methodology and sample selection across the selected sources; this has affected the consistency of the evidence. Some sources examine foreign EV brand adoption among Indian customers, and some sources generally focused on EV adaptation of customers which create data ineffectiveness which not effectively contribute to meet research objective relevantly. Third, the source may not capture the perspective concerning foreign EV acceptance in India, due to the restricted access to some high-quality academic publications, which also affects data interpretation. </w:t>
      </w:r>
    </w:p>
    <w:p w14:paraId="6C755632">
      <w:pPr>
        <w:pStyle w:val="3"/>
        <w:rPr>
          <w:lang w:val="en-GB"/>
        </w:rPr>
      </w:pPr>
      <w:bookmarkStart w:id="103" w:name="_6z114ex1a393" w:colFirst="0" w:colLast="0"/>
      <w:bookmarkEnd w:id="103"/>
      <w:bookmarkStart w:id="104" w:name="_Toc241218808"/>
      <w:r>
        <w:rPr>
          <w:lang w:val="en-GB"/>
        </w:rPr>
        <w:t>5.7 Chapter summary</w:t>
      </w:r>
      <w:bookmarkEnd w:id="104"/>
      <w:r>
        <w:rPr>
          <w:lang w:val="en-GB"/>
        </w:rPr>
        <w:t xml:space="preserve"> </w:t>
      </w:r>
    </w:p>
    <w:p w14:paraId="6C78A42A">
      <w:pPr>
        <w:rPr>
          <w:lang w:val="en-GB"/>
        </w:rPr>
      </w:pPr>
      <w:r>
        <w:rPr>
          <w:lang w:val="en-GB"/>
        </w:rPr>
        <w:t xml:space="preserve">The findings have also demonstrated that market penetration of foreign brands and consumer acceptance are mutually connected. Foreign brands face domestic competition, local supply-chain weaknesses, substantial investment and regulatory requirements. These structural constraints can increase vehicle prices or impact service accessibility, which subsequently affects consumer perceptions.  A technologically sophisticated foreign EV might attract consumer attention by controlling the product price. This can create interest among customers and develop long-term engagement between Indian customers and foreign EV brands. </w:t>
      </w:r>
    </w:p>
    <w:p w14:paraId="6B3EBD97">
      <w:pPr>
        <w:rPr>
          <w:rFonts w:cs="Times New Roman"/>
        </w:rPr>
      </w:pPr>
    </w:p>
    <w:p w14:paraId="60FC3E11">
      <w:pPr>
        <w:spacing w:line="259" w:lineRule="auto"/>
        <w:jc w:val="left"/>
        <w:rPr>
          <w:lang w:val="en-GB"/>
        </w:rPr>
      </w:pPr>
      <w:r>
        <w:rPr>
          <w:lang w:val="en-GB"/>
        </w:rPr>
        <w:br w:type="page"/>
      </w:r>
    </w:p>
    <w:p w14:paraId="47E607E3">
      <w:pPr>
        <w:pStyle w:val="2"/>
      </w:pPr>
      <w:bookmarkStart w:id="105" w:name="_Toc241218809"/>
      <w:r>
        <w:t>Chapter 6: Conclusion</w:t>
      </w:r>
      <w:bookmarkEnd w:id="105"/>
      <w:r>
        <w:t xml:space="preserve"> </w:t>
      </w:r>
    </w:p>
    <w:p w14:paraId="5EC97704">
      <w:pPr>
        <w:pStyle w:val="3"/>
      </w:pPr>
      <w:bookmarkStart w:id="106" w:name="_Toc241218810"/>
      <w:r>
        <w:t>6.1 Concise summary of the key findings</w:t>
      </w:r>
      <w:bookmarkEnd w:id="106"/>
    </w:p>
    <w:p w14:paraId="71E7AF57">
      <w:pPr>
        <w:rPr>
          <w:rFonts w:cs="Times New Roman"/>
        </w:rPr>
      </w:pPr>
      <w:r>
        <w:rPr>
          <w:rFonts w:cs="Times New Roman"/>
        </w:rPr>
        <w:t xml:space="preserve">Thus, it can be summarised this research has considered thematic analysis to meet the research objectives in a critical manner. The thematic analysis shows that the foreign EV brands may face acute market and infrastructure issues, while entering into Indian automobile sector. In this respect, the research has explored that integrating the Technology Acceptance Model (TAM) and Theory of Planned Behaviour (TPB), consumer acceptance relies on perceived usefulness (low running costs, advanced software ecosystems) and effort expectancy (ease of driving). Thus, it can be prominent that the current research paper becomes helpful to explore the probable business environment for foreign EV brands in India. </w:t>
      </w:r>
    </w:p>
    <w:p w14:paraId="603E831B">
      <w:pPr>
        <w:pStyle w:val="3"/>
      </w:pPr>
      <w:bookmarkStart w:id="107" w:name="_Toc241218811"/>
      <w:r>
        <w:t>6.2 Linking with objectives</w:t>
      </w:r>
      <w:bookmarkEnd w:id="107"/>
    </w:p>
    <w:p w14:paraId="59388F3B">
      <w:pPr>
        <w:rPr>
          <w:rFonts w:cs="Times New Roman"/>
          <w:b/>
          <w:i/>
        </w:rPr>
      </w:pPr>
      <w:r>
        <w:rPr>
          <w:rFonts w:cs="Times New Roman"/>
          <w:b/>
          <w:i/>
        </w:rPr>
        <w:t>Objective 1: To examine the factors impacting Customer Acceptance of Foreign Electric Vehicle Brands in India</w:t>
      </w:r>
    </w:p>
    <w:p w14:paraId="69DB9DE7">
      <w:pPr>
        <w:rPr>
          <w:rFonts w:cs="Times New Roman"/>
        </w:rPr>
      </w:pPr>
      <w:r>
        <w:rPr>
          <w:rFonts w:cs="Times New Roman"/>
        </w:rPr>
        <w:t xml:space="preserve">The literature study has shed light on how the foreign EV brands are accepted in India. For supporting the analysis, psychological perceptions and functional evaluation models are included which include Technology Acceptance Model (TAM) and Theory of Planned Behaviour (TPB) (Sasidharan and Venkatakrishnan, 2024). These primary drivers include perceived usefulness (fuel savings and advanced software ecosystems) and perceived effort expectancy (ease of charging, operational ergonomics). In the same way, the analysis has found how the consumer confidence is being limited due to perceived functional risk, which includes concerns about battery reliability in regional climates, as well as battery resale value and brand reputation. </w:t>
      </w:r>
    </w:p>
    <w:p w14:paraId="29458E19">
      <w:pPr>
        <w:rPr>
          <w:rFonts w:cs="Times New Roman"/>
          <w:b/>
          <w:i/>
        </w:rPr>
      </w:pPr>
      <w:r>
        <w:rPr>
          <w:rFonts w:cs="Times New Roman"/>
          <w:b/>
          <w:i/>
        </w:rPr>
        <w:t>Objective 2: To analyse the reasons behind developing purchasing intentions for Foreign Electric Vehicle Brands in India</w:t>
      </w:r>
    </w:p>
    <w:p w14:paraId="6C690D20">
      <w:pPr>
        <w:rPr>
          <w:rFonts w:cs="Times New Roman"/>
          <w:szCs w:val="24"/>
        </w:rPr>
      </w:pPr>
      <w:r>
        <w:rPr>
          <w:rFonts w:cs="Times New Roman"/>
          <w:szCs w:val="24"/>
        </w:rPr>
        <w:t xml:space="preserve">The purchasing intentions are impacted by maintaining a balance between </w:t>
      </w:r>
      <w:r>
        <w:rPr>
          <w:rStyle w:val="24"/>
          <w:rFonts w:cs="Times New Roman"/>
          <w:szCs w:val="24"/>
        </w:rPr>
        <w:t>altruistic concerns about the environment and self-interested TCO (total cost of ownership). It is evident that pro-environmental attitudes trigger brand consideration but explicit purchase intentions only make sense when they are offset by a high initial retail premium. It is also related to the initial price of the purchase and the operational cost savings. The psychological mediators such as the communications on battery life cycles, extended warranties, and digital tech integration become important in reducing post-purchase dissonance.</w:t>
      </w:r>
    </w:p>
    <w:p w14:paraId="15297FBC">
      <w:pPr>
        <w:rPr>
          <w:rFonts w:cs="Times New Roman"/>
          <w:b/>
          <w:i/>
        </w:rPr>
      </w:pPr>
      <w:r>
        <w:rPr>
          <w:rFonts w:cs="Times New Roman"/>
          <w:b/>
          <w:i/>
        </w:rPr>
        <w:t>Objective 3: To find out the issues based on the penetration into the Indian market by Foreign Electric Vehicle Brands</w:t>
      </w:r>
    </w:p>
    <w:p w14:paraId="7416138E">
      <w:pPr>
        <w:rPr>
          <w:rFonts w:cs="Times New Roman"/>
        </w:rPr>
      </w:pPr>
      <w:r>
        <w:rPr>
          <w:rFonts w:cs="Times New Roman"/>
        </w:rPr>
        <w:t>It is needless to highlight that regulatory, infrastructural and competitive constraints pose huge hurdles for foreign Original Equipment Manufacturers (OEMs) in terms of market entry costs (Anumula, 2025). In addition to this, poor public fast charging infrastructure, inflexibility of installing chargers at home in urban apartment buildings, and the strong dominance of the local market by established companies are some of the prominent issues exploiting low-cost, localised supply chains and extensive service networks.</w:t>
      </w:r>
    </w:p>
    <w:p w14:paraId="0DF91AA3">
      <w:pPr>
        <w:rPr>
          <w:rFonts w:cs="Times New Roman"/>
          <w:i/>
        </w:rPr>
      </w:pPr>
      <w:r>
        <w:rPr>
          <w:rFonts w:cs="Times New Roman"/>
          <w:b/>
          <w:i/>
        </w:rPr>
        <w:t>Objective 4: To recommend feasible strategies through which the acceptance of foreign electric vehicle brands can be developed in India</w:t>
      </w:r>
    </w:p>
    <w:p w14:paraId="287F8FFF">
      <w:pPr>
        <w:rPr>
          <w:rFonts w:cs="Times New Roman"/>
          <w:szCs w:val="24"/>
        </w:rPr>
      </w:pPr>
      <w:r>
        <w:rPr>
          <w:rFonts w:cs="Times New Roman"/>
          <w:szCs w:val="24"/>
        </w:rPr>
        <w:t xml:space="preserve">The research has found that regulatory obligations need local content of value addition and reduced tax rates for foreign OEMs have created an obstacle to their operations, even as they struggle to overcome other hurdles by moving away from direct import and towards local assembly (CKD). As per the findings, it is highlighted that OEMs must invest in infrastructure for charging batteries together, target high-end SUVs that are not so price-sensitive, and carry out clear TCO marketing campaigns to make it easy for customers to realize the financial win of investing in a battery-powered car. </w:t>
      </w:r>
    </w:p>
    <w:p w14:paraId="40C3E6A1">
      <w:pPr>
        <w:pStyle w:val="3"/>
      </w:pPr>
      <w:bookmarkStart w:id="108" w:name="_Toc241218812"/>
      <w:r>
        <w:t>6.3 How the study has addressed the literature gap highlighted earlier</w:t>
      </w:r>
      <w:bookmarkEnd w:id="108"/>
      <w:r>
        <w:t xml:space="preserve"> </w:t>
      </w:r>
    </w:p>
    <w:p w14:paraId="367382C9">
      <w:pPr>
        <w:rPr>
          <w:rFonts w:cs="Times New Roman"/>
        </w:rPr>
      </w:pPr>
      <w:r>
        <w:rPr>
          <w:rFonts w:cs="Times New Roman"/>
        </w:rPr>
        <w:t xml:space="preserve">The studies have explicitly discussed about the general adoption of Electric Vehicle (EV) in developed countries or EV adoption in domestic India without considering the interconnection of the two. In this regard, the concerned research has filled the gap by introducing a novel structural emerging-market barriers specific to foreign Original Equipment Manufacturers (OEMs) in India, as well as establishing a theoretical framework that combines technology acceptance models (TAM, TPB, UTAUT). Additionally, the study has offered a comprehensive framework for understanding how foreign automotive players can overcome consumer scepticism and market structural barriers. </w:t>
      </w:r>
    </w:p>
    <w:p w14:paraId="086D19C3">
      <w:pPr>
        <w:pStyle w:val="3"/>
      </w:pPr>
      <w:bookmarkStart w:id="109" w:name="_Toc241218813"/>
      <w:r>
        <w:t>6.4 Value of the study</w:t>
      </w:r>
      <w:bookmarkEnd w:id="109"/>
    </w:p>
    <w:p w14:paraId="5C81FEEB">
      <w:pPr>
        <w:rPr>
          <w:rFonts w:cs="Times New Roman"/>
        </w:rPr>
      </w:pPr>
      <w:r>
        <w:rPr>
          <w:rFonts w:cs="Times New Roman"/>
        </w:rPr>
        <w:t>Theoretically, the study seems valuable in terms of analysing with the help of theoretical models namely TAM, and Innovation Resistance Theory (IRT) by demonstrating that in emerging markets the structural infrastructure and pricing scheme (based on tariff) directly impact the individual's cognitive evaluation of "Perceived Usefulness" and "Perceived Risk”. Considering the basic model, the research has discussed the role of the macro-environmental entry barriers as moderating variables between individual purchasing intent. On the other hand, practically, the study provides an automotive manager and foreign OEM strategic blueprint with the key messages of localised Knocked-Down (CKD) assembly to avoid import tariffs, specific penetration of high-margin premium segments and transparent Total-Cost-of-Ownership (TCO) marketing.</w:t>
      </w:r>
    </w:p>
    <w:p w14:paraId="021D563D">
      <w:pPr>
        <w:pStyle w:val="3"/>
      </w:pPr>
      <w:bookmarkStart w:id="110" w:name="_Toc241218814"/>
      <w:r>
        <w:t>6.5 Limitations of the study</w:t>
      </w:r>
      <w:bookmarkEnd w:id="110"/>
    </w:p>
    <w:p w14:paraId="3A8225F9">
      <w:pPr>
        <w:rPr>
          <w:rFonts w:cs="Times New Roman"/>
        </w:rPr>
      </w:pPr>
      <w:r>
        <w:rPr>
          <w:rFonts w:cs="Times New Roman"/>
        </w:rPr>
        <w:t xml:space="preserve">The main limitation centres on the fact that the study is focused to consider only secondary qualitative literature and published industry reports, thus reducing the direct control over primary data sampling, survey demographics and empirical validation of the Indian market. </w:t>
      </w:r>
      <w:r>
        <w:rPr>
          <w:rStyle w:val="24"/>
          <w:rFonts w:ascii="Geist Fallback" w:hAnsi="Geist Fallback"/>
          <w:sz w:val="23"/>
          <w:szCs w:val="23"/>
        </w:rPr>
        <w:t>Additionally, rapid regulatory changes and short battery chemistry cycles, such as the changes in FAME/PM E-DRIVE subsidy programs, could result in market conditions that change more quickly than the published academic literature.</w:t>
      </w:r>
      <w:r>
        <w:rPr>
          <w:rFonts w:ascii="Geist Fallback" w:hAnsi="Geist Fallback"/>
          <w:sz w:val="23"/>
          <w:szCs w:val="23"/>
        </w:rPr>
        <w:t xml:space="preserve"> </w:t>
      </w:r>
      <w:r>
        <w:rPr>
          <w:rStyle w:val="24"/>
          <w:rFonts w:ascii="Geist Fallback" w:hAnsi="Geist Fallback"/>
          <w:sz w:val="23"/>
          <w:szCs w:val="23"/>
        </w:rPr>
        <w:t>Lastly, regional geographic differences across different states in India's diversity present certain infrastructural variations that are not completely captured by secondary synthesis</w:t>
      </w:r>
    </w:p>
    <w:p w14:paraId="2DF783B3">
      <w:pPr>
        <w:pStyle w:val="3"/>
      </w:pPr>
      <w:bookmarkStart w:id="111" w:name="_Toc241218815"/>
      <w:r>
        <w:t>6.6 Recommendations</w:t>
      </w:r>
      <w:bookmarkEnd w:id="111"/>
    </w:p>
    <w:p w14:paraId="0B842406">
      <w:pPr>
        <w:pStyle w:val="26"/>
        <w:numPr>
          <w:ilvl w:val="0"/>
          <w:numId w:val="37"/>
        </w:numPr>
        <w:spacing w:line="360" w:lineRule="auto"/>
        <w:jc w:val="both"/>
        <w:rPr>
          <w:rFonts w:ascii="Times New Roman" w:hAnsi="Times New Roman" w:cs="Times New Roman"/>
          <w:b/>
          <w:i/>
          <w:sz w:val="24"/>
        </w:rPr>
      </w:pPr>
      <w:r>
        <w:rPr>
          <w:rFonts w:ascii="Times New Roman" w:hAnsi="Times New Roman" w:cs="Times New Roman"/>
          <w:b/>
          <w:i/>
          <w:sz w:val="24"/>
        </w:rPr>
        <w:t>Leveraging Localised Knocked down (CKD) Assembly</w:t>
      </w:r>
    </w:p>
    <w:p w14:paraId="6766C448">
      <w:pPr>
        <w:rPr>
          <w:rFonts w:cs="Times New Roman"/>
        </w:rPr>
      </w:pPr>
      <w:r>
        <w:rPr>
          <w:rFonts w:cs="Times New Roman"/>
        </w:rPr>
        <w:t xml:space="preserve">Foreign OEMs should move towards developing their assembly facility in the country and collaborate with domestic tier-1 suppliers. This will be effective in reducing tariff penalties, thereby providing a competitive retail price according to domestic purchasing power. </w:t>
      </w:r>
    </w:p>
    <w:p w14:paraId="6C84F0A5">
      <w:pPr>
        <w:pStyle w:val="26"/>
        <w:numPr>
          <w:ilvl w:val="0"/>
          <w:numId w:val="37"/>
        </w:numPr>
        <w:spacing w:line="360" w:lineRule="auto"/>
        <w:jc w:val="both"/>
        <w:rPr>
          <w:rFonts w:ascii="Times New Roman" w:hAnsi="Times New Roman" w:cs="Times New Roman"/>
          <w:b/>
          <w:i/>
          <w:sz w:val="24"/>
        </w:rPr>
      </w:pPr>
      <w:r>
        <w:rPr>
          <w:rFonts w:ascii="Times New Roman" w:hAnsi="Times New Roman" w:cs="Times New Roman"/>
          <w:b/>
          <w:i/>
          <w:sz w:val="24"/>
        </w:rPr>
        <w:t>Co-Investing in Dedicated Charging Corridors</w:t>
      </w:r>
    </w:p>
    <w:p w14:paraId="4310D8C3">
      <w:pPr>
        <w:rPr>
          <w:rFonts w:cs="Times New Roman"/>
        </w:rPr>
      </w:pPr>
      <w:r>
        <w:rPr>
          <w:rFonts w:cs="Times New Roman"/>
        </w:rPr>
        <w:t xml:space="preserve">Foreign players need to work with private infrastructure companies and local power utilities in India to set up high-power fast charging stations (Raj, 2024). Along with this, key intercity roads and cities can be established to overcome range anxiety and develop trust in the companies. </w:t>
      </w:r>
    </w:p>
    <w:p w14:paraId="78587D30">
      <w:pPr>
        <w:pStyle w:val="26"/>
        <w:numPr>
          <w:ilvl w:val="0"/>
          <w:numId w:val="37"/>
        </w:numPr>
        <w:spacing w:line="360" w:lineRule="auto"/>
        <w:jc w:val="both"/>
        <w:rPr>
          <w:rFonts w:ascii="Times New Roman" w:hAnsi="Times New Roman" w:cs="Times New Roman"/>
          <w:b/>
          <w:i/>
          <w:sz w:val="24"/>
        </w:rPr>
      </w:pPr>
      <w:r>
        <w:rPr>
          <w:rFonts w:ascii="Times New Roman" w:hAnsi="Times New Roman" w:cs="Times New Roman"/>
          <w:b/>
          <w:i/>
          <w:sz w:val="24"/>
        </w:rPr>
        <w:t>Entering into the high price segments or niche markets</w:t>
      </w:r>
    </w:p>
    <w:p w14:paraId="75C79E29">
      <w:pPr>
        <w:rPr>
          <w:rFonts w:cs="Times New Roman"/>
        </w:rPr>
      </w:pPr>
      <w:r>
        <w:rPr>
          <w:rFonts w:cs="Times New Roman"/>
        </w:rPr>
        <w:t xml:space="preserve">The market with the lowest price sensitivity should be targeted first when entering the Indian automobile market (Malhotra and Srivastava, 2024). It is important to build brand equity in high margin categories as a good operational basis for scaling into price sensitive mass market categories. </w:t>
      </w:r>
    </w:p>
    <w:p w14:paraId="060B7153">
      <w:pPr>
        <w:pStyle w:val="26"/>
        <w:numPr>
          <w:ilvl w:val="0"/>
          <w:numId w:val="37"/>
        </w:numPr>
        <w:spacing w:line="360" w:lineRule="auto"/>
        <w:jc w:val="both"/>
        <w:rPr>
          <w:rFonts w:ascii="Times New Roman" w:hAnsi="Times New Roman" w:cs="Times New Roman"/>
          <w:b/>
          <w:i/>
          <w:sz w:val="24"/>
        </w:rPr>
      </w:pPr>
      <w:r>
        <w:rPr>
          <w:rFonts w:ascii="Times New Roman" w:hAnsi="Times New Roman" w:cs="Times New Roman"/>
          <w:b/>
          <w:i/>
          <w:sz w:val="24"/>
        </w:rPr>
        <w:t>Customising Thermal Management Systems for Regional Conditions</w:t>
      </w:r>
    </w:p>
    <w:p w14:paraId="00073C52">
      <w:pPr>
        <w:rPr>
          <w:rFonts w:cs="Times New Roman"/>
        </w:rPr>
      </w:pPr>
      <w:r>
        <w:rPr>
          <w:rFonts w:cs="Times New Roman"/>
        </w:rPr>
        <w:t>R&amp;D teams will be expected to tweak battery pack architectures and active cooling systems to guarantee performance stability, safety and longevity in India's harsh climatic conditions.</w:t>
      </w:r>
    </w:p>
    <w:p w14:paraId="30A1CDFD">
      <w:pPr>
        <w:pStyle w:val="3"/>
      </w:pPr>
      <w:bookmarkStart w:id="112" w:name="_Toc241218816"/>
      <w:r>
        <w:t>6.7 Future scope of the study</w:t>
      </w:r>
      <w:bookmarkEnd w:id="112"/>
    </w:p>
    <w:p w14:paraId="4A681F3A">
      <w:pPr>
        <w:rPr>
          <w:rFonts w:cs="Times New Roman"/>
        </w:rPr>
      </w:pPr>
      <w:r>
        <w:rPr>
          <w:rFonts w:cs="Times New Roman"/>
        </w:rPr>
        <w:t xml:space="preserve">The future research can focus on developing the study from secondary qualitative synthesis to primary empirical evaluation. In this regard, application of quantitative methodology, such as structural equation modelling through a number of demographic factors can allow researchers to measure the statistical weight of models, such as technology acceptance model and innovation resistant theory in India. Additionally, scholars should investigate consumer behavioural responses to evolving regulatory frameworks. </w:t>
      </w:r>
    </w:p>
    <w:p w14:paraId="1782E404">
      <w:pPr>
        <w:pStyle w:val="3"/>
      </w:pPr>
      <w:bookmarkStart w:id="113" w:name="_Toc241218817"/>
      <w:r>
        <w:t>6.8 Reflective statement</w:t>
      </w:r>
      <w:bookmarkEnd w:id="113"/>
    </w:p>
    <w:p w14:paraId="13722F2B">
      <w:pPr>
        <w:rPr>
          <w:lang w:val="en-GB"/>
        </w:rPr>
      </w:pPr>
      <w:r>
        <w:rPr>
          <w:rFonts w:cs="Times New Roman"/>
        </w:rPr>
        <w:t xml:space="preserve">Thus, I can mention that this research is effective enough to highlight a most prominent area of business that is market expansion based on invention of technology that is electric vehicles. Therefore, I can say that this research must bring a new path for future business researchers to explain how different countries are accepting electric vehicles and the difference of acceptance with India. Moreover, the research is valuable enough to consider the secondary qualitative data analysis process that can meet the research objectives by following the thematic codebook approach. I have consulted the methodology with my professor as well as batch mates to understand each and every aspect before completing the research. I think that this study will contribute effectively in future to understand how Indian market is gradually changing to accept EV and how the infrastructure needs to be changed for supporting the change. </w:t>
      </w:r>
    </w:p>
    <w:p w14:paraId="1E884390">
      <w:pPr>
        <w:rPr>
          <w:rFonts w:cs="Times New Roman"/>
          <w:b/>
        </w:rPr>
      </w:pPr>
    </w:p>
    <w:p w14:paraId="6C94B4F7">
      <w:pPr>
        <w:rPr>
          <w:rFonts w:cs="Times New Roman"/>
          <w:b/>
        </w:rPr>
      </w:pPr>
      <w:r>
        <w:rPr>
          <w:rFonts w:cs="Times New Roman"/>
          <w:b/>
        </w:rPr>
        <w:br w:type="page"/>
      </w:r>
    </w:p>
    <w:p w14:paraId="1FEF56C7">
      <w:pPr>
        <w:pStyle w:val="2"/>
      </w:pPr>
      <w:bookmarkStart w:id="114" w:name="_Toc241218818"/>
      <w:r>
        <w:t>References</w:t>
      </w:r>
      <w:bookmarkEnd w:id="114"/>
      <w:r>
        <w:t xml:space="preserve"> </w:t>
      </w:r>
    </w:p>
    <w:p w14:paraId="3BE0CB43">
      <w:pPr>
        <w:pStyle w:val="10"/>
        <w:spacing w:before="0" w:beforeAutospacing="0" w:after="0" w:afterAutospacing="0" w:line="360" w:lineRule="auto"/>
        <w:rPr>
          <w:color w:val="000000"/>
        </w:rPr>
      </w:pPr>
      <w:r>
        <w:rPr>
          <w:color w:val="222222"/>
        </w:rPr>
        <w:t xml:space="preserve">Ahmad, M. and Wilkins, S., (2025). Purposive sampling in qualitative research: A framework for the entire journey. </w:t>
      </w:r>
      <w:r>
        <w:rPr>
          <w:i/>
          <w:iCs/>
          <w:color w:val="222222"/>
        </w:rPr>
        <w:t>Quality &amp; quantity</w:t>
      </w:r>
      <w:r>
        <w:rPr>
          <w:color w:val="222222"/>
        </w:rPr>
        <w:t xml:space="preserve">, </w:t>
      </w:r>
      <w:r>
        <w:rPr>
          <w:i/>
          <w:iCs/>
          <w:color w:val="222222"/>
        </w:rPr>
        <w:t>59</w:t>
      </w:r>
      <w:r>
        <w:rPr>
          <w:color w:val="222222"/>
        </w:rPr>
        <w:t>(2), pp.1461-1479.</w:t>
      </w:r>
      <w:r>
        <w:rPr>
          <w:color w:val="000000"/>
        </w:rPr>
        <w:t xml:space="preserve"> </w:t>
      </w:r>
      <w:r>
        <w:fldChar w:fldCharType="begin"/>
      </w:r>
      <w:r>
        <w:instrText xml:space="preserve"> HYPERLINK "https://www.academia.edu/download/120323187/Purposive_sampling_academia.pdf" </w:instrText>
      </w:r>
      <w:r>
        <w:fldChar w:fldCharType="separate"/>
      </w:r>
      <w:r>
        <w:rPr>
          <w:rStyle w:val="16"/>
          <w:color w:val="1155CC"/>
        </w:rPr>
        <w:t>https://www.academia.edu/download/120323187/Purposive_sampling_academia.pdf</w:t>
      </w:r>
      <w:r>
        <w:rPr>
          <w:rStyle w:val="16"/>
          <w:color w:val="1155CC"/>
        </w:rPr>
        <w:fldChar w:fldCharType="end"/>
      </w:r>
    </w:p>
    <w:p w14:paraId="39E2A14E">
      <w:pPr>
        <w:pStyle w:val="10"/>
        <w:spacing w:before="0" w:beforeAutospacing="0" w:after="0" w:afterAutospacing="0" w:line="360" w:lineRule="auto"/>
      </w:pPr>
      <w:r>
        <w:rPr>
          <w:color w:val="222222"/>
        </w:rPr>
        <w:t xml:space="preserve">Ahmad, S., </w:t>
      </w:r>
      <w:r>
        <w:rPr>
          <w:color w:val="222222"/>
        </w:rPr>
        <w:t>Chaveeesuk</w:t>
      </w:r>
      <w:r>
        <w:rPr>
          <w:color w:val="222222"/>
        </w:rPr>
        <w:t xml:space="preserve">, S. and </w:t>
      </w:r>
      <w:r>
        <w:rPr>
          <w:color w:val="222222"/>
        </w:rPr>
        <w:t>Chaiyasoonthorn</w:t>
      </w:r>
      <w:r>
        <w:rPr>
          <w:color w:val="222222"/>
        </w:rPr>
        <w:t xml:space="preserve">, W., (2024). The adoption of electric vehicle in Thailand with the moderating role of charging infrastructure: An extension of a UTAUT. </w:t>
      </w:r>
      <w:r>
        <w:rPr>
          <w:i/>
          <w:iCs/>
          <w:color w:val="222222"/>
        </w:rPr>
        <w:t>International Journal of Sustainable Energy</w:t>
      </w:r>
      <w:r>
        <w:rPr>
          <w:color w:val="222222"/>
        </w:rPr>
        <w:t xml:space="preserve">, </w:t>
      </w:r>
      <w:r>
        <w:rPr>
          <w:i/>
          <w:iCs/>
          <w:color w:val="222222"/>
        </w:rPr>
        <w:t>43</w:t>
      </w:r>
      <w:r>
        <w:rPr>
          <w:color w:val="222222"/>
        </w:rPr>
        <w:t>(1), p.2387908.</w:t>
      </w:r>
      <w:r>
        <w:rPr>
          <w:color w:val="000000"/>
        </w:rPr>
        <w:t xml:space="preserve"> </w:t>
      </w:r>
      <w:r>
        <w:fldChar w:fldCharType="begin"/>
      </w:r>
      <w:r>
        <w:instrText xml:space="preserve"> HYPERLINK "https://www.tandfonline.com/doi/pdf/10.1080/14786451.2024.2387908" </w:instrText>
      </w:r>
      <w:r>
        <w:fldChar w:fldCharType="separate"/>
      </w:r>
      <w:r>
        <w:rPr>
          <w:rStyle w:val="16"/>
          <w:color w:val="1155CC"/>
        </w:rPr>
        <w:t>https://www.tandfonline.com/doi/pdf/10.1080/14786451.2024.2387908</w:t>
      </w:r>
      <w:r>
        <w:rPr>
          <w:rStyle w:val="16"/>
          <w:color w:val="1155CC"/>
        </w:rPr>
        <w:fldChar w:fldCharType="end"/>
      </w:r>
      <w:r>
        <w:rPr>
          <w:color w:val="000000"/>
        </w:rPr>
        <w:t>. </w:t>
      </w:r>
    </w:p>
    <w:p w14:paraId="4653109E">
      <w:pPr>
        <w:pStyle w:val="10"/>
        <w:spacing w:before="0" w:beforeAutospacing="0" w:after="0" w:afterAutospacing="0" w:line="360" w:lineRule="auto"/>
      </w:pPr>
      <w:r>
        <w:rPr>
          <w:color w:val="222222"/>
        </w:rPr>
        <w:t xml:space="preserve">Ahmed, S.K., Mohammed, R.A., Nashwan, A.J., Ibrahim, R.H., Abdalla, A.Q., Ameen, B.M.M. and </w:t>
      </w:r>
      <w:r>
        <w:rPr>
          <w:color w:val="222222"/>
        </w:rPr>
        <w:t>Khdhir</w:t>
      </w:r>
      <w:r>
        <w:rPr>
          <w:color w:val="222222"/>
        </w:rPr>
        <w:t xml:space="preserve">, R.M., (2025). Using thematic analysis in qualitative research. </w:t>
      </w:r>
      <w:r>
        <w:rPr>
          <w:i/>
          <w:iCs/>
          <w:color w:val="222222"/>
        </w:rPr>
        <w:t>Journal of medicine, surgery, and public health</w:t>
      </w:r>
      <w:r>
        <w:rPr>
          <w:color w:val="222222"/>
        </w:rPr>
        <w:t xml:space="preserve">, </w:t>
      </w:r>
      <w:r>
        <w:rPr>
          <w:i/>
          <w:iCs/>
          <w:color w:val="222222"/>
        </w:rPr>
        <w:t>6</w:t>
      </w:r>
      <w:r>
        <w:rPr>
          <w:color w:val="222222"/>
        </w:rPr>
        <w:t>, p.100198.</w:t>
      </w:r>
      <w:r>
        <w:rPr>
          <w:color w:val="000000"/>
        </w:rPr>
        <w:t xml:space="preserve"> </w:t>
      </w:r>
      <w:r>
        <w:fldChar w:fldCharType="begin"/>
      </w:r>
      <w:r>
        <w:instrText xml:space="preserve"> HYPERLINK "https://www.sciencedirect.com/science/article/pii/S2949916X25000222" </w:instrText>
      </w:r>
      <w:r>
        <w:fldChar w:fldCharType="separate"/>
      </w:r>
      <w:r>
        <w:rPr>
          <w:rStyle w:val="16"/>
          <w:color w:val="1155CC"/>
        </w:rPr>
        <w:t>https://www.sciencedirect.com/science/article/pii/S2949916X25000222</w:t>
      </w:r>
      <w:r>
        <w:rPr>
          <w:rStyle w:val="16"/>
          <w:color w:val="1155CC"/>
        </w:rPr>
        <w:fldChar w:fldCharType="end"/>
      </w:r>
      <w:r>
        <w:rPr>
          <w:color w:val="000000"/>
        </w:rPr>
        <w:t>. </w:t>
      </w:r>
    </w:p>
    <w:p w14:paraId="7BB14AB9">
      <w:pPr>
        <w:rPr>
          <w:rFonts w:cs="Times New Roman"/>
          <w:color w:val="222222"/>
          <w:szCs w:val="24"/>
          <w:shd w:val="clear" w:color="auto" w:fill="FFFFFF"/>
        </w:rPr>
      </w:pPr>
      <w:r>
        <w:rPr>
          <w:rFonts w:cs="Times New Roman"/>
          <w:color w:val="222222"/>
          <w:szCs w:val="24"/>
          <w:shd w:val="clear" w:color="auto" w:fill="FFFFFF"/>
        </w:rPr>
        <w:t>Aithal, P.S., 2025. Company Analysis of Tata Motors Limited, India, with special Reference to the Electric Vehicle (EV) Segment. </w:t>
      </w:r>
      <w:r>
        <w:rPr>
          <w:rFonts w:cs="Times New Roman"/>
          <w:i/>
          <w:iCs/>
          <w:color w:val="222222"/>
          <w:szCs w:val="24"/>
          <w:shd w:val="clear" w:color="auto" w:fill="FFFFFF"/>
        </w:rPr>
        <w:t>Poornaprajna</w:t>
      </w:r>
      <w:r>
        <w:rPr>
          <w:rFonts w:cs="Times New Roman"/>
          <w:i/>
          <w:iCs/>
          <w:color w:val="222222"/>
          <w:szCs w:val="24"/>
          <w:shd w:val="clear" w:color="auto" w:fill="FFFFFF"/>
        </w:rPr>
        <w:t xml:space="preserve"> International Journal of Teaching &amp; Research Case Studies (PIJTRCS)</w:t>
      </w:r>
      <w:r>
        <w:rPr>
          <w:rFonts w:cs="Times New Roman"/>
          <w:color w:val="222222"/>
          <w:szCs w:val="24"/>
          <w:shd w:val="clear" w:color="auto" w:fill="FFFFFF"/>
        </w:rPr>
        <w:t>, </w:t>
      </w:r>
      <w:r>
        <w:rPr>
          <w:rFonts w:cs="Times New Roman"/>
          <w:i/>
          <w:iCs/>
          <w:color w:val="222222"/>
          <w:szCs w:val="24"/>
          <w:shd w:val="clear" w:color="auto" w:fill="FFFFFF"/>
        </w:rPr>
        <w:t>2</w:t>
      </w:r>
      <w:r>
        <w:rPr>
          <w:rFonts w:cs="Times New Roman"/>
          <w:color w:val="222222"/>
          <w:szCs w:val="24"/>
          <w:shd w:val="clear" w:color="auto" w:fill="FFFFFF"/>
        </w:rPr>
        <w:t xml:space="preserve">(2), pp.146-191. </w:t>
      </w:r>
      <w:r>
        <w:fldChar w:fldCharType="begin"/>
      </w:r>
      <w:r>
        <w:instrText xml:space="preserve"> HYPERLINK "https://www.poornaprajnapublication.com/index.php/pijtrcs/article/download/162/159" </w:instrText>
      </w:r>
      <w:r>
        <w:fldChar w:fldCharType="separate"/>
      </w:r>
      <w:r>
        <w:rPr>
          <w:rStyle w:val="16"/>
          <w:rFonts w:cs="Times New Roman"/>
          <w:szCs w:val="24"/>
          <w:shd w:val="clear" w:color="auto" w:fill="FFFFFF"/>
        </w:rPr>
        <w:t>https://www.poornaprajnapublication.com/index.php/pijtrcs/article/download/162/159</w:t>
      </w:r>
      <w:r>
        <w:rPr>
          <w:rStyle w:val="16"/>
          <w:rFonts w:cs="Times New Roman"/>
          <w:szCs w:val="24"/>
          <w:shd w:val="clear" w:color="auto" w:fill="FFFFFF"/>
        </w:rPr>
        <w:fldChar w:fldCharType="end"/>
      </w:r>
    </w:p>
    <w:p w14:paraId="5B8C866E">
      <w:pPr>
        <w:rPr>
          <w:rFonts w:cs="Times New Roman"/>
          <w:color w:val="222222"/>
          <w:szCs w:val="24"/>
          <w:shd w:val="clear" w:color="auto" w:fill="FFFFFF"/>
        </w:rPr>
      </w:pPr>
      <w:r>
        <w:rPr>
          <w:rFonts w:cs="Times New Roman"/>
          <w:color w:val="222222"/>
          <w:szCs w:val="24"/>
          <w:shd w:val="clear" w:color="auto" w:fill="FFFFFF"/>
        </w:rPr>
        <w:t>Akinsooto</w:t>
      </w:r>
      <w:r>
        <w:rPr>
          <w:rFonts w:cs="Times New Roman"/>
          <w:color w:val="222222"/>
          <w:szCs w:val="24"/>
          <w:shd w:val="clear" w:color="auto" w:fill="FFFFFF"/>
        </w:rPr>
        <w:t xml:space="preserve">, O., </w:t>
      </w:r>
      <w:r>
        <w:rPr>
          <w:rFonts w:cs="Times New Roman"/>
          <w:color w:val="222222"/>
          <w:szCs w:val="24"/>
          <w:shd w:val="clear" w:color="auto" w:fill="FFFFFF"/>
        </w:rPr>
        <w:t>Ogunnowo</w:t>
      </w:r>
      <w:r>
        <w:rPr>
          <w:rFonts w:cs="Times New Roman"/>
          <w:color w:val="222222"/>
          <w:szCs w:val="24"/>
          <w:shd w:val="clear" w:color="auto" w:fill="FFFFFF"/>
        </w:rPr>
        <w:t xml:space="preserve">, E.O. and </w:t>
      </w:r>
      <w:r>
        <w:rPr>
          <w:rFonts w:cs="Times New Roman"/>
          <w:color w:val="222222"/>
          <w:szCs w:val="24"/>
          <w:shd w:val="clear" w:color="auto" w:fill="FFFFFF"/>
        </w:rPr>
        <w:t>Ezeanochie</w:t>
      </w:r>
      <w:r>
        <w:rPr>
          <w:rFonts w:cs="Times New Roman"/>
          <w:color w:val="222222"/>
          <w:szCs w:val="24"/>
          <w:shd w:val="clear" w:color="auto" w:fill="FFFFFF"/>
        </w:rPr>
        <w:t>, C.C., 2025. The evolution of electric vehicles: A review of USA and global trends. </w:t>
      </w:r>
      <w:r>
        <w:rPr>
          <w:rFonts w:cs="Times New Roman"/>
          <w:i/>
          <w:iCs/>
          <w:color w:val="222222"/>
          <w:szCs w:val="24"/>
          <w:shd w:val="clear" w:color="auto" w:fill="FFFFFF"/>
        </w:rPr>
        <w:t>World Scientific News</w:t>
      </w:r>
      <w:r>
        <w:rPr>
          <w:rFonts w:cs="Times New Roman"/>
          <w:color w:val="222222"/>
          <w:szCs w:val="24"/>
          <w:shd w:val="clear" w:color="auto" w:fill="FFFFFF"/>
        </w:rPr>
        <w:t>, </w:t>
      </w:r>
      <w:r>
        <w:rPr>
          <w:rFonts w:cs="Times New Roman"/>
          <w:i/>
          <w:iCs/>
          <w:color w:val="222222"/>
          <w:szCs w:val="24"/>
          <w:shd w:val="clear" w:color="auto" w:fill="FFFFFF"/>
        </w:rPr>
        <w:t>202</w:t>
      </w:r>
      <w:r>
        <w:rPr>
          <w:rFonts w:cs="Times New Roman"/>
          <w:color w:val="222222"/>
          <w:szCs w:val="24"/>
          <w:shd w:val="clear" w:color="auto" w:fill="FFFFFF"/>
        </w:rPr>
        <w:t xml:space="preserve">, pp.144-159. </w:t>
      </w:r>
      <w:r>
        <w:fldChar w:fldCharType="begin"/>
      </w:r>
      <w:r>
        <w:instrText xml:space="preserve"> HYPERLINK "https://worldscientificnews.com/wp-content/uploads/2025/04/WSN-202-2025-144-159.pdf" </w:instrText>
      </w:r>
      <w:r>
        <w:fldChar w:fldCharType="separate"/>
      </w:r>
      <w:r>
        <w:rPr>
          <w:rStyle w:val="16"/>
          <w:rFonts w:cs="Times New Roman"/>
          <w:szCs w:val="24"/>
          <w:shd w:val="clear" w:color="auto" w:fill="FFFFFF"/>
        </w:rPr>
        <w:t>https://worldscientificnews.com/wp-content/uploads/2025/04/WSN-202-2025-144-159.pdf</w:t>
      </w:r>
      <w:r>
        <w:rPr>
          <w:rStyle w:val="16"/>
          <w:rFonts w:cs="Times New Roman"/>
          <w:szCs w:val="24"/>
          <w:shd w:val="clear" w:color="auto" w:fill="FFFFFF"/>
        </w:rPr>
        <w:fldChar w:fldCharType="end"/>
      </w:r>
    </w:p>
    <w:p w14:paraId="390E011A">
      <w:pPr>
        <w:rPr>
          <w:rFonts w:cs="Times New Roman"/>
          <w:color w:val="222222"/>
          <w:szCs w:val="24"/>
          <w:shd w:val="clear" w:color="auto" w:fill="FFFFFF"/>
        </w:rPr>
      </w:pPr>
      <w:r>
        <w:rPr>
          <w:rFonts w:cs="Times New Roman"/>
          <w:color w:val="222222"/>
          <w:szCs w:val="24"/>
          <w:shd w:val="clear" w:color="auto" w:fill="FFFFFF"/>
        </w:rPr>
        <w:t xml:space="preserve">Al Shurideh, M., Alzoubi, H.M., Al Kurdi, B., </w:t>
      </w:r>
      <w:r>
        <w:rPr>
          <w:rFonts w:cs="Times New Roman"/>
          <w:color w:val="222222"/>
          <w:szCs w:val="24"/>
          <w:shd w:val="clear" w:color="auto" w:fill="FFFFFF"/>
        </w:rPr>
        <w:t>Hamadneh</w:t>
      </w:r>
      <w:r>
        <w:rPr>
          <w:rFonts w:cs="Times New Roman"/>
          <w:color w:val="222222"/>
          <w:szCs w:val="24"/>
          <w:shd w:val="clear" w:color="auto" w:fill="FFFFFF"/>
        </w:rPr>
        <w:t>, S., Ahmed, G., Al-</w:t>
      </w:r>
      <w:r>
        <w:rPr>
          <w:rFonts w:cs="Times New Roman"/>
          <w:color w:val="222222"/>
          <w:szCs w:val="24"/>
          <w:shd w:val="clear" w:color="auto" w:fill="FFFFFF"/>
        </w:rPr>
        <w:t>Sulaiti</w:t>
      </w:r>
      <w:r>
        <w:rPr>
          <w:rFonts w:cs="Times New Roman"/>
          <w:color w:val="222222"/>
          <w:szCs w:val="24"/>
          <w:shd w:val="clear" w:color="auto" w:fill="FFFFFF"/>
        </w:rPr>
        <w:t xml:space="preserve">, K., Bataineh, A.Q., </w:t>
      </w:r>
      <w:r>
        <w:rPr>
          <w:rFonts w:cs="Times New Roman"/>
          <w:color w:val="222222"/>
          <w:szCs w:val="24"/>
          <w:shd w:val="clear" w:color="auto" w:fill="FFFFFF"/>
        </w:rPr>
        <w:t>Alquqa</w:t>
      </w:r>
      <w:r>
        <w:rPr>
          <w:rFonts w:cs="Times New Roman"/>
          <w:color w:val="222222"/>
          <w:szCs w:val="24"/>
          <w:shd w:val="clear" w:color="auto" w:fill="FFFFFF"/>
        </w:rPr>
        <w:t>, E.K. and Ozturk, I., 2025. Consumer and economic influences on electric vehicle adoption: the mediating role of attitudes and the moderating effect of demographics. </w:t>
      </w:r>
      <w:r>
        <w:rPr>
          <w:rFonts w:cs="Times New Roman"/>
          <w:i/>
          <w:iCs/>
          <w:color w:val="222222"/>
          <w:szCs w:val="24"/>
          <w:shd w:val="clear" w:color="auto" w:fill="FFFFFF"/>
        </w:rPr>
        <w:t>International Journal of Energy Economics and Policy</w:t>
      </w:r>
      <w:r>
        <w:rPr>
          <w:rFonts w:cs="Times New Roman"/>
          <w:color w:val="222222"/>
          <w:szCs w:val="24"/>
          <w:shd w:val="clear" w:color="auto" w:fill="FFFFFF"/>
        </w:rPr>
        <w:t>, </w:t>
      </w:r>
      <w:r>
        <w:rPr>
          <w:rFonts w:cs="Times New Roman"/>
          <w:i/>
          <w:iCs/>
          <w:color w:val="222222"/>
          <w:szCs w:val="24"/>
          <w:shd w:val="clear" w:color="auto" w:fill="FFFFFF"/>
        </w:rPr>
        <w:t>15</w:t>
      </w:r>
      <w:r>
        <w:rPr>
          <w:rFonts w:cs="Times New Roman"/>
          <w:color w:val="222222"/>
          <w:szCs w:val="24"/>
          <w:shd w:val="clear" w:color="auto" w:fill="FFFFFF"/>
        </w:rPr>
        <w:t xml:space="preserve">. </w:t>
      </w:r>
      <w:r>
        <w:fldChar w:fldCharType="begin"/>
      </w:r>
      <w:r>
        <w:instrText xml:space="preserve"> HYPERLINK "https://savearchive.zbw.eu/bitstream/11159/709423/1/1931392471_0.pdf" </w:instrText>
      </w:r>
      <w:r>
        <w:fldChar w:fldCharType="separate"/>
      </w:r>
      <w:r>
        <w:rPr>
          <w:rStyle w:val="16"/>
          <w:rFonts w:cs="Times New Roman"/>
          <w:szCs w:val="24"/>
          <w:shd w:val="clear" w:color="auto" w:fill="FFFFFF"/>
        </w:rPr>
        <w:t>https://savearchive.zbw.eu/bitstream/11159/709423/1/1931392471_0.pdf</w:t>
      </w:r>
      <w:r>
        <w:rPr>
          <w:rStyle w:val="16"/>
          <w:rFonts w:cs="Times New Roman"/>
          <w:szCs w:val="24"/>
          <w:shd w:val="clear" w:color="auto" w:fill="FFFFFF"/>
        </w:rPr>
        <w:fldChar w:fldCharType="end"/>
      </w:r>
    </w:p>
    <w:p w14:paraId="694D25CC">
      <w:pPr>
        <w:rPr>
          <w:rFonts w:cs="Times New Roman"/>
          <w:color w:val="222222"/>
          <w:szCs w:val="24"/>
          <w:shd w:val="clear" w:color="auto" w:fill="FFFFFF"/>
        </w:rPr>
      </w:pPr>
      <w:r>
        <w:rPr>
          <w:rFonts w:cs="Times New Roman"/>
          <w:color w:val="222222"/>
          <w:szCs w:val="24"/>
          <w:shd w:val="clear" w:color="auto" w:fill="FFFFFF"/>
        </w:rPr>
        <w:t>Alsharif, A., 2025. Global trends in electric vehicle charging demand and infrastructure development. </w:t>
      </w:r>
      <w:r>
        <w:rPr>
          <w:rFonts w:cs="Times New Roman"/>
          <w:i/>
          <w:iCs/>
          <w:color w:val="222222"/>
          <w:szCs w:val="24"/>
          <w:shd w:val="clear" w:color="auto" w:fill="FFFFFF"/>
        </w:rPr>
        <w:t>Libyan Open University Journal of Applied Sciences (LOUJAS)</w:t>
      </w:r>
      <w:r>
        <w:rPr>
          <w:rFonts w:cs="Times New Roman"/>
          <w:color w:val="222222"/>
          <w:szCs w:val="24"/>
          <w:shd w:val="clear" w:color="auto" w:fill="FFFFFF"/>
        </w:rPr>
        <w:t xml:space="preserve">, pp.20-28. </w:t>
      </w:r>
      <w:r>
        <w:fldChar w:fldCharType="begin"/>
      </w:r>
      <w:r>
        <w:instrText xml:space="preserve"> HYPERLINK "https://oujournals.ly/index.php/LOUJAS/article/download/49/42" </w:instrText>
      </w:r>
      <w:r>
        <w:fldChar w:fldCharType="separate"/>
      </w:r>
      <w:r>
        <w:rPr>
          <w:rStyle w:val="16"/>
          <w:rFonts w:cs="Times New Roman"/>
          <w:szCs w:val="24"/>
          <w:shd w:val="clear" w:color="auto" w:fill="FFFFFF"/>
        </w:rPr>
        <w:t>https://oujournals.ly/index.php/LOUJAS/article/download/49/42</w:t>
      </w:r>
      <w:r>
        <w:rPr>
          <w:rStyle w:val="16"/>
          <w:rFonts w:cs="Times New Roman"/>
          <w:szCs w:val="24"/>
          <w:shd w:val="clear" w:color="auto" w:fill="FFFFFF"/>
        </w:rPr>
        <w:fldChar w:fldCharType="end"/>
      </w:r>
    </w:p>
    <w:p w14:paraId="4FAFFDC4">
      <w:pPr>
        <w:rPr>
          <w:rFonts w:cs="Times New Roman"/>
          <w:color w:val="222222"/>
          <w:szCs w:val="24"/>
          <w:shd w:val="clear" w:color="auto" w:fill="FFFFFF"/>
        </w:rPr>
      </w:pPr>
      <w:r>
        <w:rPr>
          <w:rFonts w:cs="Times New Roman"/>
          <w:color w:val="222222"/>
          <w:szCs w:val="24"/>
          <w:shd w:val="clear" w:color="auto" w:fill="FFFFFF"/>
        </w:rPr>
        <w:t>Anumula, S.K., 2025. A Novel process framework for manufacturing supplier collaboration in original equipment manufacturing (OEM). </w:t>
      </w:r>
      <w:r>
        <w:rPr>
          <w:rFonts w:cs="Times New Roman"/>
          <w:i/>
          <w:iCs/>
          <w:color w:val="222222"/>
          <w:szCs w:val="24"/>
          <w:shd w:val="clear" w:color="auto" w:fill="FFFFFF"/>
        </w:rPr>
        <w:t>European Journal of Logistics, Purchasing and Supply Chain Management</w:t>
      </w:r>
      <w:r>
        <w:rPr>
          <w:rFonts w:cs="Times New Roman"/>
          <w:color w:val="222222"/>
          <w:szCs w:val="24"/>
          <w:shd w:val="clear" w:color="auto" w:fill="FFFFFF"/>
        </w:rPr>
        <w:t>, </w:t>
      </w:r>
      <w:r>
        <w:rPr>
          <w:rFonts w:cs="Times New Roman"/>
          <w:i/>
          <w:iCs/>
          <w:color w:val="222222"/>
          <w:szCs w:val="24"/>
          <w:shd w:val="clear" w:color="auto" w:fill="FFFFFF"/>
        </w:rPr>
        <w:t>13</w:t>
      </w:r>
      <w:r>
        <w:rPr>
          <w:rFonts w:cs="Times New Roman"/>
          <w:color w:val="222222"/>
          <w:szCs w:val="24"/>
          <w:shd w:val="clear" w:color="auto" w:fill="FFFFFF"/>
        </w:rPr>
        <w:t xml:space="preserve">(1), pp.75-92. </w:t>
      </w:r>
      <w:r>
        <w:fldChar w:fldCharType="begin"/>
      </w:r>
      <w:r>
        <w:instrText xml:space="preserve"> HYPERLINK "https://sathishkrishna.com/wp-content/uploads/2025/09/A-Novel-Process-Framework-for-Manufacturing-Supplier-Collaboration-in-Original-Equipment-Manufacturing-OEM.pdf" </w:instrText>
      </w:r>
      <w:r>
        <w:fldChar w:fldCharType="separate"/>
      </w:r>
      <w:r>
        <w:rPr>
          <w:rStyle w:val="16"/>
          <w:rFonts w:cs="Times New Roman"/>
          <w:szCs w:val="24"/>
          <w:shd w:val="clear" w:color="auto" w:fill="FFFFFF"/>
        </w:rPr>
        <w:t>https://sathishkrishna.com/wp-content/uploads/2025/09/A-Novel-Process-Framework-for-Manufacturing-Supplier-Collaboration-in-Original-Equipment-Manufacturing-OEM.pdf</w:t>
      </w:r>
      <w:r>
        <w:rPr>
          <w:rStyle w:val="16"/>
          <w:rFonts w:cs="Times New Roman"/>
          <w:szCs w:val="24"/>
          <w:shd w:val="clear" w:color="auto" w:fill="FFFFFF"/>
        </w:rPr>
        <w:fldChar w:fldCharType="end"/>
      </w:r>
    </w:p>
    <w:p w14:paraId="2DA72F4E">
      <w:pPr>
        <w:pStyle w:val="10"/>
        <w:spacing w:before="0" w:beforeAutospacing="0" w:after="0" w:afterAutospacing="0" w:line="360" w:lineRule="auto"/>
      </w:pPr>
      <w:r>
        <w:rPr>
          <w:color w:val="222222"/>
        </w:rPr>
        <w:t xml:space="preserve">Arora, S.C. and Singh, V.K., (2024). Transition to green mobility: a twin investigation behind the purchase reasons of electric vehicles in the Indian market. </w:t>
      </w:r>
      <w:r>
        <w:rPr>
          <w:i/>
          <w:iCs/>
          <w:color w:val="222222"/>
        </w:rPr>
        <w:t>The Bottom Line</w:t>
      </w:r>
      <w:r>
        <w:rPr>
          <w:color w:val="222222"/>
        </w:rPr>
        <w:t xml:space="preserve">, </w:t>
      </w:r>
      <w:r>
        <w:rPr>
          <w:i/>
          <w:iCs/>
          <w:color w:val="222222"/>
        </w:rPr>
        <w:t>37</w:t>
      </w:r>
      <w:r>
        <w:rPr>
          <w:color w:val="222222"/>
        </w:rPr>
        <w:t>(3), pp.277-308.</w:t>
      </w:r>
      <w:r>
        <w:rPr>
          <w:color w:val="000000"/>
        </w:rPr>
        <w:t xml:space="preserve"> </w:t>
      </w:r>
      <w:r>
        <w:fldChar w:fldCharType="begin"/>
      </w:r>
      <w:r>
        <w:instrText xml:space="preserve"> HYPERLINK "https://www.researchgate.net/profile/Subhash-Arora-3/publication/383500637_Transition_to_green_mobility_a_twin_investigation_behind_the_purchase_reasons_of_electric_vehicles_in_the_Indian_market/links/671b1ce3df4b534d4ef402b2/Transition-to-green-mobility-a-twin-investigation-behind-the-purchase-reasons-of-electric-vehicles-in-the-Indian-market.pdf" </w:instrText>
      </w:r>
      <w:r>
        <w:fldChar w:fldCharType="separate"/>
      </w:r>
      <w:r>
        <w:rPr>
          <w:rStyle w:val="16"/>
          <w:color w:val="1155CC"/>
        </w:rPr>
        <w:t>https://www.researchgate.net/profile/Subhash-Arora-3/publication/383500637_Transition_to_green_mobility_a_twin_investigation_behind_the_purchase_reasons_of_electric_vehicles_in_the_Indian_market/links/671b1ce3df4b534d4ef402b2/Transition-to-green-mobility-a-twin-investigation-behind-the-purchase-reasons-of-electric-vehicles-in-the-Indian-market.pdf</w:t>
      </w:r>
      <w:r>
        <w:rPr>
          <w:rStyle w:val="16"/>
          <w:color w:val="1155CC"/>
        </w:rPr>
        <w:fldChar w:fldCharType="end"/>
      </w:r>
      <w:r>
        <w:rPr>
          <w:color w:val="000000"/>
        </w:rPr>
        <w:t>. </w:t>
      </w:r>
    </w:p>
    <w:p w14:paraId="01CE9AC8">
      <w:pPr>
        <w:rPr>
          <w:rFonts w:cs="Times New Roman"/>
          <w:color w:val="222222"/>
          <w:szCs w:val="24"/>
          <w:shd w:val="clear" w:color="auto" w:fill="FFFFFF"/>
        </w:rPr>
      </w:pPr>
      <w:r>
        <w:rPr>
          <w:rFonts w:cs="Times New Roman"/>
          <w:color w:val="222222"/>
          <w:szCs w:val="24"/>
          <w:shd w:val="clear" w:color="auto" w:fill="FFFFFF"/>
        </w:rPr>
        <w:t>Arora, S.C. and Singh, V.K., 2024. Transition to green mobility: a twin investigation behind the purchase reasons of electric vehicles in the Indian market. </w:t>
      </w:r>
      <w:r>
        <w:rPr>
          <w:rFonts w:cs="Times New Roman"/>
          <w:i/>
          <w:iCs/>
          <w:color w:val="222222"/>
          <w:szCs w:val="24"/>
          <w:shd w:val="clear" w:color="auto" w:fill="FFFFFF"/>
        </w:rPr>
        <w:t>The Bottom Line</w:t>
      </w:r>
      <w:r>
        <w:rPr>
          <w:rFonts w:cs="Times New Roman"/>
          <w:color w:val="222222"/>
          <w:szCs w:val="24"/>
          <w:shd w:val="clear" w:color="auto" w:fill="FFFFFF"/>
        </w:rPr>
        <w:t>, </w:t>
      </w:r>
      <w:r>
        <w:rPr>
          <w:rFonts w:cs="Times New Roman"/>
          <w:i/>
          <w:iCs/>
          <w:color w:val="222222"/>
          <w:szCs w:val="24"/>
          <w:shd w:val="clear" w:color="auto" w:fill="FFFFFF"/>
        </w:rPr>
        <w:t>37</w:t>
      </w:r>
      <w:r>
        <w:rPr>
          <w:rFonts w:cs="Times New Roman"/>
          <w:color w:val="222222"/>
          <w:szCs w:val="24"/>
          <w:shd w:val="clear" w:color="auto" w:fill="FFFFFF"/>
        </w:rPr>
        <w:t xml:space="preserve">(3), pp.277-308. </w:t>
      </w:r>
      <w:r>
        <w:fldChar w:fldCharType="begin"/>
      </w:r>
      <w:r>
        <w:instrText xml:space="preserve"> HYPERLINK "https://www.researchgate.net/profile/Subhash-Arora-3/publication/383500637_Transition_to_green_mobility_a_twin_investigation_behind_the_purchase_reasons_of_electric_vehicles_in_the_Indian_market/links/671b1ce3df4b534d4ef402b2/Transition-to-green-mobility-a-twin-investigation-behind-the-purchase-reasons-of-electric-vehicles-in-the-Indian-market.pdf" </w:instrText>
      </w:r>
      <w:r>
        <w:fldChar w:fldCharType="separate"/>
      </w:r>
      <w:r>
        <w:rPr>
          <w:rStyle w:val="16"/>
          <w:rFonts w:cs="Times New Roman"/>
          <w:szCs w:val="24"/>
          <w:shd w:val="clear" w:color="auto" w:fill="FFFFFF"/>
        </w:rPr>
        <w:t>https://www.researchgate.net/profile/Subhash-Arora-3/publication/383500637_Transition_to_green_mobility_a_twin_investigation_behind_the_purchase_reasons_of_electric_vehicles_in_the_Indian_market/links/671b1ce3df4b534d4ef402b2/Transition-to-green-mobility-a-twin-investigation-behind-the-purchase-reasons-of-electric-vehicles-in-the-Indian-market.pdf</w:t>
      </w:r>
      <w:r>
        <w:rPr>
          <w:rStyle w:val="16"/>
          <w:rFonts w:cs="Times New Roman"/>
          <w:szCs w:val="24"/>
          <w:shd w:val="clear" w:color="auto" w:fill="FFFFFF"/>
        </w:rPr>
        <w:fldChar w:fldCharType="end"/>
      </w:r>
    </w:p>
    <w:p w14:paraId="6E149D28">
      <w:pPr>
        <w:rPr>
          <w:rFonts w:cs="Times New Roman"/>
          <w:color w:val="222222"/>
          <w:szCs w:val="24"/>
          <w:shd w:val="clear" w:color="auto" w:fill="FFFFFF"/>
        </w:rPr>
      </w:pPr>
      <w:r>
        <w:rPr>
          <w:rFonts w:cs="Times New Roman"/>
          <w:color w:val="222222"/>
          <w:szCs w:val="24"/>
          <w:shd w:val="clear" w:color="auto" w:fill="FFFFFF"/>
        </w:rPr>
        <w:t>Arora, S.C. and Singh, V.K., 2024. Transition to green mobility: a twin investigation behind the purchase reasons of electric vehicles in the Indian market. </w:t>
      </w:r>
      <w:r>
        <w:rPr>
          <w:rFonts w:cs="Times New Roman"/>
          <w:i/>
          <w:iCs/>
          <w:color w:val="222222"/>
          <w:szCs w:val="24"/>
          <w:shd w:val="clear" w:color="auto" w:fill="FFFFFF"/>
        </w:rPr>
        <w:t>The Bottom Line</w:t>
      </w:r>
      <w:r>
        <w:rPr>
          <w:rFonts w:cs="Times New Roman"/>
          <w:color w:val="222222"/>
          <w:szCs w:val="24"/>
          <w:shd w:val="clear" w:color="auto" w:fill="FFFFFF"/>
        </w:rPr>
        <w:t>, </w:t>
      </w:r>
      <w:r>
        <w:rPr>
          <w:rFonts w:cs="Times New Roman"/>
          <w:i/>
          <w:iCs/>
          <w:color w:val="222222"/>
          <w:szCs w:val="24"/>
          <w:shd w:val="clear" w:color="auto" w:fill="FFFFFF"/>
        </w:rPr>
        <w:t>37</w:t>
      </w:r>
      <w:r>
        <w:rPr>
          <w:rFonts w:cs="Times New Roman"/>
          <w:color w:val="222222"/>
          <w:szCs w:val="24"/>
          <w:shd w:val="clear" w:color="auto" w:fill="FFFFFF"/>
        </w:rPr>
        <w:t xml:space="preserve">(3), pp.277-308. </w:t>
      </w:r>
      <w:r>
        <w:fldChar w:fldCharType="begin"/>
      </w:r>
      <w:r>
        <w:instrText xml:space="preserve"> HYPERLINK "https://www.researchgate.net/profile/Subhash-Arora-3/publication/383500637_Transition_to_green_mobility_a_twin_investigation_behind_the_purchase_reasons_of_electric_vehicles_in_the_Indian_market/links/671b1ce3df4b534d4ef402b2/Transition-to-green-mobility-a-twin-investigation-behind-the-purchase-reasons-of-electric-vehicles-in-the-Indian-market.pdf" </w:instrText>
      </w:r>
      <w:r>
        <w:fldChar w:fldCharType="separate"/>
      </w:r>
      <w:r>
        <w:rPr>
          <w:rStyle w:val="16"/>
          <w:rFonts w:cs="Times New Roman"/>
          <w:szCs w:val="24"/>
          <w:shd w:val="clear" w:color="auto" w:fill="FFFFFF"/>
        </w:rPr>
        <w:t>https://www.researchgate.net/profile/Subhash-Arora-3/publication/383500637_Transition_to_green_mobility_a_twin_investigation_behind_the_purchase_reasons_of_electric_vehicles_in_the_Indian_market/links/671b1ce3df4b534d4ef402b2/Transition-to-green-mobility-a-twin-investigation-behind-the-purchase-reasons-of-electric-vehicles-in-the-Indian-market.pdf</w:t>
      </w:r>
      <w:r>
        <w:rPr>
          <w:rStyle w:val="16"/>
          <w:rFonts w:cs="Times New Roman"/>
          <w:szCs w:val="24"/>
          <w:shd w:val="clear" w:color="auto" w:fill="FFFFFF"/>
        </w:rPr>
        <w:fldChar w:fldCharType="end"/>
      </w:r>
    </w:p>
    <w:p w14:paraId="27DDF1B5">
      <w:pPr>
        <w:pStyle w:val="10"/>
        <w:spacing w:before="0" w:beforeAutospacing="0" w:after="0" w:afterAutospacing="0" w:line="360" w:lineRule="auto"/>
      </w:pPr>
      <w:r>
        <w:rPr>
          <w:color w:val="222222"/>
        </w:rPr>
        <w:t xml:space="preserve">Ash, A., (2025). Descriptive or interpretive? A reflexive framework for methodological choice and bracketing in phenomenology. </w:t>
      </w:r>
      <w:r>
        <w:rPr>
          <w:i/>
          <w:iCs/>
          <w:color w:val="222222"/>
        </w:rPr>
        <w:t>International Journal of Qualitative Methods</w:t>
      </w:r>
      <w:r>
        <w:rPr>
          <w:color w:val="222222"/>
        </w:rPr>
        <w:t xml:space="preserve">, </w:t>
      </w:r>
      <w:r>
        <w:rPr>
          <w:i/>
          <w:iCs/>
          <w:color w:val="222222"/>
        </w:rPr>
        <w:t>24</w:t>
      </w:r>
      <w:r>
        <w:rPr>
          <w:color w:val="222222"/>
        </w:rPr>
        <w:t>, p.16094069251400060.</w:t>
      </w:r>
      <w:r>
        <w:rPr>
          <w:color w:val="000000"/>
        </w:rPr>
        <w:t xml:space="preserve"> </w:t>
      </w:r>
      <w:r>
        <w:fldChar w:fldCharType="begin"/>
      </w:r>
      <w:r>
        <w:instrText xml:space="preserve"> HYPERLINK "https://journals.sagepub.com/doi/pdf/10.1177/16094069251400060" </w:instrText>
      </w:r>
      <w:r>
        <w:fldChar w:fldCharType="separate"/>
      </w:r>
      <w:r>
        <w:rPr>
          <w:rStyle w:val="16"/>
          <w:color w:val="1155CC"/>
        </w:rPr>
        <w:t>https://journals.sagepub.com/doi/pdf/10.1177/16094069251400060</w:t>
      </w:r>
      <w:r>
        <w:rPr>
          <w:rStyle w:val="16"/>
          <w:color w:val="1155CC"/>
        </w:rPr>
        <w:fldChar w:fldCharType="end"/>
      </w:r>
      <w:r>
        <w:rPr>
          <w:color w:val="000000"/>
        </w:rPr>
        <w:t>. </w:t>
      </w:r>
    </w:p>
    <w:p w14:paraId="088E85FF">
      <w:pPr>
        <w:pStyle w:val="10"/>
        <w:spacing w:before="0" w:beforeAutospacing="0" w:after="240" w:afterAutospacing="0" w:line="360" w:lineRule="auto"/>
        <w:rPr>
          <w:color w:val="222222"/>
          <w:shd w:val="clear" w:color="auto" w:fill="FFFFFF"/>
        </w:rPr>
      </w:pPr>
      <w:r>
        <w:rPr>
          <w:color w:val="222222"/>
          <w:shd w:val="clear" w:color="auto" w:fill="FFFFFF"/>
        </w:rPr>
        <w:t>Astuti, R.D. and Susanto, A.A., 2024. Challenges of electric vehicle adoption in Indonesia: Revealing the hidden factors affecting purchase intention. </w:t>
      </w:r>
      <w:r>
        <w:rPr>
          <w:i/>
          <w:iCs/>
          <w:color w:val="222222"/>
          <w:shd w:val="clear" w:color="auto" w:fill="FFFFFF"/>
        </w:rPr>
        <w:t>Jurnal</w:t>
      </w:r>
      <w:r>
        <w:rPr>
          <w:i/>
          <w:iCs/>
          <w:color w:val="222222"/>
          <w:shd w:val="clear" w:color="auto" w:fill="FFFFFF"/>
        </w:rPr>
        <w:t xml:space="preserve"> </w:t>
      </w:r>
      <w:r>
        <w:rPr>
          <w:i/>
          <w:iCs/>
          <w:color w:val="222222"/>
          <w:shd w:val="clear" w:color="auto" w:fill="FFFFFF"/>
        </w:rPr>
        <w:t>Siasat</w:t>
      </w:r>
      <w:r>
        <w:rPr>
          <w:i/>
          <w:iCs/>
          <w:color w:val="222222"/>
          <w:shd w:val="clear" w:color="auto" w:fill="FFFFFF"/>
        </w:rPr>
        <w:t xml:space="preserve"> </w:t>
      </w:r>
      <w:r>
        <w:rPr>
          <w:i/>
          <w:iCs/>
          <w:color w:val="222222"/>
          <w:shd w:val="clear" w:color="auto" w:fill="FFFFFF"/>
        </w:rPr>
        <w:t>Bisnis</w:t>
      </w:r>
      <w:r>
        <w:rPr>
          <w:color w:val="222222"/>
          <w:shd w:val="clear" w:color="auto" w:fill="FFFFFF"/>
        </w:rPr>
        <w:t xml:space="preserve">, pp.149-171. </w:t>
      </w:r>
      <w:r>
        <w:fldChar w:fldCharType="begin"/>
      </w:r>
      <w:r>
        <w:instrText xml:space="preserve"> HYPERLINK "https://journal.uii.ac.id/JSB/article/download/34465/17013" </w:instrText>
      </w:r>
      <w:r>
        <w:fldChar w:fldCharType="separate"/>
      </w:r>
      <w:r>
        <w:rPr>
          <w:rStyle w:val="16"/>
          <w:shd w:val="clear" w:color="auto" w:fill="FFFFFF"/>
        </w:rPr>
        <w:t>https://journal.uii.ac.id/JSB/article/download/34465/17013</w:t>
      </w:r>
      <w:r>
        <w:rPr>
          <w:rStyle w:val="16"/>
          <w:shd w:val="clear" w:color="auto" w:fill="FFFFFF"/>
        </w:rPr>
        <w:fldChar w:fldCharType="end"/>
      </w:r>
    </w:p>
    <w:p w14:paraId="5EB747EC">
      <w:pPr>
        <w:pStyle w:val="10"/>
        <w:spacing w:before="0" w:beforeAutospacing="0" w:after="0" w:afterAutospacing="0" w:line="360" w:lineRule="auto"/>
      </w:pPr>
      <w:r>
        <w:rPr>
          <w:color w:val="000000"/>
        </w:rPr>
        <w:t>Autopunditz</w:t>
      </w:r>
      <w:r>
        <w:rPr>
          <w:color w:val="000000"/>
        </w:rPr>
        <w:t xml:space="preserve"> (2026) Passenger EV Vahan Registrations May 2026: Tata Leads, Mahindra Closes In, Market Grows 81% YoY, Available at: </w:t>
      </w:r>
      <w:r>
        <w:fldChar w:fldCharType="begin"/>
      </w:r>
      <w:r>
        <w:instrText xml:space="preserve"> HYPERLINK "https://www.autopunditz.com/post/passenger-ev-vahan-sales-india-may-2026" </w:instrText>
      </w:r>
      <w:r>
        <w:fldChar w:fldCharType="separate"/>
      </w:r>
      <w:r>
        <w:rPr>
          <w:rStyle w:val="16"/>
          <w:color w:val="1155CC"/>
        </w:rPr>
        <w:t>https://www.autopunditz.com/post/passenger-ev-vahan-sales-india-may-2026</w:t>
      </w:r>
      <w:r>
        <w:rPr>
          <w:rStyle w:val="16"/>
          <w:color w:val="1155CC"/>
        </w:rPr>
        <w:fldChar w:fldCharType="end"/>
      </w:r>
      <w:r>
        <w:rPr>
          <w:color w:val="000000"/>
        </w:rPr>
        <w:t>. [Accessed on 27.08.2026]</w:t>
      </w:r>
    </w:p>
    <w:p w14:paraId="384F2318">
      <w:pPr>
        <w:pStyle w:val="10"/>
        <w:spacing w:before="0" w:beforeAutospacing="0" w:after="0" w:afterAutospacing="0" w:line="360" w:lineRule="auto"/>
      </w:pPr>
      <w:r>
        <w:rPr>
          <w:color w:val="222222"/>
        </w:rPr>
        <w:t>Bommanavar</w:t>
      </w:r>
      <w:r>
        <w:rPr>
          <w:color w:val="222222"/>
        </w:rPr>
        <w:t xml:space="preserve">, S. and </w:t>
      </w:r>
      <w:r>
        <w:rPr>
          <w:color w:val="222222"/>
        </w:rPr>
        <w:t>Malipatil</w:t>
      </w:r>
      <w:r>
        <w:rPr>
          <w:color w:val="222222"/>
        </w:rPr>
        <w:t>, S., (2025). Gen Z on the Move: Exploring EV Brand Perception of Ather Energy and Ola Electric in India’s Emerging Mobility Market.</w:t>
      </w:r>
      <w:r>
        <w:rPr>
          <w:color w:val="000000"/>
        </w:rPr>
        <w:t xml:space="preserve"> </w:t>
      </w:r>
      <w:r>
        <w:fldChar w:fldCharType="begin"/>
      </w:r>
      <w:r>
        <w:instrText xml:space="preserve"> HYPERLINK "https://www.researchgate.net/profile/Shruti-Malipatil/publication/394813681_Gen_Z_on_the_Move_Exploring_EV_Brand_Perception_of_Ather_Energy_and_Ola_Electric_in_India's_Emerging_Mobility_Market/links/68d3dd7ed221a404b2a238e0/Gen-Z-on-the-Move-Exploring-EV-Brand-Perception-of-Ather-Energy-and-Ola-Electric-in-Indias-Emerging-Mobility-Market.pdf" </w:instrText>
      </w:r>
      <w:r>
        <w:fldChar w:fldCharType="separate"/>
      </w:r>
      <w:r>
        <w:rPr>
          <w:rStyle w:val="16"/>
          <w:color w:val="1155CC"/>
        </w:rPr>
        <w:t>https://www.researchgate.net/profile/Shruti-Malipatil/publication/394813681_Gen_Z_on_the_Move_Exploring_EV_Brand_Perception_of_Ather_Energy_and_Ola_Electric_in_India's_Emerging_Mobility_Market/links/68d3dd7ed221a404b2a238e0/Gen-Z-on-the-Move-Exploring-EV-Brand-Perception-of-Ather-Energy-and-Ola-Electric-in-Indias-Emerging-Mobility-Market.pdf</w:t>
      </w:r>
      <w:r>
        <w:rPr>
          <w:rStyle w:val="16"/>
          <w:color w:val="1155CC"/>
        </w:rPr>
        <w:fldChar w:fldCharType="end"/>
      </w:r>
      <w:r>
        <w:rPr>
          <w:color w:val="000000"/>
        </w:rPr>
        <w:t>. </w:t>
      </w:r>
    </w:p>
    <w:p w14:paraId="4F021AF2">
      <w:pPr>
        <w:pStyle w:val="10"/>
        <w:spacing w:before="0" w:beforeAutospacing="0" w:after="0" w:afterAutospacing="0" w:line="360" w:lineRule="auto"/>
        <w:rPr>
          <w:color w:val="000000"/>
        </w:rPr>
      </w:pPr>
      <w:r>
        <w:rPr>
          <w:color w:val="222222"/>
        </w:rPr>
        <w:t>Bouncken</w:t>
      </w:r>
      <w:r>
        <w:rPr>
          <w:color w:val="222222"/>
        </w:rPr>
        <w:t xml:space="preserve">, R.B., </w:t>
      </w:r>
      <w:r>
        <w:rPr>
          <w:color w:val="222222"/>
        </w:rPr>
        <w:t>Czakon</w:t>
      </w:r>
      <w:r>
        <w:rPr>
          <w:color w:val="222222"/>
        </w:rPr>
        <w:t xml:space="preserve">, W. and Schmitt, F., (2026). Purposeful sampling and saturation in qualitative research methodologies: recommendations and review. </w:t>
      </w:r>
      <w:r>
        <w:rPr>
          <w:i/>
          <w:iCs/>
          <w:color w:val="222222"/>
        </w:rPr>
        <w:t>Review of Managerial Science</w:t>
      </w:r>
      <w:r>
        <w:rPr>
          <w:color w:val="222222"/>
        </w:rPr>
        <w:t xml:space="preserve">, </w:t>
      </w:r>
      <w:r>
        <w:rPr>
          <w:i/>
          <w:iCs/>
          <w:color w:val="222222"/>
        </w:rPr>
        <w:t>20</w:t>
      </w:r>
      <w:r>
        <w:rPr>
          <w:color w:val="222222"/>
        </w:rPr>
        <w:t>(2), pp.579-615.</w:t>
      </w:r>
      <w:r>
        <w:rPr>
          <w:color w:val="000000"/>
        </w:rPr>
        <w:t xml:space="preserve"> </w:t>
      </w:r>
      <w:r>
        <w:fldChar w:fldCharType="begin"/>
      </w:r>
      <w:r>
        <w:instrText xml:space="preserve"> HYPERLINK "https://link.springer.com/content/pdf/10.1007/s11846-025-00881-2.pdf" </w:instrText>
      </w:r>
      <w:r>
        <w:fldChar w:fldCharType="separate"/>
      </w:r>
      <w:r>
        <w:rPr>
          <w:rStyle w:val="16"/>
          <w:color w:val="1155CC"/>
        </w:rPr>
        <w:t>https://link.springer.com/content/pdf/10.1007/s11846-025-00881-2.pdf</w:t>
      </w:r>
      <w:r>
        <w:rPr>
          <w:rStyle w:val="16"/>
          <w:color w:val="1155CC"/>
        </w:rPr>
        <w:fldChar w:fldCharType="end"/>
      </w:r>
      <w:r>
        <w:rPr>
          <w:color w:val="000000"/>
        </w:rPr>
        <w:t>. </w:t>
      </w:r>
    </w:p>
    <w:p w14:paraId="1ED09DD8">
      <w:pPr>
        <w:rPr>
          <w:rFonts w:cs="Times New Roman"/>
          <w:color w:val="222222"/>
          <w:szCs w:val="24"/>
          <w:shd w:val="clear" w:color="auto" w:fill="FFFFFF"/>
        </w:rPr>
      </w:pPr>
      <w:r>
        <w:rPr>
          <w:rFonts w:cs="Times New Roman"/>
          <w:color w:val="222222"/>
          <w:szCs w:val="24"/>
          <w:shd w:val="clear" w:color="auto" w:fill="FFFFFF"/>
        </w:rPr>
        <w:t>Champahom</w:t>
      </w:r>
      <w:r>
        <w:rPr>
          <w:rFonts w:cs="Times New Roman"/>
          <w:color w:val="222222"/>
          <w:szCs w:val="24"/>
          <w:shd w:val="clear" w:color="auto" w:fill="FFFFFF"/>
        </w:rPr>
        <w:t xml:space="preserve">, T., </w:t>
      </w:r>
      <w:r>
        <w:rPr>
          <w:rFonts w:cs="Times New Roman"/>
          <w:color w:val="222222"/>
          <w:szCs w:val="24"/>
          <w:shd w:val="clear" w:color="auto" w:fill="FFFFFF"/>
        </w:rPr>
        <w:t>Chonsalasin</w:t>
      </w:r>
      <w:r>
        <w:rPr>
          <w:rFonts w:cs="Times New Roman"/>
          <w:color w:val="222222"/>
          <w:szCs w:val="24"/>
          <w:shd w:val="clear" w:color="auto" w:fill="FFFFFF"/>
        </w:rPr>
        <w:t xml:space="preserve">, D., </w:t>
      </w:r>
      <w:r>
        <w:rPr>
          <w:rFonts w:cs="Times New Roman"/>
          <w:color w:val="222222"/>
          <w:szCs w:val="24"/>
          <w:shd w:val="clear" w:color="auto" w:fill="FFFFFF"/>
        </w:rPr>
        <w:t>Jomnonkwao</w:t>
      </w:r>
      <w:r>
        <w:rPr>
          <w:rFonts w:cs="Times New Roman"/>
          <w:color w:val="222222"/>
          <w:szCs w:val="24"/>
          <w:shd w:val="clear" w:color="auto" w:fill="FFFFFF"/>
        </w:rPr>
        <w:t xml:space="preserve">, S., </w:t>
      </w:r>
      <w:r>
        <w:rPr>
          <w:rFonts w:cs="Times New Roman"/>
          <w:color w:val="222222"/>
          <w:szCs w:val="24"/>
          <w:shd w:val="clear" w:color="auto" w:fill="FFFFFF"/>
        </w:rPr>
        <w:t>Phupatt</w:t>
      </w:r>
      <w:r>
        <w:rPr>
          <w:rFonts w:cs="Times New Roman"/>
          <w:color w:val="222222"/>
          <w:szCs w:val="24"/>
          <w:shd w:val="clear" w:color="auto" w:fill="FFFFFF"/>
        </w:rPr>
        <w:t xml:space="preserve">, C. and </w:t>
      </w:r>
      <w:r>
        <w:rPr>
          <w:rFonts w:cs="Times New Roman"/>
          <w:color w:val="222222"/>
          <w:szCs w:val="24"/>
          <w:shd w:val="clear" w:color="auto" w:fill="FFFFFF"/>
        </w:rPr>
        <w:t>Ratanavaraha</w:t>
      </w:r>
      <w:r>
        <w:rPr>
          <w:rFonts w:cs="Times New Roman"/>
          <w:color w:val="222222"/>
          <w:szCs w:val="24"/>
          <w:shd w:val="clear" w:color="auto" w:fill="FFFFFF"/>
        </w:rPr>
        <w:t>, V., 2024. Comparative Analysis of barriers to Battery electric vehicle adoption between BEV and ICE Users: A case study of Thailand. </w:t>
      </w:r>
      <w:r>
        <w:rPr>
          <w:rFonts w:cs="Times New Roman"/>
          <w:i/>
          <w:iCs/>
          <w:color w:val="222222"/>
          <w:szCs w:val="24"/>
          <w:shd w:val="clear" w:color="auto" w:fill="FFFFFF"/>
        </w:rPr>
        <w:t>Transportation Research Interdisciplinary Perspectives</w:t>
      </w:r>
      <w:r>
        <w:rPr>
          <w:rFonts w:cs="Times New Roman"/>
          <w:color w:val="222222"/>
          <w:szCs w:val="24"/>
          <w:shd w:val="clear" w:color="auto" w:fill="FFFFFF"/>
        </w:rPr>
        <w:t>, </w:t>
      </w:r>
      <w:r>
        <w:rPr>
          <w:rFonts w:cs="Times New Roman"/>
          <w:i/>
          <w:iCs/>
          <w:color w:val="222222"/>
          <w:szCs w:val="24"/>
          <w:shd w:val="clear" w:color="auto" w:fill="FFFFFF"/>
        </w:rPr>
        <w:t>28</w:t>
      </w:r>
      <w:r>
        <w:rPr>
          <w:rFonts w:cs="Times New Roman"/>
          <w:color w:val="222222"/>
          <w:szCs w:val="24"/>
          <w:shd w:val="clear" w:color="auto" w:fill="FFFFFF"/>
        </w:rPr>
        <w:t xml:space="preserve">, p.101264. </w:t>
      </w:r>
      <w:r>
        <w:fldChar w:fldCharType="begin"/>
      </w:r>
      <w:r>
        <w:instrText xml:space="preserve"> HYPERLINK "https://www.sciencedirect.com/science/article/pii/S2590198224002501" </w:instrText>
      </w:r>
      <w:r>
        <w:fldChar w:fldCharType="separate"/>
      </w:r>
      <w:r>
        <w:rPr>
          <w:rStyle w:val="16"/>
          <w:rFonts w:cs="Times New Roman"/>
          <w:szCs w:val="24"/>
          <w:shd w:val="clear" w:color="auto" w:fill="FFFFFF"/>
        </w:rPr>
        <w:t>https://www.sciencedirect.com/science/article/pii/S2590198224002501</w:t>
      </w:r>
      <w:r>
        <w:rPr>
          <w:rStyle w:val="16"/>
          <w:rFonts w:cs="Times New Roman"/>
          <w:szCs w:val="24"/>
          <w:shd w:val="clear" w:color="auto" w:fill="FFFFFF"/>
        </w:rPr>
        <w:fldChar w:fldCharType="end"/>
      </w:r>
    </w:p>
    <w:p w14:paraId="44441879">
      <w:pPr>
        <w:rPr>
          <w:rFonts w:cs="Times New Roman"/>
          <w:color w:val="222222"/>
          <w:szCs w:val="24"/>
          <w:shd w:val="clear" w:color="auto" w:fill="FFFFFF"/>
        </w:rPr>
      </w:pPr>
      <w:r>
        <w:rPr>
          <w:rFonts w:cs="Times New Roman"/>
          <w:color w:val="222222"/>
          <w:szCs w:val="24"/>
          <w:shd w:val="clear" w:color="auto" w:fill="FFFFFF"/>
        </w:rPr>
        <w:t>Chen, W.A., Chen, C.F., Tomasik, S., Pournaras, E. and Liu, M., 2024. Flexibility justice: Exploring the relationship between electric vehicle charging behaviours, demand flexibility and psychological factors. </w:t>
      </w:r>
      <w:r>
        <w:rPr>
          <w:rFonts w:cs="Times New Roman"/>
          <w:i/>
          <w:iCs/>
          <w:color w:val="222222"/>
          <w:szCs w:val="24"/>
          <w:shd w:val="clear" w:color="auto" w:fill="FFFFFF"/>
        </w:rPr>
        <w:t>Energy Research &amp; Social Science</w:t>
      </w:r>
      <w:r>
        <w:rPr>
          <w:rFonts w:cs="Times New Roman"/>
          <w:color w:val="222222"/>
          <w:szCs w:val="24"/>
          <w:shd w:val="clear" w:color="auto" w:fill="FFFFFF"/>
        </w:rPr>
        <w:t>, </w:t>
      </w:r>
      <w:r>
        <w:rPr>
          <w:rFonts w:cs="Times New Roman"/>
          <w:i/>
          <w:iCs/>
          <w:color w:val="222222"/>
          <w:szCs w:val="24"/>
          <w:shd w:val="clear" w:color="auto" w:fill="FFFFFF"/>
        </w:rPr>
        <w:t>118</w:t>
      </w:r>
      <w:r>
        <w:rPr>
          <w:rFonts w:cs="Times New Roman"/>
          <w:color w:val="222222"/>
          <w:szCs w:val="24"/>
          <w:shd w:val="clear" w:color="auto" w:fill="FFFFFF"/>
        </w:rPr>
        <w:t xml:space="preserve">, p.103753. </w:t>
      </w:r>
      <w:r>
        <w:fldChar w:fldCharType="begin"/>
      </w:r>
      <w:r>
        <w:instrText xml:space="preserve"> HYPERLINK "https://www.sciencedirect.com/science/article/am/pii/S221462962400344X" </w:instrText>
      </w:r>
      <w:r>
        <w:fldChar w:fldCharType="separate"/>
      </w:r>
      <w:r>
        <w:rPr>
          <w:rStyle w:val="16"/>
          <w:rFonts w:cs="Times New Roman"/>
          <w:szCs w:val="24"/>
          <w:shd w:val="clear" w:color="auto" w:fill="FFFFFF"/>
        </w:rPr>
        <w:t>https://www.sciencedirect.com/science/article/am/pii/S221462962400344X</w:t>
      </w:r>
      <w:r>
        <w:rPr>
          <w:rStyle w:val="16"/>
          <w:rFonts w:cs="Times New Roman"/>
          <w:szCs w:val="24"/>
          <w:shd w:val="clear" w:color="auto" w:fill="FFFFFF"/>
        </w:rPr>
        <w:fldChar w:fldCharType="end"/>
      </w:r>
    </w:p>
    <w:p w14:paraId="036BABDC">
      <w:pPr>
        <w:rPr>
          <w:rFonts w:cs="Times New Roman"/>
          <w:color w:val="222222"/>
          <w:szCs w:val="24"/>
          <w:shd w:val="clear" w:color="auto" w:fill="FFFFFF"/>
        </w:rPr>
      </w:pPr>
      <w:r>
        <w:rPr>
          <w:rFonts w:cs="Times New Roman"/>
          <w:color w:val="222222"/>
          <w:szCs w:val="24"/>
          <w:shd w:val="clear" w:color="auto" w:fill="FFFFFF"/>
        </w:rPr>
        <w:t>Cho, M.J., Bae, K., Byun, J. and Shin, J., 2025. Expanding the identification of key resource combinations for mid-to long-term growth in electric vehicle market entry. </w:t>
      </w:r>
      <w:r>
        <w:rPr>
          <w:rFonts w:cs="Times New Roman"/>
          <w:i/>
          <w:iCs/>
          <w:color w:val="222222"/>
          <w:szCs w:val="24"/>
          <w:shd w:val="clear" w:color="auto" w:fill="FFFFFF"/>
        </w:rPr>
        <w:t>Plos</w:t>
      </w:r>
      <w:r>
        <w:rPr>
          <w:rFonts w:cs="Times New Roman"/>
          <w:i/>
          <w:iCs/>
          <w:color w:val="222222"/>
          <w:szCs w:val="24"/>
          <w:shd w:val="clear" w:color="auto" w:fill="FFFFFF"/>
        </w:rPr>
        <w:t xml:space="preserve"> one</w:t>
      </w:r>
      <w:r>
        <w:rPr>
          <w:rFonts w:cs="Times New Roman"/>
          <w:color w:val="222222"/>
          <w:szCs w:val="24"/>
          <w:shd w:val="clear" w:color="auto" w:fill="FFFFFF"/>
        </w:rPr>
        <w:t>, </w:t>
      </w:r>
      <w:r>
        <w:rPr>
          <w:rFonts w:cs="Times New Roman"/>
          <w:i/>
          <w:iCs/>
          <w:color w:val="222222"/>
          <w:szCs w:val="24"/>
          <w:shd w:val="clear" w:color="auto" w:fill="FFFFFF"/>
        </w:rPr>
        <w:t>20</w:t>
      </w:r>
      <w:r>
        <w:rPr>
          <w:rFonts w:cs="Times New Roman"/>
          <w:color w:val="222222"/>
          <w:szCs w:val="24"/>
          <w:shd w:val="clear" w:color="auto" w:fill="FFFFFF"/>
        </w:rPr>
        <w:t xml:space="preserve">(8), p.e0328563. </w:t>
      </w:r>
      <w:r>
        <w:fldChar w:fldCharType="begin"/>
      </w:r>
      <w:r>
        <w:instrText xml:space="preserve"> HYPERLINK "https://journals.plos.org/plosone/article/file?id=10.1371/journal.pone.0328563&amp;type=printable" </w:instrText>
      </w:r>
      <w:r>
        <w:fldChar w:fldCharType="separate"/>
      </w:r>
      <w:r>
        <w:rPr>
          <w:rStyle w:val="16"/>
          <w:rFonts w:cs="Times New Roman"/>
          <w:szCs w:val="24"/>
          <w:shd w:val="clear" w:color="auto" w:fill="FFFFFF"/>
        </w:rPr>
        <w:t>https://journals.plos.org/plosone/article/file?id=10.1371/journal.pone.0328563&amp;type=printable</w:t>
      </w:r>
      <w:r>
        <w:rPr>
          <w:rStyle w:val="16"/>
          <w:rFonts w:cs="Times New Roman"/>
          <w:szCs w:val="24"/>
          <w:shd w:val="clear" w:color="auto" w:fill="FFFFFF"/>
        </w:rPr>
        <w:fldChar w:fldCharType="end"/>
      </w:r>
    </w:p>
    <w:p w14:paraId="54ACB87D">
      <w:pPr>
        <w:pStyle w:val="10"/>
        <w:spacing w:before="0" w:beforeAutospacing="0" w:after="0" w:afterAutospacing="0" w:line="360" w:lineRule="auto"/>
      </w:pPr>
      <w:r>
        <w:rPr>
          <w:color w:val="222222"/>
        </w:rPr>
        <w:t xml:space="preserve">Coe, R., Waring, M., Hedges, L.V. and Ashley, L.D. eds., (2025). </w:t>
      </w:r>
      <w:r>
        <w:rPr>
          <w:i/>
          <w:iCs/>
          <w:color w:val="222222"/>
        </w:rPr>
        <w:t>Research methods and methodologies in education</w:t>
      </w:r>
      <w:r>
        <w:rPr>
          <w:color w:val="222222"/>
        </w:rPr>
        <w:t>. SAGE Publications Limited.</w:t>
      </w:r>
      <w:r>
        <w:rPr>
          <w:color w:val="000000"/>
        </w:rPr>
        <w:t xml:space="preserve"> </w:t>
      </w:r>
      <w:r>
        <w:fldChar w:fldCharType="begin"/>
      </w:r>
      <w:r>
        <w:instrText xml:space="preserve"> HYPERLINK "https://books.google.com/books?hl=en&amp;lr=&amp;id=kj8zEQAAQBAJ&amp;oi=fnd&amp;pg=PP1&amp;dq=Importance+of+secondary+sources+research+methodology&amp;ots=THfP1WCCp0&amp;sig=a7xOmz4AQATNT_Oio9HH897RgT8" </w:instrText>
      </w:r>
      <w:r>
        <w:fldChar w:fldCharType="separate"/>
      </w:r>
      <w:r>
        <w:rPr>
          <w:rStyle w:val="16"/>
          <w:color w:val="1155CC"/>
        </w:rPr>
        <w:t>https://books.google.com/books?hl=en&amp;lr=&amp;id=kj8zEQAAQBAJ&amp;oi=fnd&amp;pg=PP1&amp;dq=Importance+of+secondary+sources+research+methodology&amp;ots=THfP1WCCp0&amp;sig=a7xOmz4AQATNT_Oio9HH897RgT8</w:t>
      </w:r>
      <w:r>
        <w:rPr>
          <w:rStyle w:val="16"/>
          <w:color w:val="1155CC"/>
        </w:rPr>
        <w:fldChar w:fldCharType="end"/>
      </w:r>
      <w:r>
        <w:rPr>
          <w:color w:val="000000"/>
        </w:rPr>
        <w:t>. </w:t>
      </w:r>
    </w:p>
    <w:p w14:paraId="012E7BA4">
      <w:pPr>
        <w:pStyle w:val="10"/>
        <w:spacing w:before="0" w:beforeAutospacing="0" w:after="240" w:afterAutospacing="0" w:line="360" w:lineRule="auto"/>
      </w:pPr>
      <w:r>
        <w:t xml:space="preserve">Deloitte (2025). </w:t>
      </w:r>
      <w:r>
        <w:rPr>
          <w:i/>
          <w:iCs/>
        </w:rPr>
        <w:t>Consumers weigh EV benefits against practical challenges. Factors such as charging time, infrastructure availability and battery safety remain key considerations in EV adoption: Deloitte</w:t>
      </w:r>
      <w:r>
        <w:t>. [Online] Deloitte. Available at: https://www.deloitte.com/in/en/about/press-room/consumers-weigh-ev-benefits-against-practical-challenges.html [Accessed 27 Aug. 2026]</w:t>
      </w:r>
    </w:p>
    <w:p w14:paraId="6F49E917">
      <w:pPr>
        <w:rPr>
          <w:rFonts w:cs="Times New Roman"/>
          <w:color w:val="222222"/>
          <w:szCs w:val="24"/>
          <w:shd w:val="clear" w:color="auto" w:fill="FFFFFF"/>
        </w:rPr>
      </w:pPr>
      <w:r>
        <w:rPr>
          <w:rFonts w:cs="Times New Roman"/>
          <w:color w:val="222222"/>
          <w:szCs w:val="24"/>
          <w:shd w:val="clear" w:color="auto" w:fill="FFFFFF"/>
        </w:rPr>
        <w:t>Dhairiyasamy</w:t>
      </w:r>
      <w:r>
        <w:rPr>
          <w:rFonts w:cs="Times New Roman"/>
          <w:color w:val="222222"/>
          <w:szCs w:val="24"/>
          <w:shd w:val="clear" w:color="auto" w:fill="FFFFFF"/>
        </w:rPr>
        <w:t>, R., Gabiriel, D., Bunpheng, W. and Kit, C.C., 2024. A comprehensive analysis of India’s electric vehicle battery supply chain: barriers and solutions. </w:t>
      </w:r>
      <w:r>
        <w:rPr>
          <w:rFonts w:cs="Times New Roman"/>
          <w:i/>
          <w:iCs/>
          <w:color w:val="222222"/>
          <w:szCs w:val="24"/>
          <w:shd w:val="clear" w:color="auto" w:fill="FFFFFF"/>
        </w:rPr>
        <w:t>Discover Sustainability</w:t>
      </w:r>
      <w:r>
        <w:rPr>
          <w:rFonts w:cs="Times New Roman"/>
          <w:color w:val="222222"/>
          <w:szCs w:val="24"/>
          <w:shd w:val="clear" w:color="auto" w:fill="FFFFFF"/>
        </w:rPr>
        <w:t>, </w:t>
      </w:r>
      <w:r>
        <w:rPr>
          <w:rFonts w:cs="Times New Roman"/>
          <w:i/>
          <w:iCs/>
          <w:color w:val="222222"/>
          <w:szCs w:val="24"/>
          <w:shd w:val="clear" w:color="auto" w:fill="FFFFFF"/>
        </w:rPr>
        <w:t>5</w:t>
      </w:r>
      <w:r>
        <w:rPr>
          <w:rFonts w:cs="Times New Roman"/>
          <w:color w:val="222222"/>
          <w:szCs w:val="24"/>
          <w:shd w:val="clear" w:color="auto" w:fill="FFFFFF"/>
        </w:rPr>
        <w:t xml:space="preserve">(1), p.361. </w:t>
      </w:r>
      <w:r>
        <w:fldChar w:fldCharType="begin"/>
      </w:r>
      <w:r>
        <w:instrText xml:space="preserve"> HYPERLINK "https://link.springer.com/content/pdf/10.1007/s43621-024-00595-7.pdf" </w:instrText>
      </w:r>
      <w:r>
        <w:fldChar w:fldCharType="separate"/>
      </w:r>
      <w:r>
        <w:rPr>
          <w:rStyle w:val="16"/>
          <w:rFonts w:cs="Times New Roman"/>
          <w:szCs w:val="24"/>
          <w:shd w:val="clear" w:color="auto" w:fill="FFFFFF"/>
        </w:rPr>
        <w:t>https://link.springer.com/content/pdf/10.1007/s43621-024-00595-7.pdf</w:t>
      </w:r>
      <w:r>
        <w:rPr>
          <w:rStyle w:val="16"/>
          <w:rFonts w:cs="Times New Roman"/>
          <w:szCs w:val="24"/>
          <w:shd w:val="clear" w:color="auto" w:fill="FFFFFF"/>
        </w:rPr>
        <w:fldChar w:fldCharType="end"/>
      </w:r>
    </w:p>
    <w:p w14:paraId="017FFF23">
      <w:pPr>
        <w:pStyle w:val="10"/>
        <w:spacing w:before="0" w:beforeAutospacing="0" w:after="0" w:afterAutospacing="0" w:line="360" w:lineRule="auto"/>
      </w:pPr>
      <w:r>
        <w:rPr>
          <w:color w:val="222222"/>
        </w:rPr>
        <w:t xml:space="preserve">Dhar, K., (2024), September. Analysing Factors Influencing Consumer Perception and Purchase Intentions for Electric Vehicles in the Indian Emerging Market. In </w:t>
      </w:r>
      <w:r>
        <w:rPr>
          <w:i/>
          <w:iCs/>
          <w:color w:val="222222"/>
        </w:rPr>
        <w:t>Proceedings of the 2nd ICSSR Conference on “India Towards Viksit Bharat</w:t>
      </w:r>
      <w:r>
        <w:rPr>
          <w:color w:val="222222"/>
        </w:rPr>
        <w:t xml:space="preserve"> (Vol. 2047, pp. 13th-14th).</w:t>
      </w:r>
      <w:r>
        <w:rPr>
          <w:color w:val="000000"/>
        </w:rPr>
        <w:t xml:space="preserve"> </w:t>
      </w:r>
      <w:r>
        <w:fldChar w:fldCharType="begin"/>
      </w:r>
      <w:r>
        <w:instrText xml:space="preserve"> HYPERLINK "http://bvicam.in/INDIACom/news/ViksitBharat2024Proceedings/papers/146.pdf" </w:instrText>
      </w:r>
      <w:r>
        <w:fldChar w:fldCharType="separate"/>
      </w:r>
      <w:r>
        <w:rPr>
          <w:rStyle w:val="16"/>
          <w:color w:val="1155CC"/>
        </w:rPr>
        <w:t>http://bvicam.in/INDIACom/news/ViksitBharat2024Proceedings/papers/146.pdf</w:t>
      </w:r>
      <w:r>
        <w:rPr>
          <w:rStyle w:val="16"/>
          <w:color w:val="1155CC"/>
        </w:rPr>
        <w:fldChar w:fldCharType="end"/>
      </w:r>
      <w:r>
        <w:rPr>
          <w:color w:val="000000"/>
        </w:rPr>
        <w:t>. </w:t>
      </w:r>
    </w:p>
    <w:p w14:paraId="266B9066">
      <w:pPr>
        <w:rPr>
          <w:rFonts w:cs="Times New Roman"/>
          <w:color w:val="222222"/>
          <w:szCs w:val="24"/>
          <w:shd w:val="clear" w:color="auto" w:fill="FFFFFF"/>
        </w:rPr>
      </w:pPr>
      <w:r>
        <w:rPr>
          <w:rFonts w:cs="Times New Roman"/>
          <w:color w:val="222222"/>
          <w:szCs w:val="24"/>
          <w:shd w:val="clear" w:color="auto" w:fill="FFFFFF"/>
        </w:rPr>
        <w:t>Dhar, K., 2024, September. Analysing Factors Influencing Consumer Perception and Purchase Intentions for Electric Vehicles in the Indian Emerging Market. In </w:t>
      </w:r>
      <w:r>
        <w:rPr>
          <w:rFonts w:cs="Times New Roman"/>
          <w:i/>
          <w:iCs/>
          <w:color w:val="222222"/>
          <w:szCs w:val="24"/>
          <w:shd w:val="clear" w:color="auto" w:fill="FFFFFF"/>
        </w:rPr>
        <w:t>Proceedings of the 2nd ICSSR Conference on “India Towards Viksit Bharat</w:t>
      </w:r>
      <w:r>
        <w:rPr>
          <w:rFonts w:cs="Times New Roman"/>
          <w:color w:val="222222"/>
          <w:szCs w:val="24"/>
          <w:shd w:val="clear" w:color="auto" w:fill="FFFFFF"/>
        </w:rPr>
        <w:t xml:space="preserve"> (Vol. 2047, pp. 13th-14th). </w:t>
      </w:r>
      <w:r>
        <w:fldChar w:fldCharType="begin"/>
      </w:r>
      <w:r>
        <w:instrText xml:space="preserve"> HYPERLINK "http://bvicam.in/INDIACom/news/ViksitBharat2024Proceedings/papers/146.pdf" </w:instrText>
      </w:r>
      <w:r>
        <w:fldChar w:fldCharType="separate"/>
      </w:r>
      <w:r>
        <w:rPr>
          <w:rStyle w:val="16"/>
          <w:rFonts w:cs="Times New Roman"/>
          <w:szCs w:val="24"/>
          <w:shd w:val="clear" w:color="auto" w:fill="FFFFFF"/>
        </w:rPr>
        <w:t>http://bvicam.in/INDIACom/news/ViksitBharat2024Proceedings/papers/146.pdf</w:t>
      </w:r>
      <w:r>
        <w:rPr>
          <w:rStyle w:val="16"/>
          <w:rFonts w:cs="Times New Roman"/>
          <w:szCs w:val="24"/>
          <w:shd w:val="clear" w:color="auto" w:fill="FFFFFF"/>
        </w:rPr>
        <w:fldChar w:fldCharType="end"/>
      </w:r>
    </w:p>
    <w:p w14:paraId="078F52C1">
      <w:pPr>
        <w:rPr>
          <w:rFonts w:cs="Times New Roman"/>
          <w:color w:val="222222"/>
          <w:szCs w:val="24"/>
          <w:shd w:val="clear" w:color="auto" w:fill="FFFFFF"/>
        </w:rPr>
      </w:pPr>
      <w:r>
        <w:rPr>
          <w:rFonts w:cs="Times New Roman"/>
          <w:color w:val="222222"/>
          <w:szCs w:val="24"/>
          <w:shd w:val="clear" w:color="auto" w:fill="FFFFFF"/>
        </w:rPr>
        <w:t>Domarchi</w:t>
      </w:r>
      <w:r>
        <w:rPr>
          <w:rFonts w:cs="Times New Roman"/>
          <w:color w:val="222222"/>
          <w:szCs w:val="24"/>
          <w:shd w:val="clear" w:color="auto" w:fill="FFFFFF"/>
        </w:rPr>
        <w:t xml:space="preserve">, C., Vuong, Q.C. and </w:t>
      </w:r>
      <w:r>
        <w:rPr>
          <w:rFonts w:cs="Times New Roman"/>
          <w:color w:val="222222"/>
          <w:szCs w:val="24"/>
          <w:shd w:val="clear" w:color="auto" w:fill="FFFFFF"/>
        </w:rPr>
        <w:t>Cherchi</w:t>
      </w:r>
      <w:r>
        <w:rPr>
          <w:rFonts w:cs="Times New Roman"/>
          <w:color w:val="222222"/>
          <w:szCs w:val="24"/>
          <w:shd w:val="clear" w:color="auto" w:fill="FFFFFF"/>
        </w:rPr>
        <w:t>, E., 2024. The role of emotional coherence in electric vehicle purchasing decisions. </w:t>
      </w:r>
      <w:r>
        <w:rPr>
          <w:rFonts w:cs="Times New Roman"/>
          <w:i/>
          <w:iCs/>
          <w:color w:val="222222"/>
          <w:szCs w:val="24"/>
          <w:shd w:val="clear" w:color="auto" w:fill="FFFFFF"/>
        </w:rPr>
        <w:t>Transportation Research Part F: Traffic Psychology and Behaviour</w:t>
      </w:r>
      <w:r>
        <w:rPr>
          <w:rFonts w:cs="Times New Roman"/>
          <w:color w:val="222222"/>
          <w:szCs w:val="24"/>
          <w:shd w:val="clear" w:color="auto" w:fill="FFFFFF"/>
        </w:rPr>
        <w:t>, </w:t>
      </w:r>
      <w:r>
        <w:rPr>
          <w:rFonts w:cs="Times New Roman"/>
          <w:i/>
          <w:iCs/>
          <w:color w:val="222222"/>
          <w:szCs w:val="24"/>
          <w:shd w:val="clear" w:color="auto" w:fill="FFFFFF"/>
        </w:rPr>
        <w:t>107</w:t>
      </w:r>
      <w:r>
        <w:rPr>
          <w:rFonts w:cs="Times New Roman"/>
          <w:color w:val="222222"/>
          <w:szCs w:val="24"/>
          <w:shd w:val="clear" w:color="auto" w:fill="FFFFFF"/>
        </w:rPr>
        <w:t xml:space="preserve">, pp.997-1014. </w:t>
      </w:r>
      <w:r>
        <w:fldChar w:fldCharType="begin"/>
      </w:r>
      <w:r>
        <w:instrText xml:space="preserve"> HYPERLINK "https://www.sciencedirect.com/science/article/pii/S136984782400295X" </w:instrText>
      </w:r>
      <w:r>
        <w:fldChar w:fldCharType="separate"/>
      </w:r>
      <w:r>
        <w:rPr>
          <w:rStyle w:val="16"/>
          <w:rFonts w:cs="Times New Roman"/>
          <w:szCs w:val="24"/>
          <w:shd w:val="clear" w:color="auto" w:fill="FFFFFF"/>
        </w:rPr>
        <w:t>https://www.sciencedirect.com/science/article/pii/S136984782400295X</w:t>
      </w:r>
      <w:r>
        <w:rPr>
          <w:rStyle w:val="16"/>
          <w:rFonts w:cs="Times New Roman"/>
          <w:szCs w:val="24"/>
          <w:shd w:val="clear" w:color="auto" w:fill="FFFFFF"/>
        </w:rPr>
        <w:fldChar w:fldCharType="end"/>
      </w:r>
    </w:p>
    <w:p w14:paraId="20666FD9">
      <w:pPr>
        <w:pStyle w:val="10"/>
        <w:spacing w:before="0" w:beforeAutospacing="0" w:after="0" w:afterAutospacing="0" w:line="360" w:lineRule="auto"/>
      </w:pPr>
      <w:r>
        <w:rPr>
          <w:color w:val="222222"/>
        </w:rPr>
        <w:t xml:space="preserve">Dutta, A. and Padmanaban, S., (2025). Shaping India’s EV future: a policy framework inspired by global best practices. </w:t>
      </w:r>
      <w:r>
        <w:rPr>
          <w:i/>
          <w:iCs/>
          <w:color w:val="222222"/>
        </w:rPr>
        <w:t>Academia Green Energy</w:t>
      </w:r>
      <w:r>
        <w:rPr>
          <w:color w:val="222222"/>
        </w:rPr>
        <w:t xml:space="preserve">, </w:t>
      </w:r>
      <w:r>
        <w:rPr>
          <w:i/>
          <w:iCs/>
          <w:color w:val="222222"/>
        </w:rPr>
        <w:t>2</w:t>
      </w:r>
      <w:r>
        <w:rPr>
          <w:color w:val="222222"/>
        </w:rPr>
        <w:t>(2).</w:t>
      </w:r>
      <w:r>
        <w:rPr>
          <w:color w:val="000000"/>
        </w:rPr>
        <w:t xml:space="preserve"> </w:t>
      </w:r>
      <w:r>
        <w:fldChar w:fldCharType="begin"/>
      </w:r>
      <w:r>
        <w:instrText xml:space="preserve"> HYPERLINK "https://scijournals.onlinelibrary.wiley.com/doi/pdf/10.1002/ese3.70014" </w:instrText>
      </w:r>
      <w:r>
        <w:fldChar w:fldCharType="separate"/>
      </w:r>
      <w:r>
        <w:rPr>
          <w:rStyle w:val="16"/>
          <w:color w:val="1155CC"/>
        </w:rPr>
        <w:t>https://scijournals.onlinelibrary.wiley.com/doi/pdf/10.1002/ese3.70014</w:t>
      </w:r>
      <w:r>
        <w:rPr>
          <w:rStyle w:val="16"/>
          <w:color w:val="1155CC"/>
        </w:rPr>
        <w:fldChar w:fldCharType="end"/>
      </w:r>
      <w:r>
        <w:rPr>
          <w:color w:val="000000"/>
        </w:rPr>
        <w:t>. </w:t>
      </w:r>
    </w:p>
    <w:p w14:paraId="14DD9CBB">
      <w:pPr>
        <w:pStyle w:val="10"/>
        <w:spacing w:before="0" w:beforeAutospacing="0" w:after="0" w:afterAutospacing="0" w:line="360" w:lineRule="auto"/>
      </w:pPr>
      <w:r>
        <w:rPr>
          <w:color w:val="000000"/>
        </w:rPr>
        <w:t>Economictimes</w:t>
      </w:r>
      <w:r>
        <w:rPr>
          <w:color w:val="000000"/>
        </w:rPr>
        <w:t xml:space="preserve"> (2026) byd-india-targets-double-digit-growth-in-electric-vehicle-market-by-2026, Available at: </w:t>
      </w:r>
      <w:r>
        <w:fldChar w:fldCharType="begin"/>
      </w:r>
      <w:r>
        <w:instrText xml:space="preserve"> HYPERLINK "https://auto.economictimes.indiatimes.com/news/passenger-vehicle/byd-india-targets-double-digit-growth-in-electric-vehicle-market-by-2026/129669165" </w:instrText>
      </w:r>
      <w:r>
        <w:fldChar w:fldCharType="separate"/>
      </w:r>
      <w:r>
        <w:rPr>
          <w:rStyle w:val="16"/>
          <w:color w:val="1155CC"/>
        </w:rPr>
        <w:t>https://auto.economictimes.indiatimes.com/news/passenger-vehicle/byd-india-targets-double-digit-growth-in-electric-vehicle-market-by-2026/129669165</w:t>
      </w:r>
      <w:r>
        <w:rPr>
          <w:rStyle w:val="16"/>
          <w:color w:val="1155CC"/>
        </w:rPr>
        <w:fldChar w:fldCharType="end"/>
      </w:r>
      <w:r>
        <w:rPr>
          <w:color w:val="000000"/>
        </w:rPr>
        <w:t>. [Accessed on 27.08.2026]</w:t>
      </w:r>
    </w:p>
    <w:p w14:paraId="14D2794E">
      <w:pPr>
        <w:pStyle w:val="10"/>
        <w:spacing w:before="0" w:beforeAutospacing="0" w:after="0" w:afterAutospacing="0" w:line="360" w:lineRule="auto"/>
      </w:pPr>
      <w:r>
        <w:rPr>
          <w:color w:val="222222"/>
        </w:rPr>
        <w:t xml:space="preserve">Feng, M., Xie, W. and Wang, X., (2025). Inventory Strategies for Warranty Replacements of Electric Vehicle Batteries Considering Symmetric Demand Statistics. </w:t>
      </w:r>
      <w:r>
        <w:rPr>
          <w:i/>
          <w:iCs/>
          <w:color w:val="222222"/>
        </w:rPr>
        <w:t>Symmetry</w:t>
      </w:r>
      <w:r>
        <w:rPr>
          <w:color w:val="222222"/>
        </w:rPr>
        <w:t xml:space="preserve">, </w:t>
      </w:r>
      <w:r>
        <w:rPr>
          <w:i/>
          <w:iCs/>
          <w:color w:val="222222"/>
        </w:rPr>
        <w:t>17</w:t>
      </w:r>
      <w:r>
        <w:rPr>
          <w:color w:val="222222"/>
        </w:rPr>
        <w:t>(6), p.928.</w:t>
      </w:r>
      <w:r>
        <w:rPr>
          <w:color w:val="000000"/>
        </w:rPr>
        <w:t xml:space="preserve"> </w:t>
      </w:r>
      <w:r>
        <w:fldChar w:fldCharType="begin"/>
      </w:r>
      <w:r>
        <w:instrText xml:space="preserve"> HYPERLINK "https://www.mdpi.com/2073-8994/17/6/928" </w:instrText>
      </w:r>
      <w:r>
        <w:fldChar w:fldCharType="separate"/>
      </w:r>
      <w:r>
        <w:rPr>
          <w:rStyle w:val="16"/>
          <w:color w:val="1155CC"/>
        </w:rPr>
        <w:t>https://www.mdpi.com/2073-8994/17/6/928</w:t>
      </w:r>
      <w:r>
        <w:rPr>
          <w:rStyle w:val="16"/>
          <w:color w:val="1155CC"/>
        </w:rPr>
        <w:fldChar w:fldCharType="end"/>
      </w:r>
      <w:r>
        <w:rPr>
          <w:color w:val="000000"/>
        </w:rPr>
        <w:t>. </w:t>
      </w:r>
    </w:p>
    <w:p w14:paraId="69846C7A">
      <w:pPr>
        <w:pStyle w:val="10"/>
        <w:spacing w:before="0" w:beforeAutospacing="0" w:after="240" w:afterAutospacing="0" w:line="360" w:lineRule="auto"/>
      </w:pPr>
      <w:r>
        <w:t xml:space="preserve">Fortune Business Insights (2024). </w:t>
      </w:r>
      <w:r>
        <w:rPr>
          <w:i/>
          <w:iCs/>
        </w:rPr>
        <w:t>India Electric vehicle market size &amp; growth | trends By 2029</w:t>
      </w:r>
      <w:r>
        <w:t>. [Online] www.fortunebusinessinsights.com. Available at: https://www.fortunebusinessinsights.com/india-electric-vehicle-market-106623 [Accessed 27 Aug. 2026]</w:t>
      </w:r>
    </w:p>
    <w:p w14:paraId="1842834A">
      <w:pPr>
        <w:rPr>
          <w:rFonts w:cs="Times New Roman"/>
          <w:color w:val="222222"/>
          <w:szCs w:val="24"/>
          <w:shd w:val="clear" w:color="auto" w:fill="FFFFFF"/>
        </w:rPr>
      </w:pPr>
      <w:r>
        <w:rPr>
          <w:rFonts w:cs="Times New Roman"/>
          <w:color w:val="222222"/>
          <w:szCs w:val="24"/>
          <w:shd w:val="clear" w:color="auto" w:fill="FFFFFF"/>
        </w:rPr>
        <w:t>García de Blanes Sebastián, M., Sarmiento Guede, J.R., Azuara Grande, A. and Juárez-</w:t>
      </w:r>
      <w:r>
        <w:rPr>
          <w:rFonts w:cs="Times New Roman"/>
          <w:color w:val="222222"/>
          <w:szCs w:val="24"/>
          <w:shd w:val="clear" w:color="auto" w:fill="FFFFFF"/>
        </w:rPr>
        <w:t>Varón</w:t>
      </w:r>
      <w:r>
        <w:rPr>
          <w:rFonts w:cs="Times New Roman"/>
          <w:color w:val="222222"/>
          <w:szCs w:val="24"/>
          <w:shd w:val="clear" w:color="auto" w:fill="FFFFFF"/>
        </w:rPr>
        <w:t>, D., 2024. Analysis of factors influencing attitude and intention to use electric vehicles for a sustainable future. </w:t>
      </w:r>
      <w:r>
        <w:rPr>
          <w:rFonts w:cs="Times New Roman"/>
          <w:i/>
          <w:iCs/>
          <w:color w:val="222222"/>
          <w:szCs w:val="24"/>
          <w:shd w:val="clear" w:color="auto" w:fill="FFFFFF"/>
        </w:rPr>
        <w:t>The Journal of Technology Transfer</w:t>
      </w:r>
      <w:r>
        <w:rPr>
          <w:rFonts w:cs="Times New Roman"/>
          <w:color w:val="222222"/>
          <w:szCs w:val="24"/>
          <w:shd w:val="clear" w:color="auto" w:fill="FFFFFF"/>
        </w:rPr>
        <w:t>, </w:t>
      </w:r>
      <w:r>
        <w:rPr>
          <w:rFonts w:cs="Times New Roman"/>
          <w:i/>
          <w:iCs/>
          <w:color w:val="222222"/>
          <w:szCs w:val="24"/>
          <w:shd w:val="clear" w:color="auto" w:fill="FFFFFF"/>
        </w:rPr>
        <w:t>49</w:t>
      </w:r>
      <w:r>
        <w:rPr>
          <w:rFonts w:cs="Times New Roman"/>
          <w:color w:val="222222"/>
          <w:szCs w:val="24"/>
          <w:shd w:val="clear" w:color="auto" w:fill="FFFFFF"/>
        </w:rPr>
        <w:t xml:space="preserve">(4), pp.1347-1368. </w:t>
      </w:r>
      <w:r>
        <w:fldChar w:fldCharType="begin"/>
      </w:r>
      <w:r>
        <w:instrText xml:space="preserve"> HYPERLINK "https://riunet.upv.es/bitstreams/4ef2c87a-c3ab-4af7-8d90-846d2771b23e/download" </w:instrText>
      </w:r>
      <w:r>
        <w:fldChar w:fldCharType="separate"/>
      </w:r>
      <w:r>
        <w:rPr>
          <w:rStyle w:val="16"/>
          <w:rFonts w:cs="Times New Roman"/>
          <w:szCs w:val="24"/>
          <w:shd w:val="clear" w:color="auto" w:fill="FFFFFF"/>
        </w:rPr>
        <w:t>https://riunet.upv.es/bitstreams/4ef2c87a-c3ab-4af7-8d90-846d2771b23e/download</w:t>
      </w:r>
      <w:r>
        <w:rPr>
          <w:rStyle w:val="16"/>
          <w:rFonts w:cs="Times New Roman"/>
          <w:szCs w:val="24"/>
          <w:shd w:val="clear" w:color="auto" w:fill="FFFFFF"/>
        </w:rPr>
        <w:fldChar w:fldCharType="end"/>
      </w:r>
    </w:p>
    <w:p w14:paraId="4AB36C86">
      <w:pPr>
        <w:pStyle w:val="10"/>
        <w:spacing w:before="0" w:beforeAutospacing="0" w:after="0" w:afterAutospacing="0" w:line="360" w:lineRule="auto"/>
      </w:pPr>
      <w:r>
        <w:rPr>
          <w:color w:val="222222"/>
        </w:rPr>
        <w:t xml:space="preserve">George, A.S., (2024). Strategic battery autarky: Reducing foreign dependence in the electric vehicle supply chain. </w:t>
      </w:r>
      <w:r>
        <w:rPr>
          <w:i/>
          <w:iCs/>
          <w:color w:val="222222"/>
        </w:rPr>
        <w:t>Partners Universal International Research Journal</w:t>
      </w:r>
      <w:r>
        <w:rPr>
          <w:color w:val="222222"/>
        </w:rPr>
        <w:t xml:space="preserve">, </w:t>
      </w:r>
      <w:r>
        <w:rPr>
          <w:i/>
          <w:iCs/>
          <w:color w:val="222222"/>
        </w:rPr>
        <w:t>3</w:t>
      </w:r>
      <w:r>
        <w:rPr>
          <w:color w:val="222222"/>
        </w:rPr>
        <w:t>(1), pp.168-182.</w:t>
      </w:r>
      <w:r>
        <w:rPr>
          <w:color w:val="000000"/>
        </w:rPr>
        <w:t xml:space="preserve"> </w:t>
      </w:r>
      <w:r>
        <w:fldChar w:fldCharType="begin"/>
      </w:r>
      <w:r>
        <w:instrText xml:space="preserve"> HYPERLINK "https://www.puirj.com/index.php/research/article/download/177/139" </w:instrText>
      </w:r>
      <w:r>
        <w:fldChar w:fldCharType="separate"/>
      </w:r>
      <w:r>
        <w:rPr>
          <w:rStyle w:val="16"/>
          <w:color w:val="1155CC"/>
        </w:rPr>
        <w:t>https://www.puirj.com/index.php/research/article/download/177/139</w:t>
      </w:r>
      <w:r>
        <w:rPr>
          <w:rStyle w:val="16"/>
          <w:color w:val="1155CC"/>
        </w:rPr>
        <w:fldChar w:fldCharType="end"/>
      </w:r>
      <w:r>
        <w:rPr>
          <w:color w:val="000000"/>
        </w:rPr>
        <w:t>. </w:t>
      </w:r>
    </w:p>
    <w:p w14:paraId="605724D3">
      <w:pPr>
        <w:rPr>
          <w:rFonts w:cs="Times New Roman"/>
          <w:color w:val="222222"/>
          <w:szCs w:val="24"/>
          <w:shd w:val="clear" w:color="auto" w:fill="FFFFFF"/>
        </w:rPr>
      </w:pPr>
      <w:r>
        <w:rPr>
          <w:rFonts w:cs="Times New Roman"/>
          <w:color w:val="222222"/>
          <w:szCs w:val="24"/>
          <w:shd w:val="clear" w:color="auto" w:fill="FFFFFF"/>
        </w:rPr>
        <w:t xml:space="preserve">Gnanavendan, S., Selvaraj, S.K., Dev, S.J., Mahato, K.K., </w:t>
      </w:r>
      <w:r>
        <w:rPr>
          <w:rFonts w:cs="Times New Roman"/>
          <w:color w:val="222222"/>
          <w:szCs w:val="24"/>
          <w:shd w:val="clear" w:color="auto" w:fill="FFFFFF"/>
        </w:rPr>
        <w:t>Swathish</w:t>
      </w:r>
      <w:r>
        <w:rPr>
          <w:rFonts w:cs="Times New Roman"/>
          <w:color w:val="222222"/>
          <w:szCs w:val="24"/>
          <w:shd w:val="clear" w:color="auto" w:fill="FFFFFF"/>
        </w:rPr>
        <w:t xml:space="preserve">, R.S., </w:t>
      </w:r>
      <w:r>
        <w:rPr>
          <w:rFonts w:cs="Times New Roman"/>
          <w:color w:val="222222"/>
          <w:szCs w:val="24"/>
          <w:shd w:val="clear" w:color="auto" w:fill="FFFFFF"/>
        </w:rPr>
        <w:t>Sundaramali</w:t>
      </w:r>
      <w:r>
        <w:rPr>
          <w:rFonts w:cs="Times New Roman"/>
          <w:color w:val="222222"/>
          <w:szCs w:val="24"/>
          <w:shd w:val="clear" w:color="auto" w:fill="FFFFFF"/>
        </w:rPr>
        <w:t>, G., Accouche, O. and Azab, M., 2024. Challenges, solutions and future trends in EV technology: A review. </w:t>
      </w:r>
      <w:r>
        <w:rPr>
          <w:rFonts w:cs="Times New Roman"/>
          <w:i/>
          <w:iCs/>
          <w:color w:val="222222"/>
          <w:szCs w:val="24"/>
          <w:shd w:val="clear" w:color="auto" w:fill="FFFFFF"/>
        </w:rPr>
        <w:t>IEEE Access</w:t>
      </w:r>
      <w:r>
        <w:rPr>
          <w:rFonts w:cs="Times New Roman"/>
          <w:color w:val="222222"/>
          <w:szCs w:val="24"/>
          <w:shd w:val="clear" w:color="auto" w:fill="FFFFFF"/>
        </w:rPr>
        <w:t>, </w:t>
      </w:r>
      <w:r>
        <w:rPr>
          <w:rFonts w:cs="Times New Roman"/>
          <w:i/>
          <w:iCs/>
          <w:color w:val="222222"/>
          <w:szCs w:val="24"/>
          <w:shd w:val="clear" w:color="auto" w:fill="FFFFFF"/>
        </w:rPr>
        <w:t>12</w:t>
      </w:r>
      <w:r>
        <w:rPr>
          <w:rFonts w:cs="Times New Roman"/>
          <w:color w:val="222222"/>
          <w:szCs w:val="24"/>
          <w:shd w:val="clear" w:color="auto" w:fill="FFFFFF"/>
        </w:rPr>
        <w:t xml:space="preserve">, pp.17242-17260. </w:t>
      </w:r>
      <w:r>
        <w:fldChar w:fldCharType="begin"/>
      </w:r>
      <w:r>
        <w:instrText xml:space="preserve"> HYPERLINK "https://ieeexplore.ieee.org/iel7/6287639/6514899/10398193.pdf" </w:instrText>
      </w:r>
      <w:r>
        <w:fldChar w:fldCharType="separate"/>
      </w:r>
      <w:r>
        <w:rPr>
          <w:rStyle w:val="16"/>
          <w:rFonts w:cs="Times New Roman"/>
          <w:szCs w:val="24"/>
          <w:shd w:val="clear" w:color="auto" w:fill="FFFFFF"/>
        </w:rPr>
        <w:t>https://ieeexplore.ieee.org/iel7/6287639/6514899/10398193.pdf</w:t>
      </w:r>
      <w:r>
        <w:rPr>
          <w:rStyle w:val="16"/>
          <w:rFonts w:cs="Times New Roman"/>
          <w:szCs w:val="24"/>
          <w:shd w:val="clear" w:color="auto" w:fill="FFFFFF"/>
        </w:rPr>
        <w:fldChar w:fldCharType="end"/>
      </w:r>
    </w:p>
    <w:p w14:paraId="0A2C8BD2">
      <w:pPr>
        <w:rPr>
          <w:rStyle w:val="16"/>
          <w:rFonts w:cs="Times New Roman"/>
          <w:szCs w:val="24"/>
          <w:shd w:val="clear" w:color="auto" w:fill="FFFFFF"/>
        </w:rPr>
      </w:pPr>
      <w:r>
        <w:rPr>
          <w:rFonts w:cs="Times New Roman"/>
          <w:color w:val="222222"/>
          <w:szCs w:val="24"/>
          <w:shd w:val="clear" w:color="auto" w:fill="FFFFFF"/>
        </w:rPr>
        <w:t>Goel, S., Sharma, R. and Rathore, A.K., 2021. A review on barriers and challenges of electric vehicles in India and vehicle-to-grid optimisation. </w:t>
      </w:r>
      <w:r>
        <w:rPr>
          <w:rFonts w:cs="Times New Roman"/>
          <w:i/>
          <w:iCs/>
          <w:color w:val="222222"/>
          <w:szCs w:val="24"/>
          <w:shd w:val="clear" w:color="auto" w:fill="FFFFFF"/>
        </w:rPr>
        <w:t>Transportation engineering</w:t>
      </w:r>
      <w:r>
        <w:rPr>
          <w:rFonts w:cs="Times New Roman"/>
          <w:color w:val="222222"/>
          <w:szCs w:val="24"/>
          <w:shd w:val="clear" w:color="auto" w:fill="FFFFFF"/>
        </w:rPr>
        <w:t>, </w:t>
      </w:r>
      <w:r>
        <w:rPr>
          <w:rFonts w:cs="Times New Roman"/>
          <w:i/>
          <w:iCs/>
          <w:color w:val="222222"/>
          <w:szCs w:val="24"/>
          <w:shd w:val="clear" w:color="auto" w:fill="FFFFFF"/>
        </w:rPr>
        <w:t>4</w:t>
      </w:r>
      <w:r>
        <w:rPr>
          <w:rFonts w:cs="Times New Roman"/>
          <w:color w:val="222222"/>
          <w:szCs w:val="24"/>
          <w:shd w:val="clear" w:color="auto" w:fill="FFFFFF"/>
        </w:rPr>
        <w:t xml:space="preserve">, p.100057. </w:t>
      </w:r>
      <w:r>
        <w:fldChar w:fldCharType="begin"/>
      </w:r>
      <w:r>
        <w:instrText xml:space="preserve"> HYPERLINK "https://www.sciencedirect.com/science/article/pii/S2666691X21000130" </w:instrText>
      </w:r>
      <w:r>
        <w:fldChar w:fldCharType="separate"/>
      </w:r>
      <w:r>
        <w:rPr>
          <w:rStyle w:val="16"/>
          <w:rFonts w:cs="Times New Roman"/>
          <w:szCs w:val="24"/>
          <w:shd w:val="clear" w:color="auto" w:fill="FFFFFF"/>
        </w:rPr>
        <w:t>https://www.sciencedirect.com/science/article/pii/S2666691X21000130</w:t>
      </w:r>
      <w:r>
        <w:rPr>
          <w:rStyle w:val="16"/>
          <w:rFonts w:cs="Times New Roman"/>
          <w:szCs w:val="24"/>
          <w:shd w:val="clear" w:color="auto" w:fill="FFFFFF"/>
        </w:rPr>
        <w:fldChar w:fldCharType="end"/>
      </w:r>
    </w:p>
    <w:p w14:paraId="69FCB09B">
      <w:pPr>
        <w:pStyle w:val="10"/>
        <w:spacing w:before="0" w:beforeAutospacing="0" w:after="240" w:afterAutospacing="0" w:line="360" w:lineRule="auto"/>
      </w:pPr>
      <w:r>
        <w:t xml:space="preserve">Goswamy, T., Grausam, A., Mittal, B., Möller, T., Rupalla, F. and Thapar, P. (2024). </w:t>
      </w:r>
      <w:r>
        <w:rPr>
          <w:i/>
          <w:iCs/>
        </w:rPr>
        <w:t>Consumers are driving the transition to electric cars in India | McKinsey</w:t>
      </w:r>
      <w:r>
        <w:t>. [Online] www.mckinsey.com. Available at: https://www.mckinsey.com/industries/automotive-and-assembly/our-insights/consumers-are-driving-the-transition-to-electric-cars-in-india [Accessed 27 Aug. 2026]</w:t>
      </w:r>
    </w:p>
    <w:p w14:paraId="1E1028CA">
      <w:pPr>
        <w:pStyle w:val="10"/>
        <w:spacing w:before="0" w:beforeAutospacing="0" w:after="240" w:afterAutospacing="0" w:line="360" w:lineRule="auto"/>
        <w:rPr>
          <w:color w:val="222222"/>
          <w:shd w:val="clear" w:color="auto" w:fill="FFFFFF"/>
        </w:rPr>
      </w:pPr>
      <w:r>
        <w:rPr>
          <w:color w:val="222222"/>
          <w:shd w:val="clear" w:color="auto" w:fill="FFFFFF"/>
        </w:rPr>
        <w:t xml:space="preserve">Gupta, S., Bansal, R., </w:t>
      </w:r>
      <w:r>
        <w:rPr>
          <w:color w:val="222222"/>
          <w:shd w:val="clear" w:color="auto" w:fill="FFFFFF"/>
        </w:rPr>
        <w:t>Bankoti</w:t>
      </w:r>
      <w:r>
        <w:rPr>
          <w:color w:val="222222"/>
          <w:shd w:val="clear" w:color="auto" w:fill="FFFFFF"/>
        </w:rPr>
        <w:t xml:space="preserve">, N., Kar, S.K., Mishra, S.K., Kaur, P. and </w:t>
      </w:r>
      <w:r>
        <w:rPr>
          <w:color w:val="222222"/>
          <w:shd w:val="clear" w:color="auto" w:fill="FFFFFF"/>
        </w:rPr>
        <w:t>Harichandan</w:t>
      </w:r>
      <w:r>
        <w:rPr>
          <w:color w:val="222222"/>
          <w:shd w:val="clear" w:color="auto" w:fill="FFFFFF"/>
        </w:rPr>
        <w:t>, S., 2024. Factors affecting consumer’s intention to use electric vehicles: Mediating role of awareness and knowledge. </w:t>
      </w:r>
      <w:r>
        <w:rPr>
          <w:i/>
          <w:iCs/>
          <w:color w:val="222222"/>
          <w:shd w:val="clear" w:color="auto" w:fill="FFFFFF"/>
        </w:rPr>
        <w:t>Journal of Advanced Transportation</w:t>
      </w:r>
      <w:r>
        <w:rPr>
          <w:color w:val="222222"/>
          <w:shd w:val="clear" w:color="auto" w:fill="FFFFFF"/>
        </w:rPr>
        <w:t>, </w:t>
      </w:r>
      <w:r>
        <w:rPr>
          <w:i/>
          <w:iCs/>
          <w:color w:val="222222"/>
          <w:shd w:val="clear" w:color="auto" w:fill="FFFFFF"/>
        </w:rPr>
        <w:t>2024</w:t>
      </w:r>
      <w:r>
        <w:rPr>
          <w:color w:val="222222"/>
          <w:shd w:val="clear" w:color="auto" w:fill="FFFFFF"/>
        </w:rPr>
        <w:t xml:space="preserve">(1), p.5922430. </w:t>
      </w:r>
      <w:r>
        <w:fldChar w:fldCharType="begin"/>
      </w:r>
      <w:r>
        <w:instrText xml:space="preserve"> HYPERLINK "https://onlinelibrary.wiley.com/doi/pdf/10.1155/2024/5922430" </w:instrText>
      </w:r>
      <w:r>
        <w:fldChar w:fldCharType="separate"/>
      </w:r>
      <w:r>
        <w:rPr>
          <w:rStyle w:val="16"/>
          <w:shd w:val="clear" w:color="auto" w:fill="FFFFFF"/>
        </w:rPr>
        <w:t>https://onlinelibrary.wiley.com/doi/pdf/10.1155/2024/5922430</w:t>
      </w:r>
      <w:r>
        <w:rPr>
          <w:rStyle w:val="16"/>
          <w:shd w:val="clear" w:color="auto" w:fill="FFFFFF"/>
        </w:rPr>
        <w:fldChar w:fldCharType="end"/>
      </w:r>
    </w:p>
    <w:p w14:paraId="6CF9983C">
      <w:pPr>
        <w:rPr>
          <w:rFonts w:cs="Times New Roman"/>
          <w:color w:val="222222"/>
          <w:szCs w:val="24"/>
          <w:shd w:val="clear" w:color="auto" w:fill="FFFFFF"/>
        </w:rPr>
      </w:pPr>
      <w:r>
        <w:rPr>
          <w:rFonts w:cs="Times New Roman"/>
          <w:color w:val="222222"/>
          <w:szCs w:val="24"/>
          <w:shd w:val="clear" w:color="auto" w:fill="FFFFFF"/>
        </w:rPr>
        <w:t xml:space="preserve">Gupta, S., Bansal, R., </w:t>
      </w:r>
      <w:r>
        <w:rPr>
          <w:rFonts w:cs="Times New Roman"/>
          <w:color w:val="222222"/>
          <w:szCs w:val="24"/>
          <w:shd w:val="clear" w:color="auto" w:fill="FFFFFF"/>
        </w:rPr>
        <w:t>Bankoti</w:t>
      </w:r>
      <w:r>
        <w:rPr>
          <w:rFonts w:cs="Times New Roman"/>
          <w:color w:val="222222"/>
          <w:szCs w:val="24"/>
          <w:shd w:val="clear" w:color="auto" w:fill="FFFFFF"/>
        </w:rPr>
        <w:t xml:space="preserve">, N., Kar, S.K., Mishra, S.K., Kaur, P. and </w:t>
      </w:r>
      <w:r>
        <w:rPr>
          <w:rFonts w:cs="Times New Roman"/>
          <w:color w:val="222222"/>
          <w:szCs w:val="24"/>
          <w:shd w:val="clear" w:color="auto" w:fill="FFFFFF"/>
        </w:rPr>
        <w:t>Harichandan</w:t>
      </w:r>
      <w:r>
        <w:rPr>
          <w:rFonts w:cs="Times New Roman"/>
          <w:color w:val="222222"/>
          <w:szCs w:val="24"/>
          <w:shd w:val="clear" w:color="auto" w:fill="FFFFFF"/>
        </w:rPr>
        <w:t>, S., 2024. Factors affecting consumers’ intention to use electric vehicles: Mediating role of awareness and knowledge. </w:t>
      </w:r>
      <w:r>
        <w:rPr>
          <w:rFonts w:cs="Times New Roman"/>
          <w:i/>
          <w:iCs/>
          <w:color w:val="222222"/>
          <w:szCs w:val="24"/>
          <w:shd w:val="clear" w:color="auto" w:fill="FFFFFF"/>
        </w:rPr>
        <w:t>Journal of Advanced Transportation</w:t>
      </w:r>
      <w:r>
        <w:rPr>
          <w:rFonts w:cs="Times New Roman"/>
          <w:color w:val="222222"/>
          <w:szCs w:val="24"/>
          <w:shd w:val="clear" w:color="auto" w:fill="FFFFFF"/>
        </w:rPr>
        <w:t>, </w:t>
      </w:r>
      <w:r>
        <w:rPr>
          <w:rFonts w:cs="Times New Roman"/>
          <w:i/>
          <w:iCs/>
          <w:color w:val="222222"/>
          <w:szCs w:val="24"/>
          <w:shd w:val="clear" w:color="auto" w:fill="FFFFFF"/>
        </w:rPr>
        <w:t>2024</w:t>
      </w:r>
      <w:r>
        <w:rPr>
          <w:rFonts w:cs="Times New Roman"/>
          <w:color w:val="222222"/>
          <w:szCs w:val="24"/>
          <w:shd w:val="clear" w:color="auto" w:fill="FFFFFF"/>
        </w:rPr>
        <w:t xml:space="preserve">(1), p.5922430. </w:t>
      </w:r>
      <w:r>
        <w:fldChar w:fldCharType="begin"/>
      </w:r>
      <w:r>
        <w:instrText xml:space="preserve"> HYPERLINK "https://onlinelibrary.wiley.com/doi/pdf/10.1155/2024/5922430" </w:instrText>
      </w:r>
      <w:r>
        <w:fldChar w:fldCharType="separate"/>
      </w:r>
      <w:r>
        <w:rPr>
          <w:rStyle w:val="16"/>
          <w:rFonts w:cs="Times New Roman"/>
          <w:szCs w:val="24"/>
          <w:shd w:val="clear" w:color="auto" w:fill="FFFFFF"/>
        </w:rPr>
        <w:t>https://onlinelibrary.wiley.com/doi/pdf/10.1155/2024/5922430</w:t>
      </w:r>
      <w:r>
        <w:rPr>
          <w:rStyle w:val="16"/>
          <w:rFonts w:cs="Times New Roman"/>
          <w:szCs w:val="24"/>
          <w:shd w:val="clear" w:color="auto" w:fill="FFFFFF"/>
        </w:rPr>
        <w:fldChar w:fldCharType="end"/>
      </w:r>
    </w:p>
    <w:p w14:paraId="3E52213F">
      <w:pPr>
        <w:rPr>
          <w:rFonts w:cs="Times New Roman"/>
          <w:color w:val="222222"/>
          <w:szCs w:val="24"/>
          <w:shd w:val="clear" w:color="auto" w:fill="FFFFFF"/>
        </w:rPr>
      </w:pPr>
      <w:r>
        <w:rPr>
          <w:rFonts w:cs="Times New Roman"/>
          <w:color w:val="222222"/>
          <w:szCs w:val="24"/>
          <w:shd w:val="clear" w:color="auto" w:fill="FFFFFF"/>
        </w:rPr>
        <w:t xml:space="preserve">Gupta, S., Bansal, R., </w:t>
      </w:r>
      <w:r>
        <w:rPr>
          <w:rFonts w:cs="Times New Roman"/>
          <w:color w:val="222222"/>
          <w:szCs w:val="24"/>
          <w:shd w:val="clear" w:color="auto" w:fill="FFFFFF"/>
        </w:rPr>
        <w:t>Bankoti</w:t>
      </w:r>
      <w:r>
        <w:rPr>
          <w:rFonts w:cs="Times New Roman"/>
          <w:color w:val="222222"/>
          <w:szCs w:val="24"/>
          <w:shd w:val="clear" w:color="auto" w:fill="FFFFFF"/>
        </w:rPr>
        <w:t xml:space="preserve">, N., Kar, S.K., Mishra, S.K., Kaur, P. and </w:t>
      </w:r>
      <w:r>
        <w:rPr>
          <w:rFonts w:cs="Times New Roman"/>
          <w:color w:val="222222"/>
          <w:szCs w:val="24"/>
          <w:shd w:val="clear" w:color="auto" w:fill="FFFFFF"/>
        </w:rPr>
        <w:t>Harichandan</w:t>
      </w:r>
      <w:r>
        <w:rPr>
          <w:rFonts w:cs="Times New Roman"/>
          <w:color w:val="222222"/>
          <w:szCs w:val="24"/>
          <w:shd w:val="clear" w:color="auto" w:fill="FFFFFF"/>
        </w:rPr>
        <w:t>, S., 2024. Factors affecting consumers’ intention to use electric vehicles: Mediating role of awareness and knowledge. </w:t>
      </w:r>
      <w:r>
        <w:rPr>
          <w:rFonts w:cs="Times New Roman"/>
          <w:i/>
          <w:iCs/>
          <w:color w:val="222222"/>
          <w:szCs w:val="24"/>
          <w:shd w:val="clear" w:color="auto" w:fill="FFFFFF"/>
        </w:rPr>
        <w:t>Journal of Advanced Transportation</w:t>
      </w:r>
      <w:r>
        <w:rPr>
          <w:rFonts w:cs="Times New Roman"/>
          <w:color w:val="222222"/>
          <w:szCs w:val="24"/>
          <w:shd w:val="clear" w:color="auto" w:fill="FFFFFF"/>
        </w:rPr>
        <w:t>, </w:t>
      </w:r>
      <w:r>
        <w:rPr>
          <w:rFonts w:cs="Times New Roman"/>
          <w:i/>
          <w:iCs/>
          <w:color w:val="222222"/>
          <w:szCs w:val="24"/>
          <w:shd w:val="clear" w:color="auto" w:fill="FFFFFF"/>
        </w:rPr>
        <w:t>2024</w:t>
      </w:r>
      <w:r>
        <w:rPr>
          <w:rFonts w:cs="Times New Roman"/>
          <w:color w:val="222222"/>
          <w:szCs w:val="24"/>
          <w:shd w:val="clear" w:color="auto" w:fill="FFFFFF"/>
        </w:rPr>
        <w:t xml:space="preserve">(1), p.5922430. </w:t>
      </w:r>
      <w:r>
        <w:fldChar w:fldCharType="begin"/>
      </w:r>
      <w:r>
        <w:instrText xml:space="preserve"> HYPERLINK "https://onlinelibrary.wiley.com/doi/pdf/10.1155/2024/5922430" </w:instrText>
      </w:r>
      <w:r>
        <w:fldChar w:fldCharType="separate"/>
      </w:r>
      <w:r>
        <w:rPr>
          <w:rStyle w:val="16"/>
          <w:rFonts w:cs="Times New Roman"/>
          <w:szCs w:val="24"/>
          <w:shd w:val="clear" w:color="auto" w:fill="FFFFFF"/>
        </w:rPr>
        <w:t>https://onlinelibrary.wiley.com/doi/pdf/10.1155/2024/5922430</w:t>
      </w:r>
      <w:r>
        <w:rPr>
          <w:rStyle w:val="16"/>
          <w:rFonts w:cs="Times New Roman"/>
          <w:szCs w:val="24"/>
          <w:shd w:val="clear" w:color="auto" w:fill="FFFFFF"/>
        </w:rPr>
        <w:fldChar w:fldCharType="end"/>
      </w:r>
    </w:p>
    <w:p w14:paraId="6FD233A4">
      <w:pPr>
        <w:pStyle w:val="10"/>
        <w:spacing w:before="0" w:beforeAutospacing="0" w:after="0" w:afterAutospacing="0" w:line="360" w:lineRule="auto"/>
      </w:pPr>
      <w:r>
        <w:rPr>
          <w:color w:val="222222"/>
        </w:rPr>
        <w:t xml:space="preserve">Hamzah, M.I. and Pontes, N., (2024). What drives car buyers to accept a rejuvenated brand? The mediating effects of value and pricing in a consumer-brand relationship. </w:t>
      </w:r>
      <w:r>
        <w:rPr>
          <w:i/>
          <w:iCs/>
          <w:color w:val="222222"/>
        </w:rPr>
        <w:t>Journal of Strategic Marketing</w:t>
      </w:r>
      <w:r>
        <w:rPr>
          <w:color w:val="222222"/>
        </w:rPr>
        <w:t xml:space="preserve">, </w:t>
      </w:r>
      <w:r>
        <w:rPr>
          <w:i/>
          <w:iCs/>
          <w:color w:val="222222"/>
        </w:rPr>
        <w:t>32</w:t>
      </w:r>
      <w:r>
        <w:rPr>
          <w:color w:val="222222"/>
        </w:rPr>
        <w:t>(2), pp.114-136.</w:t>
      </w:r>
      <w:r>
        <w:rPr>
          <w:color w:val="000000"/>
        </w:rPr>
        <w:t xml:space="preserve"> </w:t>
      </w:r>
      <w:r>
        <w:fldChar w:fldCharType="begin"/>
      </w:r>
      <w:r>
        <w:instrText xml:space="preserve"> HYPERLINK "https://www.academia.edu/download/113459927/JSM_2024_CBR_x70.pdf" </w:instrText>
      </w:r>
      <w:r>
        <w:fldChar w:fldCharType="separate"/>
      </w:r>
      <w:r>
        <w:rPr>
          <w:rStyle w:val="16"/>
          <w:color w:val="1155CC"/>
        </w:rPr>
        <w:t>https://www.academia.edu/download/113459927/JSM_2024_CBR_x70.pdf</w:t>
      </w:r>
      <w:r>
        <w:rPr>
          <w:rStyle w:val="16"/>
          <w:color w:val="1155CC"/>
        </w:rPr>
        <w:fldChar w:fldCharType="end"/>
      </w:r>
      <w:r>
        <w:rPr>
          <w:color w:val="000000"/>
        </w:rPr>
        <w:t>. </w:t>
      </w:r>
    </w:p>
    <w:p w14:paraId="6E141EE6">
      <w:pPr>
        <w:rPr>
          <w:rFonts w:cs="Times New Roman"/>
          <w:color w:val="222222"/>
          <w:szCs w:val="24"/>
          <w:shd w:val="clear" w:color="auto" w:fill="FFFFFF"/>
        </w:rPr>
      </w:pPr>
      <w:r>
        <w:rPr>
          <w:rFonts w:cs="Times New Roman"/>
          <w:color w:val="222222"/>
          <w:szCs w:val="24"/>
          <w:shd w:val="clear" w:color="auto" w:fill="FFFFFF"/>
        </w:rPr>
        <w:t>Handarujati</w:t>
      </w:r>
      <w:r>
        <w:rPr>
          <w:rFonts w:cs="Times New Roman"/>
          <w:color w:val="222222"/>
          <w:szCs w:val="24"/>
          <w:shd w:val="clear" w:color="auto" w:fill="FFFFFF"/>
        </w:rPr>
        <w:t>, E., 2024. Analysis of factors driving purchase intention of electric cars: perspective of theory of planned behaviour, norm activation model, and technology acceptance model. </w:t>
      </w:r>
      <w:r>
        <w:rPr>
          <w:rFonts w:cs="Times New Roman"/>
          <w:i/>
          <w:iCs/>
          <w:color w:val="222222"/>
          <w:szCs w:val="24"/>
          <w:shd w:val="clear" w:color="auto" w:fill="FFFFFF"/>
        </w:rPr>
        <w:t>Journal of Economics and Business UBS</w:t>
      </w:r>
      <w:r>
        <w:rPr>
          <w:rFonts w:cs="Times New Roman"/>
          <w:color w:val="222222"/>
          <w:szCs w:val="24"/>
          <w:shd w:val="clear" w:color="auto" w:fill="FFFFFF"/>
        </w:rPr>
        <w:t>, </w:t>
      </w:r>
      <w:r>
        <w:rPr>
          <w:rFonts w:cs="Times New Roman"/>
          <w:i/>
          <w:iCs/>
          <w:color w:val="222222"/>
          <w:szCs w:val="24"/>
          <w:shd w:val="clear" w:color="auto" w:fill="FFFFFF"/>
        </w:rPr>
        <w:t>13</w:t>
      </w:r>
      <w:r>
        <w:rPr>
          <w:rFonts w:cs="Times New Roman"/>
          <w:color w:val="222222"/>
          <w:szCs w:val="24"/>
          <w:shd w:val="clear" w:color="auto" w:fill="FFFFFF"/>
        </w:rPr>
        <w:t xml:space="preserve">(1). </w:t>
      </w:r>
      <w:r>
        <w:fldChar w:fldCharType="begin"/>
      </w:r>
      <w:r>
        <w:instrText xml:space="preserve"> HYPERLINK "http://jurnal.ubs-usg.ac.id/index.php/joeb/article/download/1279/1076" </w:instrText>
      </w:r>
      <w:r>
        <w:fldChar w:fldCharType="separate"/>
      </w:r>
      <w:r>
        <w:rPr>
          <w:rStyle w:val="16"/>
          <w:rFonts w:cs="Times New Roman"/>
          <w:szCs w:val="24"/>
          <w:shd w:val="clear" w:color="auto" w:fill="FFFFFF"/>
        </w:rPr>
        <w:t>http://jurnal.ubs-usg.ac.id/index.php/joeb/article/download/1279/1076</w:t>
      </w:r>
      <w:r>
        <w:rPr>
          <w:rStyle w:val="16"/>
          <w:rFonts w:cs="Times New Roman"/>
          <w:szCs w:val="24"/>
          <w:shd w:val="clear" w:color="auto" w:fill="FFFFFF"/>
        </w:rPr>
        <w:fldChar w:fldCharType="end"/>
      </w:r>
    </w:p>
    <w:p w14:paraId="14F2555E">
      <w:pPr>
        <w:pStyle w:val="10"/>
        <w:spacing w:before="0" w:beforeAutospacing="0" w:after="0" w:afterAutospacing="0" w:line="360" w:lineRule="auto"/>
      </w:pPr>
      <w:r>
        <w:rPr>
          <w:color w:val="222222"/>
        </w:rPr>
        <w:t>Higueras</w:t>
      </w:r>
      <w:r>
        <w:rPr>
          <w:color w:val="222222"/>
        </w:rPr>
        <w:t xml:space="preserve">-Castillo, E., Singh, V., Singh, V. and Liébana-Cabanillas, F., (2024). Factors affecting adoption intention of electric vehicle: a cross-cultural study. </w:t>
      </w:r>
      <w:r>
        <w:rPr>
          <w:i/>
          <w:iCs/>
          <w:color w:val="222222"/>
        </w:rPr>
        <w:t>Environment, Development and Sustainability</w:t>
      </w:r>
      <w:r>
        <w:rPr>
          <w:color w:val="222222"/>
        </w:rPr>
        <w:t xml:space="preserve">, </w:t>
      </w:r>
      <w:r>
        <w:rPr>
          <w:i/>
          <w:iCs/>
          <w:color w:val="222222"/>
        </w:rPr>
        <w:t>26</w:t>
      </w:r>
      <w:r>
        <w:rPr>
          <w:color w:val="222222"/>
        </w:rPr>
        <w:t>(11), pp.29293-29329.</w:t>
      </w:r>
      <w:r>
        <w:rPr>
          <w:color w:val="000000"/>
        </w:rPr>
        <w:t xml:space="preserve"> </w:t>
      </w:r>
      <w:r>
        <w:fldChar w:fldCharType="begin"/>
      </w:r>
      <w:r>
        <w:instrText xml:space="preserve"> HYPERLINK "https://link.springer.com/content/pdf/10.1007/s10668-023-03865-y.pdf" </w:instrText>
      </w:r>
      <w:r>
        <w:fldChar w:fldCharType="separate"/>
      </w:r>
      <w:r>
        <w:rPr>
          <w:rStyle w:val="16"/>
          <w:color w:val="1155CC"/>
        </w:rPr>
        <w:t>https://link.springer.com/content/pdf/10.1007/s10668-023-03865-y.pdf</w:t>
      </w:r>
      <w:r>
        <w:rPr>
          <w:rStyle w:val="16"/>
          <w:color w:val="1155CC"/>
        </w:rPr>
        <w:fldChar w:fldCharType="end"/>
      </w:r>
      <w:r>
        <w:rPr>
          <w:color w:val="000000"/>
        </w:rPr>
        <w:t>. </w:t>
      </w:r>
    </w:p>
    <w:p w14:paraId="2FC1BBB6">
      <w:pPr>
        <w:rPr>
          <w:rFonts w:cs="Times New Roman"/>
          <w:color w:val="222222"/>
          <w:szCs w:val="24"/>
          <w:shd w:val="clear" w:color="auto" w:fill="FFFFFF"/>
        </w:rPr>
      </w:pPr>
      <w:r>
        <w:rPr>
          <w:rFonts w:cs="Times New Roman"/>
          <w:color w:val="222222"/>
          <w:szCs w:val="24"/>
          <w:shd w:val="clear" w:color="auto" w:fill="FFFFFF"/>
        </w:rPr>
        <w:t>Higueras</w:t>
      </w:r>
      <w:r>
        <w:rPr>
          <w:rFonts w:cs="Times New Roman"/>
          <w:color w:val="222222"/>
          <w:szCs w:val="24"/>
          <w:shd w:val="clear" w:color="auto" w:fill="FFFFFF"/>
        </w:rPr>
        <w:t>-Castillo, E., Singh, V., Singh, V. and Liébana-Cabanillas, F., 2024. Factors affecting adoption intention of electric vehicle: a cross-cultural study. </w:t>
      </w:r>
      <w:r>
        <w:rPr>
          <w:rFonts w:cs="Times New Roman"/>
          <w:i/>
          <w:iCs/>
          <w:color w:val="222222"/>
          <w:szCs w:val="24"/>
          <w:shd w:val="clear" w:color="auto" w:fill="FFFFFF"/>
        </w:rPr>
        <w:t>Environment, Development and Sustainability</w:t>
      </w:r>
      <w:r>
        <w:rPr>
          <w:rFonts w:cs="Times New Roman"/>
          <w:color w:val="222222"/>
          <w:szCs w:val="24"/>
          <w:shd w:val="clear" w:color="auto" w:fill="FFFFFF"/>
        </w:rPr>
        <w:t>, </w:t>
      </w:r>
      <w:r>
        <w:rPr>
          <w:rFonts w:cs="Times New Roman"/>
          <w:i/>
          <w:iCs/>
          <w:color w:val="222222"/>
          <w:szCs w:val="24"/>
          <w:shd w:val="clear" w:color="auto" w:fill="FFFFFF"/>
        </w:rPr>
        <w:t>26</w:t>
      </w:r>
      <w:r>
        <w:rPr>
          <w:rFonts w:cs="Times New Roman"/>
          <w:color w:val="222222"/>
          <w:szCs w:val="24"/>
          <w:shd w:val="clear" w:color="auto" w:fill="FFFFFF"/>
        </w:rPr>
        <w:t xml:space="preserve">(11), pp.29293-29329. </w:t>
      </w:r>
      <w:r>
        <w:fldChar w:fldCharType="begin"/>
      </w:r>
      <w:r>
        <w:instrText xml:space="preserve"> HYPERLINK "https://link.springer.com/content/pdf/10.1007/s10668-023-03865-y.pdf" </w:instrText>
      </w:r>
      <w:r>
        <w:fldChar w:fldCharType="separate"/>
      </w:r>
      <w:r>
        <w:rPr>
          <w:rStyle w:val="16"/>
          <w:rFonts w:cs="Times New Roman"/>
          <w:szCs w:val="24"/>
          <w:shd w:val="clear" w:color="auto" w:fill="FFFFFF"/>
        </w:rPr>
        <w:t>https://link.springer.com/content/pdf/10.1007/s10668-023-03865-y.pdf</w:t>
      </w:r>
      <w:r>
        <w:rPr>
          <w:rStyle w:val="16"/>
          <w:rFonts w:cs="Times New Roman"/>
          <w:szCs w:val="24"/>
          <w:shd w:val="clear" w:color="auto" w:fill="FFFFFF"/>
        </w:rPr>
        <w:fldChar w:fldCharType="end"/>
      </w:r>
    </w:p>
    <w:p w14:paraId="364AF050">
      <w:pPr>
        <w:rPr>
          <w:rFonts w:cs="Times New Roman"/>
          <w:color w:val="222222"/>
          <w:szCs w:val="24"/>
          <w:shd w:val="clear" w:color="auto" w:fill="FFFFFF"/>
        </w:rPr>
      </w:pPr>
      <w:r>
        <w:rPr>
          <w:rFonts w:cs="Times New Roman"/>
          <w:color w:val="222222"/>
          <w:szCs w:val="24"/>
          <w:shd w:val="clear" w:color="auto" w:fill="FFFFFF"/>
        </w:rPr>
        <w:t>Higueras</w:t>
      </w:r>
      <w:r>
        <w:rPr>
          <w:rFonts w:cs="Times New Roman"/>
          <w:color w:val="222222"/>
          <w:szCs w:val="24"/>
          <w:shd w:val="clear" w:color="auto" w:fill="FFFFFF"/>
        </w:rPr>
        <w:t>-Castillo, E., Singh, V., Singh, V. and Liébana-Cabanillas, F., 2024. Factors affecting adoption intention of electric vehicles: a cross-cultural study. </w:t>
      </w:r>
      <w:r>
        <w:rPr>
          <w:rFonts w:cs="Times New Roman"/>
          <w:i/>
          <w:iCs/>
          <w:color w:val="222222"/>
          <w:szCs w:val="24"/>
          <w:shd w:val="clear" w:color="auto" w:fill="FFFFFF"/>
        </w:rPr>
        <w:t>Environment, Development and Sustainability</w:t>
      </w:r>
      <w:r>
        <w:rPr>
          <w:rFonts w:cs="Times New Roman"/>
          <w:color w:val="222222"/>
          <w:szCs w:val="24"/>
          <w:shd w:val="clear" w:color="auto" w:fill="FFFFFF"/>
        </w:rPr>
        <w:t>, </w:t>
      </w:r>
      <w:r>
        <w:rPr>
          <w:rFonts w:cs="Times New Roman"/>
          <w:i/>
          <w:iCs/>
          <w:color w:val="222222"/>
          <w:szCs w:val="24"/>
          <w:shd w:val="clear" w:color="auto" w:fill="FFFFFF"/>
        </w:rPr>
        <w:t>26</w:t>
      </w:r>
      <w:r>
        <w:rPr>
          <w:rFonts w:cs="Times New Roman"/>
          <w:color w:val="222222"/>
          <w:szCs w:val="24"/>
          <w:shd w:val="clear" w:color="auto" w:fill="FFFFFF"/>
        </w:rPr>
        <w:t>(11), pp.29293-29329. https://link.springer.com/content/pdf/10.1007/s10668-023-03865-y.pdf</w:t>
      </w:r>
    </w:p>
    <w:p w14:paraId="73F1F391">
      <w:pPr>
        <w:rPr>
          <w:rFonts w:cs="Times New Roman"/>
          <w:color w:val="222222"/>
          <w:szCs w:val="24"/>
          <w:shd w:val="clear" w:color="auto" w:fill="FFFFFF"/>
        </w:rPr>
      </w:pPr>
      <w:r>
        <w:rPr>
          <w:rFonts w:cs="Times New Roman"/>
          <w:color w:val="222222"/>
          <w:szCs w:val="24"/>
          <w:shd w:val="clear" w:color="auto" w:fill="FFFFFF"/>
        </w:rPr>
        <w:t>Higueras</w:t>
      </w:r>
      <w:r>
        <w:rPr>
          <w:rFonts w:cs="Times New Roman"/>
          <w:color w:val="222222"/>
          <w:szCs w:val="24"/>
          <w:shd w:val="clear" w:color="auto" w:fill="FFFFFF"/>
        </w:rPr>
        <w:t>-Castillo, E., Singh, V., Singh, V. and Liébana-Cabanillas, F., 2024. Factors affecting adoption intention of electric vehicles: a cross-cultural study. </w:t>
      </w:r>
      <w:r>
        <w:rPr>
          <w:rFonts w:cs="Times New Roman"/>
          <w:i/>
          <w:iCs/>
          <w:color w:val="222222"/>
          <w:szCs w:val="24"/>
          <w:shd w:val="clear" w:color="auto" w:fill="FFFFFF"/>
        </w:rPr>
        <w:t>Environment, Development and Sustainability</w:t>
      </w:r>
      <w:r>
        <w:rPr>
          <w:rFonts w:cs="Times New Roman"/>
          <w:color w:val="222222"/>
          <w:szCs w:val="24"/>
          <w:shd w:val="clear" w:color="auto" w:fill="FFFFFF"/>
        </w:rPr>
        <w:t>, </w:t>
      </w:r>
      <w:r>
        <w:rPr>
          <w:rFonts w:cs="Times New Roman"/>
          <w:i/>
          <w:iCs/>
          <w:color w:val="222222"/>
          <w:szCs w:val="24"/>
          <w:shd w:val="clear" w:color="auto" w:fill="FFFFFF"/>
        </w:rPr>
        <w:t>26</w:t>
      </w:r>
      <w:r>
        <w:rPr>
          <w:rFonts w:cs="Times New Roman"/>
          <w:color w:val="222222"/>
          <w:szCs w:val="24"/>
          <w:shd w:val="clear" w:color="auto" w:fill="FFFFFF"/>
        </w:rPr>
        <w:t xml:space="preserve">(11), pp.29293-29329. </w:t>
      </w:r>
      <w:r>
        <w:fldChar w:fldCharType="begin"/>
      </w:r>
      <w:r>
        <w:instrText xml:space="preserve"> HYPERLINK "https://link.springer.com/content/pdf/10.1007/s10668-023-03865-y.pdf" </w:instrText>
      </w:r>
      <w:r>
        <w:fldChar w:fldCharType="separate"/>
      </w:r>
      <w:r>
        <w:rPr>
          <w:rStyle w:val="16"/>
          <w:rFonts w:cs="Times New Roman"/>
          <w:szCs w:val="24"/>
          <w:shd w:val="clear" w:color="auto" w:fill="FFFFFF"/>
        </w:rPr>
        <w:t>https://link.springer.com/content/pdf/10.1007/s10668-023-03865-y.pdf</w:t>
      </w:r>
      <w:r>
        <w:rPr>
          <w:rStyle w:val="16"/>
          <w:rFonts w:cs="Times New Roman"/>
          <w:szCs w:val="24"/>
          <w:shd w:val="clear" w:color="auto" w:fill="FFFFFF"/>
        </w:rPr>
        <w:fldChar w:fldCharType="end"/>
      </w:r>
    </w:p>
    <w:p w14:paraId="2419FEF5">
      <w:pPr>
        <w:pStyle w:val="10"/>
        <w:spacing w:before="0" w:beforeAutospacing="0" w:after="240" w:afterAutospacing="0" w:line="360" w:lineRule="auto"/>
      </w:pPr>
      <w:r>
        <w:t xml:space="preserve">IBEF (2025). </w:t>
      </w:r>
      <w:r>
        <w:rPr>
          <w:i/>
          <w:iCs/>
        </w:rPr>
        <w:t xml:space="preserve">Electric vehicle industry in India: Market growth &amp; innovations. </w:t>
      </w:r>
      <w:r>
        <w:t>[Online] India Brand Equity Foundation. Available at: https://www.ibef.org/industry/electric-vehicle [Accessed 27 Aug. 2026]</w:t>
      </w:r>
    </w:p>
    <w:p w14:paraId="1456CB75">
      <w:pPr>
        <w:pStyle w:val="10"/>
        <w:spacing w:before="0" w:beforeAutospacing="0" w:after="240" w:afterAutospacing="0" w:line="360" w:lineRule="auto"/>
      </w:pPr>
      <w:r>
        <w:t xml:space="preserve">IEA (2025). </w:t>
      </w:r>
      <w:r>
        <w:rPr>
          <w:i/>
          <w:iCs/>
        </w:rPr>
        <w:t>Trends in electric car markets – global EV outlook 2025</w:t>
      </w:r>
      <w:r>
        <w:t>. [Online] IEA. Available at: https://www.iea.org/reports/global-ev-outlook-2025/trends-in-electric-car-markets-2 [Accessed 27 Aug. 2026]</w:t>
      </w:r>
    </w:p>
    <w:p w14:paraId="60C801CC">
      <w:pPr>
        <w:pStyle w:val="10"/>
        <w:spacing w:before="0" w:beforeAutospacing="0" w:after="0" w:afterAutospacing="0" w:line="360" w:lineRule="auto"/>
      </w:pPr>
      <w:r>
        <w:rPr>
          <w:color w:val="222222"/>
        </w:rPr>
        <w:t xml:space="preserve">Jahan, T., Jahan, A., Pallavi, M., Alekhya, M. and Lakshmi, M.S., (2024). A study on importance of branding and its effects on products in business. </w:t>
      </w:r>
      <w:r>
        <w:rPr>
          <w:i/>
          <w:iCs/>
          <w:color w:val="222222"/>
        </w:rPr>
        <w:t>International Research Journal on Advanced Engineering and Management (IRJAEM)</w:t>
      </w:r>
      <w:r>
        <w:rPr>
          <w:color w:val="222222"/>
        </w:rPr>
        <w:t xml:space="preserve">, </w:t>
      </w:r>
      <w:r>
        <w:rPr>
          <w:i/>
          <w:iCs/>
          <w:color w:val="222222"/>
        </w:rPr>
        <w:t>2</w:t>
      </w:r>
      <w:r>
        <w:rPr>
          <w:color w:val="222222"/>
        </w:rPr>
        <w:t>(04), pp.656-661.</w:t>
      </w:r>
      <w:r>
        <w:rPr>
          <w:color w:val="000000"/>
        </w:rPr>
        <w:t xml:space="preserve"> </w:t>
      </w:r>
      <w:r>
        <w:fldChar w:fldCharType="begin"/>
      </w:r>
      <w:r>
        <w:instrText xml:space="preserve"> HYPERLINK "https://pdfs.semanticscholar.org/3464/ddce894c9f90d967a74f5e6f675628e3dd21.pdf" </w:instrText>
      </w:r>
      <w:r>
        <w:fldChar w:fldCharType="separate"/>
      </w:r>
      <w:r>
        <w:rPr>
          <w:rStyle w:val="16"/>
          <w:color w:val="1155CC"/>
        </w:rPr>
        <w:t>https://pdfs.semanticscholar.org/3464/ddce894c9f90d967a74f5e6f675628e3dd21.pdf</w:t>
      </w:r>
      <w:r>
        <w:rPr>
          <w:rStyle w:val="16"/>
          <w:color w:val="1155CC"/>
        </w:rPr>
        <w:fldChar w:fldCharType="end"/>
      </w:r>
      <w:r>
        <w:rPr>
          <w:color w:val="000000"/>
        </w:rPr>
        <w:t>. </w:t>
      </w:r>
    </w:p>
    <w:p w14:paraId="73F9D515">
      <w:pPr>
        <w:pStyle w:val="10"/>
        <w:spacing w:before="0" w:beforeAutospacing="0" w:after="240" w:afterAutospacing="0" w:line="360" w:lineRule="auto"/>
        <w:rPr>
          <w:color w:val="222222"/>
          <w:shd w:val="clear" w:color="auto" w:fill="FFFFFF"/>
        </w:rPr>
      </w:pPr>
      <w:r>
        <w:rPr>
          <w:color w:val="222222"/>
          <w:shd w:val="clear" w:color="auto" w:fill="FFFFFF"/>
        </w:rPr>
        <w:t>Joghee</w:t>
      </w:r>
      <w:r>
        <w:rPr>
          <w:color w:val="222222"/>
          <w:shd w:val="clear" w:color="auto" w:fill="FFFFFF"/>
        </w:rPr>
        <w:t xml:space="preserve">, S., </w:t>
      </w:r>
      <w:r>
        <w:rPr>
          <w:color w:val="222222"/>
          <w:shd w:val="clear" w:color="auto" w:fill="FFFFFF"/>
        </w:rPr>
        <w:t>Kabiraj</w:t>
      </w:r>
      <w:r>
        <w:rPr>
          <w:color w:val="222222"/>
          <w:shd w:val="clear" w:color="auto" w:fill="FFFFFF"/>
        </w:rPr>
        <w:t>, S., Ramakrishnan, S. and Alzoubi, H.M., 2024. Consumer decision-making study regarding the SUV market in the Indian context. </w:t>
      </w:r>
      <w:r>
        <w:rPr>
          <w:i/>
          <w:iCs/>
          <w:color w:val="222222"/>
          <w:shd w:val="clear" w:color="auto" w:fill="FFFFFF"/>
        </w:rPr>
        <w:t>Indian Journal of Marketing</w:t>
      </w:r>
      <w:r>
        <w:rPr>
          <w:color w:val="222222"/>
          <w:shd w:val="clear" w:color="auto" w:fill="FFFFFF"/>
        </w:rPr>
        <w:t xml:space="preserve">, pp.8-25. </w:t>
      </w:r>
      <w:r>
        <w:fldChar w:fldCharType="begin"/>
      </w:r>
      <w:r>
        <w:instrText xml:space="preserve"> HYPERLINK "https://indianjournalofmarketing.com/index.php/ijom/article/download/174628/117335" </w:instrText>
      </w:r>
      <w:r>
        <w:fldChar w:fldCharType="separate"/>
      </w:r>
      <w:r>
        <w:rPr>
          <w:rStyle w:val="16"/>
          <w:shd w:val="clear" w:color="auto" w:fill="FFFFFF"/>
        </w:rPr>
        <w:t>https://indianjournalofmarketing.com/index.php/ijom/article/download/174628/117335</w:t>
      </w:r>
      <w:r>
        <w:rPr>
          <w:rStyle w:val="16"/>
          <w:shd w:val="clear" w:color="auto" w:fill="FFFFFF"/>
        </w:rPr>
        <w:fldChar w:fldCharType="end"/>
      </w:r>
    </w:p>
    <w:p w14:paraId="52708EFF">
      <w:pPr>
        <w:rPr>
          <w:rFonts w:cs="Times New Roman"/>
          <w:color w:val="222222"/>
          <w:szCs w:val="24"/>
          <w:shd w:val="clear" w:color="auto" w:fill="FFFFFF"/>
        </w:rPr>
      </w:pPr>
      <w:r>
        <w:rPr>
          <w:rFonts w:cs="Times New Roman"/>
          <w:color w:val="222222"/>
          <w:szCs w:val="24"/>
          <w:shd w:val="clear" w:color="auto" w:fill="FFFFFF"/>
        </w:rPr>
        <w:t xml:space="preserve">Ka, I., </w:t>
      </w:r>
      <w:r>
        <w:rPr>
          <w:rFonts w:cs="Times New Roman"/>
          <w:color w:val="222222"/>
          <w:szCs w:val="24"/>
          <w:shd w:val="clear" w:color="auto" w:fill="FFFFFF"/>
        </w:rPr>
        <w:t>Djité</w:t>
      </w:r>
      <w:r>
        <w:rPr>
          <w:rFonts w:cs="Times New Roman"/>
          <w:color w:val="222222"/>
          <w:szCs w:val="24"/>
          <w:shd w:val="clear" w:color="auto" w:fill="FFFFFF"/>
        </w:rPr>
        <w:t xml:space="preserve">, A.N., </w:t>
      </w:r>
      <w:r>
        <w:rPr>
          <w:rFonts w:cs="Times New Roman"/>
          <w:color w:val="222222"/>
          <w:szCs w:val="24"/>
          <w:shd w:val="clear" w:color="auto" w:fill="FFFFFF"/>
        </w:rPr>
        <w:t>Chimére</w:t>
      </w:r>
      <w:r>
        <w:rPr>
          <w:rFonts w:cs="Times New Roman"/>
          <w:color w:val="222222"/>
          <w:szCs w:val="24"/>
          <w:shd w:val="clear" w:color="auto" w:fill="FFFFFF"/>
        </w:rPr>
        <w:t xml:space="preserve"> Diop, S.A., </w:t>
      </w:r>
      <w:r>
        <w:rPr>
          <w:rFonts w:cs="Times New Roman"/>
          <w:color w:val="222222"/>
          <w:szCs w:val="24"/>
          <w:shd w:val="clear" w:color="auto" w:fill="FFFFFF"/>
        </w:rPr>
        <w:t>Ayetor</w:t>
      </w:r>
      <w:r>
        <w:rPr>
          <w:rFonts w:cs="Times New Roman"/>
          <w:color w:val="222222"/>
          <w:szCs w:val="24"/>
          <w:shd w:val="clear" w:color="auto" w:fill="FFFFFF"/>
        </w:rPr>
        <w:t>, G.K. and Diouf, B., 2026. The Electric Vehicle Transition in Emerging Economies. </w:t>
      </w:r>
      <w:r>
        <w:rPr>
          <w:rFonts w:cs="Times New Roman"/>
          <w:i/>
          <w:iCs/>
          <w:color w:val="222222"/>
          <w:szCs w:val="24"/>
          <w:shd w:val="clear" w:color="auto" w:fill="FFFFFF"/>
        </w:rPr>
        <w:t>Vehicles</w:t>
      </w:r>
      <w:r>
        <w:rPr>
          <w:rFonts w:cs="Times New Roman"/>
          <w:color w:val="222222"/>
          <w:szCs w:val="24"/>
          <w:shd w:val="clear" w:color="auto" w:fill="FFFFFF"/>
        </w:rPr>
        <w:t>, </w:t>
      </w:r>
      <w:r>
        <w:rPr>
          <w:rFonts w:cs="Times New Roman"/>
          <w:i/>
          <w:iCs/>
          <w:color w:val="222222"/>
          <w:szCs w:val="24"/>
          <w:shd w:val="clear" w:color="auto" w:fill="FFFFFF"/>
        </w:rPr>
        <w:t>8</w:t>
      </w:r>
      <w:r>
        <w:rPr>
          <w:rFonts w:cs="Times New Roman"/>
          <w:color w:val="222222"/>
          <w:szCs w:val="24"/>
          <w:shd w:val="clear" w:color="auto" w:fill="FFFFFF"/>
        </w:rPr>
        <w:t xml:space="preserve">(2), p.37. </w:t>
      </w:r>
      <w:r>
        <w:fldChar w:fldCharType="begin"/>
      </w:r>
      <w:r>
        <w:instrText xml:space="preserve"> HYPERLINK "https://www.researchgate.net/profile/Baye-Boucar-Diouf/publication/400718596_The_Electric_Vehicle_Transition_in_Emerging_Economies/links/698e01f97247bc6473dffbaa/The-Electric-Vehicle-Transition-in-Emerging-Economies.pdf" </w:instrText>
      </w:r>
      <w:r>
        <w:fldChar w:fldCharType="separate"/>
      </w:r>
      <w:r>
        <w:rPr>
          <w:rStyle w:val="16"/>
          <w:rFonts w:cs="Times New Roman"/>
          <w:szCs w:val="24"/>
          <w:shd w:val="clear" w:color="auto" w:fill="FFFFFF"/>
        </w:rPr>
        <w:t>https://www.researchgate.net/profile/Baye-Boucar-Diouf/publication/400718596_The_Electric_Vehicle_Transition_in_Emerging_Economies/links/698e01f97247bc6473dffbaa/The-Electric-Vehicle-Transition-in-Emerging-Economies.pdf</w:t>
      </w:r>
      <w:r>
        <w:rPr>
          <w:rStyle w:val="16"/>
          <w:rFonts w:cs="Times New Roman"/>
          <w:szCs w:val="24"/>
          <w:shd w:val="clear" w:color="auto" w:fill="FFFFFF"/>
        </w:rPr>
        <w:fldChar w:fldCharType="end"/>
      </w:r>
    </w:p>
    <w:p w14:paraId="432ABCF4">
      <w:pPr>
        <w:pStyle w:val="10"/>
        <w:spacing w:before="0" w:beforeAutospacing="0" w:after="0" w:afterAutospacing="0" w:line="360" w:lineRule="auto"/>
      </w:pPr>
      <w:r>
        <w:rPr>
          <w:color w:val="222222"/>
        </w:rPr>
        <w:t xml:space="preserve">Kale, N.B., (2026). A Review of Global Electric Vehicle Market Growth. </w:t>
      </w:r>
      <w:r>
        <w:rPr>
          <w:i/>
          <w:iCs/>
          <w:color w:val="222222"/>
        </w:rPr>
        <w:t>Aethel Research Digest Juncture: An International Journal</w:t>
      </w:r>
      <w:r>
        <w:rPr>
          <w:color w:val="222222"/>
        </w:rPr>
        <w:t xml:space="preserve">, </w:t>
      </w:r>
      <w:r>
        <w:rPr>
          <w:i/>
          <w:iCs/>
          <w:color w:val="222222"/>
        </w:rPr>
        <w:t>2</w:t>
      </w:r>
      <w:r>
        <w:rPr>
          <w:color w:val="222222"/>
        </w:rPr>
        <w:t>(2), pp.1-18.</w:t>
      </w:r>
      <w:r>
        <w:rPr>
          <w:color w:val="000000"/>
        </w:rPr>
        <w:t xml:space="preserve"> </w:t>
      </w:r>
      <w:r>
        <w:fldChar w:fldCharType="begin"/>
      </w:r>
      <w:r>
        <w:instrText xml:space="preserve"> HYPERLINK "https://ardjij.com/index.php/ardjij/article/download/30/54" </w:instrText>
      </w:r>
      <w:r>
        <w:fldChar w:fldCharType="separate"/>
      </w:r>
      <w:r>
        <w:rPr>
          <w:rStyle w:val="16"/>
          <w:color w:val="1155CC"/>
        </w:rPr>
        <w:t>https://ardjij.com/index.php/ardjij/article/download/30/54</w:t>
      </w:r>
      <w:r>
        <w:rPr>
          <w:rStyle w:val="16"/>
          <w:color w:val="1155CC"/>
        </w:rPr>
        <w:fldChar w:fldCharType="end"/>
      </w:r>
      <w:r>
        <w:rPr>
          <w:color w:val="000000"/>
        </w:rPr>
        <w:t>. </w:t>
      </w:r>
    </w:p>
    <w:p w14:paraId="599FC131">
      <w:pPr>
        <w:rPr>
          <w:rFonts w:cs="Times New Roman"/>
          <w:color w:val="222222"/>
          <w:szCs w:val="24"/>
          <w:shd w:val="clear" w:color="auto" w:fill="FFFFFF"/>
        </w:rPr>
      </w:pPr>
      <w:r>
        <w:rPr>
          <w:rFonts w:cs="Times New Roman"/>
          <w:color w:val="222222"/>
          <w:szCs w:val="24"/>
          <w:shd w:val="clear" w:color="auto" w:fill="FFFFFF"/>
        </w:rPr>
        <w:t>Khaleel, M., Nassar, Y., El-</w:t>
      </w:r>
      <w:r>
        <w:rPr>
          <w:rFonts w:cs="Times New Roman"/>
          <w:color w:val="222222"/>
          <w:szCs w:val="24"/>
          <w:shd w:val="clear" w:color="auto" w:fill="FFFFFF"/>
        </w:rPr>
        <w:t>Khozondar</w:t>
      </w:r>
      <w:r>
        <w:rPr>
          <w:rFonts w:cs="Times New Roman"/>
          <w:color w:val="222222"/>
          <w:szCs w:val="24"/>
          <w:shd w:val="clear" w:color="auto" w:fill="FFFFFF"/>
        </w:rPr>
        <w:t xml:space="preserve">, H.J., </w:t>
      </w:r>
      <w:r>
        <w:rPr>
          <w:rFonts w:cs="Times New Roman"/>
          <w:color w:val="222222"/>
          <w:szCs w:val="24"/>
          <w:shd w:val="clear" w:color="auto" w:fill="FFFFFF"/>
        </w:rPr>
        <w:t>Elmnifi</w:t>
      </w:r>
      <w:r>
        <w:rPr>
          <w:rFonts w:cs="Times New Roman"/>
          <w:color w:val="222222"/>
          <w:szCs w:val="24"/>
          <w:shd w:val="clear" w:color="auto" w:fill="FFFFFF"/>
        </w:rPr>
        <w:t>, M., Rajab, Z., Yaghoubi, E. and Yaghoubi, E., 2024. Electric vehicles in China, Europe, and the United States: Current trend and market comparison. </w:t>
      </w:r>
      <w:r>
        <w:rPr>
          <w:rFonts w:cs="Times New Roman"/>
          <w:i/>
          <w:iCs/>
          <w:color w:val="222222"/>
          <w:szCs w:val="24"/>
          <w:shd w:val="clear" w:color="auto" w:fill="FFFFFF"/>
        </w:rPr>
        <w:t xml:space="preserve">Int. J. </w:t>
      </w:r>
      <w:r>
        <w:rPr>
          <w:rFonts w:cs="Times New Roman"/>
          <w:i/>
          <w:iCs/>
          <w:color w:val="222222"/>
          <w:szCs w:val="24"/>
          <w:shd w:val="clear" w:color="auto" w:fill="FFFFFF"/>
        </w:rPr>
        <w:t>Electr</w:t>
      </w:r>
      <w:r>
        <w:rPr>
          <w:rFonts w:cs="Times New Roman"/>
          <w:i/>
          <w:iCs/>
          <w:color w:val="222222"/>
          <w:szCs w:val="24"/>
          <w:shd w:val="clear" w:color="auto" w:fill="FFFFFF"/>
        </w:rPr>
        <w:t>. Eng. Sustain.</w:t>
      </w:r>
      <w:r>
        <w:rPr>
          <w:rFonts w:cs="Times New Roman"/>
          <w:color w:val="222222"/>
          <w:szCs w:val="24"/>
          <w:shd w:val="clear" w:color="auto" w:fill="FFFFFF"/>
        </w:rPr>
        <w:t>, </w:t>
      </w:r>
      <w:r>
        <w:rPr>
          <w:rFonts w:cs="Times New Roman"/>
          <w:i/>
          <w:iCs/>
          <w:color w:val="222222"/>
          <w:szCs w:val="24"/>
          <w:shd w:val="clear" w:color="auto" w:fill="FFFFFF"/>
        </w:rPr>
        <w:t>2</w:t>
      </w:r>
      <w:r>
        <w:rPr>
          <w:rFonts w:cs="Times New Roman"/>
          <w:color w:val="222222"/>
          <w:szCs w:val="24"/>
          <w:shd w:val="clear" w:color="auto" w:fill="FFFFFF"/>
        </w:rPr>
        <w:t xml:space="preserve">(1), pp.1-20. </w:t>
      </w:r>
      <w:r>
        <w:fldChar w:fldCharType="begin"/>
      </w:r>
      <w:r>
        <w:instrText xml:space="preserve"> HYPERLINK "https://ijees.org/index.php/ijees/article/download/70/36" </w:instrText>
      </w:r>
      <w:r>
        <w:fldChar w:fldCharType="separate"/>
      </w:r>
      <w:r>
        <w:rPr>
          <w:rStyle w:val="16"/>
          <w:rFonts w:cs="Times New Roman"/>
          <w:szCs w:val="24"/>
          <w:shd w:val="clear" w:color="auto" w:fill="FFFFFF"/>
        </w:rPr>
        <w:t>https://ijees.org/index.php/ijees/article/download/70/36</w:t>
      </w:r>
      <w:r>
        <w:rPr>
          <w:rStyle w:val="16"/>
          <w:rFonts w:cs="Times New Roman"/>
          <w:szCs w:val="24"/>
          <w:shd w:val="clear" w:color="auto" w:fill="FFFFFF"/>
        </w:rPr>
        <w:fldChar w:fldCharType="end"/>
      </w:r>
    </w:p>
    <w:p w14:paraId="60C36BDC">
      <w:pPr>
        <w:pStyle w:val="10"/>
        <w:spacing w:before="0" w:beforeAutospacing="0" w:after="0" w:afterAutospacing="0" w:line="360" w:lineRule="auto"/>
      </w:pPr>
      <w:r>
        <w:rPr>
          <w:color w:val="222222"/>
        </w:rPr>
        <w:t>Khanday</w:t>
      </w:r>
      <w:r>
        <w:rPr>
          <w:color w:val="222222"/>
        </w:rPr>
        <w:t xml:space="preserve">, S.A., Vali, K.M., Junaid, M. and Ahmad, M., (2024). Understanding positivism: A qualitative exploration of its principles and relevance today. </w:t>
      </w:r>
      <w:r>
        <w:rPr>
          <w:i/>
          <w:iCs/>
          <w:color w:val="222222"/>
        </w:rPr>
        <w:t>European Journal of Applied Sciences–Vol</w:t>
      </w:r>
      <w:r>
        <w:rPr>
          <w:color w:val="222222"/>
        </w:rPr>
        <w:t xml:space="preserve">, </w:t>
      </w:r>
      <w:r>
        <w:rPr>
          <w:i/>
          <w:iCs/>
          <w:color w:val="222222"/>
        </w:rPr>
        <w:t>12</w:t>
      </w:r>
      <w:r>
        <w:rPr>
          <w:color w:val="222222"/>
        </w:rPr>
        <w:t>(6).</w:t>
      </w:r>
      <w:r>
        <w:rPr>
          <w:color w:val="000000"/>
        </w:rPr>
        <w:t xml:space="preserve"> </w:t>
      </w:r>
      <w:r>
        <w:fldChar w:fldCharType="begin"/>
      </w:r>
      <w:r>
        <w:instrText xml:space="preserve"> HYPERLINK "https://www.researchgate.net/profile/Karanam-Mahaboob-Vali/publication/387021002_Understanding_Positivism_A_Qualitative_Exploration_of_Its_Principles_and_Relevance_Today/links/675d63b6e9427c77e90f311d/Understanding-Positivism-A-Qualitative-Exploration-of-Its-Principles-and-Relevance-Today.pdf" </w:instrText>
      </w:r>
      <w:r>
        <w:fldChar w:fldCharType="separate"/>
      </w:r>
      <w:r>
        <w:rPr>
          <w:rStyle w:val="16"/>
          <w:color w:val="1155CC"/>
        </w:rPr>
        <w:t>https://www.researchgate.net/profile/Karanam-Mahaboob-Vali/publication/387021002_Understanding_Positivism_A_Qualitative_Exploration_of_Its_Principles_and_Relevance_Today/links/675d63b6e9427c77e90f311d/Understanding-Positivism-A-Qualitative-Exploration-of-Its-Principles-and-Relevance-Today.pdf</w:t>
      </w:r>
      <w:r>
        <w:rPr>
          <w:rStyle w:val="16"/>
          <w:color w:val="1155CC"/>
        </w:rPr>
        <w:fldChar w:fldCharType="end"/>
      </w:r>
      <w:r>
        <w:rPr>
          <w:color w:val="000000"/>
        </w:rPr>
        <w:t>. </w:t>
      </w:r>
    </w:p>
    <w:p w14:paraId="440DC8D0">
      <w:pPr>
        <w:pStyle w:val="10"/>
        <w:spacing w:before="0" w:beforeAutospacing="0" w:after="0" w:afterAutospacing="0" w:line="360" w:lineRule="auto"/>
      </w:pPr>
      <w:r>
        <w:rPr>
          <w:color w:val="222222"/>
        </w:rPr>
        <w:t xml:space="preserve">Khati, D.K.D.D., (2026). Facts &amp; Future Scenario: An analytical study of Eclectic Vehicles Market in India. </w:t>
      </w:r>
      <w:r>
        <w:rPr>
          <w:i/>
          <w:iCs/>
          <w:color w:val="222222"/>
        </w:rPr>
        <w:t>Aethel Research Digest Juncture: An International Journal</w:t>
      </w:r>
      <w:r>
        <w:rPr>
          <w:color w:val="222222"/>
        </w:rPr>
        <w:t xml:space="preserve">, </w:t>
      </w:r>
      <w:r>
        <w:rPr>
          <w:i/>
          <w:iCs/>
          <w:color w:val="222222"/>
        </w:rPr>
        <w:t>2</w:t>
      </w:r>
      <w:r>
        <w:rPr>
          <w:color w:val="222222"/>
        </w:rPr>
        <w:t>(01), pp.52-71.</w:t>
      </w:r>
      <w:r>
        <w:rPr>
          <w:color w:val="000000"/>
        </w:rPr>
        <w:t xml:space="preserve"> </w:t>
      </w:r>
      <w:r>
        <w:fldChar w:fldCharType="begin"/>
      </w:r>
      <w:r>
        <w:instrText xml:space="preserve"> HYPERLINK "https://ardjij.com/index.php/ardjij/article/download/27/49" </w:instrText>
      </w:r>
      <w:r>
        <w:fldChar w:fldCharType="separate"/>
      </w:r>
      <w:r>
        <w:rPr>
          <w:rStyle w:val="16"/>
          <w:color w:val="1155CC"/>
        </w:rPr>
        <w:t>https://ardjij.com/index.php/ardjij/article/download/27/49</w:t>
      </w:r>
      <w:r>
        <w:rPr>
          <w:rStyle w:val="16"/>
          <w:color w:val="1155CC"/>
        </w:rPr>
        <w:fldChar w:fldCharType="end"/>
      </w:r>
      <w:r>
        <w:rPr>
          <w:color w:val="000000"/>
        </w:rPr>
        <w:t>. </w:t>
      </w:r>
    </w:p>
    <w:p w14:paraId="5FDDB0FF">
      <w:pPr>
        <w:pStyle w:val="10"/>
        <w:spacing w:before="0" w:beforeAutospacing="0" w:after="0" w:afterAutospacing="0" w:line="360" w:lineRule="auto"/>
      </w:pPr>
      <w:r>
        <w:rPr>
          <w:color w:val="222222"/>
        </w:rPr>
        <w:t xml:space="preserve">Kumar, S. and </w:t>
      </w:r>
      <w:r>
        <w:rPr>
          <w:color w:val="222222"/>
        </w:rPr>
        <w:t>Ujire</w:t>
      </w:r>
      <w:r>
        <w:rPr>
          <w:color w:val="222222"/>
        </w:rPr>
        <w:t xml:space="preserve">, D.K., (2024). Inductive and deductive approaches to qualitative research. </w:t>
      </w:r>
      <w:r>
        <w:rPr>
          <w:i/>
          <w:iCs/>
          <w:color w:val="222222"/>
        </w:rPr>
        <w:t>International Journal of Multidisciplinary Educational Research</w:t>
      </w:r>
      <w:r>
        <w:rPr>
          <w:color w:val="222222"/>
        </w:rPr>
        <w:t xml:space="preserve">, </w:t>
      </w:r>
      <w:r>
        <w:rPr>
          <w:i/>
          <w:iCs/>
          <w:color w:val="222222"/>
        </w:rPr>
        <w:t>13</w:t>
      </w:r>
      <w:r>
        <w:rPr>
          <w:color w:val="222222"/>
        </w:rPr>
        <w:t>(1), pp.58-63.</w:t>
      </w:r>
      <w:r>
        <w:rPr>
          <w:color w:val="000000"/>
        </w:rPr>
        <w:t xml:space="preserve"> </w:t>
      </w:r>
      <w:r>
        <w:fldChar w:fldCharType="begin"/>
      </w:r>
      <w:r>
        <w:instrText xml:space="preserve"> HYPERLINK "http://ijmer.s3.amazonaws.com/pdf/volume13/volume13-issue1(4)/9.pdf" </w:instrText>
      </w:r>
      <w:r>
        <w:fldChar w:fldCharType="separate"/>
      </w:r>
      <w:r>
        <w:rPr>
          <w:rStyle w:val="16"/>
          <w:color w:val="1155CC"/>
        </w:rPr>
        <w:t>http://ijmer.s3.amazonaws.com/pdf/volume13/volume13-issue1(4)/9.pdf</w:t>
      </w:r>
      <w:r>
        <w:rPr>
          <w:rStyle w:val="16"/>
          <w:color w:val="1155CC"/>
        </w:rPr>
        <w:fldChar w:fldCharType="end"/>
      </w:r>
      <w:r>
        <w:rPr>
          <w:color w:val="000000"/>
        </w:rPr>
        <w:t>. </w:t>
      </w:r>
    </w:p>
    <w:p w14:paraId="56DC13E2">
      <w:pPr>
        <w:pStyle w:val="10"/>
        <w:spacing w:before="0" w:beforeAutospacing="0" w:after="0" w:afterAutospacing="0" w:line="360" w:lineRule="auto"/>
      </w:pPr>
      <w:r>
        <w:rPr>
          <w:color w:val="222222"/>
        </w:rPr>
        <w:t xml:space="preserve">Kushnir, I., (2025). Thematic analysis </w:t>
      </w:r>
      <w:r>
        <w:rPr>
          <w:color w:val="222222"/>
        </w:rPr>
        <w:t>in the area of</w:t>
      </w:r>
      <w:r>
        <w:rPr>
          <w:color w:val="222222"/>
        </w:rPr>
        <w:t xml:space="preserve"> education: a practical guide. </w:t>
      </w:r>
      <w:r>
        <w:rPr>
          <w:i/>
          <w:iCs/>
          <w:color w:val="222222"/>
        </w:rPr>
        <w:t>Cogent Education</w:t>
      </w:r>
      <w:r>
        <w:rPr>
          <w:color w:val="222222"/>
        </w:rPr>
        <w:t xml:space="preserve">, </w:t>
      </w:r>
      <w:r>
        <w:rPr>
          <w:i/>
          <w:iCs/>
          <w:color w:val="222222"/>
        </w:rPr>
        <w:t>12</w:t>
      </w:r>
      <w:r>
        <w:rPr>
          <w:color w:val="222222"/>
        </w:rPr>
        <w:t>(1), p.2471645.</w:t>
      </w:r>
      <w:r>
        <w:rPr>
          <w:color w:val="000000"/>
        </w:rPr>
        <w:t xml:space="preserve"> </w:t>
      </w:r>
      <w:r>
        <w:fldChar w:fldCharType="begin"/>
      </w:r>
      <w:r>
        <w:instrText xml:space="preserve"> HYPERLINK "https://www.tandfonline.com/doi/pdf/10.1080/2331186X.2025.2471645" </w:instrText>
      </w:r>
      <w:r>
        <w:fldChar w:fldCharType="separate"/>
      </w:r>
      <w:r>
        <w:rPr>
          <w:rStyle w:val="16"/>
          <w:color w:val="1155CC"/>
        </w:rPr>
        <w:t>https://www.tandfonline.com/doi/pdf/10.1080/2331186X.2025.2471645</w:t>
      </w:r>
      <w:r>
        <w:rPr>
          <w:rStyle w:val="16"/>
          <w:color w:val="1155CC"/>
        </w:rPr>
        <w:fldChar w:fldCharType="end"/>
      </w:r>
      <w:r>
        <w:rPr>
          <w:color w:val="000000"/>
        </w:rPr>
        <w:t>. </w:t>
      </w:r>
    </w:p>
    <w:p w14:paraId="53F3987F">
      <w:pPr>
        <w:rPr>
          <w:rFonts w:cs="Times New Roman"/>
          <w:color w:val="222222"/>
          <w:szCs w:val="24"/>
          <w:shd w:val="clear" w:color="auto" w:fill="FFFFFF"/>
        </w:rPr>
      </w:pPr>
      <w:r>
        <w:rPr>
          <w:rFonts w:cs="Times New Roman"/>
          <w:color w:val="222222"/>
          <w:szCs w:val="24"/>
          <w:shd w:val="clear" w:color="auto" w:fill="FFFFFF"/>
        </w:rPr>
        <w:t>Lai, I.K., Liu, Y., Sun, X., Zhang, H. and Xu, W., 2025. Factors influencing the behavioural intention towards full electric vehicles: An empirical study in Macau. </w:t>
      </w:r>
      <w:r>
        <w:rPr>
          <w:rFonts w:cs="Times New Roman"/>
          <w:i/>
          <w:iCs/>
          <w:color w:val="222222"/>
          <w:szCs w:val="24"/>
          <w:shd w:val="clear" w:color="auto" w:fill="FFFFFF"/>
        </w:rPr>
        <w:t>Sustainability</w:t>
      </w:r>
      <w:r>
        <w:rPr>
          <w:rFonts w:cs="Times New Roman"/>
          <w:color w:val="222222"/>
          <w:szCs w:val="24"/>
          <w:shd w:val="clear" w:color="auto" w:fill="FFFFFF"/>
        </w:rPr>
        <w:t>, </w:t>
      </w:r>
      <w:r>
        <w:rPr>
          <w:rFonts w:cs="Times New Roman"/>
          <w:i/>
          <w:iCs/>
          <w:color w:val="222222"/>
          <w:szCs w:val="24"/>
          <w:shd w:val="clear" w:color="auto" w:fill="FFFFFF"/>
        </w:rPr>
        <w:t>7</w:t>
      </w:r>
      <w:r>
        <w:rPr>
          <w:rFonts w:cs="Times New Roman"/>
          <w:color w:val="222222"/>
          <w:szCs w:val="24"/>
          <w:shd w:val="clear" w:color="auto" w:fill="FFFFFF"/>
        </w:rPr>
        <w:t>(9), pp.12564-12585.</w:t>
      </w:r>
      <w:r>
        <w:rPr>
          <w:rFonts w:cs="Times New Roman"/>
          <w:szCs w:val="24"/>
        </w:rPr>
        <w:t xml:space="preserve"> </w:t>
      </w:r>
      <w:r>
        <w:fldChar w:fldCharType="begin"/>
      </w:r>
      <w:r>
        <w:instrText xml:space="preserve"> HYPERLINK "https://www.mdpi.com/2071-1050/7/9/12564" </w:instrText>
      </w:r>
      <w:r>
        <w:fldChar w:fldCharType="separate"/>
      </w:r>
      <w:r>
        <w:rPr>
          <w:rStyle w:val="16"/>
          <w:rFonts w:cs="Times New Roman"/>
          <w:szCs w:val="24"/>
          <w:shd w:val="clear" w:color="auto" w:fill="FFFFFF"/>
        </w:rPr>
        <w:t>https://www.mdpi.com/2071-1050/7/9/12564</w:t>
      </w:r>
      <w:r>
        <w:rPr>
          <w:rStyle w:val="16"/>
          <w:rFonts w:cs="Times New Roman"/>
          <w:szCs w:val="24"/>
          <w:shd w:val="clear" w:color="auto" w:fill="FFFFFF"/>
        </w:rPr>
        <w:fldChar w:fldCharType="end"/>
      </w:r>
    </w:p>
    <w:p w14:paraId="432E2058">
      <w:pPr>
        <w:rPr>
          <w:rFonts w:cs="Times New Roman"/>
          <w:color w:val="222222"/>
          <w:szCs w:val="24"/>
          <w:shd w:val="clear" w:color="auto" w:fill="FFFFFF"/>
        </w:rPr>
      </w:pPr>
      <w:r>
        <w:rPr>
          <w:rFonts w:cs="Times New Roman"/>
          <w:color w:val="222222"/>
          <w:szCs w:val="24"/>
          <w:shd w:val="clear" w:color="auto" w:fill="FFFFFF"/>
        </w:rPr>
        <w:t>Lee, A.T., Ramasamy, R.K. and Subbarao, A., 2025, January. Understanding psychosocial barriers to healthcare technology adoption: a review of the Technology Acceptance Model and unified theory of acceptance and use of technology and UTAUT frameworks. In </w:t>
      </w:r>
      <w:r>
        <w:rPr>
          <w:rFonts w:cs="Times New Roman"/>
          <w:i/>
          <w:iCs/>
          <w:color w:val="222222"/>
          <w:szCs w:val="24"/>
          <w:shd w:val="clear" w:color="auto" w:fill="FFFFFF"/>
        </w:rPr>
        <w:t>Healthcare</w:t>
      </w:r>
      <w:r>
        <w:rPr>
          <w:rFonts w:cs="Times New Roman"/>
          <w:color w:val="222222"/>
          <w:szCs w:val="24"/>
          <w:shd w:val="clear" w:color="auto" w:fill="FFFFFF"/>
        </w:rPr>
        <w:t xml:space="preserve"> (Vol. 13, No. 3, p. 250). MDPI. </w:t>
      </w:r>
      <w:r>
        <w:fldChar w:fldCharType="begin"/>
      </w:r>
      <w:r>
        <w:instrText xml:space="preserve"> HYPERLINK "https://www.mdpi.com/2227-9032/13/3/250" </w:instrText>
      </w:r>
      <w:r>
        <w:fldChar w:fldCharType="separate"/>
      </w:r>
      <w:r>
        <w:rPr>
          <w:rStyle w:val="16"/>
          <w:rFonts w:cs="Times New Roman"/>
          <w:szCs w:val="24"/>
          <w:shd w:val="clear" w:color="auto" w:fill="FFFFFF"/>
        </w:rPr>
        <w:t>https://www.mdpi.com/2227-9032/13/3/250</w:t>
      </w:r>
      <w:r>
        <w:rPr>
          <w:rStyle w:val="16"/>
          <w:rFonts w:cs="Times New Roman"/>
          <w:szCs w:val="24"/>
          <w:shd w:val="clear" w:color="auto" w:fill="FFFFFF"/>
        </w:rPr>
        <w:fldChar w:fldCharType="end"/>
      </w:r>
    </w:p>
    <w:p w14:paraId="5B9BB280">
      <w:pPr>
        <w:pStyle w:val="10"/>
        <w:spacing w:before="0" w:beforeAutospacing="0" w:after="0" w:afterAutospacing="0" w:line="360" w:lineRule="auto"/>
      </w:pPr>
      <w:r>
        <w:rPr>
          <w:color w:val="222222"/>
        </w:rPr>
        <w:t xml:space="preserve">Lim, L., (2025). Qualitative research methodology: Interview strategy. </w:t>
      </w:r>
      <w:r>
        <w:rPr>
          <w:i/>
          <w:iCs/>
          <w:color w:val="222222"/>
        </w:rPr>
        <w:t>Advance Knowledge for Executives</w:t>
      </w:r>
      <w:r>
        <w:rPr>
          <w:color w:val="222222"/>
        </w:rPr>
        <w:t xml:space="preserve">, </w:t>
      </w:r>
      <w:r>
        <w:rPr>
          <w:i/>
          <w:iCs/>
          <w:color w:val="222222"/>
        </w:rPr>
        <w:t>3</w:t>
      </w:r>
      <w:r>
        <w:rPr>
          <w:color w:val="222222"/>
        </w:rPr>
        <w:t>(4), pp.1-18.</w:t>
      </w:r>
      <w:r>
        <w:rPr>
          <w:color w:val="000000"/>
        </w:rPr>
        <w:t xml:space="preserve"> </w:t>
      </w:r>
      <w:r>
        <w:fldChar w:fldCharType="begin"/>
      </w:r>
      <w:r>
        <w:instrText xml:space="preserve"> HYPERLINK "https://www.researchgate.net/profile/Lewes-Lim/publication/396211538_Qualitative_Research_Methodology_Interview_Strategy/links/68e25062f3032e2b4be6b98d/Qualitative-Research-Methodology-Interview-Strategy.pdf" </w:instrText>
      </w:r>
      <w:r>
        <w:fldChar w:fldCharType="separate"/>
      </w:r>
      <w:r>
        <w:rPr>
          <w:rStyle w:val="16"/>
          <w:color w:val="1155CC"/>
        </w:rPr>
        <w:t>https://www.researchgate.net/profile/Lewes-Lim/publication/396211538_Qualitative_Research_Methodology_Interview_Strategy/links/68e25062f3032e2b4be6b98d/Qualitative-Research-Methodology-Interview-Strategy.pdf</w:t>
      </w:r>
      <w:r>
        <w:rPr>
          <w:rStyle w:val="16"/>
          <w:color w:val="1155CC"/>
        </w:rPr>
        <w:fldChar w:fldCharType="end"/>
      </w:r>
      <w:r>
        <w:rPr>
          <w:color w:val="000000"/>
        </w:rPr>
        <w:t>. </w:t>
      </w:r>
    </w:p>
    <w:p w14:paraId="7F1BACDE">
      <w:pPr>
        <w:pStyle w:val="10"/>
        <w:spacing w:before="0" w:beforeAutospacing="0" w:after="0" w:afterAutospacing="0" w:line="360" w:lineRule="auto"/>
      </w:pPr>
      <w:r>
        <w:rPr>
          <w:color w:val="222222"/>
        </w:rPr>
        <w:t xml:space="preserve">Lim, W.M., (2025). What is qualitative research? An overview and guidelines. </w:t>
      </w:r>
      <w:r>
        <w:rPr>
          <w:i/>
          <w:iCs/>
          <w:color w:val="222222"/>
        </w:rPr>
        <w:t>Australasian marketing journal</w:t>
      </w:r>
      <w:r>
        <w:rPr>
          <w:color w:val="222222"/>
        </w:rPr>
        <w:t xml:space="preserve">, </w:t>
      </w:r>
      <w:r>
        <w:rPr>
          <w:i/>
          <w:iCs/>
          <w:color w:val="222222"/>
        </w:rPr>
        <w:t>33</w:t>
      </w:r>
      <w:r>
        <w:rPr>
          <w:color w:val="222222"/>
        </w:rPr>
        <w:t>(2), pp.199-229.</w:t>
      </w:r>
      <w:r>
        <w:rPr>
          <w:color w:val="000000"/>
        </w:rPr>
        <w:t xml:space="preserve"> </w:t>
      </w:r>
      <w:r>
        <w:fldChar w:fldCharType="begin"/>
      </w:r>
      <w:r>
        <w:instrText xml:space="preserve"> HYPERLINK "https://journals.sagepub.com/doi/pdf/10.1177/14413582241264619" </w:instrText>
      </w:r>
      <w:r>
        <w:fldChar w:fldCharType="separate"/>
      </w:r>
      <w:r>
        <w:rPr>
          <w:rStyle w:val="16"/>
          <w:color w:val="1155CC"/>
        </w:rPr>
        <w:t>https://journals.sagepub.com/doi/pdf/10.1177/14413582241264619</w:t>
      </w:r>
      <w:r>
        <w:rPr>
          <w:rStyle w:val="16"/>
          <w:color w:val="1155CC"/>
        </w:rPr>
        <w:fldChar w:fldCharType="end"/>
      </w:r>
      <w:r>
        <w:rPr>
          <w:color w:val="000000"/>
        </w:rPr>
        <w:t>. </w:t>
      </w:r>
    </w:p>
    <w:p w14:paraId="63C3AEB7">
      <w:pPr>
        <w:pStyle w:val="10"/>
        <w:spacing w:before="0" w:beforeAutospacing="0" w:after="0" w:afterAutospacing="0" w:line="360" w:lineRule="auto"/>
      </w:pPr>
      <w:r>
        <w:rPr>
          <w:color w:val="222222"/>
        </w:rPr>
        <w:t xml:space="preserve">Lyhne, C.N., Thisted, J. and Bjerrum, M., (2025). Qualitative content analysis–framing the analytical process of inductive content analysis to develop a sound study design. </w:t>
      </w:r>
      <w:r>
        <w:rPr>
          <w:i/>
          <w:iCs/>
          <w:color w:val="222222"/>
        </w:rPr>
        <w:t>Quality &amp; Quantity</w:t>
      </w:r>
      <w:r>
        <w:rPr>
          <w:color w:val="222222"/>
        </w:rPr>
        <w:t xml:space="preserve">, </w:t>
      </w:r>
      <w:r>
        <w:rPr>
          <w:i/>
          <w:iCs/>
          <w:color w:val="222222"/>
        </w:rPr>
        <w:t>59</w:t>
      </w:r>
      <w:r>
        <w:rPr>
          <w:color w:val="222222"/>
        </w:rPr>
        <w:t>(6), pp.5329-5349.</w:t>
      </w:r>
      <w:r>
        <w:rPr>
          <w:color w:val="000000"/>
        </w:rPr>
        <w:t xml:space="preserve"> </w:t>
      </w:r>
      <w:r>
        <w:fldChar w:fldCharType="begin"/>
      </w:r>
      <w:r>
        <w:instrText xml:space="preserve"> HYPERLINK "https://link.springer.com/content/pdf/10.1007/s11135-025-02220-9.pdf" </w:instrText>
      </w:r>
      <w:r>
        <w:fldChar w:fldCharType="separate"/>
      </w:r>
      <w:r>
        <w:rPr>
          <w:rStyle w:val="16"/>
          <w:color w:val="1155CC"/>
        </w:rPr>
        <w:t>https://link.springer.com/content/pdf/10.1007/s11135-025-02220-9.pdf</w:t>
      </w:r>
      <w:r>
        <w:rPr>
          <w:rStyle w:val="16"/>
          <w:color w:val="1155CC"/>
        </w:rPr>
        <w:fldChar w:fldCharType="end"/>
      </w:r>
      <w:r>
        <w:rPr>
          <w:color w:val="000000"/>
        </w:rPr>
        <w:t>. </w:t>
      </w:r>
    </w:p>
    <w:p w14:paraId="65129C3D">
      <w:pPr>
        <w:rPr>
          <w:rFonts w:cs="Times New Roman"/>
          <w:color w:val="222222"/>
          <w:szCs w:val="24"/>
          <w:shd w:val="clear" w:color="auto" w:fill="FFFFFF"/>
        </w:rPr>
      </w:pPr>
      <w:r>
        <w:rPr>
          <w:rFonts w:cs="Times New Roman"/>
          <w:color w:val="222222"/>
          <w:szCs w:val="24"/>
          <w:shd w:val="clear" w:color="auto" w:fill="FFFFFF"/>
        </w:rPr>
        <w:t xml:space="preserve">Malhotra, G. and Srivastava, H., 2024. Green purchase intention in omnichannel </w:t>
      </w:r>
      <w:r>
        <w:rPr>
          <w:rFonts w:cs="Times New Roman"/>
          <w:color w:val="222222"/>
          <w:szCs w:val="24"/>
          <w:shd w:val="clear" w:color="auto" w:fill="FFFFFF"/>
        </w:rPr>
        <w:t>retailing:</w:t>
      </w:r>
      <w:r>
        <w:rPr>
          <w:rFonts w:cs="Times New Roman"/>
          <w:color w:val="222222"/>
          <w:szCs w:val="24"/>
          <w:shd w:val="clear" w:color="auto" w:fill="FFFFFF"/>
        </w:rPr>
        <w:t xml:space="preserve"> role of environmental knowledge and price sensitivity. </w:t>
      </w:r>
      <w:r>
        <w:rPr>
          <w:rFonts w:cs="Times New Roman"/>
          <w:i/>
          <w:iCs/>
          <w:color w:val="222222"/>
          <w:szCs w:val="24"/>
          <w:shd w:val="clear" w:color="auto" w:fill="FFFFFF"/>
        </w:rPr>
        <w:t>Journal of Strategic Marketing</w:t>
      </w:r>
      <w:r>
        <w:rPr>
          <w:rFonts w:cs="Times New Roman"/>
          <w:color w:val="222222"/>
          <w:szCs w:val="24"/>
          <w:shd w:val="clear" w:color="auto" w:fill="FFFFFF"/>
        </w:rPr>
        <w:t>, </w:t>
      </w:r>
      <w:r>
        <w:rPr>
          <w:rFonts w:cs="Times New Roman"/>
          <w:i/>
          <w:iCs/>
          <w:color w:val="222222"/>
          <w:szCs w:val="24"/>
          <w:shd w:val="clear" w:color="auto" w:fill="FFFFFF"/>
        </w:rPr>
        <w:t>32</w:t>
      </w:r>
      <w:r>
        <w:rPr>
          <w:rFonts w:cs="Times New Roman"/>
          <w:color w:val="222222"/>
          <w:szCs w:val="24"/>
          <w:shd w:val="clear" w:color="auto" w:fill="FFFFFF"/>
        </w:rPr>
        <w:t xml:space="preserve">(4), pp.467-490. </w:t>
      </w:r>
      <w:r>
        <w:fldChar w:fldCharType="begin"/>
      </w:r>
      <w:r>
        <w:instrText xml:space="preserve"> HYPERLINK "https://www.tandfonline.com/doi/abs/10.1080/0965254X.2023.2241464" </w:instrText>
      </w:r>
      <w:r>
        <w:fldChar w:fldCharType="separate"/>
      </w:r>
      <w:r>
        <w:rPr>
          <w:rStyle w:val="16"/>
          <w:rFonts w:cs="Times New Roman"/>
          <w:szCs w:val="24"/>
          <w:shd w:val="clear" w:color="auto" w:fill="FFFFFF"/>
        </w:rPr>
        <w:t>https://www.tandfonline.com/doi/abs/10.1080/0965254X.2023.2241464</w:t>
      </w:r>
      <w:r>
        <w:rPr>
          <w:rStyle w:val="16"/>
          <w:rFonts w:cs="Times New Roman"/>
          <w:szCs w:val="24"/>
          <w:shd w:val="clear" w:color="auto" w:fill="FFFFFF"/>
        </w:rPr>
        <w:fldChar w:fldCharType="end"/>
      </w:r>
    </w:p>
    <w:p w14:paraId="1600B05F">
      <w:pPr>
        <w:pStyle w:val="10"/>
        <w:spacing w:before="0" w:beforeAutospacing="0" w:after="0" w:afterAutospacing="0" w:line="360" w:lineRule="auto"/>
      </w:pPr>
      <w:r>
        <w:rPr>
          <w:color w:val="222222"/>
        </w:rPr>
        <w:t xml:space="preserve">Mehrad, A., Zangeneh, M.H.T., Bouzedif, M., </w:t>
      </w:r>
      <w:r>
        <w:rPr>
          <w:color w:val="222222"/>
        </w:rPr>
        <w:t>Rweramila</w:t>
      </w:r>
      <w:r>
        <w:rPr>
          <w:color w:val="222222"/>
        </w:rPr>
        <w:t xml:space="preserve">, N.G. and </w:t>
      </w:r>
      <w:r>
        <w:rPr>
          <w:color w:val="222222"/>
        </w:rPr>
        <w:t>Boutament</w:t>
      </w:r>
      <w:r>
        <w:rPr>
          <w:color w:val="222222"/>
        </w:rPr>
        <w:t xml:space="preserve">, H., (2024). Qualitative methods in statistics and methodology: Artificial intelligence (AI). </w:t>
      </w:r>
      <w:r>
        <w:rPr>
          <w:i/>
          <w:iCs/>
          <w:color w:val="222222"/>
        </w:rPr>
        <w:t>Journal of Advanced Studies in Social Sciences</w:t>
      </w:r>
      <w:r>
        <w:rPr>
          <w:color w:val="222222"/>
        </w:rPr>
        <w:t xml:space="preserve">, </w:t>
      </w:r>
      <w:r>
        <w:rPr>
          <w:i/>
          <w:iCs/>
          <w:color w:val="222222"/>
        </w:rPr>
        <w:t>2</w:t>
      </w:r>
      <w:r>
        <w:rPr>
          <w:color w:val="222222"/>
        </w:rPr>
        <w:t>(2).</w:t>
      </w:r>
      <w:r>
        <w:rPr>
          <w:color w:val="000000"/>
        </w:rPr>
        <w:t xml:space="preserve"> </w:t>
      </w:r>
      <w:r>
        <w:fldChar w:fldCharType="begin"/>
      </w:r>
      <w:r>
        <w:instrText xml:space="preserve"> HYPERLINK "https://quarterlyreview.net/ojs/index.php/aqssr/article/download/307/214" </w:instrText>
      </w:r>
      <w:r>
        <w:fldChar w:fldCharType="separate"/>
      </w:r>
      <w:r>
        <w:rPr>
          <w:rStyle w:val="16"/>
          <w:color w:val="1155CC"/>
        </w:rPr>
        <w:t>https://quarterlyreview.net/ojs/index.php/aqssr/article/download/307/214</w:t>
      </w:r>
      <w:r>
        <w:rPr>
          <w:rStyle w:val="16"/>
          <w:color w:val="1155CC"/>
        </w:rPr>
        <w:fldChar w:fldCharType="end"/>
      </w:r>
      <w:r>
        <w:rPr>
          <w:color w:val="000000"/>
        </w:rPr>
        <w:t>. </w:t>
      </w:r>
    </w:p>
    <w:p w14:paraId="337AE8AE">
      <w:pPr>
        <w:pStyle w:val="10"/>
        <w:spacing w:before="0" w:beforeAutospacing="0" w:after="0" w:afterAutospacing="0" w:line="360" w:lineRule="auto"/>
      </w:pPr>
      <w:r>
        <w:rPr>
          <w:color w:val="222222"/>
        </w:rPr>
        <w:t xml:space="preserve">Mensah, I.K. and Khan, M.K., (2024). Unified theory of acceptance and use of technology (UTAUT) model: Factors influencing mobile banking services’ adoption in China. </w:t>
      </w:r>
      <w:r>
        <w:rPr>
          <w:i/>
          <w:iCs/>
          <w:color w:val="222222"/>
        </w:rPr>
        <w:t>Sage Open</w:t>
      </w:r>
      <w:r>
        <w:rPr>
          <w:color w:val="222222"/>
        </w:rPr>
        <w:t xml:space="preserve">, </w:t>
      </w:r>
      <w:r>
        <w:rPr>
          <w:i/>
          <w:iCs/>
          <w:color w:val="222222"/>
        </w:rPr>
        <w:t>14</w:t>
      </w:r>
      <w:r>
        <w:rPr>
          <w:color w:val="222222"/>
        </w:rPr>
        <w:t>(1), p.21582440241234230.</w:t>
      </w:r>
      <w:r>
        <w:rPr>
          <w:color w:val="000000"/>
        </w:rPr>
        <w:t xml:space="preserve"> </w:t>
      </w:r>
      <w:r>
        <w:fldChar w:fldCharType="begin"/>
      </w:r>
      <w:r>
        <w:instrText xml:space="preserve"> HYPERLINK "https://journals.sagepub.com/doi/pdf/10.1177/21582440241234230" </w:instrText>
      </w:r>
      <w:r>
        <w:fldChar w:fldCharType="separate"/>
      </w:r>
      <w:r>
        <w:rPr>
          <w:rStyle w:val="16"/>
          <w:color w:val="1155CC"/>
        </w:rPr>
        <w:t>https://journals.sagepub.com/doi/pdf/10.1177/21582440241234230</w:t>
      </w:r>
      <w:r>
        <w:rPr>
          <w:rStyle w:val="16"/>
          <w:color w:val="1155CC"/>
        </w:rPr>
        <w:fldChar w:fldCharType="end"/>
      </w:r>
      <w:r>
        <w:rPr>
          <w:color w:val="000000"/>
        </w:rPr>
        <w:t>. </w:t>
      </w:r>
    </w:p>
    <w:p w14:paraId="0D3D2F95">
      <w:pPr>
        <w:rPr>
          <w:rFonts w:cs="Times New Roman"/>
          <w:color w:val="222222"/>
          <w:szCs w:val="24"/>
          <w:shd w:val="clear" w:color="auto" w:fill="FFFFFF"/>
        </w:rPr>
      </w:pPr>
      <w:r>
        <w:rPr>
          <w:rFonts w:cs="Times New Roman"/>
          <w:color w:val="222222"/>
          <w:szCs w:val="24"/>
          <w:shd w:val="clear" w:color="auto" w:fill="FFFFFF"/>
        </w:rPr>
        <w:t>Meskine</w:t>
      </w:r>
      <w:r>
        <w:rPr>
          <w:rFonts w:cs="Times New Roman"/>
          <w:color w:val="222222"/>
          <w:szCs w:val="24"/>
          <w:shd w:val="clear" w:color="auto" w:fill="FFFFFF"/>
        </w:rPr>
        <w:t>, S., El Asri, H. and Al-Majeed, S., 2025. Investigating Barriers to EV Adoption in Morocco: Insights from an Emerging Economy. </w:t>
      </w:r>
      <w:r>
        <w:rPr>
          <w:rFonts w:cs="Times New Roman"/>
          <w:i/>
          <w:iCs/>
          <w:color w:val="222222"/>
          <w:szCs w:val="24"/>
          <w:shd w:val="clear" w:color="auto" w:fill="FFFFFF"/>
        </w:rPr>
        <w:t>World Electric Vehicle Journal</w:t>
      </w:r>
      <w:r>
        <w:rPr>
          <w:rFonts w:cs="Times New Roman"/>
          <w:color w:val="222222"/>
          <w:szCs w:val="24"/>
          <w:shd w:val="clear" w:color="auto" w:fill="FFFFFF"/>
        </w:rPr>
        <w:t>, </w:t>
      </w:r>
      <w:r>
        <w:rPr>
          <w:rFonts w:cs="Times New Roman"/>
          <w:i/>
          <w:iCs/>
          <w:color w:val="222222"/>
          <w:szCs w:val="24"/>
          <w:shd w:val="clear" w:color="auto" w:fill="FFFFFF"/>
        </w:rPr>
        <w:t>16</w:t>
      </w:r>
      <w:r>
        <w:rPr>
          <w:rFonts w:cs="Times New Roman"/>
          <w:color w:val="222222"/>
          <w:szCs w:val="24"/>
          <w:shd w:val="clear" w:color="auto" w:fill="FFFFFF"/>
        </w:rPr>
        <w:t xml:space="preserve">(12), p.672. </w:t>
      </w:r>
      <w:r>
        <w:fldChar w:fldCharType="begin"/>
      </w:r>
      <w:r>
        <w:instrText xml:space="preserve"> HYPERLINK "https://www.mdpi.com/2032-6653/16/12/672" </w:instrText>
      </w:r>
      <w:r>
        <w:fldChar w:fldCharType="separate"/>
      </w:r>
      <w:r>
        <w:rPr>
          <w:rStyle w:val="16"/>
          <w:rFonts w:cs="Times New Roman"/>
          <w:szCs w:val="24"/>
          <w:shd w:val="clear" w:color="auto" w:fill="FFFFFF"/>
        </w:rPr>
        <w:t>https://www.mdpi.com/2032-6653/16/12/672</w:t>
      </w:r>
      <w:r>
        <w:rPr>
          <w:rStyle w:val="16"/>
          <w:rFonts w:cs="Times New Roman"/>
          <w:szCs w:val="24"/>
          <w:shd w:val="clear" w:color="auto" w:fill="FFFFFF"/>
        </w:rPr>
        <w:fldChar w:fldCharType="end"/>
      </w:r>
    </w:p>
    <w:p w14:paraId="7F572ED5">
      <w:pPr>
        <w:pStyle w:val="10"/>
        <w:spacing w:before="0" w:beforeAutospacing="0" w:after="0" w:afterAutospacing="0" w:line="360" w:lineRule="auto"/>
      </w:pPr>
      <w:r>
        <w:rPr>
          <w:color w:val="222222"/>
        </w:rPr>
        <w:t>Midamba</w:t>
      </w:r>
      <w:r>
        <w:rPr>
          <w:color w:val="222222"/>
        </w:rPr>
        <w:t xml:space="preserve">, D.C., Ndolo, O.F., Chepkoech, B., </w:t>
      </w:r>
      <w:r>
        <w:rPr>
          <w:color w:val="222222"/>
        </w:rPr>
        <w:t>Agbolosoo</w:t>
      </w:r>
      <w:r>
        <w:rPr>
          <w:color w:val="222222"/>
        </w:rPr>
        <w:t xml:space="preserve">, J.A., </w:t>
      </w:r>
      <w:r>
        <w:rPr>
          <w:color w:val="222222"/>
        </w:rPr>
        <w:t>Ouya</w:t>
      </w:r>
      <w:r>
        <w:rPr>
          <w:color w:val="222222"/>
        </w:rPr>
        <w:t xml:space="preserve">, F.O. and </w:t>
      </w:r>
      <w:r>
        <w:rPr>
          <w:color w:val="222222"/>
        </w:rPr>
        <w:t>Jjengo</w:t>
      </w:r>
      <w:r>
        <w:rPr>
          <w:color w:val="222222"/>
        </w:rPr>
        <w:t xml:space="preserve">, A., (2025). Data collection methods in social sciences: A primer for novice researchers and students. </w:t>
      </w:r>
      <w:r>
        <w:rPr>
          <w:i/>
          <w:iCs/>
          <w:color w:val="222222"/>
        </w:rPr>
        <w:t>South Asian Journal of Social Studies and Economics</w:t>
      </w:r>
      <w:r>
        <w:rPr>
          <w:color w:val="222222"/>
        </w:rPr>
        <w:t xml:space="preserve">, </w:t>
      </w:r>
      <w:r>
        <w:rPr>
          <w:i/>
          <w:iCs/>
          <w:color w:val="222222"/>
        </w:rPr>
        <w:t>22</w:t>
      </w:r>
      <w:r>
        <w:rPr>
          <w:color w:val="222222"/>
        </w:rPr>
        <w:t>(6), pp.217-229.</w:t>
      </w:r>
      <w:r>
        <w:rPr>
          <w:color w:val="000000"/>
        </w:rPr>
        <w:t xml:space="preserve"> </w:t>
      </w:r>
      <w:r>
        <w:fldChar w:fldCharType="begin"/>
      </w:r>
      <w:r>
        <w:instrText xml:space="preserve"> HYPERLINK "https://devmentresearch.co.ke/devment/reports/Data-Collection-Methods.pdf" </w:instrText>
      </w:r>
      <w:r>
        <w:fldChar w:fldCharType="separate"/>
      </w:r>
      <w:r>
        <w:rPr>
          <w:rStyle w:val="16"/>
          <w:color w:val="1155CC"/>
        </w:rPr>
        <w:t>https://devmentresearch.co.ke/devment/reports/Data-Collection-Methods.pdf</w:t>
      </w:r>
      <w:r>
        <w:rPr>
          <w:rStyle w:val="16"/>
          <w:color w:val="1155CC"/>
        </w:rPr>
        <w:fldChar w:fldCharType="end"/>
      </w:r>
      <w:r>
        <w:rPr>
          <w:color w:val="000000"/>
        </w:rPr>
        <w:t>. </w:t>
      </w:r>
    </w:p>
    <w:p w14:paraId="4EAC9B10">
      <w:pPr>
        <w:rPr>
          <w:rFonts w:cs="Times New Roman"/>
          <w:color w:val="222222"/>
          <w:szCs w:val="24"/>
          <w:shd w:val="clear" w:color="auto" w:fill="FFFFFF"/>
        </w:rPr>
      </w:pPr>
      <w:r>
        <w:rPr>
          <w:rFonts w:cs="Times New Roman"/>
          <w:color w:val="222222"/>
          <w:szCs w:val="24"/>
          <w:shd w:val="clear" w:color="auto" w:fill="FFFFFF"/>
        </w:rPr>
        <w:t>Mondal, S. and Suman, N.K., 2025. Challenges in Embracing Electric Vehicles: Exploring the Policy Landscape and Way Forward. </w:t>
      </w:r>
      <w:r>
        <w:rPr>
          <w:rFonts w:cs="Times New Roman"/>
          <w:i/>
          <w:iCs/>
          <w:color w:val="222222"/>
          <w:szCs w:val="24"/>
          <w:shd w:val="clear" w:color="auto" w:fill="FFFFFF"/>
        </w:rPr>
        <w:t>Transportation in Developing Economies</w:t>
      </w:r>
      <w:r>
        <w:rPr>
          <w:rFonts w:cs="Times New Roman"/>
          <w:color w:val="222222"/>
          <w:szCs w:val="24"/>
          <w:shd w:val="clear" w:color="auto" w:fill="FFFFFF"/>
        </w:rPr>
        <w:t>, </w:t>
      </w:r>
      <w:r>
        <w:rPr>
          <w:rFonts w:cs="Times New Roman"/>
          <w:i/>
          <w:iCs/>
          <w:color w:val="222222"/>
          <w:szCs w:val="24"/>
          <w:shd w:val="clear" w:color="auto" w:fill="FFFFFF"/>
        </w:rPr>
        <w:t>11</w:t>
      </w:r>
      <w:r>
        <w:rPr>
          <w:rFonts w:cs="Times New Roman"/>
          <w:color w:val="222222"/>
          <w:szCs w:val="24"/>
          <w:shd w:val="clear" w:color="auto" w:fill="FFFFFF"/>
        </w:rPr>
        <w:t xml:space="preserve">(2), p.27. </w:t>
      </w:r>
      <w:r>
        <w:fldChar w:fldCharType="begin"/>
      </w:r>
      <w:r>
        <w:instrText xml:space="preserve"> HYPERLINK "https://www.researchgate.net/profile/Nikhil-Suman-2/publication/392898076_Challenges_in_Embracing_Electric_Vehicles_Exploring_the_Policy_Landscape_and_Way_Forward/links/68e79165ffdca73694b66e72/Challenges-in-Embracing-Electric-Vehicles-Exploring-the-Policy-Landscape-and-Way-Forward.pdf" </w:instrText>
      </w:r>
      <w:r>
        <w:fldChar w:fldCharType="separate"/>
      </w:r>
      <w:r>
        <w:rPr>
          <w:rStyle w:val="16"/>
          <w:rFonts w:cs="Times New Roman"/>
          <w:szCs w:val="24"/>
          <w:shd w:val="clear" w:color="auto" w:fill="FFFFFF"/>
        </w:rPr>
        <w:t>https://www.researchgate.net/profile/Nikhil-Suman-2/publication/392898076_Challenges_in_Embracing_Electric_Vehicles_Exploring_the_Policy_Landscape_and_Way_Forward/links/68e79165ffdca73694b66e72/Challenges-in-Embracing-Electric-Vehicles-Exploring-the-Policy-Landscape-and-Way-Forward.pdf</w:t>
      </w:r>
      <w:r>
        <w:rPr>
          <w:rStyle w:val="16"/>
          <w:rFonts w:cs="Times New Roman"/>
          <w:szCs w:val="24"/>
          <w:shd w:val="clear" w:color="auto" w:fill="FFFFFF"/>
        </w:rPr>
        <w:fldChar w:fldCharType="end"/>
      </w:r>
    </w:p>
    <w:p w14:paraId="4EC58E0D">
      <w:pPr>
        <w:pStyle w:val="10"/>
        <w:spacing w:before="0" w:beforeAutospacing="0" w:after="240" w:afterAutospacing="0" w:line="360" w:lineRule="auto"/>
      </w:pPr>
      <w:r>
        <w:t xml:space="preserve">MSX (2025). </w:t>
      </w:r>
      <w:r>
        <w:rPr>
          <w:i/>
          <w:iCs/>
        </w:rPr>
        <w:t>The EV influence: The changing needs of today’s consumer</w:t>
      </w:r>
      <w:r>
        <w:t>. [Online] MSXI. Available at: https://www.msxi.com/en/the-ev-influence/ [Accessed 27 Aug. 2026]</w:t>
      </w:r>
    </w:p>
    <w:p w14:paraId="0BE76F61">
      <w:pPr>
        <w:rPr>
          <w:rFonts w:cs="Times New Roman"/>
          <w:color w:val="222222"/>
          <w:szCs w:val="24"/>
          <w:shd w:val="clear" w:color="auto" w:fill="FFFFFF"/>
        </w:rPr>
      </w:pPr>
      <w:r>
        <w:rPr>
          <w:rFonts w:cs="Times New Roman"/>
          <w:color w:val="222222"/>
          <w:szCs w:val="24"/>
          <w:shd w:val="clear" w:color="auto" w:fill="FFFFFF"/>
        </w:rPr>
        <w:t xml:space="preserve">Mugo, D.G., Njagi, K., </w:t>
      </w:r>
      <w:r>
        <w:rPr>
          <w:rFonts w:cs="Times New Roman"/>
          <w:color w:val="222222"/>
          <w:szCs w:val="24"/>
          <w:shd w:val="clear" w:color="auto" w:fill="FFFFFF"/>
        </w:rPr>
        <w:t>Chemwei</w:t>
      </w:r>
      <w:r>
        <w:rPr>
          <w:rFonts w:cs="Times New Roman"/>
          <w:color w:val="222222"/>
          <w:szCs w:val="24"/>
          <w:shd w:val="clear" w:color="auto" w:fill="FFFFFF"/>
        </w:rPr>
        <w:t xml:space="preserve">, B. and </w:t>
      </w:r>
      <w:r>
        <w:rPr>
          <w:rFonts w:cs="Times New Roman"/>
          <w:color w:val="222222"/>
          <w:szCs w:val="24"/>
          <w:shd w:val="clear" w:color="auto" w:fill="FFFFFF"/>
        </w:rPr>
        <w:t>Motanya</w:t>
      </w:r>
      <w:r>
        <w:rPr>
          <w:rFonts w:cs="Times New Roman"/>
          <w:color w:val="222222"/>
          <w:szCs w:val="24"/>
          <w:shd w:val="clear" w:color="auto" w:fill="FFFFFF"/>
        </w:rPr>
        <w:t xml:space="preserve">, J.O., 2021. The technology acceptance model (TAM) and its application to the utilisation of mobile learning technologies. </w:t>
      </w:r>
      <w:r>
        <w:fldChar w:fldCharType="begin"/>
      </w:r>
      <w:r>
        <w:instrText xml:space="preserve"> HYPERLINK "https://repository.must.ac.ke/bitstream/handle/123456789/385/THE%20TECHNOLOGY%20ACCEPTANCE.pdf?sequence=1" </w:instrText>
      </w:r>
      <w:r>
        <w:fldChar w:fldCharType="separate"/>
      </w:r>
      <w:r>
        <w:rPr>
          <w:rStyle w:val="16"/>
          <w:rFonts w:cs="Times New Roman"/>
          <w:szCs w:val="24"/>
          <w:shd w:val="clear" w:color="auto" w:fill="FFFFFF"/>
        </w:rPr>
        <w:t>https://repository.must.ac.ke/bitstream/handle/123456789/385/THE%20TECHNOLOGY%20ACCEPTANCE.pdf?sequence=1</w:t>
      </w:r>
      <w:r>
        <w:rPr>
          <w:rStyle w:val="16"/>
          <w:rFonts w:cs="Times New Roman"/>
          <w:szCs w:val="24"/>
          <w:shd w:val="clear" w:color="auto" w:fill="FFFFFF"/>
        </w:rPr>
        <w:fldChar w:fldCharType="end"/>
      </w:r>
    </w:p>
    <w:p w14:paraId="48A889DF">
      <w:pPr>
        <w:pStyle w:val="10"/>
        <w:spacing w:before="0" w:beforeAutospacing="0" w:after="0" w:afterAutospacing="0" w:line="360" w:lineRule="auto"/>
      </w:pPr>
      <w:r>
        <w:rPr>
          <w:color w:val="222222"/>
        </w:rPr>
        <w:t xml:space="preserve">Musa, H.G., </w:t>
      </w:r>
      <w:r>
        <w:rPr>
          <w:color w:val="222222"/>
        </w:rPr>
        <w:t>Fatmawati</w:t>
      </w:r>
      <w:r>
        <w:rPr>
          <w:color w:val="222222"/>
        </w:rPr>
        <w:t xml:space="preserve">, I., </w:t>
      </w:r>
      <w:r>
        <w:rPr>
          <w:color w:val="222222"/>
        </w:rPr>
        <w:t>Nuryakin</w:t>
      </w:r>
      <w:r>
        <w:rPr>
          <w:color w:val="222222"/>
        </w:rPr>
        <w:t xml:space="preserve">, N. and Suyanto, M., (2024). Marketing research trends using technology acceptance model (TAM): A comprehensive review of </w:t>
      </w:r>
      <w:r>
        <w:rPr>
          <w:color w:val="222222"/>
        </w:rPr>
        <w:t>researches</w:t>
      </w:r>
      <w:r>
        <w:rPr>
          <w:color w:val="222222"/>
        </w:rPr>
        <w:t xml:space="preserve"> (2002–2022). </w:t>
      </w:r>
      <w:r>
        <w:rPr>
          <w:i/>
          <w:iCs/>
          <w:color w:val="222222"/>
        </w:rPr>
        <w:t>Cogent business &amp; management</w:t>
      </w:r>
      <w:r>
        <w:rPr>
          <w:color w:val="222222"/>
        </w:rPr>
        <w:t xml:space="preserve">, </w:t>
      </w:r>
      <w:r>
        <w:rPr>
          <w:i/>
          <w:iCs/>
          <w:color w:val="222222"/>
        </w:rPr>
        <w:t>11</w:t>
      </w:r>
      <w:r>
        <w:rPr>
          <w:color w:val="222222"/>
        </w:rPr>
        <w:t>(1), p.2329375.</w:t>
      </w:r>
      <w:r>
        <w:rPr>
          <w:color w:val="000000"/>
        </w:rPr>
        <w:t xml:space="preserve"> </w:t>
      </w:r>
      <w:r>
        <w:fldChar w:fldCharType="begin"/>
      </w:r>
      <w:r>
        <w:instrText xml:space="preserve"> HYPERLINK "https://www.tandfonline.com/doi/pdf/10.1080/23311975.2024.2329375" </w:instrText>
      </w:r>
      <w:r>
        <w:fldChar w:fldCharType="separate"/>
      </w:r>
      <w:r>
        <w:rPr>
          <w:rStyle w:val="16"/>
          <w:color w:val="1155CC"/>
        </w:rPr>
        <w:t>https://www.tandfonline.com/doi/pdf/10.1080/23311975.2024.2329375</w:t>
      </w:r>
      <w:r>
        <w:rPr>
          <w:rStyle w:val="16"/>
          <w:color w:val="1155CC"/>
        </w:rPr>
        <w:fldChar w:fldCharType="end"/>
      </w:r>
      <w:r>
        <w:rPr>
          <w:color w:val="000000"/>
        </w:rPr>
        <w:t>. </w:t>
      </w:r>
    </w:p>
    <w:p w14:paraId="04BDFB3E">
      <w:pPr>
        <w:rPr>
          <w:rFonts w:cs="Times New Roman"/>
          <w:color w:val="222222"/>
          <w:szCs w:val="24"/>
          <w:shd w:val="clear" w:color="auto" w:fill="FFFFFF"/>
        </w:rPr>
      </w:pPr>
      <w:r>
        <w:rPr>
          <w:rFonts w:cs="Times New Roman"/>
          <w:color w:val="222222"/>
          <w:szCs w:val="24"/>
          <w:shd w:val="clear" w:color="auto" w:fill="FFFFFF"/>
        </w:rPr>
        <w:t xml:space="preserve">ÖZ, S.B., 2022. The Factors Influencing </w:t>
      </w:r>
      <w:r>
        <w:rPr>
          <w:rFonts w:cs="Times New Roman"/>
          <w:color w:val="222222"/>
          <w:szCs w:val="24"/>
          <w:shd w:val="clear" w:color="auto" w:fill="FFFFFF"/>
        </w:rPr>
        <w:t>The</w:t>
      </w:r>
      <w:r>
        <w:rPr>
          <w:rFonts w:cs="Times New Roman"/>
          <w:color w:val="222222"/>
          <w:szCs w:val="24"/>
          <w:shd w:val="clear" w:color="auto" w:fill="FFFFFF"/>
        </w:rPr>
        <w:t xml:space="preserve"> Electric Vehicle Buying Intentions </w:t>
      </w:r>
      <w:r>
        <w:rPr>
          <w:rFonts w:cs="Times New Roman"/>
          <w:color w:val="222222"/>
          <w:szCs w:val="24"/>
          <w:shd w:val="clear" w:color="auto" w:fill="FFFFFF"/>
        </w:rPr>
        <w:t>In</w:t>
      </w:r>
      <w:r>
        <w:rPr>
          <w:rFonts w:cs="Times New Roman"/>
          <w:color w:val="222222"/>
          <w:szCs w:val="24"/>
          <w:shd w:val="clear" w:color="auto" w:fill="FFFFFF"/>
        </w:rPr>
        <w:t xml:space="preserve"> </w:t>
      </w:r>
      <w:r>
        <w:rPr>
          <w:rFonts w:cs="Times New Roman"/>
          <w:color w:val="222222"/>
          <w:szCs w:val="24"/>
          <w:shd w:val="clear" w:color="auto" w:fill="FFFFFF"/>
        </w:rPr>
        <w:t>The</w:t>
      </w:r>
      <w:r>
        <w:rPr>
          <w:rFonts w:cs="Times New Roman"/>
          <w:color w:val="222222"/>
          <w:szCs w:val="24"/>
          <w:shd w:val="clear" w:color="auto" w:fill="FFFFFF"/>
        </w:rPr>
        <w:t xml:space="preserve"> Netherlands. </w:t>
      </w:r>
      <w:r>
        <w:fldChar w:fldCharType="begin"/>
      </w:r>
      <w:r>
        <w:instrText xml:space="preserve"> HYPERLINK "https://www.researchgate.net/profile/Serkan-Baran-Oz/publication/322476526_The_Factors_Influencing_the_Electric_Vehicle_Buying_Intentions_in_the_Netherlands/links/5a5a5e81458515450274890d/The-Factors-Influencing-the-Electric-Vehicle-Buying-Intentions-in-the-Netherlands.pdf" </w:instrText>
      </w:r>
      <w:r>
        <w:fldChar w:fldCharType="separate"/>
      </w:r>
      <w:r>
        <w:rPr>
          <w:rStyle w:val="16"/>
          <w:rFonts w:cs="Times New Roman"/>
          <w:szCs w:val="24"/>
          <w:shd w:val="clear" w:color="auto" w:fill="FFFFFF"/>
        </w:rPr>
        <w:t>https://www.researchgate.net/profile/Serkan-Baran-Oz/publication/322476526_The_Factors_Influencing_the_Electric_Vehicle_Buying_Intentions_in_the_Netherlands/links/5a5a5e81458515450274890d/The-Factors-Influencing-the-Electric-Vehicle-Buying-Intentions-in-the-Netherlands.pdf</w:t>
      </w:r>
      <w:r>
        <w:rPr>
          <w:rStyle w:val="16"/>
          <w:rFonts w:cs="Times New Roman"/>
          <w:szCs w:val="24"/>
          <w:shd w:val="clear" w:color="auto" w:fill="FFFFFF"/>
        </w:rPr>
        <w:fldChar w:fldCharType="end"/>
      </w:r>
    </w:p>
    <w:p w14:paraId="075C3B17">
      <w:pPr>
        <w:pStyle w:val="10"/>
        <w:spacing w:before="0" w:beforeAutospacing="0" w:after="240" w:afterAutospacing="0" w:line="360" w:lineRule="auto"/>
        <w:rPr>
          <w:color w:val="222222"/>
          <w:shd w:val="clear" w:color="auto" w:fill="FFFFFF"/>
        </w:rPr>
      </w:pPr>
      <w:r>
        <w:rPr>
          <w:color w:val="222222"/>
          <w:shd w:val="clear" w:color="auto" w:fill="FFFFFF"/>
        </w:rPr>
        <w:t>Pamidimukkala</w:t>
      </w:r>
      <w:r>
        <w:rPr>
          <w:color w:val="222222"/>
          <w:shd w:val="clear" w:color="auto" w:fill="FFFFFF"/>
        </w:rPr>
        <w:t xml:space="preserve">, A., </w:t>
      </w:r>
      <w:r>
        <w:rPr>
          <w:color w:val="222222"/>
          <w:shd w:val="clear" w:color="auto" w:fill="FFFFFF"/>
        </w:rPr>
        <w:t>Kermanshachi</w:t>
      </w:r>
      <w:r>
        <w:rPr>
          <w:color w:val="222222"/>
          <w:shd w:val="clear" w:color="auto" w:fill="FFFFFF"/>
        </w:rPr>
        <w:t xml:space="preserve">, S., Rosenberger, J.M. and Hladik, G., 2025. Utilizing extended theory of planned </w:t>
      </w:r>
      <w:r>
        <w:rPr>
          <w:color w:val="222222"/>
          <w:shd w:val="clear" w:color="auto" w:fill="FFFFFF"/>
        </w:rPr>
        <w:t>behavior</w:t>
      </w:r>
      <w:r>
        <w:rPr>
          <w:color w:val="222222"/>
          <w:shd w:val="clear" w:color="auto" w:fill="FFFFFF"/>
        </w:rPr>
        <w:t xml:space="preserve"> to evaluate consumers’ adoption intention of electric </w:t>
      </w:r>
      <w:r>
        <w:rPr>
          <w:color w:val="222222"/>
          <w:shd w:val="clear" w:color="auto" w:fill="FFFFFF"/>
        </w:rPr>
        <w:t>vehicles. </w:t>
      </w:r>
      <w:r>
        <w:rPr>
          <w:i/>
          <w:iCs/>
          <w:color w:val="222222"/>
          <w:shd w:val="clear" w:color="auto" w:fill="FFFFFF"/>
        </w:rPr>
        <w:t>Green Energy and Intelligent Transportation</w:t>
      </w:r>
      <w:r>
        <w:rPr>
          <w:color w:val="222222"/>
          <w:shd w:val="clear" w:color="auto" w:fill="FFFFFF"/>
        </w:rPr>
        <w:t xml:space="preserve">, p.100258. </w:t>
      </w:r>
      <w:r>
        <w:fldChar w:fldCharType="begin"/>
      </w:r>
      <w:r>
        <w:instrText xml:space="preserve"> HYPERLINK "https://www.sciencedirect.com/science/article/pii/S2773153725000088" </w:instrText>
      </w:r>
      <w:r>
        <w:fldChar w:fldCharType="separate"/>
      </w:r>
      <w:r>
        <w:rPr>
          <w:rStyle w:val="16"/>
          <w:shd w:val="clear" w:color="auto" w:fill="FFFFFF"/>
        </w:rPr>
        <w:t>https://www.sciencedirect.com/science/article/pii/S2773153725000088</w:t>
      </w:r>
      <w:r>
        <w:rPr>
          <w:rStyle w:val="16"/>
          <w:shd w:val="clear" w:color="auto" w:fill="FFFFFF"/>
        </w:rPr>
        <w:fldChar w:fldCharType="end"/>
      </w:r>
    </w:p>
    <w:p w14:paraId="7853925B">
      <w:pPr>
        <w:rPr>
          <w:rFonts w:cs="Times New Roman"/>
          <w:color w:val="222222"/>
          <w:szCs w:val="24"/>
          <w:shd w:val="clear" w:color="auto" w:fill="FFFFFF"/>
        </w:rPr>
      </w:pPr>
      <w:r>
        <w:rPr>
          <w:rFonts w:cs="Times New Roman"/>
          <w:color w:val="222222"/>
          <w:szCs w:val="24"/>
          <w:shd w:val="clear" w:color="auto" w:fill="FFFFFF"/>
        </w:rPr>
        <w:t>Pandey, A. and Li, H., 2026. The impact of electric vehicle adoption barriers on consumer doubt and purchase intentions in THAILAND. </w:t>
      </w:r>
      <w:r>
        <w:rPr>
          <w:rFonts w:cs="Times New Roman"/>
          <w:i/>
          <w:iCs/>
          <w:color w:val="222222"/>
          <w:szCs w:val="24"/>
          <w:shd w:val="clear" w:color="auto" w:fill="FFFFFF"/>
        </w:rPr>
        <w:t>International Journal of Economics, Business and Accounting Research (IJEBAR)</w:t>
      </w:r>
      <w:r>
        <w:rPr>
          <w:rFonts w:cs="Times New Roman"/>
          <w:color w:val="222222"/>
          <w:szCs w:val="24"/>
          <w:shd w:val="clear" w:color="auto" w:fill="FFFFFF"/>
        </w:rPr>
        <w:t>, </w:t>
      </w:r>
      <w:r>
        <w:rPr>
          <w:rFonts w:cs="Times New Roman"/>
          <w:i/>
          <w:iCs/>
          <w:color w:val="222222"/>
          <w:szCs w:val="24"/>
          <w:shd w:val="clear" w:color="auto" w:fill="FFFFFF"/>
        </w:rPr>
        <w:t>10</w:t>
      </w:r>
      <w:r>
        <w:rPr>
          <w:rFonts w:cs="Times New Roman"/>
          <w:color w:val="222222"/>
          <w:szCs w:val="24"/>
          <w:shd w:val="clear" w:color="auto" w:fill="FFFFFF"/>
        </w:rPr>
        <w:t xml:space="preserve">(1). </w:t>
      </w:r>
      <w:r>
        <w:fldChar w:fldCharType="begin"/>
      </w:r>
      <w:r>
        <w:instrText xml:space="preserve"> HYPERLINK "https://www.jurnal.stie-aas.ac.id/index.php/IJEBAR/article/download/19245/8347" </w:instrText>
      </w:r>
      <w:r>
        <w:fldChar w:fldCharType="separate"/>
      </w:r>
      <w:r>
        <w:rPr>
          <w:rStyle w:val="16"/>
          <w:rFonts w:cs="Times New Roman"/>
          <w:szCs w:val="24"/>
          <w:shd w:val="clear" w:color="auto" w:fill="FFFFFF"/>
        </w:rPr>
        <w:t>https://www.jurnal.stie-aas.ac.id/index.php/IJEBAR/article/download/19245/8347</w:t>
      </w:r>
      <w:r>
        <w:rPr>
          <w:rStyle w:val="16"/>
          <w:rFonts w:cs="Times New Roman"/>
          <w:szCs w:val="24"/>
          <w:shd w:val="clear" w:color="auto" w:fill="FFFFFF"/>
        </w:rPr>
        <w:fldChar w:fldCharType="end"/>
      </w:r>
    </w:p>
    <w:p w14:paraId="3922A552">
      <w:pPr>
        <w:rPr>
          <w:rFonts w:cs="Times New Roman"/>
          <w:color w:val="222222"/>
          <w:szCs w:val="24"/>
          <w:shd w:val="clear" w:color="auto" w:fill="FFFFFF"/>
        </w:rPr>
      </w:pPr>
      <w:r>
        <w:rPr>
          <w:rFonts w:cs="Times New Roman"/>
          <w:color w:val="222222"/>
          <w:szCs w:val="24"/>
          <w:shd w:val="clear" w:color="auto" w:fill="FFFFFF"/>
        </w:rPr>
        <w:t>Pathak, N., Awasthi, A. and Kumar, A., 2024, December. Innovating for a sustainable future: Exploring business opportunities in India’s electric vehicle sector. In </w:t>
      </w:r>
      <w:r>
        <w:rPr>
          <w:rFonts w:cs="Times New Roman"/>
          <w:i/>
          <w:iCs/>
          <w:color w:val="222222"/>
          <w:szCs w:val="24"/>
          <w:shd w:val="clear" w:color="auto" w:fill="FFFFFF"/>
        </w:rPr>
        <w:t>5th International Conference on the Role of Innovation, Entrepreneurship and Management for Sustainable Development (ICRIEMSD-2024)</w:t>
      </w:r>
      <w:r>
        <w:rPr>
          <w:rFonts w:cs="Times New Roman"/>
          <w:color w:val="222222"/>
          <w:szCs w:val="24"/>
          <w:shd w:val="clear" w:color="auto" w:fill="FFFFFF"/>
        </w:rPr>
        <w:t xml:space="preserve"> (pp. 268-293). Atlantis Press. </w:t>
      </w:r>
      <w:r>
        <w:fldChar w:fldCharType="begin"/>
      </w:r>
      <w:r>
        <w:instrText xml:space="preserve"> HYPERLINK "https://www.atlantis-press.com/article/126007544.pdf" </w:instrText>
      </w:r>
      <w:r>
        <w:fldChar w:fldCharType="separate"/>
      </w:r>
      <w:r>
        <w:rPr>
          <w:rStyle w:val="16"/>
          <w:rFonts w:cs="Times New Roman"/>
          <w:szCs w:val="24"/>
          <w:shd w:val="clear" w:color="auto" w:fill="FFFFFF"/>
        </w:rPr>
        <w:t>https://www.atlantis-press.com/article/126007544.pdf</w:t>
      </w:r>
      <w:r>
        <w:rPr>
          <w:rStyle w:val="16"/>
          <w:rFonts w:cs="Times New Roman"/>
          <w:szCs w:val="24"/>
          <w:shd w:val="clear" w:color="auto" w:fill="FFFFFF"/>
        </w:rPr>
        <w:fldChar w:fldCharType="end"/>
      </w:r>
    </w:p>
    <w:p w14:paraId="012D02CD">
      <w:pPr>
        <w:rPr>
          <w:rFonts w:cs="Times New Roman"/>
          <w:color w:val="222222"/>
          <w:szCs w:val="24"/>
          <w:shd w:val="clear" w:color="auto" w:fill="FFFFFF"/>
        </w:rPr>
      </w:pPr>
      <w:r>
        <w:rPr>
          <w:rFonts w:cs="Times New Roman"/>
          <w:color w:val="222222"/>
          <w:szCs w:val="24"/>
          <w:shd w:val="clear" w:color="auto" w:fill="FFFFFF"/>
        </w:rPr>
        <w:t>Pei, M., Huang, Z., Zhang, Z., Wang, K. and Ye, X., 2025. Range anxiety and willingness to pay: Psychological insights for electric vehicles. </w:t>
      </w:r>
      <w:r>
        <w:rPr>
          <w:rFonts w:cs="Times New Roman"/>
          <w:i/>
          <w:iCs/>
          <w:color w:val="222222"/>
          <w:szCs w:val="24"/>
          <w:shd w:val="clear" w:color="auto" w:fill="FFFFFF"/>
        </w:rPr>
        <w:t>Journal of Renewable and Sustainable Energy</w:t>
      </w:r>
      <w:r>
        <w:rPr>
          <w:rFonts w:cs="Times New Roman"/>
          <w:color w:val="222222"/>
          <w:szCs w:val="24"/>
          <w:shd w:val="clear" w:color="auto" w:fill="FFFFFF"/>
        </w:rPr>
        <w:t>, </w:t>
      </w:r>
      <w:r>
        <w:rPr>
          <w:rFonts w:cs="Times New Roman"/>
          <w:i/>
          <w:iCs/>
          <w:color w:val="222222"/>
          <w:szCs w:val="24"/>
          <w:shd w:val="clear" w:color="auto" w:fill="FFFFFF"/>
        </w:rPr>
        <w:t>17</w:t>
      </w:r>
      <w:r>
        <w:rPr>
          <w:rFonts w:cs="Times New Roman"/>
          <w:color w:val="222222"/>
          <w:szCs w:val="24"/>
          <w:shd w:val="clear" w:color="auto" w:fill="FFFFFF"/>
        </w:rPr>
        <w:t xml:space="preserve">(1). </w:t>
      </w:r>
      <w:r>
        <w:fldChar w:fldCharType="begin"/>
      </w:r>
      <w:r>
        <w:instrText xml:space="preserve"> HYPERLINK "https://pubs.aip.org/aip/jrse/article/17/1/015902/3332047" </w:instrText>
      </w:r>
      <w:r>
        <w:fldChar w:fldCharType="separate"/>
      </w:r>
      <w:r>
        <w:rPr>
          <w:rStyle w:val="16"/>
          <w:rFonts w:cs="Times New Roman"/>
          <w:szCs w:val="24"/>
          <w:shd w:val="clear" w:color="auto" w:fill="FFFFFF"/>
        </w:rPr>
        <w:t>https://pubs.aip.org/aip/jrse/article/17/1/015902/3332047</w:t>
      </w:r>
      <w:r>
        <w:rPr>
          <w:rStyle w:val="16"/>
          <w:rFonts w:cs="Times New Roman"/>
          <w:szCs w:val="24"/>
          <w:shd w:val="clear" w:color="auto" w:fill="FFFFFF"/>
        </w:rPr>
        <w:fldChar w:fldCharType="end"/>
      </w:r>
    </w:p>
    <w:p w14:paraId="36D114F1">
      <w:pPr>
        <w:rPr>
          <w:rFonts w:cs="Times New Roman"/>
          <w:color w:val="222222"/>
          <w:szCs w:val="24"/>
          <w:shd w:val="clear" w:color="auto" w:fill="FFFFFF"/>
        </w:rPr>
      </w:pPr>
      <w:r>
        <w:rPr>
          <w:rFonts w:cs="Times New Roman"/>
          <w:color w:val="222222"/>
          <w:szCs w:val="24"/>
          <w:shd w:val="clear" w:color="auto" w:fill="FFFFFF"/>
        </w:rPr>
        <w:t xml:space="preserve">Raj, K.A., 2024. Powering India’s Electric Future: The Rise of EV Charging Infrastructure and </w:t>
      </w:r>
      <w:r>
        <w:rPr>
          <w:rFonts w:cs="Times New Roman"/>
          <w:color w:val="222222"/>
          <w:szCs w:val="24"/>
          <w:shd w:val="clear" w:color="auto" w:fill="FFFFFF"/>
        </w:rPr>
        <w:t>Servotech’s</w:t>
      </w:r>
      <w:r>
        <w:rPr>
          <w:rFonts w:cs="Times New Roman"/>
          <w:color w:val="222222"/>
          <w:szCs w:val="24"/>
          <w:shd w:val="clear" w:color="auto" w:fill="FFFFFF"/>
        </w:rPr>
        <w:t xml:space="preserve"> Strategic Play. </w:t>
      </w:r>
      <w:r>
        <w:rPr>
          <w:rFonts w:cs="Times New Roman"/>
          <w:i/>
          <w:iCs/>
          <w:color w:val="222222"/>
          <w:szCs w:val="24"/>
          <w:shd w:val="clear" w:color="auto" w:fill="FFFFFF"/>
        </w:rPr>
        <w:t>Open Access Cases</w:t>
      </w:r>
      <w:r>
        <w:rPr>
          <w:rFonts w:cs="Times New Roman"/>
          <w:color w:val="222222"/>
          <w:szCs w:val="24"/>
          <w:shd w:val="clear" w:color="auto" w:fill="FFFFFF"/>
        </w:rPr>
        <w:t>, </w:t>
      </w:r>
      <w:r>
        <w:rPr>
          <w:rFonts w:cs="Times New Roman"/>
          <w:i/>
          <w:iCs/>
          <w:color w:val="222222"/>
          <w:szCs w:val="24"/>
          <w:shd w:val="clear" w:color="auto" w:fill="FFFFFF"/>
        </w:rPr>
        <w:t>1</w:t>
      </w:r>
      <w:r>
        <w:rPr>
          <w:rFonts w:cs="Times New Roman"/>
          <w:color w:val="222222"/>
          <w:szCs w:val="24"/>
          <w:shd w:val="clear" w:color="auto" w:fill="FFFFFF"/>
        </w:rPr>
        <w:t xml:space="preserve">(3). </w:t>
      </w:r>
      <w:r>
        <w:fldChar w:fldCharType="begin"/>
      </w:r>
      <w:r>
        <w:instrText xml:space="preserve"> HYPERLINK "http://oacases.com/index.php/cases/article/download/17/32" </w:instrText>
      </w:r>
      <w:r>
        <w:fldChar w:fldCharType="separate"/>
      </w:r>
      <w:r>
        <w:rPr>
          <w:rStyle w:val="16"/>
          <w:rFonts w:cs="Times New Roman"/>
          <w:szCs w:val="24"/>
          <w:shd w:val="clear" w:color="auto" w:fill="FFFFFF"/>
        </w:rPr>
        <w:t>http://oacases.com/index.php/cases/article/download/17/32</w:t>
      </w:r>
      <w:r>
        <w:rPr>
          <w:rStyle w:val="16"/>
          <w:rFonts w:cs="Times New Roman"/>
          <w:szCs w:val="24"/>
          <w:shd w:val="clear" w:color="auto" w:fill="FFFFFF"/>
        </w:rPr>
        <w:fldChar w:fldCharType="end"/>
      </w:r>
    </w:p>
    <w:p w14:paraId="0E1D2A50">
      <w:pPr>
        <w:rPr>
          <w:rFonts w:cs="Times New Roman"/>
          <w:color w:val="222222"/>
          <w:szCs w:val="24"/>
          <w:shd w:val="clear" w:color="auto" w:fill="FFFFFF"/>
        </w:rPr>
      </w:pPr>
      <w:r>
        <w:rPr>
          <w:rFonts w:cs="Times New Roman"/>
          <w:color w:val="222222"/>
          <w:szCs w:val="24"/>
          <w:shd w:val="clear" w:color="auto" w:fill="FFFFFF"/>
        </w:rPr>
        <w:t>Rani, P., Pannu, S., Dalal, G., Vyas, P. and Khurana, T., 2024. Predicting behavioural intention towards electric vehicle adoption in India: A unified TAM-SOBC framework. </w:t>
      </w:r>
      <w:r>
        <w:rPr>
          <w:rFonts w:cs="Times New Roman"/>
          <w:i/>
          <w:iCs/>
          <w:color w:val="222222"/>
          <w:szCs w:val="24"/>
          <w:shd w:val="clear" w:color="auto" w:fill="FFFFFF"/>
        </w:rPr>
        <w:t>NMIMS Management Review</w:t>
      </w:r>
      <w:r>
        <w:rPr>
          <w:rFonts w:cs="Times New Roman"/>
          <w:color w:val="222222"/>
          <w:szCs w:val="24"/>
          <w:shd w:val="clear" w:color="auto" w:fill="FFFFFF"/>
        </w:rPr>
        <w:t>, </w:t>
      </w:r>
      <w:r>
        <w:rPr>
          <w:rFonts w:cs="Times New Roman"/>
          <w:i/>
          <w:iCs/>
          <w:color w:val="222222"/>
          <w:szCs w:val="24"/>
          <w:shd w:val="clear" w:color="auto" w:fill="FFFFFF"/>
        </w:rPr>
        <w:t>32</w:t>
      </w:r>
      <w:r>
        <w:rPr>
          <w:rFonts w:cs="Times New Roman"/>
          <w:color w:val="222222"/>
          <w:szCs w:val="24"/>
          <w:shd w:val="clear" w:color="auto" w:fill="FFFFFF"/>
        </w:rPr>
        <w:t xml:space="preserve">(4), pp.245-256. </w:t>
      </w:r>
      <w:r>
        <w:fldChar w:fldCharType="begin"/>
      </w:r>
      <w:r>
        <w:instrText xml:space="preserve"> HYPERLINK "https://journals.sagepub.com/doi/pdf/10.1177/09711023241308416" </w:instrText>
      </w:r>
      <w:r>
        <w:fldChar w:fldCharType="separate"/>
      </w:r>
      <w:r>
        <w:rPr>
          <w:rStyle w:val="16"/>
          <w:rFonts w:cs="Times New Roman"/>
          <w:szCs w:val="24"/>
          <w:shd w:val="clear" w:color="auto" w:fill="FFFFFF"/>
        </w:rPr>
        <w:t>https://journals.sagepub.com/doi/pdf/10.1177/09711023241308416</w:t>
      </w:r>
      <w:r>
        <w:rPr>
          <w:rStyle w:val="16"/>
          <w:rFonts w:cs="Times New Roman"/>
          <w:szCs w:val="24"/>
          <w:shd w:val="clear" w:color="auto" w:fill="FFFFFF"/>
        </w:rPr>
        <w:fldChar w:fldCharType="end"/>
      </w:r>
    </w:p>
    <w:p w14:paraId="0FECE5F4">
      <w:pPr>
        <w:pStyle w:val="10"/>
        <w:spacing w:before="0" w:beforeAutospacing="0" w:after="0" w:afterAutospacing="0" w:line="360" w:lineRule="auto"/>
      </w:pPr>
      <w:r>
        <w:rPr>
          <w:color w:val="222222"/>
        </w:rPr>
        <w:t xml:space="preserve">Rehman, A., (2025). Impact of environmental values, pro-environmental </w:t>
      </w:r>
      <w:r>
        <w:rPr>
          <w:color w:val="222222"/>
        </w:rPr>
        <w:t>behavior</w:t>
      </w:r>
      <w:r>
        <w:rPr>
          <w:color w:val="222222"/>
        </w:rPr>
        <w:t xml:space="preserve">, and pricing on purchase intention of electric vehicles. </w:t>
      </w:r>
      <w:r>
        <w:rPr>
          <w:i/>
          <w:iCs/>
          <w:color w:val="222222"/>
        </w:rPr>
        <w:t>International Review on Public and Nonprofit Marketing</w:t>
      </w:r>
      <w:r>
        <w:rPr>
          <w:color w:val="222222"/>
        </w:rPr>
        <w:t xml:space="preserve">, </w:t>
      </w:r>
      <w:r>
        <w:rPr>
          <w:i/>
          <w:iCs/>
          <w:color w:val="222222"/>
        </w:rPr>
        <w:t>22</w:t>
      </w:r>
      <w:r>
        <w:rPr>
          <w:color w:val="222222"/>
        </w:rPr>
        <w:t>(4), pp.929-955.</w:t>
      </w:r>
      <w:r>
        <w:rPr>
          <w:color w:val="000000"/>
        </w:rPr>
        <w:t xml:space="preserve"> </w:t>
      </w:r>
      <w:r>
        <w:fldChar w:fldCharType="begin"/>
      </w:r>
      <w:r>
        <w:instrText xml:space="preserve"> HYPERLINK "https://www.researchgate.net/profile/Anisur-Rehman-3/publication/394015901_Impact_of_environmental_values_pro-environmental_behavior_and_pricing_on_purchase_intention_of_electric_vehicles/links/693d09fd9aa6b4649dc04c09/Impact-of-environmental-values-pro-environmental-behavior-and-pricing-on-purchase-intention-of-electric-vehicles.pdf" </w:instrText>
      </w:r>
      <w:r>
        <w:fldChar w:fldCharType="separate"/>
      </w:r>
      <w:r>
        <w:rPr>
          <w:rStyle w:val="16"/>
          <w:color w:val="1155CC"/>
        </w:rPr>
        <w:t>https://www.researchgate.net/profile/Anisur-Rehman-3/publication/394015901_Impact_of_environmental_values_pro-environmental_behavior_and_pricing_on_purchase_intention_of_electric_vehicles/links/693d09fd9aa6b4649dc04c09/Impact-of-environmental-values-pro-environmental-behavior-and-pricing-on-purchase-intention-of-electric-vehicles.pdf</w:t>
      </w:r>
      <w:r>
        <w:rPr>
          <w:rStyle w:val="16"/>
          <w:color w:val="1155CC"/>
        </w:rPr>
        <w:fldChar w:fldCharType="end"/>
      </w:r>
      <w:r>
        <w:rPr>
          <w:color w:val="000000"/>
        </w:rPr>
        <w:t>. </w:t>
      </w:r>
    </w:p>
    <w:p w14:paraId="0E3E7F89">
      <w:pPr>
        <w:rPr>
          <w:rFonts w:cs="Times New Roman"/>
          <w:color w:val="222222"/>
          <w:szCs w:val="24"/>
          <w:shd w:val="clear" w:color="auto" w:fill="FFFFFF"/>
        </w:rPr>
      </w:pPr>
      <w:r>
        <w:rPr>
          <w:rFonts w:cs="Times New Roman"/>
          <w:color w:val="222222"/>
          <w:szCs w:val="24"/>
          <w:shd w:val="clear" w:color="auto" w:fill="FFFFFF"/>
        </w:rPr>
        <w:t>Rehman, A.U. and Shakeel Sadiq Jajja, M., 2025. Strategic adaptation in the electric vehicle supply chain: navigating transformative trends in the automobile industry. </w:t>
      </w:r>
      <w:r>
        <w:rPr>
          <w:rFonts w:cs="Times New Roman"/>
          <w:i/>
          <w:iCs/>
          <w:color w:val="222222"/>
          <w:szCs w:val="24"/>
          <w:shd w:val="clear" w:color="auto" w:fill="FFFFFF"/>
        </w:rPr>
        <w:t xml:space="preserve">Journal of </w:t>
      </w:r>
      <w:r>
        <w:rPr>
          <w:rFonts w:cs="Times New Roman"/>
          <w:i/>
          <w:iCs/>
          <w:color w:val="222222"/>
          <w:szCs w:val="24"/>
          <w:shd w:val="clear" w:color="auto" w:fill="FFFFFF"/>
        </w:rPr>
        <w:t>Enterprise Information Management</w:t>
      </w:r>
      <w:r>
        <w:rPr>
          <w:rFonts w:cs="Times New Roman"/>
          <w:color w:val="222222"/>
          <w:szCs w:val="24"/>
          <w:shd w:val="clear" w:color="auto" w:fill="FFFFFF"/>
        </w:rPr>
        <w:t>, </w:t>
      </w:r>
      <w:r>
        <w:rPr>
          <w:rFonts w:cs="Times New Roman"/>
          <w:i/>
          <w:iCs/>
          <w:color w:val="222222"/>
          <w:szCs w:val="24"/>
          <w:shd w:val="clear" w:color="auto" w:fill="FFFFFF"/>
        </w:rPr>
        <w:t>38</w:t>
      </w:r>
      <w:r>
        <w:rPr>
          <w:rFonts w:cs="Times New Roman"/>
          <w:color w:val="222222"/>
          <w:szCs w:val="24"/>
          <w:shd w:val="clear" w:color="auto" w:fill="FFFFFF"/>
        </w:rPr>
        <w:t xml:space="preserve">(3), pp.745-767. </w:t>
      </w:r>
      <w:r>
        <w:fldChar w:fldCharType="begin"/>
      </w:r>
      <w:r>
        <w:instrText xml:space="preserve"> HYPERLINK "https://www.emerald.com/jeim/article/38/3/745/1245479" </w:instrText>
      </w:r>
      <w:r>
        <w:fldChar w:fldCharType="separate"/>
      </w:r>
      <w:r>
        <w:rPr>
          <w:rStyle w:val="16"/>
          <w:rFonts w:cs="Times New Roman"/>
          <w:szCs w:val="24"/>
          <w:shd w:val="clear" w:color="auto" w:fill="FFFFFF"/>
        </w:rPr>
        <w:t>https://www.emerald.com/jeim/article/38/3/745/1245479</w:t>
      </w:r>
      <w:r>
        <w:rPr>
          <w:rStyle w:val="16"/>
          <w:rFonts w:cs="Times New Roman"/>
          <w:szCs w:val="24"/>
          <w:shd w:val="clear" w:color="auto" w:fill="FFFFFF"/>
        </w:rPr>
        <w:fldChar w:fldCharType="end"/>
      </w:r>
    </w:p>
    <w:p w14:paraId="0EAF5F99">
      <w:pPr>
        <w:pStyle w:val="10"/>
        <w:spacing w:before="0" w:beforeAutospacing="0" w:after="0" w:afterAutospacing="0" w:line="360" w:lineRule="auto"/>
      </w:pPr>
      <w:r>
        <w:rPr>
          <w:color w:val="222222"/>
        </w:rPr>
        <w:t xml:space="preserve">Rehman, M., Zelin, T. and Hussain, T., (2025). Influence of consumer satisfaction on brand allegiance: An empirical investigation in Pakistan's safety and luxury automobile sector. </w:t>
      </w:r>
      <w:r>
        <w:rPr>
          <w:i/>
          <w:iCs/>
          <w:color w:val="222222"/>
        </w:rPr>
        <w:t xml:space="preserve">Acta </w:t>
      </w:r>
      <w:r>
        <w:rPr>
          <w:i/>
          <w:iCs/>
          <w:color w:val="222222"/>
        </w:rPr>
        <w:t>psychologica</w:t>
      </w:r>
      <w:r>
        <w:rPr>
          <w:color w:val="222222"/>
        </w:rPr>
        <w:t xml:space="preserve">, </w:t>
      </w:r>
      <w:r>
        <w:rPr>
          <w:i/>
          <w:iCs/>
          <w:color w:val="222222"/>
        </w:rPr>
        <w:t>252</w:t>
      </w:r>
      <w:r>
        <w:rPr>
          <w:color w:val="222222"/>
        </w:rPr>
        <w:t>, p.104667.</w:t>
      </w:r>
      <w:r>
        <w:rPr>
          <w:color w:val="000000"/>
        </w:rPr>
        <w:t xml:space="preserve"> </w:t>
      </w:r>
      <w:r>
        <w:fldChar w:fldCharType="begin"/>
      </w:r>
      <w:r>
        <w:instrText xml:space="preserve"> HYPERLINK "https://www.sciencedirect.com/science/article/pii/S0001691824005456" </w:instrText>
      </w:r>
      <w:r>
        <w:fldChar w:fldCharType="separate"/>
      </w:r>
      <w:r>
        <w:rPr>
          <w:rStyle w:val="16"/>
          <w:color w:val="1155CC"/>
        </w:rPr>
        <w:t>https://www.sciencedirect.com/science/article/pii/S0001691824005456</w:t>
      </w:r>
      <w:r>
        <w:rPr>
          <w:rStyle w:val="16"/>
          <w:color w:val="1155CC"/>
        </w:rPr>
        <w:fldChar w:fldCharType="end"/>
      </w:r>
      <w:r>
        <w:rPr>
          <w:color w:val="000000"/>
        </w:rPr>
        <w:t>. </w:t>
      </w:r>
    </w:p>
    <w:p w14:paraId="78F3263A">
      <w:pPr>
        <w:pStyle w:val="10"/>
        <w:spacing w:before="0" w:beforeAutospacing="0" w:after="0" w:afterAutospacing="0" w:line="360" w:lineRule="auto"/>
      </w:pPr>
      <w:r>
        <w:rPr>
          <w:color w:val="222222"/>
        </w:rPr>
        <w:t xml:space="preserve">Robinson, O.C. and Bailey-Rodriguez, D., (2026). Deductive qualitative research: an integrative approach to designing studies. </w:t>
      </w:r>
      <w:r>
        <w:rPr>
          <w:i/>
          <w:iCs/>
          <w:color w:val="222222"/>
        </w:rPr>
        <w:t>Qualitative research in psychology</w:t>
      </w:r>
      <w:r>
        <w:rPr>
          <w:color w:val="222222"/>
        </w:rPr>
        <w:t xml:space="preserve">, </w:t>
      </w:r>
      <w:r>
        <w:rPr>
          <w:i/>
          <w:iCs/>
          <w:color w:val="222222"/>
        </w:rPr>
        <w:t>23</w:t>
      </w:r>
      <w:r>
        <w:rPr>
          <w:color w:val="222222"/>
        </w:rPr>
        <w:t>(2), pp.369-384.</w:t>
      </w:r>
      <w:r>
        <w:rPr>
          <w:color w:val="000000"/>
        </w:rPr>
        <w:t xml:space="preserve"> </w:t>
      </w:r>
      <w:r>
        <w:fldChar w:fldCharType="begin"/>
      </w:r>
      <w:r>
        <w:instrText xml:space="preserve"> HYPERLINK "https://www.tandfonline.com/doi/pdf/10.1080/14780887.2025.2604773" </w:instrText>
      </w:r>
      <w:r>
        <w:fldChar w:fldCharType="separate"/>
      </w:r>
      <w:r>
        <w:rPr>
          <w:rStyle w:val="16"/>
          <w:color w:val="1155CC"/>
        </w:rPr>
        <w:t>https://www.tandfonline.com/doi/pdf/10.1080/14780887.2025.2604773</w:t>
      </w:r>
      <w:r>
        <w:rPr>
          <w:rStyle w:val="16"/>
          <w:color w:val="1155CC"/>
        </w:rPr>
        <w:fldChar w:fldCharType="end"/>
      </w:r>
      <w:r>
        <w:rPr>
          <w:color w:val="000000"/>
        </w:rPr>
        <w:t>. </w:t>
      </w:r>
    </w:p>
    <w:p w14:paraId="230E815F">
      <w:pPr>
        <w:pStyle w:val="10"/>
        <w:spacing w:before="0" w:beforeAutospacing="0" w:after="0" w:afterAutospacing="0" w:line="360" w:lineRule="auto"/>
      </w:pPr>
      <w:r>
        <w:rPr>
          <w:color w:val="222222"/>
        </w:rPr>
        <w:t xml:space="preserve">Sabnis, S.V. and Wolgemuth, J.R., (2024). Validity practices in qualitative research in school psychology. </w:t>
      </w:r>
      <w:r>
        <w:rPr>
          <w:i/>
          <w:iCs/>
          <w:color w:val="222222"/>
        </w:rPr>
        <w:t>School Psychology International</w:t>
      </w:r>
      <w:r>
        <w:rPr>
          <w:color w:val="222222"/>
        </w:rPr>
        <w:t xml:space="preserve">, </w:t>
      </w:r>
      <w:r>
        <w:rPr>
          <w:i/>
          <w:iCs/>
          <w:color w:val="222222"/>
        </w:rPr>
        <w:t>45</w:t>
      </w:r>
      <w:r>
        <w:rPr>
          <w:color w:val="222222"/>
        </w:rPr>
        <w:t>(2), pp.87-114.</w:t>
      </w:r>
      <w:r>
        <w:rPr>
          <w:color w:val="000000"/>
        </w:rPr>
        <w:t xml:space="preserve"> </w:t>
      </w:r>
      <w:r>
        <w:fldChar w:fldCharType="begin"/>
      </w:r>
      <w:r>
        <w:instrText xml:space="preserve"> HYPERLINK "https://www.academia.edu/download/105115091/Sabnis_2023_Validity_in_school_psych.pdf" </w:instrText>
      </w:r>
      <w:r>
        <w:fldChar w:fldCharType="separate"/>
      </w:r>
      <w:r>
        <w:rPr>
          <w:rStyle w:val="16"/>
          <w:color w:val="1155CC"/>
        </w:rPr>
        <w:t>https://www.academia.edu/download/105115091/Sabnis_2023_Validity_in_school_psych.pdf</w:t>
      </w:r>
      <w:r>
        <w:rPr>
          <w:rStyle w:val="16"/>
          <w:color w:val="1155CC"/>
        </w:rPr>
        <w:fldChar w:fldCharType="end"/>
      </w:r>
      <w:r>
        <w:rPr>
          <w:color w:val="000000"/>
        </w:rPr>
        <w:t>. </w:t>
      </w:r>
    </w:p>
    <w:p w14:paraId="7E85EE8D">
      <w:pPr>
        <w:rPr>
          <w:rFonts w:cs="Times New Roman"/>
          <w:color w:val="222222"/>
          <w:szCs w:val="24"/>
          <w:shd w:val="clear" w:color="auto" w:fill="FFFFFF"/>
        </w:rPr>
      </w:pPr>
      <w:r>
        <w:rPr>
          <w:rFonts w:cs="Times New Roman"/>
          <w:color w:val="222222"/>
          <w:szCs w:val="24"/>
          <w:shd w:val="clear" w:color="auto" w:fill="FFFFFF"/>
        </w:rPr>
        <w:t>Samarasinghe, D., Kuruppu, G.N. and Dissanayake, T., 2024. Factors influencing the purchase intention toward electric vehicles; a nonuser perspective. </w:t>
      </w:r>
      <w:r>
        <w:rPr>
          <w:rFonts w:cs="Times New Roman"/>
          <w:i/>
          <w:iCs/>
          <w:color w:val="222222"/>
          <w:szCs w:val="24"/>
          <w:shd w:val="clear" w:color="auto" w:fill="FFFFFF"/>
        </w:rPr>
        <w:t>South Asian Journal of Marketing</w:t>
      </w:r>
      <w:r>
        <w:rPr>
          <w:rFonts w:cs="Times New Roman"/>
          <w:color w:val="222222"/>
          <w:szCs w:val="24"/>
          <w:shd w:val="clear" w:color="auto" w:fill="FFFFFF"/>
        </w:rPr>
        <w:t>, </w:t>
      </w:r>
      <w:r>
        <w:rPr>
          <w:rFonts w:cs="Times New Roman"/>
          <w:i/>
          <w:iCs/>
          <w:color w:val="222222"/>
          <w:szCs w:val="24"/>
          <w:shd w:val="clear" w:color="auto" w:fill="FFFFFF"/>
        </w:rPr>
        <w:t>5</w:t>
      </w:r>
      <w:r>
        <w:rPr>
          <w:rFonts w:cs="Times New Roman"/>
          <w:color w:val="222222"/>
          <w:szCs w:val="24"/>
          <w:shd w:val="clear" w:color="auto" w:fill="FFFFFF"/>
        </w:rPr>
        <w:t xml:space="preserve">(2), pp.149-165. </w:t>
      </w:r>
      <w:r>
        <w:fldChar w:fldCharType="begin"/>
      </w:r>
      <w:r>
        <w:instrText xml:space="preserve"> HYPERLINK "https://www.emerald.com/sajm/article-pdf/5/2/149/9455130/sajm-04-2023-0026.pdf" </w:instrText>
      </w:r>
      <w:r>
        <w:fldChar w:fldCharType="separate"/>
      </w:r>
      <w:r>
        <w:rPr>
          <w:rStyle w:val="16"/>
          <w:rFonts w:cs="Times New Roman"/>
          <w:szCs w:val="24"/>
          <w:shd w:val="clear" w:color="auto" w:fill="FFFFFF"/>
        </w:rPr>
        <w:t>https://www.emerald.com/sajm/article-pdf/5/2/149/9455130/sajm-04-2023-0026.pdf</w:t>
      </w:r>
      <w:r>
        <w:rPr>
          <w:rStyle w:val="16"/>
          <w:rFonts w:cs="Times New Roman"/>
          <w:szCs w:val="24"/>
          <w:shd w:val="clear" w:color="auto" w:fill="FFFFFF"/>
        </w:rPr>
        <w:fldChar w:fldCharType="end"/>
      </w:r>
    </w:p>
    <w:p w14:paraId="731D9DA4">
      <w:pPr>
        <w:rPr>
          <w:rFonts w:cs="Times New Roman"/>
          <w:color w:val="222222"/>
          <w:szCs w:val="24"/>
          <w:shd w:val="clear" w:color="auto" w:fill="FFFFFF"/>
        </w:rPr>
      </w:pPr>
      <w:r>
        <w:rPr>
          <w:rFonts w:cs="Times New Roman"/>
          <w:color w:val="222222"/>
          <w:szCs w:val="24"/>
          <w:shd w:val="clear" w:color="auto" w:fill="FFFFFF"/>
        </w:rPr>
        <w:t>Samarasinghe, D., Kuruppu, G.N. and Dissanayake, T., 2024. Factors influencing the purchase intention toward electric vehicles; a non-user perspective. </w:t>
      </w:r>
      <w:r>
        <w:rPr>
          <w:rFonts w:cs="Times New Roman"/>
          <w:i/>
          <w:iCs/>
          <w:color w:val="222222"/>
          <w:szCs w:val="24"/>
          <w:shd w:val="clear" w:color="auto" w:fill="FFFFFF"/>
        </w:rPr>
        <w:t>South Asian Journal of Marketing</w:t>
      </w:r>
      <w:r>
        <w:rPr>
          <w:rFonts w:cs="Times New Roman"/>
          <w:color w:val="222222"/>
          <w:szCs w:val="24"/>
          <w:shd w:val="clear" w:color="auto" w:fill="FFFFFF"/>
        </w:rPr>
        <w:t>, </w:t>
      </w:r>
      <w:r>
        <w:rPr>
          <w:rFonts w:cs="Times New Roman"/>
          <w:i/>
          <w:iCs/>
          <w:color w:val="222222"/>
          <w:szCs w:val="24"/>
          <w:shd w:val="clear" w:color="auto" w:fill="FFFFFF"/>
        </w:rPr>
        <w:t>5</w:t>
      </w:r>
      <w:r>
        <w:rPr>
          <w:rFonts w:cs="Times New Roman"/>
          <w:color w:val="222222"/>
          <w:szCs w:val="24"/>
          <w:shd w:val="clear" w:color="auto" w:fill="FFFFFF"/>
        </w:rPr>
        <w:t xml:space="preserve">(2), pp.149-165. </w:t>
      </w:r>
      <w:r>
        <w:fldChar w:fldCharType="begin"/>
      </w:r>
      <w:r>
        <w:instrText xml:space="preserve"> HYPERLINK "https://www.emerald.com/sajm/article-pdf/5/2/149/9455130/sajm-04-2023-0026.pdf" </w:instrText>
      </w:r>
      <w:r>
        <w:fldChar w:fldCharType="separate"/>
      </w:r>
      <w:r>
        <w:rPr>
          <w:rStyle w:val="16"/>
          <w:rFonts w:cs="Times New Roman"/>
          <w:szCs w:val="24"/>
          <w:shd w:val="clear" w:color="auto" w:fill="FFFFFF"/>
        </w:rPr>
        <w:t>https://www.emerald.com/sajm/article-pdf/5/2/149/9455130/sajm-04-2023-0026.pdf</w:t>
      </w:r>
      <w:r>
        <w:rPr>
          <w:rStyle w:val="16"/>
          <w:rFonts w:cs="Times New Roman"/>
          <w:szCs w:val="24"/>
          <w:shd w:val="clear" w:color="auto" w:fill="FFFFFF"/>
        </w:rPr>
        <w:fldChar w:fldCharType="end"/>
      </w:r>
    </w:p>
    <w:p w14:paraId="523597AF">
      <w:pPr>
        <w:rPr>
          <w:rFonts w:cs="Times New Roman"/>
          <w:color w:val="222222"/>
          <w:szCs w:val="24"/>
          <w:shd w:val="clear" w:color="auto" w:fill="FFFFFF"/>
        </w:rPr>
      </w:pPr>
      <w:r>
        <w:rPr>
          <w:rFonts w:cs="Times New Roman"/>
          <w:color w:val="222222"/>
          <w:szCs w:val="24"/>
          <w:shd w:val="clear" w:color="auto" w:fill="FFFFFF"/>
        </w:rPr>
        <w:t>Sasidharan, A. and Venkatakrishnan, S., 2024. Intension to use mobile banking: an integration of theory of planned behaviour (TPB) and technology acceptance model (tam). </w:t>
      </w:r>
      <w:r>
        <w:rPr>
          <w:rFonts w:cs="Times New Roman"/>
          <w:i/>
          <w:iCs/>
          <w:color w:val="222222"/>
          <w:szCs w:val="24"/>
          <w:shd w:val="clear" w:color="auto" w:fill="FFFFFF"/>
        </w:rPr>
        <w:t>Ksi̇i</w:t>
      </w:r>
      <w:r>
        <w:rPr>
          <w:rFonts w:cs="Times New Roman"/>
          <w:i/>
          <w:iCs/>
          <w:color w:val="222222"/>
          <w:szCs w:val="24"/>
          <w:shd w:val="clear" w:color="auto" w:fill="FFFFFF"/>
        </w:rPr>
        <w:t xml:space="preserve"> Trans. Internet Inf. Syst.</w:t>
      </w:r>
      <w:r>
        <w:rPr>
          <w:rFonts w:cs="Times New Roman"/>
          <w:color w:val="222222"/>
          <w:szCs w:val="24"/>
          <w:shd w:val="clear" w:color="auto" w:fill="FFFFFF"/>
        </w:rPr>
        <w:t>, </w:t>
      </w:r>
      <w:r>
        <w:rPr>
          <w:rFonts w:cs="Times New Roman"/>
          <w:i/>
          <w:iCs/>
          <w:color w:val="222222"/>
          <w:szCs w:val="24"/>
          <w:shd w:val="clear" w:color="auto" w:fill="FFFFFF"/>
        </w:rPr>
        <w:t>18</w:t>
      </w:r>
      <w:r>
        <w:rPr>
          <w:rFonts w:cs="Times New Roman"/>
          <w:color w:val="222222"/>
          <w:szCs w:val="24"/>
          <w:shd w:val="clear" w:color="auto" w:fill="FFFFFF"/>
        </w:rPr>
        <w:t xml:space="preserve">(4), pp.1059-1074. </w:t>
      </w:r>
      <w:r>
        <w:fldChar w:fldCharType="begin"/>
      </w:r>
      <w:r>
        <w:instrText xml:space="preserve"> HYPERLINK "https://www.researchgate.net/profile/Amrutha-Sasidharan-3/publication/380360270_Intension_to_Use_Mobile_Banking_An_Integration_of_Theory_of_Planned_Behaviour_TPB_and_Technology_Acceptance_Model_TAM/links/664d79640b0d2845744eba86/Intension-to-Use-Mobile-Banking-An-Integration-of-Theory-of-Planned-Behaviour-TPB-and-Technology-Acceptance-Model-TAM.pdf" </w:instrText>
      </w:r>
      <w:r>
        <w:fldChar w:fldCharType="separate"/>
      </w:r>
      <w:r>
        <w:rPr>
          <w:rStyle w:val="16"/>
          <w:rFonts w:cs="Times New Roman"/>
          <w:szCs w:val="24"/>
          <w:shd w:val="clear" w:color="auto" w:fill="FFFFFF"/>
        </w:rPr>
        <w:t>https://www.researchgate.net/profile/Amrutha-Sasidharan-3/publication/380360270_Intension_to_Use_Mobile_Banking_An_Integration_of_Theory_of_Planned_Behaviour_TPB_and_Technology_Acceptance_Model_TAM/links/664d79640b0d2845744eba86/Intension-to-Use-Mobile-Banking-An-Integration-of-Theory-of-Planned-Behaviour-TPB-and-Technology-Acceptance-Model-TAM.pdf</w:t>
      </w:r>
      <w:r>
        <w:rPr>
          <w:rStyle w:val="16"/>
          <w:rFonts w:cs="Times New Roman"/>
          <w:szCs w:val="24"/>
          <w:shd w:val="clear" w:color="auto" w:fill="FFFFFF"/>
        </w:rPr>
        <w:fldChar w:fldCharType="end"/>
      </w:r>
    </w:p>
    <w:p w14:paraId="6D08FF32">
      <w:pPr>
        <w:rPr>
          <w:rFonts w:cs="Times New Roman"/>
          <w:color w:val="222222"/>
          <w:szCs w:val="24"/>
          <w:shd w:val="clear" w:color="auto" w:fill="FFFFFF"/>
        </w:rPr>
      </w:pPr>
      <w:r>
        <w:rPr>
          <w:rFonts w:cs="Times New Roman"/>
          <w:color w:val="222222"/>
          <w:szCs w:val="24"/>
          <w:shd w:val="clear" w:color="auto" w:fill="FFFFFF"/>
        </w:rPr>
        <w:t xml:space="preserve">Schvartz, M.A., Lange Salvia, A., </w:t>
      </w:r>
      <w:r>
        <w:rPr>
          <w:rFonts w:cs="Times New Roman"/>
          <w:color w:val="222222"/>
          <w:szCs w:val="24"/>
          <w:shd w:val="clear" w:color="auto" w:fill="FFFFFF"/>
        </w:rPr>
        <w:t>Londero</w:t>
      </w:r>
      <w:r>
        <w:rPr>
          <w:rFonts w:cs="Times New Roman"/>
          <w:color w:val="222222"/>
          <w:szCs w:val="24"/>
          <w:shd w:val="clear" w:color="auto" w:fill="FFFFFF"/>
        </w:rPr>
        <w:t xml:space="preserve"> Brandli, L., Leal Filho, W. and Veiga Avila, L., 2024. The electric vehicle market in Brazil: A systematic literature review of factors </w:t>
      </w:r>
      <w:r>
        <w:rPr>
          <w:rFonts w:cs="Times New Roman"/>
          <w:color w:val="222222"/>
          <w:szCs w:val="24"/>
          <w:shd w:val="clear" w:color="auto" w:fill="FFFFFF"/>
        </w:rPr>
        <w:t>influencing purchase decisions. </w:t>
      </w:r>
      <w:r>
        <w:rPr>
          <w:rFonts w:cs="Times New Roman"/>
          <w:i/>
          <w:iCs/>
          <w:color w:val="222222"/>
          <w:szCs w:val="24"/>
          <w:shd w:val="clear" w:color="auto" w:fill="FFFFFF"/>
        </w:rPr>
        <w:t>Sustainability</w:t>
      </w:r>
      <w:r>
        <w:rPr>
          <w:rFonts w:cs="Times New Roman"/>
          <w:color w:val="222222"/>
          <w:szCs w:val="24"/>
          <w:shd w:val="clear" w:color="auto" w:fill="FFFFFF"/>
        </w:rPr>
        <w:t>, </w:t>
      </w:r>
      <w:r>
        <w:rPr>
          <w:rFonts w:cs="Times New Roman"/>
          <w:i/>
          <w:iCs/>
          <w:color w:val="222222"/>
          <w:szCs w:val="24"/>
          <w:shd w:val="clear" w:color="auto" w:fill="FFFFFF"/>
        </w:rPr>
        <w:t>16</w:t>
      </w:r>
      <w:r>
        <w:rPr>
          <w:rFonts w:cs="Times New Roman"/>
          <w:color w:val="222222"/>
          <w:szCs w:val="24"/>
          <w:shd w:val="clear" w:color="auto" w:fill="FFFFFF"/>
        </w:rPr>
        <w:t xml:space="preserve">(11), p.4594. </w:t>
      </w:r>
      <w:r>
        <w:fldChar w:fldCharType="begin"/>
      </w:r>
      <w:r>
        <w:instrText xml:space="preserve"> HYPERLINK "https://www.mdpi.com/2071-1050/16/11/4594" </w:instrText>
      </w:r>
      <w:r>
        <w:fldChar w:fldCharType="separate"/>
      </w:r>
      <w:r>
        <w:rPr>
          <w:rStyle w:val="16"/>
          <w:rFonts w:cs="Times New Roman"/>
          <w:szCs w:val="24"/>
          <w:shd w:val="clear" w:color="auto" w:fill="FFFFFF"/>
        </w:rPr>
        <w:t>https://www.mdpi.com/2071-1050/16/11/4594</w:t>
      </w:r>
      <w:r>
        <w:rPr>
          <w:rStyle w:val="16"/>
          <w:rFonts w:cs="Times New Roman"/>
          <w:szCs w:val="24"/>
          <w:shd w:val="clear" w:color="auto" w:fill="FFFFFF"/>
        </w:rPr>
        <w:fldChar w:fldCharType="end"/>
      </w:r>
    </w:p>
    <w:p w14:paraId="0D330D37">
      <w:pPr>
        <w:rPr>
          <w:rFonts w:cs="Times New Roman"/>
          <w:color w:val="222222"/>
          <w:szCs w:val="24"/>
          <w:shd w:val="clear" w:color="auto" w:fill="FFFFFF"/>
        </w:rPr>
      </w:pPr>
      <w:r>
        <w:rPr>
          <w:rFonts w:cs="Times New Roman"/>
          <w:color w:val="222222"/>
          <w:szCs w:val="24"/>
          <w:shd w:val="clear" w:color="auto" w:fill="FFFFFF"/>
        </w:rPr>
        <w:t xml:space="preserve">Schvartz, M.A., Lange Salvia, A., </w:t>
      </w:r>
      <w:r>
        <w:rPr>
          <w:rFonts w:cs="Times New Roman"/>
          <w:color w:val="222222"/>
          <w:szCs w:val="24"/>
          <w:shd w:val="clear" w:color="auto" w:fill="FFFFFF"/>
        </w:rPr>
        <w:t>Londero</w:t>
      </w:r>
      <w:r>
        <w:rPr>
          <w:rFonts w:cs="Times New Roman"/>
          <w:color w:val="222222"/>
          <w:szCs w:val="24"/>
          <w:shd w:val="clear" w:color="auto" w:fill="FFFFFF"/>
        </w:rPr>
        <w:t xml:space="preserve"> Brandli, L., Leal Filho, W. and Veiga Avila, L., 2024. The electric vehicle market in Brazil: A systematic literature review of factors influencing purchase decisions. </w:t>
      </w:r>
      <w:r>
        <w:rPr>
          <w:rFonts w:cs="Times New Roman"/>
          <w:i/>
          <w:iCs/>
          <w:color w:val="222222"/>
          <w:szCs w:val="24"/>
          <w:shd w:val="clear" w:color="auto" w:fill="FFFFFF"/>
        </w:rPr>
        <w:t>Sustainability</w:t>
      </w:r>
      <w:r>
        <w:rPr>
          <w:rFonts w:cs="Times New Roman"/>
          <w:color w:val="222222"/>
          <w:szCs w:val="24"/>
          <w:shd w:val="clear" w:color="auto" w:fill="FFFFFF"/>
        </w:rPr>
        <w:t>, </w:t>
      </w:r>
      <w:r>
        <w:rPr>
          <w:rFonts w:cs="Times New Roman"/>
          <w:i/>
          <w:iCs/>
          <w:color w:val="222222"/>
          <w:szCs w:val="24"/>
          <w:shd w:val="clear" w:color="auto" w:fill="FFFFFF"/>
        </w:rPr>
        <w:t>16</w:t>
      </w:r>
      <w:r>
        <w:rPr>
          <w:rFonts w:cs="Times New Roman"/>
          <w:color w:val="222222"/>
          <w:szCs w:val="24"/>
          <w:shd w:val="clear" w:color="auto" w:fill="FFFFFF"/>
        </w:rPr>
        <w:t xml:space="preserve">(11), p.4594. </w:t>
      </w:r>
      <w:r>
        <w:fldChar w:fldCharType="begin"/>
      </w:r>
      <w:r>
        <w:instrText xml:space="preserve"> HYPERLINK "https://www.mdpi.com/2071-1050/16/11/4594" </w:instrText>
      </w:r>
      <w:r>
        <w:fldChar w:fldCharType="separate"/>
      </w:r>
      <w:r>
        <w:rPr>
          <w:rStyle w:val="16"/>
          <w:rFonts w:cs="Times New Roman"/>
          <w:szCs w:val="24"/>
          <w:shd w:val="clear" w:color="auto" w:fill="FFFFFF"/>
        </w:rPr>
        <w:t>https://www.mdpi.com/2071-1050/16/11/4594</w:t>
      </w:r>
      <w:r>
        <w:rPr>
          <w:rStyle w:val="16"/>
          <w:rFonts w:cs="Times New Roman"/>
          <w:szCs w:val="24"/>
          <w:shd w:val="clear" w:color="auto" w:fill="FFFFFF"/>
        </w:rPr>
        <w:fldChar w:fldCharType="end"/>
      </w:r>
    </w:p>
    <w:p w14:paraId="7A8EA7C1">
      <w:pPr>
        <w:pStyle w:val="10"/>
        <w:spacing w:before="0" w:beforeAutospacing="0" w:after="0" w:afterAutospacing="0" w:line="360" w:lineRule="auto"/>
      </w:pPr>
      <w:r>
        <w:rPr>
          <w:color w:val="222222"/>
        </w:rPr>
        <w:t xml:space="preserve">See Wei, C. and Homer, S.T., (2025). Sustainability in emerging markets: how familiarity shapes consumer experiences in the EV industry through a consumer culture Theory perspective in Malaysia. </w:t>
      </w:r>
      <w:r>
        <w:rPr>
          <w:i/>
          <w:iCs/>
          <w:color w:val="222222"/>
        </w:rPr>
        <w:t>Asia Pacific Business Review</w:t>
      </w:r>
      <w:r>
        <w:rPr>
          <w:color w:val="222222"/>
        </w:rPr>
        <w:t>, pp.1-24.</w:t>
      </w:r>
      <w:r>
        <w:rPr>
          <w:color w:val="000000"/>
        </w:rPr>
        <w:t xml:space="preserve"> </w:t>
      </w:r>
      <w:r>
        <w:fldChar w:fldCharType="begin"/>
      </w:r>
      <w:r>
        <w:instrText xml:space="preserve"> HYPERLINK "https://www.researchgate.net/profile/Stephen-Homer-2/publication/398938181_Sustainability_in_emerging_markets_how_familiarity_shapes_consumer_experiences_in_the_EV_industry_through_a_consumer_culture_Theory_perspective_in_Malaysia/links/6948ee4827359023a00edf99/Sustainability-in-emerging-markets-how-familiarity-shapes-consumer-experiences-in-the-EV-industry-through-a-consumer-culture-Theory-perspective-in-Malaysia.pdf" </w:instrText>
      </w:r>
      <w:r>
        <w:fldChar w:fldCharType="separate"/>
      </w:r>
      <w:r>
        <w:rPr>
          <w:rStyle w:val="16"/>
          <w:color w:val="1155CC"/>
        </w:rPr>
        <w:t>https://www.researchgate.net/profile/Stephen-Homer-2/publication/398938181_Sustainability_in_emerging_markets_how_familiarity_shapes_consumer_experiences_in_the_EV_industry_through_a_consumer_culture_Theory_perspective_in_Malaysia/links/6948ee4827359023a00edf99/Sustainability-in-emerging-markets-how-familiarity-shapes-consumer-experiences-in-the-EV-industry-through-a-consumer-culture-Theory-perspective-in-Malaysia.pdf</w:t>
      </w:r>
      <w:r>
        <w:rPr>
          <w:rStyle w:val="16"/>
          <w:color w:val="1155CC"/>
        </w:rPr>
        <w:fldChar w:fldCharType="end"/>
      </w:r>
      <w:r>
        <w:rPr>
          <w:color w:val="000000"/>
        </w:rPr>
        <w:t>. </w:t>
      </w:r>
    </w:p>
    <w:p w14:paraId="4DC6A0D5">
      <w:pPr>
        <w:rPr>
          <w:rFonts w:cs="Times New Roman"/>
          <w:color w:val="222222"/>
          <w:szCs w:val="24"/>
          <w:shd w:val="clear" w:color="auto" w:fill="FFFFFF"/>
        </w:rPr>
      </w:pPr>
      <w:r>
        <w:rPr>
          <w:rFonts w:cs="Times New Roman"/>
          <w:color w:val="222222"/>
          <w:szCs w:val="24"/>
          <w:shd w:val="clear" w:color="auto" w:fill="FFFFFF"/>
        </w:rPr>
        <w:t>Shah, M.A., 2024. A systematic review of electric vehicle innovations and implementation barriers. </w:t>
      </w:r>
      <w:r>
        <w:rPr>
          <w:rFonts w:cs="Times New Roman"/>
          <w:i/>
          <w:iCs/>
          <w:color w:val="222222"/>
          <w:szCs w:val="24"/>
          <w:shd w:val="clear" w:color="auto" w:fill="FFFFFF"/>
        </w:rPr>
        <w:t>Journal of Engineering and Computational Intelligence Review</w:t>
      </w:r>
      <w:r>
        <w:rPr>
          <w:rFonts w:cs="Times New Roman"/>
          <w:color w:val="222222"/>
          <w:szCs w:val="24"/>
          <w:shd w:val="clear" w:color="auto" w:fill="FFFFFF"/>
        </w:rPr>
        <w:t>, </w:t>
      </w:r>
      <w:r>
        <w:rPr>
          <w:rFonts w:cs="Times New Roman"/>
          <w:i/>
          <w:iCs/>
          <w:color w:val="222222"/>
          <w:szCs w:val="24"/>
          <w:shd w:val="clear" w:color="auto" w:fill="FFFFFF"/>
        </w:rPr>
        <w:t>2</w:t>
      </w:r>
      <w:r>
        <w:rPr>
          <w:rFonts w:cs="Times New Roman"/>
          <w:color w:val="222222"/>
          <w:szCs w:val="24"/>
          <w:shd w:val="clear" w:color="auto" w:fill="FFFFFF"/>
        </w:rPr>
        <w:t xml:space="preserve">(1), pp.18-26. </w:t>
      </w:r>
      <w:r>
        <w:fldChar w:fldCharType="begin"/>
      </w:r>
      <w:r>
        <w:instrText xml:space="preserve"> HYPERLINK "https://jecir.com/index.php/jecir/article/download/17/92" </w:instrText>
      </w:r>
      <w:r>
        <w:fldChar w:fldCharType="separate"/>
      </w:r>
      <w:r>
        <w:rPr>
          <w:rStyle w:val="16"/>
          <w:rFonts w:cs="Times New Roman"/>
          <w:szCs w:val="24"/>
          <w:shd w:val="clear" w:color="auto" w:fill="FFFFFF"/>
        </w:rPr>
        <w:t>https://jecir.com/index.php/jecir/article/download/17/92</w:t>
      </w:r>
      <w:r>
        <w:rPr>
          <w:rStyle w:val="16"/>
          <w:rFonts w:cs="Times New Roman"/>
          <w:szCs w:val="24"/>
          <w:shd w:val="clear" w:color="auto" w:fill="FFFFFF"/>
        </w:rPr>
        <w:fldChar w:fldCharType="end"/>
      </w:r>
    </w:p>
    <w:p w14:paraId="5814DFD2">
      <w:pPr>
        <w:rPr>
          <w:rFonts w:cs="Times New Roman"/>
          <w:color w:val="222222"/>
          <w:szCs w:val="24"/>
          <w:shd w:val="clear" w:color="auto" w:fill="FFFFFF"/>
        </w:rPr>
      </w:pPr>
      <w:r>
        <w:rPr>
          <w:rFonts w:cs="Times New Roman"/>
          <w:color w:val="222222"/>
          <w:szCs w:val="24"/>
          <w:shd w:val="clear" w:color="auto" w:fill="FFFFFF"/>
        </w:rPr>
        <w:t>Sharma, A., Singh, D. and Misra, R., 2024. The role of positive anticipated emotions in influencing purchase intentions of battery electric cars in emerging markets. </w:t>
      </w:r>
      <w:r>
        <w:rPr>
          <w:rFonts w:cs="Times New Roman"/>
          <w:i/>
          <w:iCs/>
          <w:color w:val="222222"/>
          <w:szCs w:val="24"/>
          <w:shd w:val="clear" w:color="auto" w:fill="FFFFFF"/>
        </w:rPr>
        <w:t>Journal of International Consumer Marketing</w:t>
      </w:r>
      <w:r>
        <w:rPr>
          <w:rFonts w:cs="Times New Roman"/>
          <w:color w:val="222222"/>
          <w:szCs w:val="24"/>
          <w:shd w:val="clear" w:color="auto" w:fill="FFFFFF"/>
        </w:rPr>
        <w:t>, </w:t>
      </w:r>
      <w:r>
        <w:rPr>
          <w:rFonts w:cs="Times New Roman"/>
          <w:i/>
          <w:iCs/>
          <w:color w:val="222222"/>
          <w:szCs w:val="24"/>
          <w:shd w:val="clear" w:color="auto" w:fill="FFFFFF"/>
        </w:rPr>
        <w:t>36</w:t>
      </w:r>
      <w:r>
        <w:rPr>
          <w:rFonts w:cs="Times New Roman"/>
          <w:color w:val="222222"/>
          <w:szCs w:val="24"/>
          <w:shd w:val="clear" w:color="auto" w:fill="FFFFFF"/>
        </w:rPr>
        <w:t xml:space="preserve">(2), pp.132-150. </w:t>
      </w:r>
      <w:r>
        <w:fldChar w:fldCharType="begin"/>
      </w:r>
      <w:r>
        <w:instrText xml:space="preserve"> HYPERLINK "https://www.tandfonline.com/doi/abs/10.1080/08961530.2023.2215464" </w:instrText>
      </w:r>
      <w:r>
        <w:fldChar w:fldCharType="separate"/>
      </w:r>
      <w:r>
        <w:rPr>
          <w:rStyle w:val="16"/>
          <w:rFonts w:cs="Times New Roman"/>
          <w:szCs w:val="24"/>
          <w:shd w:val="clear" w:color="auto" w:fill="FFFFFF"/>
        </w:rPr>
        <w:t>https://www.tandfonline.com/doi/abs/10.1080/08961530.2023.2215464</w:t>
      </w:r>
      <w:r>
        <w:rPr>
          <w:rStyle w:val="16"/>
          <w:rFonts w:cs="Times New Roman"/>
          <w:szCs w:val="24"/>
          <w:shd w:val="clear" w:color="auto" w:fill="FFFFFF"/>
        </w:rPr>
        <w:fldChar w:fldCharType="end"/>
      </w:r>
    </w:p>
    <w:p w14:paraId="33DB7054">
      <w:pPr>
        <w:pStyle w:val="10"/>
        <w:spacing w:before="0" w:beforeAutospacing="0" w:after="0" w:afterAutospacing="0" w:line="360" w:lineRule="auto"/>
      </w:pPr>
      <w:r>
        <w:rPr>
          <w:color w:val="222222"/>
        </w:rPr>
        <w:t xml:space="preserve">Song, Y., </w:t>
      </w:r>
      <w:r>
        <w:rPr>
          <w:color w:val="222222"/>
        </w:rPr>
        <w:t>Supasettaysa</w:t>
      </w:r>
      <w:r>
        <w:rPr>
          <w:color w:val="222222"/>
        </w:rPr>
        <w:t xml:space="preserve">, G. and </w:t>
      </w:r>
      <w:r>
        <w:rPr>
          <w:color w:val="222222"/>
        </w:rPr>
        <w:t>Ratchatakulpat</w:t>
      </w:r>
      <w:r>
        <w:rPr>
          <w:color w:val="222222"/>
        </w:rPr>
        <w:t xml:space="preserve">, T., (2025). Influence of Marketing Communication on Purchase Intention of the Luxury Electric Vehicles in China: Mediating Role of Consumer Brand Preference and Perceived Value. </w:t>
      </w:r>
      <w:r>
        <w:rPr>
          <w:i/>
          <w:iCs/>
          <w:color w:val="222222"/>
        </w:rPr>
        <w:t>Journal of Logistics, Informatics and Service Science</w:t>
      </w:r>
      <w:r>
        <w:rPr>
          <w:color w:val="222222"/>
        </w:rPr>
        <w:t xml:space="preserve">, </w:t>
      </w:r>
      <w:r>
        <w:rPr>
          <w:i/>
          <w:iCs/>
          <w:color w:val="222222"/>
        </w:rPr>
        <w:t>12</w:t>
      </w:r>
      <w:r>
        <w:rPr>
          <w:color w:val="222222"/>
        </w:rPr>
        <w:t>(2), pp.293-316.</w:t>
      </w:r>
      <w:r>
        <w:rPr>
          <w:color w:val="000000"/>
        </w:rPr>
        <w:t xml:space="preserve"> </w:t>
      </w:r>
      <w:r>
        <w:fldChar w:fldCharType="begin"/>
      </w:r>
      <w:r>
        <w:instrText xml:space="preserve"> HYPERLINK "https://www.aasmr.org/liss/Vol.12/No.2/Vol.12.No.2.18.pdf" </w:instrText>
      </w:r>
      <w:r>
        <w:fldChar w:fldCharType="separate"/>
      </w:r>
      <w:r>
        <w:rPr>
          <w:rStyle w:val="16"/>
          <w:color w:val="1155CC"/>
        </w:rPr>
        <w:t>https://www.aasmr.org/liss/Vol.12/No.2/Vol.12.No.2.18.pdf</w:t>
      </w:r>
      <w:r>
        <w:rPr>
          <w:rStyle w:val="16"/>
          <w:color w:val="1155CC"/>
        </w:rPr>
        <w:fldChar w:fldCharType="end"/>
      </w:r>
      <w:r>
        <w:rPr>
          <w:color w:val="000000"/>
        </w:rPr>
        <w:t>. </w:t>
      </w:r>
    </w:p>
    <w:p w14:paraId="047115B8">
      <w:pPr>
        <w:pStyle w:val="10"/>
        <w:spacing w:before="0" w:beforeAutospacing="0" w:after="240" w:afterAutospacing="0" w:line="360" w:lineRule="auto"/>
        <w:rPr>
          <w:color w:val="222222"/>
          <w:shd w:val="clear" w:color="auto" w:fill="FFFFFF"/>
        </w:rPr>
      </w:pPr>
      <w:r>
        <w:rPr>
          <w:color w:val="222222"/>
          <w:shd w:val="clear" w:color="auto" w:fill="FFFFFF"/>
        </w:rPr>
        <w:t xml:space="preserve">Song, Y., </w:t>
      </w:r>
      <w:r>
        <w:rPr>
          <w:color w:val="222222"/>
          <w:shd w:val="clear" w:color="auto" w:fill="FFFFFF"/>
        </w:rPr>
        <w:t>Supasettaysa</w:t>
      </w:r>
      <w:r>
        <w:rPr>
          <w:color w:val="222222"/>
          <w:shd w:val="clear" w:color="auto" w:fill="FFFFFF"/>
        </w:rPr>
        <w:t xml:space="preserve">, G. and </w:t>
      </w:r>
      <w:r>
        <w:rPr>
          <w:color w:val="222222"/>
          <w:shd w:val="clear" w:color="auto" w:fill="FFFFFF"/>
        </w:rPr>
        <w:t>Ratchatakulpat</w:t>
      </w:r>
      <w:r>
        <w:rPr>
          <w:color w:val="222222"/>
          <w:shd w:val="clear" w:color="auto" w:fill="FFFFFF"/>
        </w:rPr>
        <w:t>, T., 2025. Influence of Marketing Communication on Purchase Intention of the Luxury Electric Vehicles in China: Mediating Role of Consumer Brand Preference and Perceived Value. </w:t>
      </w:r>
      <w:r>
        <w:rPr>
          <w:i/>
          <w:iCs/>
          <w:color w:val="222222"/>
          <w:shd w:val="clear" w:color="auto" w:fill="FFFFFF"/>
        </w:rPr>
        <w:t>Journal of Logistics, Informatics and Service Science</w:t>
      </w:r>
      <w:r>
        <w:rPr>
          <w:color w:val="222222"/>
          <w:shd w:val="clear" w:color="auto" w:fill="FFFFFF"/>
        </w:rPr>
        <w:t>, </w:t>
      </w:r>
      <w:r>
        <w:rPr>
          <w:i/>
          <w:iCs/>
          <w:color w:val="222222"/>
          <w:shd w:val="clear" w:color="auto" w:fill="FFFFFF"/>
        </w:rPr>
        <w:t>12</w:t>
      </w:r>
      <w:r>
        <w:rPr>
          <w:color w:val="222222"/>
          <w:shd w:val="clear" w:color="auto" w:fill="FFFFFF"/>
        </w:rPr>
        <w:t xml:space="preserve">(2), pp.293-316. </w:t>
      </w:r>
      <w:r>
        <w:fldChar w:fldCharType="begin"/>
      </w:r>
      <w:r>
        <w:instrText xml:space="preserve"> HYPERLINK "https://www.aasmr.org/liss/Vol.12/No.2/Vol.12.No.2.18.pdf" </w:instrText>
      </w:r>
      <w:r>
        <w:fldChar w:fldCharType="separate"/>
      </w:r>
      <w:r>
        <w:rPr>
          <w:rStyle w:val="16"/>
          <w:shd w:val="clear" w:color="auto" w:fill="FFFFFF"/>
        </w:rPr>
        <w:t>https://www.aasmr.org/liss/Vol.12/No.2/Vol.12.No.2.18.pdf</w:t>
      </w:r>
      <w:r>
        <w:rPr>
          <w:rStyle w:val="16"/>
          <w:shd w:val="clear" w:color="auto" w:fill="FFFFFF"/>
        </w:rPr>
        <w:fldChar w:fldCharType="end"/>
      </w:r>
    </w:p>
    <w:p w14:paraId="015AE719">
      <w:pPr>
        <w:pStyle w:val="10"/>
        <w:spacing w:before="0" w:beforeAutospacing="0" w:after="0" w:afterAutospacing="0" w:line="360" w:lineRule="auto"/>
      </w:pPr>
      <w:r>
        <w:rPr>
          <w:color w:val="222222"/>
        </w:rPr>
        <w:t xml:space="preserve">Squire, C.M., </w:t>
      </w:r>
      <w:r>
        <w:rPr>
          <w:color w:val="222222"/>
        </w:rPr>
        <w:t>Giombi</w:t>
      </w:r>
      <w:r>
        <w:rPr>
          <w:color w:val="222222"/>
        </w:rPr>
        <w:t xml:space="preserve">, K.C., Rupert, D.J., </w:t>
      </w:r>
      <w:r>
        <w:rPr>
          <w:color w:val="222222"/>
        </w:rPr>
        <w:t>Amoozegar</w:t>
      </w:r>
      <w:r>
        <w:rPr>
          <w:color w:val="222222"/>
        </w:rPr>
        <w:t xml:space="preserve">, J. and Williams, P., (2024). Determining an appropriate sample size for qualitative interviews to achieve true and near code saturation: Secondary analysis of data. </w:t>
      </w:r>
      <w:r>
        <w:rPr>
          <w:i/>
          <w:iCs/>
          <w:color w:val="222222"/>
        </w:rPr>
        <w:t>Journal of Medical Internet Research</w:t>
      </w:r>
      <w:r>
        <w:rPr>
          <w:color w:val="222222"/>
        </w:rPr>
        <w:t xml:space="preserve">, </w:t>
      </w:r>
      <w:r>
        <w:rPr>
          <w:i/>
          <w:iCs/>
          <w:color w:val="222222"/>
        </w:rPr>
        <w:t>26</w:t>
      </w:r>
      <w:r>
        <w:rPr>
          <w:color w:val="222222"/>
        </w:rPr>
        <w:t>, p.e52998.</w:t>
      </w:r>
      <w:r>
        <w:rPr>
          <w:color w:val="000000"/>
        </w:rPr>
        <w:t xml:space="preserve"> </w:t>
      </w:r>
      <w:r>
        <w:fldChar w:fldCharType="begin"/>
      </w:r>
      <w:r>
        <w:instrText xml:space="preserve"> HYPERLINK "https://www.jmir.org/2024/1/e52998/" </w:instrText>
      </w:r>
      <w:r>
        <w:fldChar w:fldCharType="separate"/>
      </w:r>
      <w:r>
        <w:rPr>
          <w:rStyle w:val="16"/>
          <w:color w:val="1155CC"/>
        </w:rPr>
        <w:t>https://www.jmir.org/2024/1/e52998/</w:t>
      </w:r>
      <w:r>
        <w:rPr>
          <w:rStyle w:val="16"/>
          <w:color w:val="1155CC"/>
        </w:rPr>
        <w:fldChar w:fldCharType="end"/>
      </w:r>
      <w:r>
        <w:rPr>
          <w:color w:val="000000"/>
        </w:rPr>
        <w:t>. </w:t>
      </w:r>
    </w:p>
    <w:p w14:paraId="176066DA">
      <w:pPr>
        <w:pStyle w:val="10"/>
        <w:spacing w:before="0" w:beforeAutospacing="0" w:after="0" w:afterAutospacing="0" w:line="360" w:lineRule="auto"/>
      </w:pPr>
      <w:r>
        <w:rPr>
          <w:color w:val="000000"/>
        </w:rPr>
        <w:t xml:space="preserve">Statista (2025) India's EV Adoption in </w:t>
      </w:r>
      <w:r>
        <w:rPr>
          <w:color w:val="000000"/>
        </w:rPr>
        <w:t>Reverse?,</w:t>
      </w:r>
      <w:r>
        <w:rPr>
          <w:color w:val="000000"/>
        </w:rPr>
        <w:t xml:space="preserve"> Available at: </w:t>
      </w:r>
      <w:r>
        <w:fldChar w:fldCharType="begin"/>
      </w:r>
      <w:r>
        <w:instrText xml:space="preserve"> HYPERLINK "https://www.statista.com/chart/31486/electric-vehicle-sales-in-india-by-year-and-type/?srsltid=AfmBOop3PgDt4MdNCf-ELfcgmoqiriZseEwFyOAIQV6ctMxkZWZJ4xOu" </w:instrText>
      </w:r>
      <w:r>
        <w:fldChar w:fldCharType="separate"/>
      </w:r>
      <w:r>
        <w:rPr>
          <w:rStyle w:val="16"/>
          <w:color w:val="1155CC"/>
        </w:rPr>
        <w:t>https://www.statista.com/chart/31486/electric-vehicle-sales-in-india-by-year-and-type/?srsltid=AfmBOop3PgDt4MdNCf-ELfcgmoqiriZseEwFyOAIQV6ctMxkZWZJ4xOu</w:t>
      </w:r>
      <w:r>
        <w:rPr>
          <w:rStyle w:val="16"/>
          <w:color w:val="1155CC"/>
        </w:rPr>
        <w:fldChar w:fldCharType="end"/>
      </w:r>
      <w:r>
        <w:rPr>
          <w:color w:val="000000"/>
        </w:rPr>
        <w:t>. [Accessed on 27.08.2026]</w:t>
      </w:r>
    </w:p>
    <w:p w14:paraId="68567895">
      <w:pPr>
        <w:pStyle w:val="10"/>
        <w:spacing w:before="0" w:beforeAutospacing="0" w:after="0" w:afterAutospacing="0" w:line="360" w:lineRule="auto"/>
      </w:pPr>
      <w:r>
        <w:rPr>
          <w:color w:val="222222"/>
        </w:rPr>
        <w:t xml:space="preserve">Sun, Z. and Lee, B., (2024). Exploring factors influencing electric vehicle purchase intentions through an Extended Technology Acceptance Model. </w:t>
      </w:r>
      <w:r>
        <w:rPr>
          <w:i/>
          <w:iCs/>
          <w:color w:val="222222"/>
        </w:rPr>
        <w:t>Vehicles</w:t>
      </w:r>
      <w:r>
        <w:rPr>
          <w:color w:val="222222"/>
        </w:rPr>
        <w:t xml:space="preserve">, </w:t>
      </w:r>
      <w:r>
        <w:rPr>
          <w:i/>
          <w:iCs/>
          <w:color w:val="222222"/>
        </w:rPr>
        <w:t>6</w:t>
      </w:r>
      <w:r>
        <w:rPr>
          <w:color w:val="222222"/>
        </w:rPr>
        <w:t>(3), pp.1513-1544.</w:t>
      </w:r>
      <w:r>
        <w:rPr>
          <w:color w:val="000000"/>
        </w:rPr>
        <w:t xml:space="preserve"> </w:t>
      </w:r>
      <w:r>
        <w:fldChar w:fldCharType="begin"/>
      </w:r>
      <w:r>
        <w:instrText xml:space="preserve"> HYPERLINK "https://www.mdpi.com/2624-8921/6/3/72" </w:instrText>
      </w:r>
      <w:r>
        <w:fldChar w:fldCharType="separate"/>
      </w:r>
      <w:r>
        <w:rPr>
          <w:rStyle w:val="16"/>
          <w:color w:val="1155CC"/>
        </w:rPr>
        <w:t>https://www.mdpi.com/2624-8921/6/3/72</w:t>
      </w:r>
      <w:r>
        <w:rPr>
          <w:rStyle w:val="16"/>
          <w:color w:val="1155CC"/>
        </w:rPr>
        <w:fldChar w:fldCharType="end"/>
      </w:r>
      <w:r>
        <w:rPr>
          <w:color w:val="000000"/>
        </w:rPr>
        <w:t>. </w:t>
      </w:r>
    </w:p>
    <w:p w14:paraId="585CEB18">
      <w:pPr>
        <w:pStyle w:val="10"/>
        <w:spacing w:before="0" w:beforeAutospacing="0" w:after="240" w:afterAutospacing="0" w:line="360" w:lineRule="auto"/>
        <w:rPr>
          <w:color w:val="222222"/>
          <w:shd w:val="clear" w:color="auto" w:fill="FFFFFF"/>
        </w:rPr>
      </w:pPr>
      <w:r>
        <w:rPr>
          <w:color w:val="222222"/>
          <w:shd w:val="clear" w:color="auto" w:fill="FFFFFF"/>
        </w:rPr>
        <w:t>Sun, Z. and Lee, B., 2024. Exploring factors influencing electric vehicle purchase intentions through an Extended Technology Acceptance Model. </w:t>
      </w:r>
      <w:r>
        <w:rPr>
          <w:i/>
          <w:iCs/>
          <w:color w:val="222222"/>
          <w:shd w:val="clear" w:color="auto" w:fill="FFFFFF"/>
        </w:rPr>
        <w:t>Vehicles</w:t>
      </w:r>
      <w:r>
        <w:rPr>
          <w:color w:val="222222"/>
          <w:shd w:val="clear" w:color="auto" w:fill="FFFFFF"/>
        </w:rPr>
        <w:t>, </w:t>
      </w:r>
      <w:r>
        <w:rPr>
          <w:i/>
          <w:iCs/>
          <w:color w:val="222222"/>
          <w:shd w:val="clear" w:color="auto" w:fill="FFFFFF"/>
        </w:rPr>
        <w:t>6</w:t>
      </w:r>
      <w:r>
        <w:rPr>
          <w:color w:val="222222"/>
          <w:shd w:val="clear" w:color="auto" w:fill="FFFFFF"/>
        </w:rPr>
        <w:t xml:space="preserve">(3), pp.1513-1544. </w:t>
      </w:r>
      <w:r>
        <w:fldChar w:fldCharType="begin"/>
      </w:r>
      <w:r>
        <w:instrText xml:space="preserve"> HYPERLINK "https://www.mdpi.com/2624-8921/6/3/72" </w:instrText>
      </w:r>
      <w:r>
        <w:fldChar w:fldCharType="separate"/>
      </w:r>
      <w:r>
        <w:rPr>
          <w:rStyle w:val="16"/>
          <w:shd w:val="clear" w:color="auto" w:fill="FFFFFF"/>
        </w:rPr>
        <w:t>https://www.mdpi.com/2624-8921/6/3/72</w:t>
      </w:r>
      <w:r>
        <w:rPr>
          <w:rStyle w:val="16"/>
          <w:shd w:val="clear" w:color="auto" w:fill="FFFFFF"/>
        </w:rPr>
        <w:fldChar w:fldCharType="end"/>
      </w:r>
    </w:p>
    <w:p w14:paraId="7FB3DCB8">
      <w:pPr>
        <w:rPr>
          <w:rFonts w:cs="Times New Roman"/>
          <w:color w:val="222222"/>
          <w:szCs w:val="24"/>
          <w:shd w:val="clear" w:color="auto" w:fill="FFFFFF"/>
        </w:rPr>
      </w:pPr>
      <w:r>
        <w:rPr>
          <w:rFonts w:cs="Times New Roman"/>
          <w:color w:val="222222"/>
          <w:szCs w:val="24"/>
          <w:shd w:val="clear" w:color="auto" w:fill="FFFFFF"/>
        </w:rPr>
        <w:t>Suvittawat</w:t>
      </w:r>
      <w:r>
        <w:rPr>
          <w:rFonts w:cs="Times New Roman"/>
          <w:color w:val="222222"/>
          <w:szCs w:val="24"/>
          <w:shd w:val="clear" w:color="auto" w:fill="FFFFFF"/>
        </w:rPr>
        <w:t xml:space="preserve">, A., 2024. Exploring the relationship between supply chain agility, consumer and electric vehicle characteristics, and purchase intentions in Thailand: A Structural equation </w:t>
      </w:r>
      <w:r>
        <w:rPr>
          <w:rFonts w:cs="Times New Roman"/>
          <w:color w:val="222222"/>
          <w:szCs w:val="24"/>
          <w:shd w:val="clear" w:color="auto" w:fill="FFFFFF"/>
        </w:rPr>
        <w:t>modeling</w:t>
      </w:r>
      <w:r>
        <w:rPr>
          <w:rFonts w:cs="Times New Roman"/>
          <w:color w:val="222222"/>
          <w:szCs w:val="24"/>
          <w:shd w:val="clear" w:color="auto" w:fill="FFFFFF"/>
        </w:rPr>
        <w:t xml:space="preserve"> approach. </w:t>
      </w:r>
      <w:r>
        <w:rPr>
          <w:rFonts w:cs="Times New Roman"/>
          <w:i/>
          <w:iCs/>
          <w:color w:val="222222"/>
          <w:szCs w:val="24"/>
          <w:shd w:val="clear" w:color="auto" w:fill="FFFFFF"/>
        </w:rPr>
        <w:t>World Electric Vehicle Journal</w:t>
      </w:r>
      <w:r>
        <w:rPr>
          <w:rFonts w:cs="Times New Roman"/>
          <w:color w:val="222222"/>
          <w:szCs w:val="24"/>
          <w:shd w:val="clear" w:color="auto" w:fill="FFFFFF"/>
        </w:rPr>
        <w:t>, </w:t>
      </w:r>
      <w:r>
        <w:rPr>
          <w:rFonts w:cs="Times New Roman"/>
          <w:i/>
          <w:iCs/>
          <w:color w:val="222222"/>
          <w:szCs w:val="24"/>
          <w:shd w:val="clear" w:color="auto" w:fill="FFFFFF"/>
        </w:rPr>
        <w:t>15</w:t>
      </w:r>
      <w:r>
        <w:rPr>
          <w:rFonts w:cs="Times New Roman"/>
          <w:color w:val="222222"/>
          <w:szCs w:val="24"/>
          <w:shd w:val="clear" w:color="auto" w:fill="FFFFFF"/>
        </w:rPr>
        <w:t xml:space="preserve">(7), p.294. </w:t>
      </w:r>
      <w:r>
        <w:fldChar w:fldCharType="begin"/>
      </w:r>
      <w:r>
        <w:instrText xml:space="preserve"> HYPERLINK "https://www.mdpi.com/2032-6653/15/7/294" </w:instrText>
      </w:r>
      <w:r>
        <w:fldChar w:fldCharType="separate"/>
      </w:r>
      <w:r>
        <w:rPr>
          <w:rStyle w:val="16"/>
          <w:rFonts w:cs="Times New Roman"/>
          <w:szCs w:val="24"/>
          <w:shd w:val="clear" w:color="auto" w:fill="FFFFFF"/>
        </w:rPr>
        <w:t>https://www.mdpi.com/2032-6653/15/7/294</w:t>
      </w:r>
      <w:r>
        <w:rPr>
          <w:rStyle w:val="16"/>
          <w:rFonts w:cs="Times New Roman"/>
          <w:szCs w:val="24"/>
          <w:shd w:val="clear" w:color="auto" w:fill="FFFFFF"/>
        </w:rPr>
        <w:fldChar w:fldCharType="end"/>
      </w:r>
    </w:p>
    <w:p w14:paraId="3227795A">
      <w:pPr>
        <w:pStyle w:val="10"/>
        <w:spacing w:before="0" w:beforeAutospacing="0" w:after="0" w:afterAutospacing="0" w:line="360" w:lineRule="auto"/>
      </w:pPr>
      <w:r>
        <w:rPr>
          <w:color w:val="222222"/>
        </w:rPr>
        <w:t xml:space="preserve">Swain, M.P., (2025). Ethical Dilemmas in Research: A Systematic Review. </w:t>
      </w:r>
      <w:r>
        <w:rPr>
          <w:i/>
          <w:iCs/>
          <w:color w:val="222222"/>
        </w:rPr>
        <w:t>AG Volumes</w:t>
      </w:r>
      <w:r>
        <w:rPr>
          <w:color w:val="222222"/>
        </w:rPr>
        <w:t>, pp.23-30.</w:t>
      </w:r>
      <w:r>
        <w:rPr>
          <w:color w:val="000000"/>
        </w:rPr>
        <w:t xml:space="preserve"> </w:t>
      </w:r>
      <w:r>
        <w:fldChar w:fldCharType="begin"/>
      </w:r>
      <w:r>
        <w:instrText xml:space="preserve"> HYPERLINK "https://agvolumes.com/Books-AG/index.php/AGvolumes/article/download/319/318" </w:instrText>
      </w:r>
      <w:r>
        <w:fldChar w:fldCharType="separate"/>
      </w:r>
      <w:r>
        <w:rPr>
          <w:rStyle w:val="16"/>
          <w:color w:val="1155CC"/>
        </w:rPr>
        <w:t>https://agvolumes.com/Books-AG/index.php/AGvolumes/article/download/319/318</w:t>
      </w:r>
      <w:r>
        <w:rPr>
          <w:rStyle w:val="16"/>
          <w:color w:val="1155CC"/>
        </w:rPr>
        <w:fldChar w:fldCharType="end"/>
      </w:r>
      <w:r>
        <w:rPr>
          <w:color w:val="000000"/>
        </w:rPr>
        <w:t>. </w:t>
      </w:r>
    </w:p>
    <w:p w14:paraId="2F674AF0">
      <w:pPr>
        <w:rPr>
          <w:rFonts w:cs="Times New Roman"/>
          <w:color w:val="222222"/>
          <w:szCs w:val="24"/>
          <w:shd w:val="clear" w:color="auto" w:fill="FFFFFF"/>
        </w:rPr>
      </w:pPr>
      <w:r>
        <w:rPr>
          <w:rFonts w:cs="Times New Roman"/>
          <w:color w:val="222222"/>
          <w:szCs w:val="24"/>
          <w:shd w:val="clear" w:color="auto" w:fill="FFFFFF"/>
        </w:rPr>
        <w:t>Thakur, A., Krishnan K, J. and Ansari, A., 2025. Powering the transition: examining factors influencing the intention to adopt electric vehicles. </w:t>
      </w:r>
      <w:r>
        <w:rPr>
          <w:rFonts w:cs="Times New Roman"/>
          <w:i/>
          <w:iCs/>
          <w:color w:val="222222"/>
          <w:szCs w:val="24"/>
          <w:shd w:val="clear" w:color="auto" w:fill="FFFFFF"/>
        </w:rPr>
        <w:t>Smart and Sustainable Built Environment</w:t>
      </w:r>
      <w:r>
        <w:rPr>
          <w:rFonts w:cs="Times New Roman"/>
          <w:color w:val="222222"/>
          <w:szCs w:val="24"/>
          <w:shd w:val="clear" w:color="auto" w:fill="FFFFFF"/>
        </w:rPr>
        <w:t>, </w:t>
      </w:r>
      <w:r>
        <w:rPr>
          <w:rFonts w:cs="Times New Roman"/>
          <w:i/>
          <w:iCs/>
          <w:color w:val="222222"/>
          <w:szCs w:val="24"/>
          <w:shd w:val="clear" w:color="auto" w:fill="FFFFFF"/>
        </w:rPr>
        <w:t>14</w:t>
      </w:r>
      <w:r>
        <w:rPr>
          <w:rFonts w:cs="Times New Roman"/>
          <w:color w:val="222222"/>
          <w:szCs w:val="24"/>
          <w:shd w:val="clear" w:color="auto" w:fill="FFFFFF"/>
        </w:rPr>
        <w:t xml:space="preserve">(2), pp.471-488. </w:t>
      </w:r>
      <w:r>
        <w:fldChar w:fldCharType="begin"/>
      </w:r>
      <w:r>
        <w:instrText xml:space="preserve"> HYPERLINK "https://www.emerald.com/sasbe/article/14/2/471/1240877" </w:instrText>
      </w:r>
      <w:r>
        <w:fldChar w:fldCharType="separate"/>
      </w:r>
      <w:r>
        <w:rPr>
          <w:rStyle w:val="16"/>
          <w:rFonts w:cs="Times New Roman"/>
          <w:szCs w:val="24"/>
          <w:shd w:val="clear" w:color="auto" w:fill="FFFFFF"/>
        </w:rPr>
        <w:t>https://www.emerald.com/sasbe/article/14/2/471/1240877</w:t>
      </w:r>
      <w:r>
        <w:rPr>
          <w:rStyle w:val="16"/>
          <w:rFonts w:cs="Times New Roman"/>
          <w:szCs w:val="24"/>
          <w:shd w:val="clear" w:color="auto" w:fill="FFFFFF"/>
        </w:rPr>
        <w:fldChar w:fldCharType="end"/>
      </w:r>
    </w:p>
    <w:p w14:paraId="28B2997A">
      <w:pPr>
        <w:pStyle w:val="10"/>
        <w:spacing w:before="0" w:beforeAutospacing="0" w:after="240" w:afterAutospacing="0" w:line="360" w:lineRule="auto"/>
        <w:rPr>
          <w:color w:val="222222"/>
          <w:shd w:val="clear" w:color="auto" w:fill="FFFFFF"/>
        </w:rPr>
      </w:pPr>
      <w:r>
        <w:rPr>
          <w:color w:val="222222"/>
          <w:shd w:val="clear" w:color="auto" w:fill="FFFFFF"/>
        </w:rPr>
        <w:t xml:space="preserve">Tsai, C.M., Kao, W.Y. and Liu, W.C., 2025. Navigating sustainable mobility in </w:t>
      </w:r>
      <w:r>
        <w:rPr>
          <w:color w:val="222222"/>
          <w:shd w:val="clear" w:color="auto" w:fill="FFFFFF"/>
        </w:rPr>
        <w:t>taiwan</w:t>
      </w:r>
      <w:r>
        <w:rPr>
          <w:color w:val="222222"/>
          <w:shd w:val="clear" w:color="auto" w:fill="FFFFFF"/>
        </w:rPr>
        <w:t>: exploring the Brand-Specific effects of perceived green attributes on the green purchase intention for battery electric vehicles. </w:t>
      </w:r>
      <w:r>
        <w:rPr>
          <w:i/>
          <w:iCs/>
          <w:color w:val="222222"/>
          <w:shd w:val="clear" w:color="auto" w:fill="FFFFFF"/>
        </w:rPr>
        <w:t>Sustainability</w:t>
      </w:r>
      <w:r>
        <w:rPr>
          <w:color w:val="222222"/>
          <w:shd w:val="clear" w:color="auto" w:fill="FFFFFF"/>
        </w:rPr>
        <w:t>, </w:t>
      </w:r>
      <w:r>
        <w:rPr>
          <w:i/>
          <w:iCs/>
          <w:color w:val="222222"/>
          <w:shd w:val="clear" w:color="auto" w:fill="FFFFFF"/>
        </w:rPr>
        <w:t>17</w:t>
      </w:r>
      <w:r>
        <w:rPr>
          <w:color w:val="222222"/>
          <w:shd w:val="clear" w:color="auto" w:fill="FFFFFF"/>
        </w:rPr>
        <w:t xml:space="preserve">(3), p.985. </w:t>
      </w:r>
      <w:r>
        <w:fldChar w:fldCharType="begin"/>
      </w:r>
      <w:r>
        <w:instrText xml:space="preserve"> HYPERLINK "https://www.mdpi.com/2071-1050/17/3/985" </w:instrText>
      </w:r>
      <w:r>
        <w:fldChar w:fldCharType="separate"/>
      </w:r>
      <w:r>
        <w:rPr>
          <w:rStyle w:val="16"/>
          <w:shd w:val="clear" w:color="auto" w:fill="FFFFFF"/>
        </w:rPr>
        <w:t>https://www.mdpi.com/2071-1050/17/3/985</w:t>
      </w:r>
      <w:r>
        <w:rPr>
          <w:rStyle w:val="16"/>
          <w:shd w:val="clear" w:color="auto" w:fill="FFFFFF"/>
        </w:rPr>
        <w:fldChar w:fldCharType="end"/>
      </w:r>
    </w:p>
    <w:p w14:paraId="66B6B150">
      <w:pPr>
        <w:rPr>
          <w:rFonts w:cs="Times New Roman"/>
          <w:color w:val="222222"/>
          <w:szCs w:val="24"/>
          <w:shd w:val="clear" w:color="auto" w:fill="FFFFFF"/>
        </w:rPr>
      </w:pPr>
      <w:r>
        <w:rPr>
          <w:rFonts w:cs="Times New Roman"/>
          <w:color w:val="222222"/>
          <w:szCs w:val="24"/>
          <w:shd w:val="clear" w:color="auto" w:fill="FFFFFF"/>
        </w:rPr>
        <w:t>Vătămănescu</w:t>
      </w:r>
      <w:r>
        <w:rPr>
          <w:rFonts w:cs="Times New Roman"/>
          <w:color w:val="222222"/>
          <w:szCs w:val="24"/>
          <w:shd w:val="clear" w:color="auto" w:fill="FFFFFF"/>
        </w:rPr>
        <w:t>, E.M., Dincă, V.M., Cegarra-Navarro, J.G., Gazzola, P. and Amelio, S., 2025. Individuals’ behavioural intention to use car sharing (CS): from environmental consciousness to socio-psychological drivers. </w:t>
      </w:r>
      <w:r>
        <w:rPr>
          <w:rFonts w:cs="Times New Roman"/>
          <w:i/>
          <w:iCs/>
          <w:color w:val="222222"/>
          <w:szCs w:val="24"/>
          <w:shd w:val="clear" w:color="auto" w:fill="FFFFFF"/>
        </w:rPr>
        <w:t>EuroMed</w:t>
      </w:r>
      <w:r>
        <w:rPr>
          <w:rFonts w:cs="Times New Roman"/>
          <w:i/>
          <w:iCs/>
          <w:color w:val="222222"/>
          <w:szCs w:val="24"/>
          <w:shd w:val="clear" w:color="auto" w:fill="FFFFFF"/>
        </w:rPr>
        <w:t xml:space="preserve"> Journal of Business</w:t>
      </w:r>
      <w:r>
        <w:rPr>
          <w:rFonts w:cs="Times New Roman"/>
          <w:color w:val="222222"/>
          <w:szCs w:val="24"/>
          <w:shd w:val="clear" w:color="auto" w:fill="FFFFFF"/>
        </w:rPr>
        <w:t>, </w:t>
      </w:r>
      <w:r>
        <w:rPr>
          <w:rFonts w:cs="Times New Roman"/>
          <w:i/>
          <w:iCs/>
          <w:color w:val="222222"/>
          <w:szCs w:val="24"/>
          <w:shd w:val="clear" w:color="auto" w:fill="FFFFFF"/>
        </w:rPr>
        <w:t>20</w:t>
      </w:r>
      <w:r>
        <w:rPr>
          <w:rFonts w:cs="Times New Roman"/>
          <w:color w:val="222222"/>
          <w:szCs w:val="24"/>
          <w:shd w:val="clear" w:color="auto" w:fill="FFFFFF"/>
        </w:rPr>
        <w:t xml:space="preserve">(5), pp.234-257. </w:t>
      </w:r>
      <w:r>
        <w:fldChar w:fldCharType="begin"/>
      </w:r>
      <w:r>
        <w:instrText xml:space="preserve"> HYPERLINK "https://www.emerald.com/emjb/article-pdf/20/5/234/10761143/emjb-11-2024-0297en.pdf" </w:instrText>
      </w:r>
      <w:r>
        <w:fldChar w:fldCharType="separate"/>
      </w:r>
      <w:r>
        <w:rPr>
          <w:rStyle w:val="16"/>
          <w:rFonts w:cs="Times New Roman"/>
          <w:szCs w:val="24"/>
          <w:shd w:val="clear" w:color="auto" w:fill="FFFFFF"/>
        </w:rPr>
        <w:t>https://www.emerald.com/emjb/article-pdf/20/5/234/10761143/emjb-11-2024-0297en.pdf</w:t>
      </w:r>
      <w:r>
        <w:rPr>
          <w:rStyle w:val="16"/>
          <w:rFonts w:cs="Times New Roman"/>
          <w:szCs w:val="24"/>
          <w:shd w:val="clear" w:color="auto" w:fill="FFFFFF"/>
        </w:rPr>
        <w:fldChar w:fldCharType="end"/>
      </w:r>
    </w:p>
    <w:p w14:paraId="09BD3BA8">
      <w:pPr>
        <w:pStyle w:val="10"/>
        <w:spacing w:before="0" w:beforeAutospacing="0" w:after="240" w:afterAutospacing="0" w:line="360" w:lineRule="auto"/>
      </w:pPr>
      <w:r>
        <w:t xml:space="preserve">Venus, A., Schaufuss, P. and Möller, T. (2024). </w:t>
      </w:r>
      <w:r>
        <w:rPr>
          <w:i/>
          <w:iCs/>
        </w:rPr>
        <w:t>How European consumers perceive electric vehicles</w:t>
      </w:r>
      <w:r>
        <w:t>. [Online] McKinsey &amp; Company. Available at: https://www.mckinsey.com/industries/automotive-and-assembly/our-insights/how-european-consumers-perceive-electric-vehicles [Accessed 27 Aug. 2026]</w:t>
      </w:r>
    </w:p>
    <w:p w14:paraId="3BA65D98">
      <w:pPr>
        <w:pStyle w:val="10"/>
        <w:spacing w:before="0" w:beforeAutospacing="0" w:after="0" w:afterAutospacing="0" w:line="360" w:lineRule="auto"/>
      </w:pPr>
      <w:r>
        <w:rPr>
          <w:color w:val="222222"/>
        </w:rPr>
        <w:t xml:space="preserve">Verma, R., Verma, S. and Abhishek, K., (2024). </w:t>
      </w:r>
      <w:r>
        <w:rPr>
          <w:i/>
          <w:iCs/>
          <w:color w:val="222222"/>
        </w:rPr>
        <w:t>Research methodology</w:t>
      </w:r>
      <w:r>
        <w:rPr>
          <w:color w:val="222222"/>
        </w:rPr>
        <w:t xml:space="preserve">. </w:t>
      </w:r>
      <w:r>
        <w:rPr>
          <w:color w:val="222222"/>
        </w:rPr>
        <w:t>Booksclinic</w:t>
      </w:r>
      <w:r>
        <w:rPr>
          <w:color w:val="222222"/>
        </w:rPr>
        <w:t xml:space="preserve"> Publishing.</w:t>
      </w:r>
      <w:r>
        <w:rPr>
          <w:color w:val="000000"/>
        </w:rPr>
        <w:t xml:space="preserve"> </w:t>
      </w:r>
      <w:r>
        <w:fldChar w:fldCharType="begin"/>
      </w:r>
      <w:r>
        <w:instrText xml:space="preserve"> HYPERLINK "https://mail.matsuniversity.ac.in/data1/study_materials/mats_school_of_business_studies/Research%20Methodolody.pdf" </w:instrText>
      </w:r>
      <w:r>
        <w:fldChar w:fldCharType="separate"/>
      </w:r>
      <w:r>
        <w:rPr>
          <w:rStyle w:val="16"/>
          <w:color w:val="1155CC"/>
        </w:rPr>
        <w:t>https://mail.matsuniversity.ac.in/data1/study_materials/mats_school_of_business_studies/Research%20Methodolody.pdf</w:t>
      </w:r>
      <w:r>
        <w:rPr>
          <w:rStyle w:val="16"/>
          <w:color w:val="1155CC"/>
        </w:rPr>
        <w:fldChar w:fldCharType="end"/>
      </w:r>
      <w:r>
        <w:rPr>
          <w:color w:val="000000"/>
        </w:rPr>
        <w:t>. </w:t>
      </w:r>
    </w:p>
    <w:p w14:paraId="78616795">
      <w:pPr>
        <w:rPr>
          <w:rFonts w:cs="Times New Roman"/>
          <w:color w:val="222222"/>
          <w:szCs w:val="24"/>
          <w:shd w:val="clear" w:color="auto" w:fill="FFFFFF"/>
        </w:rPr>
      </w:pPr>
      <w:r>
        <w:rPr>
          <w:rFonts w:cs="Times New Roman"/>
          <w:color w:val="222222"/>
          <w:szCs w:val="24"/>
          <w:shd w:val="clear" w:color="auto" w:fill="FFFFFF"/>
        </w:rPr>
        <w:t>Wei, W., Sun, J., Miao, W., Chen, T., Sun, H., Lin, S. and Gu, C., 2024. Using the Extended Unified Theory of Acceptance and Use of Technology to explore how to increase users’ intention to take a robotaxi. </w:t>
      </w:r>
      <w:r>
        <w:rPr>
          <w:rFonts w:cs="Times New Roman"/>
          <w:i/>
          <w:iCs/>
          <w:color w:val="222222"/>
          <w:szCs w:val="24"/>
          <w:shd w:val="clear" w:color="auto" w:fill="FFFFFF"/>
        </w:rPr>
        <w:t>Humanities and Social Sciences Communications</w:t>
      </w:r>
      <w:r>
        <w:rPr>
          <w:rFonts w:cs="Times New Roman"/>
          <w:color w:val="222222"/>
          <w:szCs w:val="24"/>
          <w:shd w:val="clear" w:color="auto" w:fill="FFFFFF"/>
        </w:rPr>
        <w:t>, </w:t>
      </w:r>
      <w:r>
        <w:rPr>
          <w:rFonts w:cs="Times New Roman"/>
          <w:i/>
          <w:iCs/>
          <w:color w:val="222222"/>
          <w:szCs w:val="24"/>
          <w:shd w:val="clear" w:color="auto" w:fill="FFFFFF"/>
        </w:rPr>
        <w:t>11</w:t>
      </w:r>
      <w:r>
        <w:rPr>
          <w:rFonts w:cs="Times New Roman"/>
          <w:color w:val="222222"/>
          <w:szCs w:val="24"/>
          <w:shd w:val="clear" w:color="auto" w:fill="FFFFFF"/>
        </w:rPr>
        <w:t xml:space="preserve">(1), pp.1-14. </w:t>
      </w:r>
      <w:r>
        <w:fldChar w:fldCharType="begin"/>
      </w:r>
      <w:r>
        <w:instrText xml:space="preserve"> HYPERLINK "https://www.nature.com/articles/s41599-024-03271-3.pdf" </w:instrText>
      </w:r>
      <w:r>
        <w:fldChar w:fldCharType="separate"/>
      </w:r>
      <w:r>
        <w:rPr>
          <w:rStyle w:val="16"/>
          <w:rFonts w:cs="Times New Roman"/>
          <w:szCs w:val="24"/>
          <w:shd w:val="clear" w:color="auto" w:fill="FFFFFF"/>
        </w:rPr>
        <w:t>https://www.nature.com/articles/s41599-024-03271-3.pdf</w:t>
      </w:r>
      <w:r>
        <w:rPr>
          <w:rStyle w:val="16"/>
          <w:rFonts w:cs="Times New Roman"/>
          <w:szCs w:val="24"/>
          <w:shd w:val="clear" w:color="auto" w:fill="FFFFFF"/>
        </w:rPr>
        <w:fldChar w:fldCharType="end"/>
      </w:r>
    </w:p>
    <w:p w14:paraId="4BCFB763">
      <w:pPr>
        <w:pStyle w:val="10"/>
        <w:spacing w:before="0" w:beforeAutospacing="0" w:after="0" w:afterAutospacing="0" w:line="360" w:lineRule="auto"/>
      </w:pPr>
      <w:r>
        <w:rPr>
          <w:color w:val="222222"/>
        </w:rPr>
        <w:t xml:space="preserve">William, F.K.A., (2024). Interpretivism or constructivism: Navigating research paradigms in social science research. </w:t>
      </w:r>
      <w:r>
        <w:rPr>
          <w:i/>
          <w:iCs/>
          <w:color w:val="222222"/>
        </w:rPr>
        <w:t>International Journal of Research Publications</w:t>
      </w:r>
      <w:r>
        <w:rPr>
          <w:color w:val="222222"/>
        </w:rPr>
        <w:t xml:space="preserve">, </w:t>
      </w:r>
      <w:r>
        <w:rPr>
          <w:i/>
          <w:iCs/>
          <w:color w:val="222222"/>
        </w:rPr>
        <w:t>143</w:t>
      </w:r>
      <w:r>
        <w:rPr>
          <w:color w:val="222222"/>
        </w:rPr>
        <w:t>(1), pp.134-138.</w:t>
      </w:r>
      <w:r>
        <w:rPr>
          <w:color w:val="000000"/>
        </w:rPr>
        <w:t xml:space="preserve"> </w:t>
      </w:r>
      <w:r>
        <w:fldChar w:fldCharType="begin"/>
      </w:r>
      <w:r>
        <w:instrText xml:space="preserve"> HYPERLINK "https://www.researchgate.net/profile/Arthur-William-Fodouop-Kouam/publication/378396560_Interpretivism_or_Constructivism_Navigating_Research_Paradigms_in_Social_Science_Research/links/65d7e90dc3b52a1170ecfe70/Interpretivism-or-Constructivism-Navigating-Research-Paradigms-in-Social-Science-Research.pdf" </w:instrText>
      </w:r>
      <w:r>
        <w:fldChar w:fldCharType="separate"/>
      </w:r>
      <w:r>
        <w:rPr>
          <w:rStyle w:val="16"/>
          <w:color w:val="1155CC"/>
        </w:rPr>
        <w:t>https://www.researchgate.net/profile/Arthur-William-Fodouop-Kouam/publication/378396560_Interpretivism_or_Constructivism_Navigating_Research_Paradigms_in_Social_Science_Research/links/65d7e90dc3b52a1170ecfe70/Interpretivism-or-Constructivism-Navigating-Research-Paradigms-in-Social-Science-Research.pdf</w:t>
      </w:r>
      <w:r>
        <w:rPr>
          <w:rStyle w:val="16"/>
          <w:color w:val="1155CC"/>
        </w:rPr>
        <w:fldChar w:fldCharType="end"/>
      </w:r>
      <w:r>
        <w:rPr>
          <w:color w:val="000000"/>
        </w:rPr>
        <w:t>. </w:t>
      </w:r>
    </w:p>
    <w:p w14:paraId="7ABB3F55">
      <w:pPr>
        <w:rPr>
          <w:rFonts w:cs="Times New Roman"/>
          <w:color w:val="222222"/>
          <w:szCs w:val="24"/>
          <w:shd w:val="clear" w:color="auto" w:fill="FFFFFF"/>
        </w:rPr>
      </w:pPr>
      <w:r>
        <w:rPr>
          <w:rFonts w:cs="Times New Roman"/>
          <w:color w:val="222222"/>
          <w:szCs w:val="24"/>
          <w:shd w:val="clear" w:color="auto" w:fill="FFFFFF"/>
        </w:rPr>
        <w:t>Xue, L., Rashid, A.M. and Ouyang, S., 2024. The unified theory of acceptance and use of technology (UTAUT) in higher education: A systematic review. </w:t>
      </w:r>
      <w:r>
        <w:rPr>
          <w:rFonts w:cs="Times New Roman"/>
          <w:i/>
          <w:iCs/>
          <w:color w:val="222222"/>
          <w:szCs w:val="24"/>
          <w:shd w:val="clear" w:color="auto" w:fill="FFFFFF"/>
        </w:rPr>
        <w:t>Sage Open</w:t>
      </w:r>
      <w:r>
        <w:rPr>
          <w:rFonts w:cs="Times New Roman"/>
          <w:color w:val="222222"/>
          <w:szCs w:val="24"/>
          <w:shd w:val="clear" w:color="auto" w:fill="FFFFFF"/>
        </w:rPr>
        <w:t>, </w:t>
      </w:r>
      <w:r>
        <w:rPr>
          <w:rFonts w:cs="Times New Roman"/>
          <w:i/>
          <w:iCs/>
          <w:color w:val="222222"/>
          <w:szCs w:val="24"/>
          <w:shd w:val="clear" w:color="auto" w:fill="FFFFFF"/>
        </w:rPr>
        <w:t>14</w:t>
      </w:r>
      <w:r>
        <w:rPr>
          <w:rFonts w:cs="Times New Roman"/>
          <w:color w:val="222222"/>
          <w:szCs w:val="24"/>
          <w:shd w:val="clear" w:color="auto" w:fill="FFFFFF"/>
        </w:rPr>
        <w:t xml:space="preserve">(1), p.21582440241229570. </w:t>
      </w:r>
      <w:r>
        <w:fldChar w:fldCharType="begin"/>
      </w:r>
      <w:r>
        <w:instrText xml:space="preserve"> HYPERLINK "https://journals.sagepub.com/doi/pdf/10.1177/21582440241229570" </w:instrText>
      </w:r>
      <w:r>
        <w:fldChar w:fldCharType="separate"/>
      </w:r>
      <w:r>
        <w:rPr>
          <w:rStyle w:val="16"/>
          <w:rFonts w:cs="Times New Roman"/>
          <w:szCs w:val="24"/>
          <w:shd w:val="clear" w:color="auto" w:fill="FFFFFF"/>
        </w:rPr>
        <w:t>https://journals.sagepub.com/doi/pdf/10.1177/21582440241229570</w:t>
      </w:r>
      <w:r>
        <w:rPr>
          <w:rStyle w:val="16"/>
          <w:rFonts w:cs="Times New Roman"/>
          <w:szCs w:val="24"/>
          <w:shd w:val="clear" w:color="auto" w:fill="FFFFFF"/>
        </w:rPr>
        <w:fldChar w:fldCharType="end"/>
      </w:r>
    </w:p>
    <w:p w14:paraId="7C798F12">
      <w:pPr>
        <w:pStyle w:val="10"/>
        <w:spacing w:before="0" w:beforeAutospacing="0" w:after="240" w:afterAutospacing="0" w:line="360" w:lineRule="auto"/>
        <w:rPr>
          <w:color w:val="222222"/>
          <w:shd w:val="clear" w:color="auto" w:fill="FFFFFF"/>
        </w:rPr>
      </w:pPr>
      <w:r>
        <w:rPr>
          <w:color w:val="222222"/>
          <w:shd w:val="clear" w:color="auto" w:fill="FFFFFF"/>
        </w:rPr>
        <w:t>Xue, Y., Zhang, X., Zhang, Y. and Luo, E., 2024. Understanding the barriers to consumer purchasing of electric vehicles: the innovation resistance theory. </w:t>
      </w:r>
      <w:r>
        <w:rPr>
          <w:i/>
          <w:iCs/>
          <w:color w:val="222222"/>
          <w:shd w:val="clear" w:color="auto" w:fill="FFFFFF"/>
        </w:rPr>
        <w:t>Sustainability</w:t>
      </w:r>
      <w:r>
        <w:rPr>
          <w:color w:val="222222"/>
          <w:shd w:val="clear" w:color="auto" w:fill="FFFFFF"/>
        </w:rPr>
        <w:t>, </w:t>
      </w:r>
      <w:r>
        <w:rPr>
          <w:i/>
          <w:iCs/>
          <w:color w:val="222222"/>
          <w:shd w:val="clear" w:color="auto" w:fill="FFFFFF"/>
        </w:rPr>
        <w:t>16</w:t>
      </w:r>
      <w:r>
        <w:rPr>
          <w:color w:val="222222"/>
          <w:shd w:val="clear" w:color="auto" w:fill="FFFFFF"/>
        </w:rPr>
        <w:t xml:space="preserve">(6), p.2420. </w:t>
      </w:r>
      <w:r>
        <w:fldChar w:fldCharType="begin"/>
      </w:r>
      <w:r>
        <w:instrText xml:space="preserve"> HYPERLINK "https://www.mdpi.com/2071-1050/16/6/2420" </w:instrText>
      </w:r>
      <w:r>
        <w:fldChar w:fldCharType="separate"/>
      </w:r>
      <w:r>
        <w:rPr>
          <w:rStyle w:val="16"/>
          <w:shd w:val="clear" w:color="auto" w:fill="FFFFFF"/>
        </w:rPr>
        <w:t>https://www.mdpi.com/2071-1050/16/6/2420</w:t>
      </w:r>
      <w:r>
        <w:rPr>
          <w:rStyle w:val="16"/>
          <w:shd w:val="clear" w:color="auto" w:fill="FFFFFF"/>
        </w:rPr>
        <w:fldChar w:fldCharType="end"/>
      </w:r>
    </w:p>
    <w:p w14:paraId="5E7294A8">
      <w:pPr>
        <w:rPr>
          <w:rFonts w:cs="Times New Roman"/>
          <w:color w:val="222222"/>
          <w:szCs w:val="24"/>
          <w:shd w:val="clear" w:color="auto" w:fill="FFFFFF"/>
        </w:rPr>
      </w:pPr>
      <w:r>
        <w:rPr>
          <w:rFonts w:cs="Times New Roman"/>
          <w:color w:val="222222"/>
          <w:szCs w:val="24"/>
          <w:shd w:val="clear" w:color="auto" w:fill="FFFFFF"/>
        </w:rPr>
        <w:t>Yang, H.J., Lee, J.H. and Lee, W., 2025. Factors influencing health care technology acceptance in older adults based on the technology acceptance model and the unified theory of acceptance and use of technology: meta-analysis. </w:t>
      </w:r>
      <w:r>
        <w:rPr>
          <w:rFonts w:cs="Times New Roman"/>
          <w:i/>
          <w:iCs/>
          <w:color w:val="222222"/>
          <w:szCs w:val="24"/>
          <w:shd w:val="clear" w:color="auto" w:fill="FFFFFF"/>
        </w:rPr>
        <w:t>Journal of Medical Internet Research</w:t>
      </w:r>
      <w:r>
        <w:rPr>
          <w:rFonts w:cs="Times New Roman"/>
          <w:color w:val="222222"/>
          <w:szCs w:val="24"/>
          <w:shd w:val="clear" w:color="auto" w:fill="FFFFFF"/>
        </w:rPr>
        <w:t>, </w:t>
      </w:r>
      <w:r>
        <w:rPr>
          <w:rFonts w:cs="Times New Roman"/>
          <w:i/>
          <w:iCs/>
          <w:color w:val="222222"/>
          <w:szCs w:val="24"/>
          <w:shd w:val="clear" w:color="auto" w:fill="FFFFFF"/>
        </w:rPr>
        <w:t>27</w:t>
      </w:r>
      <w:r>
        <w:rPr>
          <w:rFonts w:cs="Times New Roman"/>
          <w:color w:val="222222"/>
          <w:szCs w:val="24"/>
          <w:shd w:val="clear" w:color="auto" w:fill="FFFFFF"/>
        </w:rPr>
        <w:t xml:space="preserve">, p.e65269. </w:t>
      </w:r>
      <w:r>
        <w:fldChar w:fldCharType="begin"/>
      </w:r>
      <w:r>
        <w:instrText xml:space="preserve"> HYPERLINK "https://www.jmir.org/2025/1/e65269/" </w:instrText>
      </w:r>
      <w:r>
        <w:fldChar w:fldCharType="separate"/>
      </w:r>
      <w:r>
        <w:rPr>
          <w:rStyle w:val="16"/>
          <w:rFonts w:cs="Times New Roman"/>
          <w:szCs w:val="24"/>
          <w:shd w:val="clear" w:color="auto" w:fill="FFFFFF"/>
        </w:rPr>
        <w:t>https://www.jmir.org/2025/1/e65269/</w:t>
      </w:r>
      <w:r>
        <w:rPr>
          <w:rStyle w:val="16"/>
          <w:rFonts w:cs="Times New Roman"/>
          <w:szCs w:val="24"/>
          <w:shd w:val="clear" w:color="auto" w:fill="FFFFFF"/>
        </w:rPr>
        <w:fldChar w:fldCharType="end"/>
      </w:r>
    </w:p>
    <w:p w14:paraId="6CBDD941">
      <w:pPr>
        <w:rPr>
          <w:rFonts w:cs="Times New Roman"/>
          <w:szCs w:val="24"/>
        </w:rPr>
      </w:pPr>
      <w:r>
        <w:rPr>
          <w:rFonts w:cs="Times New Roman"/>
          <w:color w:val="222222"/>
          <w:szCs w:val="24"/>
          <w:shd w:val="clear" w:color="auto" w:fill="FFFFFF"/>
        </w:rPr>
        <w:t xml:space="preserve">Yang, M., Al Mamun, A., Gao, J., Rahman, M.K., Salameh, A.A. and Alam, S.S., 2024. Predicting m-health acceptance from the perspective of the Unified Theory of Acceptance and </w:t>
      </w:r>
      <w:r>
        <w:rPr>
          <w:rFonts w:cs="Times New Roman"/>
          <w:color w:val="222222"/>
          <w:szCs w:val="24"/>
          <w:shd w:val="clear" w:color="auto" w:fill="FFFFFF"/>
        </w:rPr>
        <w:t>Use of Technology. </w:t>
      </w:r>
      <w:r>
        <w:rPr>
          <w:rFonts w:cs="Times New Roman"/>
          <w:i/>
          <w:iCs/>
          <w:color w:val="222222"/>
          <w:szCs w:val="24"/>
          <w:shd w:val="clear" w:color="auto" w:fill="FFFFFF"/>
        </w:rPr>
        <w:t>Scientific Reports</w:t>
      </w:r>
      <w:r>
        <w:rPr>
          <w:rFonts w:cs="Times New Roman"/>
          <w:color w:val="222222"/>
          <w:szCs w:val="24"/>
          <w:shd w:val="clear" w:color="auto" w:fill="FFFFFF"/>
        </w:rPr>
        <w:t>, </w:t>
      </w:r>
      <w:r>
        <w:rPr>
          <w:rFonts w:cs="Times New Roman"/>
          <w:i/>
          <w:iCs/>
          <w:color w:val="222222"/>
          <w:szCs w:val="24"/>
          <w:shd w:val="clear" w:color="auto" w:fill="FFFFFF"/>
        </w:rPr>
        <w:t>14</w:t>
      </w:r>
      <w:r>
        <w:rPr>
          <w:rFonts w:cs="Times New Roman"/>
          <w:color w:val="222222"/>
          <w:szCs w:val="24"/>
          <w:shd w:val="clear" w:color="auto" w:fill="FFFFFF"/>
        </w:rPr>
        <w:t xml:space="preserve">(1), p.339. </w:t>
      </w:r>
      <w:r>
        <w:fldChar w:fldCharType="begin"/>
      </w:r>
      <w:r>
        <w:instrText xml:space="preserve"> HYPERLINK "https://www.nature.com/articles/s41598-023-50436-2.pdf" </w:instrText>
      </w:r>
      <w:r>
        <w:fldChar w:fldCharType="separate"/>
      </w:r>
      <w:r>
        <w:rPr>
          <w:rStyle w:val="16"/>
          <w:rFonts w:cs="Times New Roman"/>
          <w:szCs w:val="24"/>
          <w:shd w:val="clear" w:color="auto" w:fill="FFFFFF"/>
        </w:rPr>
        <w:t>https://www.nature.com/articles/s41598-023-50436-2.pdf</w:t>
      </w:r>
      <w:r>
        <w:rPr>
          <w:rStyle w:val="16"/>
          <w:rFonts w:cs="Times New Roman"/>
          <w:szCs w:val="24"/>
          <w:shd w:val="clear" w:color="auto" w:fill="FFFFFF"/>
        </w:rPr>
        <w:fldChar w:fldCharType="end"/>
      </w:r>
    </w:p>
    <w:p w14:paraId="4A4485DA">
      <w:pPr>
        <w:rPr>
          <w:rFonts w:cs="Times New Roman"/>
          <w:b/>
        </w:rPr>
      </w:pPr>
    </w:p>
    <w:sectPr>
      <w:footerReference r:id="rId3" w:type="default"/>
      <w:pgSz w:w="11906" w:h="16838"/>
      <w:pgMar w:top="1440" w:right="1440" w:bottom="1440" w:left="1440" w:header="708" w:footer="708" w:gutter="0"/>
      <w:pgBorders w:offsetFrom="page">
        <w:top w:val="single" w:color="auto" w:sz="12" w:space="24"/>
        <w:left w:val="single" w:color="auto" w:sz="12" w:space="24"/>
        <w:bottom w:val="single" w:color="auto" w:sz="12" w:space="24"/>
        <w:right w:val="single" w:color="auto" w:sz="12" w:space="24"/>
      </w:pgBorders>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SimSun">
    <w:altName w:val="宋体"/>
    <w:panose1 w:val="02010600030101010101"/>
    <w:charset w:val="86"/>
    <w:family w:val="auto"/>
    <w:pitch w:val="default"/>
    <w:sig w:usb0="00000000" w:usb1="00000000" w:usb2="00000016" w:usb3="00000000" w:csb0="00040001" w:csb1="00000000"/>
  </w:font>
  <w:font w:name="Shruti">
    <w:panose1 w:val="02000500000000000000"/>
    <w:charset w:val="00"/>
    <w:family w:val="swiss"/>
    <w:pitch w:val="default"/>
    <w:sig w:usb0="00000000" w:usb1="00000000" w:usb2="00000000" w:usb3="00000000" w:csb0="00000001" w:csb1="00000000"/>
  </w:font>
  <w:font w:name="DengXian Light">
    <w:panose1 w:val="00000000000000000000"/>
    <w:charset w:val="86"/>
    <w:family w:val="auto"/>
    <w:pitch w:val="default"/>
    <w:sig w:usb0="00000000" w:usb1="00000000" w:usb2="00000016" w:usb3="00000000" w:csb0="0004000F" w:csb1="00000000"/>
  </w:font>
  <w:font w:name="Calibri Light">
    <w:panose1 w:val="020F0302020204030204"/>
    <w:charset w:val="00"/>
    <w:family w:val="swiss"/>
    <w:pitch w:val="default"/>
    <w:sig w:usb0="00000000" w:usb1="00000000" w:usb2="00000009" w:usb3="00000000" w:csb0="000001FF" w:csb1="00000000"/>
  </w:font>
  <w:font w:name="-webkit-standard">
    <w:altName w:val="Calibri"/>
    <w:panose1 w:val="00000000000000000000"/>
    <w:charset w:val="00"/>
    <w:family w:val="auto"/>
    <w:pitch w:val="default"/>
    <w:sig w:usb0="00000000" w:usb1="00000000" w:usb2="00000000" w:usb3="00000000" w:csb0="00000000" w:csb1="00000000"/>
  </w:font>
  <w:font w:name="Arial MT">
    <w:altName w:val="Arial"/>
    <w:panose1 w:val="00000000000000000000"/>
    <w:charset w:val="01"/>
    <w:family w:val="swiss"/>
    <w:pitch w:val="default"/>
    <w:sig w:usb0="00000000" w:usb1="00000000" w:usb2="00000000" w:usb3="00000000" w:csb0="00000000" w:csb1="00000000"/>
  </w:font>
  <w:font w:name="DengXian">
    <w:panose1 w:val="02010600030101010101"/>
    <w:charset w:val="86"/>
    <w:family w:val="auto"/>
    <w:pitch w:val="default"/>
    <w:sig w:usb0="00000000" w:usb1="00000000" w:usb2="00000016" w:usb3="00000000" w:csb0="0004000F" w:csb1="00000000"/>
  </w:font>
  <w:font w:name="Geist Fallback">
    <w:altName w:val="Times New Roman"/>
    <w:panose1 w:val="00000000000000000000"/>
    <w:charset w:val="00"/>
    <w:family w:val="roman"/>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93807629"/>
    </w:sdtPr>
    <w:sdtContent>
      <w:p w14:paraId="4E50DBD3">
        <w:pPr>
          <w:pStyle w:val="8"/>
          <w:jc w:val="right"/>
        </w:pPr>
        <w:r>
          <w:rPr>
            <w:rFonts w:cs="Times New Roman"/>
            <w:color w:val="000000" w:themeColor="text1"/>
            <w14:textFill>
              <w14:solidFill>
                <w14:schemeClr w14:val="tx1"/>
              </w14:solidFill>
            </w14:textFill>
          </w:rPr>
          <w:t xml:space="preserve">Page | </w:t>
        </w:r>
        <w:r>
          <w:rPr>
            <w:rFonts w:cs="Times New Roman"/>
            <w:color w:val="000000" w:themeColor="text1"/>
            <w14:textFill>
              <w14:solidFill>
                <w14:schemeClr w14:val="tx1"/>
              </w14:solidFill>
            </w14:textFill>
          </w:rPr>
          <w:fldChar w:fldCharType="begin"/>
        </w:r>
        <w:r>
          <w:rPr>
            <w:rFonts w:cs="Times New Roman"/>
            <w:color w:val="000000" w:themeColor="text1"/>
            <w14:textFill>
              <w14:solidFill>
                <w14:schemeClr w14:val="tx1"/>
              </w14:solidFill>
            </w14:textFill>
          </w:rPr>
          <w:instrText xml:space="preserve"> PAGE   \* MERGEFORMAT </w:instrText>
        </w:r>
        <w:r>
          <w:rPr>
            <w:rFonts w:cs="Times New Roman"/>
            <w:color w:val="000000" w:themeColor="text1"/>
            <w14:textFill>
              <w14:solidFill>
                <w14:schemeClr w14:val="tx1"/>
              </w14:solidFill>
            </w14:textFill>
          </w:rPr>
          <w:fldChar w:fldCharType="separate"/>
        </w:r>
        <w:r>
          <w:rPr>
            <w:rFonts w:cs="Times New Roman"/>
            <w:color w:val="000000" w:themeColor="text1"/>
            <w14:textFill>
              <w14:solidFill>
                <w14:schemeClr w14:val="tx1"/>
              </w14:solidFill>
            </w14:textFill>
          </w:rPr>
          <w:t>10</w:t>
        </w:r>
        <w:r>
          <w:rPr>
            <w:rFonts w:cs="Times New Roman"/>
            <w:color w:val="000000" w:themeColor="text1"/>
            <w14:textFill>
              <w14:solidFill>
                <w14:schemeClr w14:val="tx1"/>
              </w14:solidFill>
            </w14:textFill>
          </w:rPr>
          <w:fldChar w:fldCharType="end"/>
        </w:r>
        <w:r>
          <w:t xml:space="preserve"> </w:t>
        </w:r>
      </w:p>
    </w:sdtContent>
  </w:sdt>
  <w:p w14:paraId="0F0E1F2C">
    <w:pPr>
      <w:pStyle w:val="8"/>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02719"/>
    <w:multiLevelType w:val="multilevel"/>
    <w:tmpl w:val="0140271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5677FE0"/>
    <w:multiLevelType w:val="multilevel"/>
    <w:tmpl w:val="05677FE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0E9E0306"/>
    <w:multiLevelType w:val="multilevel"/>
    <w:tmpl w:val="0E9E030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114D6D59"/>
    <w:multiLevelType w:val="multilevel"/>
    <w:tmpl w:val="114D6D5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11EC5065"/>
    <w:multiLevelType w:val="multilevel"/>
    <w:tmpl w:val="11EC506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15312EAB"/>
    <w:multiLevelType w:val="multilevel"/>
    <w:tmpl w:val="15312EA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1A561D4C"/>
    <w:multiLevelType w:val="multilevel"/>
    <w:tmpl w:val="1A561D4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22EA1E38"/>
    <w:multiLevelType w:val="multilevel"/>
    <w:tmpl w:val="22EA1E3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24341CA3"/>
    <w:multiLevelType w:val="multilevel"/>
    <w:tmpl w:val="24341CA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26BA5DCD"/>
    <w:multiLevelType w:val="multilevel"/>
    <w:tmpl w:val="26BA5DC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29584B16"/>
    <w:multiLevelType w:val="multilevel"/>
    <w:tmpl w:val="29584B1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1">
    <w:nsid w:val="2D875448"/>
    <w:multiLevelType w:val="multilevel"/>
    <w:tmpl w:val="2D87544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2">
    <w:nsid w:val="34637B8B"/>
    <w:multiLevelType w:val="multilevel"/>
    <w:tmpl w:val="34637B8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3">
    <w:nsid w:val="34D51763"/>
    <w:multiLevelType w:val="multilevel"/>
    <w:tmpl w:val="34D5176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4">
    <w:nsid w:val="3C164D21"/>
    <w:multiLevelType w:val="multilevel"/>
    <w:tmpl w:val="3C164D2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5">
    <w:nsid w:val="3DCA1CB7"/>
    <w:multiLevelType w:val="multilevel"/>
    <w:tmpl w:val="3DCA1CB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6">
    <w:nsid w:val="42B607DF"/>
    <w:multiLevelType w:val="multilevel"/>
    <w:tmpl w:val="42B607D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7">
    <w:nsid w:val="44DF5A3E"/>
    <w:multiLevelType w:val="multilevel"/>
    <w:tmpl w:val="44DF5A3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8">
    <w:nsid w:val="493110CD"/>
    <w:multiLevelType w:val="multilevel"/>
    <w:tmpl w:val="493110C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9">
    <w:nsid w:val="4C5358A1"/>
    <w:multiLevelType w:val="multilevel"/>
    <w:tmpl w:val="4C5358A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0">
    <w:nsid w:val="4E170F83"/>
    <w:multiLevelType w:val="multilevel"/>
    <w:tmpl w:val="4E170F8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1">
    <w:nsid w:val="521541E2"/>
    <w:multiLevelType w:val="multilevel"/>
    <w:tmpl w:val="521541E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2">
    <w:nsid w:val="53855690"/>
    <w:multiLevelType w:val="multilevel"/>
    <w:tmpl w:val="5385569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3">
    <w:nsid w:val="554C7D98"/>
    <w:multiLevelType w:val="multilevel"/>
    <w:tmpl w:val="554C7D9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4">
    <w:nsid w:val="5DCD5D31"/>
    <w:multiLevelType w:val="multilevel"/>
    <w:tmpl w:val="5DCD5D3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5">
    <w:nsid w:val="5FB85F57"/>
    <w:multiLevelType w:val="multilevel"/>
    <w:tmpl w:val="5FB85F5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6">
    <w:nsid w:val="60EC07AF"/>
    <w:multiLevelType w:val="multilevel"/>
    <w:tmpl w:val="60EC07A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7">
    <w:nsid w:val="619E23BA"/>
    <w:multiLevelType w:val="multilevel"/>
    <w:tmpl w:val="619E23B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8">
    <w:nsid w:val="62C86A1F"/>
    <w:multiLevelType w:val="multilevel"/>
    <w:tmpl w:val="62C86A1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9">
    <w:nsid w:val="65A423C5"/>
    <w:multiLevelType w:val="multilevel"/>
    <w:tmpl w:val="65A423C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0">
    <w:nsid w:val="660509AE"/>
    <w:multiLevelType w:val="multilevel"/>
    <w:tmpl w:val="660509A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1">
    <w:nsid w:val="66FB6920"/>
    <w:multiLevelType w:val="multilevel"/>
    <w:tmpl w:val="66FB692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2">
    <w:nsid w:val="67A155F6"/>
    <w:multiLevelType w:val="multilevel"/>
    <w:tmpl w:val="67A155F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3">
    <w:nsid w:val="6F5B52B9"/>
    <w:multiLevelType w:val="multilevel"/>
    <w:tmpl w:val="6F5B52B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4">
    <w:nsid w:val="73AE322F"/>
    <w:multiLevelType w:val="multilevel"/>
    <w:tmpl w:val="73AE322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5">
    <w:nsid w:val="7D171D6F"/>
    <w:multiLevelType w:val="multilevel"/>
    <w:tmpl w:val="7D171D6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6">
    <w:nsid w:val="7F0524DF"/>
    <w:multiLevelType w:val="multilevel"/>
    <w:tmpl w:val="7F0524D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3"/>
  </w:num>
  <w:num w:numId="2">
    <w:abstractNumId w:val="30"/>
  </w:num>
  <w:num w:numId="3">
    <w:abstractNumId w:val="29"/>
  </w:num>
  <w:num w:numId="4">
    <w:abstractNumId w:val="4"/>
  </w:num>
  <w:num w:numId="5">
    <w:abstractNumId w:val="26"/>
  </w:num>
  <w:num w:numId="6">
    <w:abstractNumId w:val="2"/>
  </w:num>
  <w:num w:numId="7">
    <w:abstractNumId w:val="5"/>
  </w:num>
  <w:num w:numId="8">
    <w:abstractNumId w:val="12"/>
  </w:num>
  <w:num w:numId="9">
    <w:abstractNumId w:val="16"/>
  </w:num>
  <w:num w:numId="10">
    <w:abstractNumId w:val="22"/>
  </w:num>
  <w:num w:numId="11">
    <w:abstractNumId w:val="24"/>
  </w:num>
  <w:num w:numId="12">
    <w:abstractNumId w:val="18"/>
  </w:num>
  <w:num w:numId="13">
    <w:abstractNumId w:val="32"/>
  </w:num>
  <w:num w:numId="14">
    <w:abstractNumId w:val="8"/>
  </w:num>
  <w:num w:numId="15">
    <w:abstractNumId w:val="6"/>
  </w:num>
  <w:num w:numId="16">
    <w:abstractNumId w:val="25"/>
  </w:num>
  <w:num w:numId="17">
    <w:abstractNumId w:val="31"/>
  </w:num>
  <w:num w:numId="18">
    <w:abstractNumId w:val="14"/>
  </w:num>
  <w:num w:numId="19">
    <w:abstractNumId w:val="11"/>
  </w:num>
  <w:num w:numId="20">
    <w:abstractNumId w:val="28"/>
  </w:num>
  <w:num w:numId="21">
    <w:abstractNumId w:val="35"/>
  </w:num>
  <w:num w:numId="22">
    <w:abstractNumId w:val="10"/>
  </w:num>
  <w:num w:numId="23">
    <w:abstractNumId w:val="36"/>
  </w:num>
  <w:num w:numId="24">
    <w:abstractNumId w:val="15"/>
  </w:num>
  <w:num w:numId="25">
    <w:abstractNumId w:val="3"/>
  </w:num>
  <w:num w:numId="26">
    <w:abstractNumId w:val="33"/>
  </w:num>
  <w:num w:numId="27">
    <w:abstractNumId w:val="21"/>
  </w:num>
  <w:num w:numId="28">
    <w:abstractNumId w:val="34"/>
  </w:num>
  <w:num w:numId="29">
    <w:abstractNumId w:val="19"/>
  </w:num>
  <w:num w:numId="30">
    <w:abstractNumId w:val="1"/>
  </w:num>
  <w:num w:numId="31">
    <w:abstractNumId w:val="27"/>
  </w:num>
  <w:num w:numId="32">
    <w:abstractNumId w:val="17"/>
  </w:num>
  <w:num w:numId="33">
    <w:abstractNumId w:val="23"/>
  </w:num>
  <w:num w:numId="34">
    <w:abstractNumId w:val="7"/>
  </w:num>
  <w:num w:numId="35">
    <w:abstractNumId w:val="20"/>
  </w:num>
  <w:num w:numId="36">
    <w:abstractNumId w:val="0"/>
  </w:num>
  <w:num w:numId="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noPunctuationKerning w:val="1"/>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semiHidden="0"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IN" w:eastAsia="en-US" w:bidi="ar-SA"/>
    </w:rPr>
  </w:style>
  <w:style w:type="paragraph" w:styleId="2">
    <w:name w:val="heading 1"/>
    <w:basedOn w:val="1"/>
    <w:next w:val="1"/>
    <w:link w:val="21"/>
    <w:qFormat/>
    <w:uiPriority w:val="9"/>
    <w:pPr>
      <w:keepNext/>
      <w:keepLines/>
      <w:spacing w:before="240" w:after="0"/>
      <w:outlineLvl w:val="0"/>
    </w:pPr>
    <w:rPr>
      <w:rFonts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22"/>
    <w:unhideWhenUsed/>
    <w:qFormat/>
    <w:uiPriority w:val="9"/>
    <w:pPr>
      <w:keepNext/>
      <w:keepLines/>
      <w:spacing w:before="40" w:after="0"/>
      <w:outlineLvl w:val="1"/>
    </w:pPr>
    <w:rPr>
      <w:rFonts w:eastAsiaTheme="majorEastAsia" w:cstheme="majorBidi"/>
      <w:b/>
      <w:color w:val="000000" w:themeColor="text1"/>
      <w:sz w:val="26"/>
      <w:szCs w:val="26"/>
      <w14:textFill>
        <w14:solidFill>
          <w14:schemeClr w14:val="tx1"/>
        </w14:solidFill>
      </w14:textFill>
    </w:rPr>
  </w:style>
  <w:style w:type="paragraph" w:styleId="4">
    <w:name w:val="heading 3"/>
    <w:basedOn w:val="1"/>
    <w:next w:val="1"/>
    <w:link w:val="30"/>
    <w:unhideWhenUsed/>
    <w:qFormat/>
    <w:uiPriority w:val="9"/>
    <w:pPr>
      <w:keepNext/>
      <w:keepLines/>
      <w:spacing w:before="40" w:after="0"/>
      <w:outlineLvl w:val="2"/>
    </w:pPr>
    <w:rPr>
      <w:rFonts w:asciiTheme="majorHAnsi" w:hAnsiTheme="majorHAnsi" w:eastAsiaTheme="majorEastAsia" w:cstheme="majorBidi"/>
      <w:color w:val="1F4E79" w:themeColor="accent1" w:themeShade="80"/>
      <w:szCs w:val="24"/>
    </w:rPr>
  </w:style>
  <w:style w:type="paragraph" w:styleId="5">
    <w:name w:val="heading 4"/>
    <w:basedOn w:val="1"/>
    <w:next w:val="1"/>
    <w:link w:val="31"/>
    <w:unhideWhenUsed/>
    <w:qFormat/>
    <w:uiPriority w:val="9"/>
    <w:pPr>
      <w:keepNext/>
      <w:keepLines/>
      <w:spacing w:before="40" w:after="0"/>
      <w:jc w:val="center"/>
      <w:outlineLvl w:val="3"/>
    </w:pPr>
    <w:rPr>
      <w:rFonts w:eastAsiaTheme="majorEastAsia" w:cstheme="majorBidi"/>
      <w:b/>
      <w:iCs/>
      <w:color w:val="000000" w:themeColor="text1"/>
      <w14:textFill>
        <w14:solidFill>
          <w14:schemeClr w14:val="tx1"/>
        </w14:solidFill>
      </w14:textFill>
    </w:rPr>
  </w:style>
  <w:style w:type="paragraph" w:styleId="6">
    <w:name w:val="heading 5"/>
    <w:basedOn w:val="1"/>
    <w:next w:val="1"/>
    <w:link w:val="33"/>
    <w:unhideWhenUsed/>
    <w:qFormat/>
    <w:uiPriority w:val="9"/>
    <w:pPr>
      <w:keepNext/>
      <w:keepLines/>
      <w:spacing w:before="40" w:after="0"/>
      <w:jc w:val="center"/>
      <w:outlineLvl w:val="4"/>
    </w:pPr>
    <w:rPr>
      <w:rFonts w:eastAsiaTheme="majorEastAsia" w:cstheme="majorBidi"/>
      <w:b/>
      <w:i/>
      <w:color w:val="000000" w:themeColor="text1"/>
      <w14:textFill>
        <w14:solidFill>
          <w14:schemeClr w14:val="tx1"/>
        </w14:solidFill>
      </w14:textFill>
    </w:rPr>
  </w:style>
  <w:style w:type="character" w:default="1" w:styleId="15">
    <w:name w:val="Default Paragraph Font"/>
    <w:unhideWhenUsed/>
    <w:uiPriority w:val="1"/>
  </w:style>
  <w:style w:type="table" w:default="1" w:styleId="18">
    <w:name w:val="Normal Table"/>
    <w:unhideWhenUsed/>
    <w:uiPriority w:val="99"/>
    <w:tblPr>
      <w:tblLayout w:type="fixed"/>
      <w:tblCellMar>
        <w:top w:w="0" w:type="dxa"/>
        <w:left w:w="108" w:type="dxa"/>
        <w:bottom w:w="0" w:type="dxa"/>
        <w:right w:w="108" w:type="dxa"/>
      </w:tblCellMar>
    </w:tblPr>
  </w:style>
  <w:style w:type="paragraph" w:styleId="7">
    <w:name w:val="Body Text"/>
    <w:basedOn w:val="1"/>
    <w:link w:val="34"/>
    <w:qFormat/>
    <w:uiPriority w:val="1"/>
    <w:pPr>
      <w:widowControl w:val="0"/>
      <w:autoSpaceDE w:val="0"/>
      <w:autoSpaceDN w:val="0"/>
      <w:spacing w:after="0" w:line="240" w:lineRule="auto"/>
      <w:jc w:val="left"/>
    </w:pPr>
    <w:rPr>
      <w:rFonts w:eastAsia="Times New Roman" w:cs="Times New Roman"/>
      <w:szCs w:val="24"/>
      <w:lang w:val="en-US"/>
    </w:rPr>
  </w:style>
  <w:style w:type="paragraph" w:styleId="8">
    <w:name w:val="footer"/>
    <w:basedOn w:val="1"/>
    <w:link w:val="20"/>
    <w:unhideWhenUsed/>
    <w:uiPriority w:val="99"/>
    <w:pPr>
      <w:tabs>
        <w:tab w:val="center" w:pos="4513"/>
        <w:tab w:val="right" w:pos="9026"/>
      </w:tabs>
      <w:spacing w:after="0" w:line="240" w:lineRule="auto"/>
    </w:pPr>
  </w:style>
  <w:style w:type="paragraph" w:styleId="9">
    <w:name w:val="header"/>
    <w:basedOn w:val="1"/>
    <w:link w:val="19"/>
    <w:unhideWhenUsed/>
    <w:uiPriority w:val="99"/>
    <w:pPr>
      <w:tabs>
        <w:tab w:val="center" w:pos="4513"/>
        <w:tab w:val="right" w:pos="9026"/>
      </w:tabs>
      <w:spacing w:after="0" w:line="240" w:lineRule="auto"/>
    </w:pPr>
  </w:style>
  <w:style w:type="paragraph" w:styleId="10">
    <w:name w:val="Normal (Web)"/>
    <w:basedOn w:val="1"/>
    <w:unhideWhenUsed/>
    <w:uiPriority w:val="99"/>
    <w:pPr>
      <w:spacing w:before="100" w:beforeAutospacing="1" w:after="100" w:afterAutospacing="1" w:line="240" w:lineRule="auto"/>
    </w:pPr>
    <w:rPr>
      <w:rFonts w:eastAsia="Times New Roman" w:cs="Times New Roman"/>
      <w:szCs w:val="24"/>
      <w:lang w:eastAsia="en-IN"/>
    </w:rPr>
  </w:style>
  <w:style w:type="paragraph" w:styleId="11">
    <w:name w:val="table of figures"/>
    <w:basedOn w:val="1"/>
    <w:next w:val="1"/>
    <w:unhideWhenUsed/>
    <w:uiPriority w:val="99"/>
    <w:pPr>
      <w:spacing w:after="0"/>
    </w:pPr>
  </w:style>
  <w:style w:type="paragraph" w:styleId="12">
    <w:name w:val="toc 1"/>
    <w:basedOn w:val="1"/>
    <w:next w:val="1"/>
    <w:unhideWhenUsed/>
    <w:uiPriority w:val="39"/>
    <w:pPr>
      <w:spacing w:after="100"/>
    </w:pPr>
  </w:style>
  <w:style w:type="paragraph" w:styleId="13">
    <w:name w:val="toc 2"/>
    <w:basedOn w:val="1"/>
    <w:next w:val="1"/>
    <w:unhideWhenUsed/>
    <w:uiPriority w:val="39"/>
    <w:pPr>
      <w:spacing w:after="100"/>
      <w:ind w:left="220"/>
    </w:pPr>
  </w:style>
  <w:style w:type="paragraph" w:styleId="14">
    <w:name w:val="toc 4"/>
    <w:basedOn w:val="1"/>
    <w:next w:val="1"/>
    <w:unhideWhenUsed/>
    <w:uiPriority w:val="39"/>
    <w:pPr>
      <w:spacing w:after="100"/>
      <w:ind w:left="720"/>
    </w:pPr>
  </w:style>
  <w:style w:type="character" w:styleId="16">
    <w:name w:val="Hyperlink"/>
    <w:basedOn w:val="15"/>
    <w:unhideWhenUsed/>
    <w:uiPriority w:val="99"/>
    <w:rPr>
      <w:color w:val="0563C1" w:themeColor="hyperlink"/>
      <w:u w:val="single"/>
      <w14:textFill>
        <w14:solidFill>
          <w14:schemeClr w14:val="hlink"/>
        </w14:solidFill>
      </w14:textFill>
    </w:rPr>
  </w:style>
  <w:style w:type="character" w:styleId="17">
    <w:name w:val="Strong"/>
    <w:basedOn w:val="15"/>
    <w:qFormat/>
    <w:uiPriority w:val="22"/>
    <w:rPr>
      <w:b/>
      <w:bCs/>
    </w:rPr>
  </w:style>
  <w:style w:type="character" w:customStyle="1" w:styleId="19">
    <w:name w:val="Header Char"/>
    <w:basedOn w:val="15"/>
    <w:link w:val="9"/>
    <w:uiPriority w:val="99"/>
  </w:style>
  <w:style w:type="character" w:customStyle="1" w:styleId="20">
    <w:name w:val="Footer Char"/>
    <w:basedOn w:val="15"/>
    <w:link w:val="8"/>
    <w:uiPriority w:val="99"/>
  </w:style>
  <w:style w:type="character" w:customStyle="1" w:styleId="21">
    <w:name w:val="Heading 1 Char"/>
    <w:basedOn w:val="15"/>
    <w:link w:val="2"/>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22">
    <w:name w:val="Heading 2 Char"/>
    <w:basedOn w:val="15"/>
    <w:link w:val="3"/>
    <w:uiPriority w:val="9"/>
    <w:rPr>
      <w:rFonts w:ascii="Times New Roman" w:hAnsi="Times New Roman" w:eastAsiaTheme="majorEastAsia" w:cstheme="majorBidi"/>
      <w:b/>
      <w:color w:val="000000" w:themeColor="text1"/>
      <w:sz w:val="26"/>
      <w:szCs w:val="26"/>
      <w14:textFill>
        <w14:solidFill>
          <w14:schemeClr w14:val="tx1"/>
        </w14:solidFill>
      </w14:textFill>
    </w:rPr>
  </w:style>
  <w:style w:type="paragraph" w:customStyle="1" w:styleId="23">
    <w:name w:val="TOC Heading1"/>
    <w:basedOn w:val="2"/>
    <w:next w:val="1"/>
    <w:unhideWhenUsed/>
    <w:qFormat/>
    <w:uiPriority w:val="39"/>
    <w:pPr>
      <w:spacing w:line="259" w:lineRule="auto"/>
      <w:jc w:val="left"/>
      <w:outlineLvl w:val="9"/>
    </w:pPr>
    <w:rPr>
      <w:rFonts w:asciiTheme="majorHAnsi" w:hAnsiTheme="majorHAnsi"/>
      <w:b w:val="0"/>
      <w:color w:val="2E75B6" w:themeColor="accent1" w:themeShade="BF"/>
      <w:sz w:val="32"/>
      <w:lang w:val="en-US"/>
    </w:rPr>
  </w:style>
  <w:style w:type="character" w:customStyle="1" w:styleId="24">
    <w:name w:val="cursor-pointer"/>
    <w:basedOn w:val="15"/>
    <w:uiPriority w:val="0"/>
  </w:style>
  <w:style w:type="table" w:customStyle="1" w:styleId="25">
    <w:name w:val="Grid Table 4 - Accent 51"/>
    <w:basedOn w:val="18"/>
    <w:uiPriority w:val="49"/>
    <w:pPr>
      <w:spacing w:after="0" w:line="240" w:lineRule="auto"/>
    </w:pPr>
    <w:rPr>
      <w:lang w:val="en-GB"/>
    </w:rPr>
    <w:tblPr>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Layout w:type="fixed"/>
    </w:tblPr>
    <w:tblStylePr w:type="firstRow">
      <w:rPr>
        <w:b/>
        <w:bCs/>
        <w:color w:val="FFFFFF" w:themeColor="background1"/>
        <w14:textFill>
          <w14:solidFill>
            <w14:schemeClr w14:val="bg1"/>
          </w14:solidFill>
        </w14:textFill>
      </w:rPr>
      <w:tblPr>
        <w:tblLayout w:type="fixed"/>
      </w:tblPr>
      <w:tcPr>
        <w:tcBorders>
          <w:top w:val="single" w:color="4472C4" w:themeColor="accent5" w:sz="4" w:space="0"/>
          <w:left w:val="single" w:color="4472C4" w:themeColor="accent5" w:sz="4" w:space="0"/>
          <w:bottom w:val="single" w:color="4472C4" w:themeColor="accent5" w:sz="4" w:space="0"/>
          <w:right w:val="single" w:color="4472C4" w:themeColor="accent5" w:sz="4" w:space="0"/>
          <w:insideH w:val="nil"/>
          <w:insideV w:val="nil"/>
        </w:tcBorders>
        <w:shd w:val="clear" w:color="auto" w:fill="4472C4" w:themeFill="accent5"/>
      </w:tcPr>
    </w:tblStylePr>
    <w:tblStylePr w:type="lastRow">
      <w:rPr>
        <w:b/>
        <w:bCs/>
      </w:rPr>
      <w:tblPr>
        <w:tblLayout w:type="fixed"/>
      </w:tblPr>
      <w:tcPr>
        <w:tcBorders>
          <w:top w:val="double" w:color="4472C4" w:themeColor="accent5" w:sz="4" w:space="0"/>
        </w:tcBorders>
      </w:tcPr>
    </w:tblStylePr>
    <w:tblStylePr w:type="firstCol">
      <w:rPr>
        <w:b/>
        <w:bCs/>
      </w:rPr>
    </w:tblStylePr>
    <w:tblStylePr w:type="lastCol">
      <w:rPr>
        <w:b/>
        <w:bCs/>
      </w:rPr>
    </w:tblStylePr>
    <w:tblStylePr w:type="band1Vert">
      <w:tblPr>
        <w:tblLayout w:type="fixed"/>
      </w:tblPr>
      <w:tcPr>
        <w:shd w:val="clear" w:color="auto" w:fill="D9E2F3" w:themeFill="accent5" w:themeFillTint="33"/>
      </w:tcPr>
    </w:tblStylePr>
    <w:tblStylePr w:type="band1Horz">
      <w:tblPr>
        <w:tblLayout w:type="fixed"/>
      </w:tblPr>
      <w:tcPr>
        <w:shd w:val="clear" w:color="auto" w:fill="D9E2F3" w:themeFill="accent5" w:themeFillTint="33"/>
      </w:tcPr>
    </w:tblStylePr>
  </w:style>
  <w:style w:type="paragraph" w:customStyle="1" w:styleId="26">
    <w:name w:val="List Paragraph1"/>
    <w:basedOn w:val="1"/>
    <w:qFormat/>
    <w:uiPriority w:val="34"/>
    <w:pPr>
      <w:spacing w:line="259" w:lineRule="auto"/>
      <w:ind w:left="720"/>
      <w:contextualSpacing/>
      <w:jc w:val="left"/>
    </w:pPr>
    <w:rPr>
      <w:rFonts w:asciiTheme="minorHAnsi" w:hAnsiTheme="minorHAnsi"/>
      <w:sz w:val="22"/>
      <w:lang w:val="en-GB"/>
    </w:rPr>
  </w:style>
  <w:style w:type="table" w:customStyle="1" w:styleId="27">
    <w:name w:val="Grid Table 5 Dark - Accent 41"/>
    <w:basedOn w:val="18"/>
    <w:uiPriority w:val="50"/>
    <w:pPr>
      <w:spacing w:after="0" w:line="240" w:lineRule="auto"/>
    </w:pPr>
    <w:rPr>
      <w:lang w:val="en-GB"/>
    </w:r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fixed"/>
    </w:tblPr>
    <w:tcPr>
      <w:shd w:val="clear" w:color="auto" w:fill="FEF2CC" w:themeFill="accent4" w:themeFillTint="33"/>
    </w:tcPr>
    <w:tblStylePr w:type="firstRow">
      <w:rPr>
        <w:b/>
        <w:bCs/>
        <w:color w:val="FFFFFF" w:themeColor="background1"/>
        <w14:textFill>
          <w14:solidFill>
            <w14:schemeClr w14:val="bg1"/>
          </w14:solidFill>
        </w14:textFill>
      </w:rPr>
      <w:tblPr>
        <w:tblLayout w:type="fixed"/>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C000" w:themeFill="accent4"/>
      </w:tcPr>
    </w:tblStylePr>
    <w:tblStylePr w:type="lastRow">
      <w:rPr>
        <w:b/>
        <w:bCs/>
        <w:color w:val="FFFFFF" w:themeColor="background1"/>
        <w14:textFill>
          <w14:solidFill>
            <w14:schemeClr w14:val="bg1"/>
          </w14:solidFill>
        </w14:textFill>
      </w:rPr>
      <w:tblPr>
        <w:tblLayout w:type="fixed"/>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C000" w:themeFill="accent4"/>
      </w:tcPr>
    </w:tblStylePr>
    <w:tblStylePr w:type="firstCol">
      <w:rPr>
        <w:b/>
        <w:bCs/>
        <w:color w:val="FFFFFF" w:themeColor="background1"/>
        <w14:textFill>
          <w14:solidFill>
            <w14:schemeClr w14:val="bg1"/>
          </w14:solidFill>
        </w14:textFill>
      </w:rPr>
      <w:tblPr>
        <w:tblLayout w:type="fixed"/>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C000" w:themeFill="accent4"/>
      </w:tcPr>
    </w:tblStylePr>
    <w:tblStylePr w:type="lastCol">
      <w:rPr>
        <w:b/>
        <w:bCs/>
        <w:color w:val="FFFFFF" w:themeColor="background1"/>
        <w14:textFill>
          <w14:solidFill>
            <w14:schemeClr w14:val="bg1"/>
          </w14:solidFill>
        </w14:textFill>
      </w:rPr>
      <w:tblPr>
        <w:tblLayout w:type="fixed"/>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C000" w:themeFill="accent4"/>
      </w:tcPr>
    </w:tblStylePr>
    <w:tblStylePr w:type="band1Vert">
      <w:tblPr>
        <w:tblLayout w:type="fixed"/>
      </w:tblPr>
      <w:tcPr>
        <w:shd w:val="clear" w:color="auto" w:fill="FFE599" w:themeFill="accent4" w:themeFillTint="66"/>
      </w:tcPr>
    </w:tblStylePr>
    <w:tblStylePr w:type="band1Horz">
      <w:tblPr>
        <w:tblLayout w:type="fixed"/>
      </w:tblPr>
      <w:tcPr>
        <w:shd w:val="clear" w:color="auto" w:fill="FFE599" w:themeFill="accent4" w:themeFillTint="66"/>
      </w:tcPr>
    </w:tblStylePr>
  </w:style>
  <w:style w:type="table" w:customStyle="1" w:styleId="28">
    <w:name w:val="Grid Table 4 - Accent 31"/>
    <w:basedOn w:val="18"/>
    <w:uiPriority w:val="49"/>
    <w:pPr>
      <w:spacing w:after="0" w:line="240" w:lineRule="auto"/>
    </w:pPr>
    <w:rPr>
      <w:lang w:val="en-GB"/>
    </w:rPr>
    <w:tblPr>
      <w:tblBorders>
        <w:top w:val="single" w:color="C8C8C8" w:themeColor="accent3" w:themeTint="99" w:sz="4" w:space="0"/>
        <w:left w:val="single" w:color="C8C8C8" w:themeColor="accent3" w:themeTint="99" w:sz="4" w:space="0"/>
        <w:bottom w:val="single" w:color="C8C8C8" w:themeColor="accent3" w:themeTint="99" w:sz="4" w:space="0"/>
        <w:right w:val="single" w:color="C8C8C8" w:themeColor="accent3" w:themeTint="99" w:sz="4" w:space="0"/>
        <w:insideH w:val="single" w:color="C8C8C8" w:themeColor="accent3" w:themeTint="99" w:sz="4" w:space="0"/>
        <w:insideV w:val="single" w:color="C8C8C8" w:themeColor="accent3" w:themeTint="99" w:sz="4" w:space="0"/>
      </w:tblBorders>
      <w:tblLayout w:type="fixed"/>
    </w:tblPr>
    <w:tblStylePr w:type="firstRow">
      <w:rPr>
        <w:b/>
        <w:bCs/>
        <w:color w:val="FFFFFF" w:themeColor="background1"/>
        <w14:textFill>
          <w14:solidFill>
            <w14:schemeClr w14:val="bg1"/>
          </w14:solidFill>
        </w14:textFill>
      </w:rPr>
      <w:tblPr>
        <w:tblLayout w:type="fixed"/>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blLayout w:type="fixed"/>
      </w:tblPr>
      <w:tcPr>
        <w:tcBorders>
          <w:top w:val="double" w:color="A5A5A5" w:themeColor="accent3" w:sz="4" w:space="0"/>
        </w:tcBorders>
      </w:tcPr>
    </w:tblStylePr>
    <w:tblStylePr w:type="firstCol">
      <w:rPr>
        <w:b/>
        <w:bCs/>
      </w:rPr>
    </w:tblStylePr>
    <w:tblStylePr w:type="lastCol">
      <w:rPr>
        <w:b/>
        <w:bCs/>
      </w:rPr>
    </w:tblStylePr>
    <w:tblStylePr w:type="band1Vert">
      <w:tblPr>
        <w:tblLayout w:type="fixed"/>
      </w:tblPr>
      <w:tcPr>
        <w:shd w:val="clear" w:color="auto" w:fill="ECECEC" w:themeFill="accent3" w:themeFillTint="33"/>
      </w:tcPr>
    </w:tblStylePr>
    <w:tblStylePr w:type="band1Horz">
      <w:tblPr>
        <w:tblLayout w:type="fixed"/>
      </w:tblPr>
      <w:tcPr>
        <w:shd w:val="clear" w:color="auto" w:fill="ECECEC" w:themeFill="accent3" w:themeFillTint="33"/>
      </w:tcPr>
    </w:tblStylePr>
  </w:style>
  <w:style w:type="table" w:customStyle="1" w:styleId="29">
    <w:name w:val="Grid Table 2 - Accent 31"/>
    <w:basedOn w:val="18"/>
    <w:uiPriority w:val="47"/>
    <w:pPr>
      <w:spacing w:after="0" w:line="240" w:lineRule="auto"/>
    </w:pPr>
    <w:rPr>
      <w:lang w:val="en-GB"/>
    </w:rPr>
    <w:tblPr>
      <w:tblBorders>
        <w:top w:val="single" w:color="C8C8C8" w:themeColor="accent3" w:themeTint="99" w:sz="2" w:space="0"/>
        <w:bottom w:val="single" w:color="C8C8C8" w:themeColor="accent3" w:themeTint="99" w:sz="2" w:space="0"/>
        <w:insideH w:val="single" w:color="C8C8C8" w:themeColor="accent3" w:themeTint="99" w:sz="2" w:space="0"/>
        <w:insideV w:val="single" w:color="C8C8C8" w:themeColor="accent3" w:themeTint="99" w:sz="2" w:space="0"/>
      </w:tblBorders>
      <w:tblLayout w:type="fixed"/>
    </w:tblPr>
    <w:tblStylePr w:type="firstRow">
      <w:rPr>
        <w:b/>
        <w:bCs/>
      </w:rPr>
      <w:tblPr>
        <w:tblLayout w:type="fixed"/>
      </w:tblPr>
      <w:tcPr>
        <w:tcBorders>
          <w:top w:val="nil"/>
          <w:bottom w:val="single" w:color="C8C8C8" w:themeColor="accent3" w:themeTint="99" w:sz="12" w:space="0"/>
          <w:insideH w:val="nil"/>
          <w:insideV w:val="nil"/>
        </w:tcBorders>
        <w:shd w:val="clear" w:color="auto" w:fill="FFFFFF" w:themeFill="background1"/>
      </w:tcPr>
    </w:tblStylePr>
    <w:tblStylePr w:type="lastRow">
      <w:rPr>
        <w:b/>
        <w:bCs/>
      </w:rPr>
      <w:tblPr>
        <w:tblLayout w:type="fixed"/>
      </w:tblPr>
      <w:tcPr>
        <w:tcBorders>
          <w:top w:val="double" w:color="C8C8C8"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blLayout w:type="fixed"/>
      </w:tblPr>
      <w:tcPr>
        <w:shd w:val="clear" w:color="auto" w:fill="ECECEC" w:themeFill="accent3" w:themeFillTint="33"/>
      </w:tcPr>
    </w:tblStylePr>
    <w:tblStylePr w:type="band1Horz">
      <w:tblPr>
        <w:tblLayout w:type="fixed"/>
      </w:tblPr>
      <w:tcPr>
        <w:shd w:val="clear" w:color="auto" w:fill="ECECEC" w:themeFill="accent3" w:themeFillTint="33"/>
      </w:tcPr>
    </w:tblStylePr>
  </w:style>
  <w:style w:type="character" w:customStyle="1" w:styleId="30">
    <w:name w:val="Heading 3 Char"/>
    <w:basedOn w:val="15"/>
    <w:link w:val="4"/>
    <w:uiPriority w:val="9"/>
    <w:rPr>
      <w:rFonts w:asciiTheme="majorHAnsi" w:hAnsiTheme="majorHAnsi" w:eastAsiaTheme="majorEastAsia" w:cstheme="majorBidi"/>
      <w:color w:val="1F4E79" w:themeColor="accent1" w:themeShade="80"/>
      <w:sz w:val="24"/>
      <w:szCs w:val="24"/>
    </w:rPr>
  </w:style>
  <w:style w:type="character" w:customStyle="1" w:styleId="31">
    <w:name w:val="Heading 4 Char"/>
    <w:basedOn w:val="15"/>
    <w:link w:val="5"/>
    <w:uiPriority w:val="9"/>
    <w:rPr>
      <w:rFonts w:ascii="Times New Roman" w:hAnsi="Times New Roman" w:eastAsiaTheme="majorEastAsia" w:cstheme="majorBidi"/>
      <w:b/>
      <w:iCs/>
      <w:color w:val="000000" w:themeColor="text1"/>
      <w:sz w:val="24"/>
      <w14:textFill>
        <w14:solidFill>
          <w14:schemeClr w14:val="tx1"/>
        </w14:solidFill>
      </w14:textFill>
    </w:rPr>
  </w:style>
  <w:style w:type="paragraph" w:customStyle="1" w:styleId="32">
    <w:name w:val="pdq2pg_selectionanchorcontainer"/>
    <w:basedOn w:val="1"/>
    <w:uiPriority w:val="0"/>
    <w:pPr>
      <w:spacing w:before="100" w:beforeAutospacing="1" w:after="100" w:afterAutospacing="1" w:line="240" w:lineRule="auto"/>
      <w:jc w:val="left"/>
    </w:pPr>
    <w:rPr>
      <w:rFonts w:eastAsia="Times New Roman" w:cs="Times New Roman"/>
      <w:szCs w:val="24"/>
      <w:lang w:eastAsia="en-IN"/>
    </w:rPr>
  </w:style>
  <w:style w:type="character" w:customStyle="1" w:styleId="33">
    <w:name w:val="Heading 5 Char"/>
    <w:basedOn w:val="15"/>
    <w:link w:val="6"/>
    <w:uiPriority w:val="9"/>
    <w:rPr>
      <w:rFonts w:ascii="Times New Roman" w:hAnsi="Times New Roman" w:eastAsiaTheme="majorEastAsia" w:cstheme="majorBidi"/>
      <w:b/>
      <w:i/>
      <w:color w:val="000000" w:themeColor="text1"/>
      <w:sz w:val="24"/>
      <w14:textFill>
        <w14:solidFill>
          <w14:schemeClr w14:val="tx1"/>
        </w14:solidFill>
      </w14:textFill>
    </w:rPr>
  </w:style>
  <w:style w:type="character" w:customStyle="1" w:styleId="34">
    <w:name w:val="Body Text Char"/>
    <w:basedOn w:val="15"/>
    <w:link w:val="7"/>
    <w:uiPriority w:val="1"/>
    <w:rPr>
      <w:rFonts w:ascii="Times New Roman" w:hAnsi="Times New Roman" w:eastAsia="Times New Roman" w:cs="Times New Roman"/>
      <w:sz w:val="24"/>
      <w:szCs w:val="24"/>
      <w:lang w:val="en-US"/>
    </w:rPr>
  </w:style>
</w:styles>
</file>

<file path=word/_rels/document.xml.rels><?xml version="1.0" encoding="UTF-8" standalone="yes"?>
<Relationships xmlns="http://schemas.openxmlformats.org/package/2006/relationships"><Relationship Id="rId9" Type="http://schemas.openxmlformats.org/officeDocument/2006/relationships/diagramData" Target="diagrams/data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chart" Target="charts/chart3.xml"/><Relationship Id="rId18" Type="http://schemas.openxmlformats.org/officeDocument/2006/relationships/chart" Target="charts/chart2.xml"/><Relationship Id="rId17" Type="http://schemas.openxmlformats.org/officeDocument/2006/relationships/chart" Target="charts/chart1.xml"/><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diagramColors" Target="diagrams/colors1.xml"/><Relationship Id="rId11" Type="http://schemas.openxmlformats.org/officeDocument/2006/relationships/diagramQuickStyle" Target="diagrams/quickStyle1.xml"/><Relationship Id="rId10" Type="http://schemas.openxmlformats.org/officeDocument/2006/relationships/diagramLayout" Target="diagrams/layout1.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C:\Users\User\Downloads\Coding excel.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C:\Users\User\Downloads\Coding excel.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C:\Users\User\Downloads\Coding 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x-none" sz="1400" b="0" i="0" u="none" strike="noStrike" kern="1200" cap="none" spc="50" baseline="0">
              <a:solidFill>
                <a:schemeClr val="lt1">
                  <a:lumMod val="85000"/>
                </a:schemeClr>
              </a:solidFill>
              <a:latin typeface="+mn-lt"/>
              <a:ea typeface="+mn-ea"/>
              <a:cs typeface="+mn-cs"/>
            </a:defRPr>
          </a:pPr>
        </a:p>
      </c:txPr>
    </c:title>
    <c:autoTitleDeleted val="0"/>
    <c:plotArea>
      <c:layout/>
      <c:radarChart>
        <c:radarStyle val="marker"/>
        <c:varyColors val="0"/>
        <c:ser>
          <c:idx val="0"/>
          <c:order val="0"/>
          <c:tx>
            <c:strRef>
              <c:f>'[Coding excel.xlsx]Sheet1'!$D$3</c:f>
              <c:strCache>
                <c:ptCount val="1"/>
                <c:pt idx="0">
                  <c:v>Frequency of initial codes</c:v>
                </c:pt>
              </c:strCache>
            </c:strRef>
          </c:tx>
          <c:spPr>
            <a:ln w="28575" cap="rnd">
              <a:solidFill>
                <a:schemeClr val="accent1"/>
              </a:solidFill>
            </a:ln>
            <a:effectLst>
              <a:glow rad="76200">
                <a:schemeClr val="accent1">
                  <a:satMod val="175000"/>
                  <a:alpha val="34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lang="x-none" sz="900" b="0" i="0" u="none" strike="noStrike" kern="1200" baseline="0">
                    <a:solidFill>
                      <a:schemeClr val="lt1">
                        <a:lumMod val="75000"/>
                      </a:schemeClr>
                    </a:solidFill>
                    <a:latin typeface="+mn-lt"/>
                    <a:ea typeface="+mn-ea"/>
                    <a:cs typeface="+mn-cs"/>
                  </a:defRPr>
                </a:pPr>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50000"/>
                        </a:schemeClr>
                      </a:solidFill>
                      <a:round/>
                    </a:ln>
                    <a:effectLst/>
                  </c:spPr>
                </c15:leaderLines>
              </c:ext>
            </c:extLst>
          </c:dLbls>
          <c:cat>
            <c:strRef>
              <c:f>'[Coding excel.xlsx]Sheet1'!$C$4:$C$8</c:f>
              <c:strCache>
                <c:ptCount val="5"/>
                <c:pt idx="0">
                  <c:v>Psychological and Behavioural Frameworks</c:v>
                </c:pt>
                <c:pt idx="1">
                  <c:v>Infrastructural and Operational Constraints</c:v>
                </c:pt>
                <c:pt idx="2">
                  <c:v>Informational and Perceptual Drivers</c:v>
                </c:pt>
                <c:pt idx="3">
                  <c:v>Market Dynamics and Socio-Demographic Drivers</c:v>
                </c:pt>
                <c:pt idx="4">
                  <c:v>Industry Macro-Trends and Projections</c:v>
                </c:pt>
              </c:strCache>
            </c:strRef>
          </c:cat>
          <c:val>
            <c:numRef>
              <c:f>'[Coding excel.xlsx]Sheet1'!$D$4:$D$8</c:f>
              <c:numCache>
                <c:formatCode>General</c:formatCode>
                <c:ptCount val="5"/>
                <c:pt idx="0">
                  <c:v>9</c:v>
                </c:pt>
                <c:pt idx="1">
                  <c:v>6</c:v>
                </c:pt>
                <c:pt idx="2">
                  <c:v>7</c:v>
                </c:pt>
                <c:pt idx="3">
                  <c:v>19</c:v>
                </c:pt>
                <c:pt idx="4">
                  <c:v>11</c:v>
                </c:pt>
              </c:numCache>
            </c:numRef>
          </c:val>
        </c:ser>
        <c:dLbls>
          <c:showLegendKey val="0"/>
          <c:showVal val="0"/>
          <c:showCatName val="0"/>
          <c:showSerName val="0"/>
          <c:showPercent val="0"/>
          <c:showBubbleSize val="0"/>
        </c:dLbls>
        <c:axId val="378762376"/>
        <c:axId val="378761200"/>
      </c:radarChart>
      <c:catAx>
        <c:axId val="378762376"/>
        <c:scaling>
          <c:orientation val="minMax"/>
        </c:scaling>
        <c:delete val="0"/>
        <c:axPos val="b"/>
        <c:majorGridlines>
          <c:spPr>
            <a:ln w="9525" cap="flat" cmpd="sng" algn="ctr">
              <a:solidFill>
                <a:schemeClr val="lt1">
                  <a:alpha val="2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x-none" sz="900" b="0" i="0" u="none" strike="noStrike" kern="1200" baseline="0">
                <a:solidFill>
                  <a:schemeClr val="lt1">
                    <a:lumMod val="75000"/>
                  </a:schemeClr>
                </a:solidFill>
                <a:latin typeface="+mn-lt"/>
                <a:ea typeface="+mn-ea"/>
                <a:cs typeface="+mn-cs"/>
              </a:defRPr>
            </a:pPr>
          </a:p>
        </c:txPr>
        <c:crossAx val="378761200"/>
        <c:crosses val="autoZero"/>
        <c:auto val="1"/>
        <c:lblAlgn val="ctr"/>
        <c:lblOffset val="100"/>
        <c:noMultiLvlLbl val="0"/>
      </c:catAx>
      <c:valAx>
        <c:axId val="378761200"/>
        <c:scaling>
          <c:orientation val="minMax"/>
        </c:scaling>
        <c:delete val="0"/>
        <c:axPos val="l"/>
        <c:majorGridlines>
          <c:spPr>
            <a:ln w="9525" cap="flat" cmpd="sng" algn="ctr">
              <a:solidFill>
                <a:schemeClr val="lt1">
                  <a:alpha val="2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x-none" sz="900" b="0" i="0" u="none" strike="noStrike" kern="1200" baseline="0">
                <a:solidFill>
                  <a:schemeClr val="lt1">
                    <a:lumMod val="75000"/>
                  </a:schemeClr>
                </a:solidFill>
                <a:latin typeface="+mn-lt"/>
                <a:ea typeface="+mn-ea"/>
                <a:cs typeface="+mn-cs"/>
              </a:defRPr>
            </a:pPr>
          </a:p>
        </c:txPr>
        <c:crossAx val="378762376"/>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x-none"/>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x-none" sz="1600" b="1" i="0" u="none" strike="noStrike" kern="1200" spc="0" normalizeH="0" baseline="0">
                <a:solidFill>
                  <a:schemeClr val="dk1">
                    <a:lumMod val="50000"/>
                    <a:lumOff val="50000"/>
                  </a:schemeClr>
                </a:solidFill>
                <a:latin typeface="+mj-lt"/>
                <a:ea typeface="+mj-ea"/>
                <a:cs typeface="+mj-cs"/>
              </a:defRPr>
            </a:pPr>
            <a:r>
              <a:rPr lang="en-US"/>
              <a:t>Theme frequency</a:t>
            </a:r>
            <a:endParaRPr lang="en-US"/>
          </a:p>
        </c:rich>
      </c:tx>
      <c:layout/>
      <c:overlay val="0"/>
      <c:spPr>
        <a:noFill/>
        <a:ln>
          <a:noFill/>
        </a:ln>
        <a:effectLst/>
      </c:spPr>
    </c:title>
    <c:autoTitleDeleted val="0"/>
    <c:plotArea>
      <c:layout/>
      <c:pieChart>
        <c:varyColors val="1"/>
        <c:ser>
          <c:idx val="0"/>
          <c:order val="0"/>
          <c:tx>
            <c:strRef>
              <c:f>'[Coding excel.xlsx]Sheet1'!$D$70</c:f>
              <c:strCache>
                <c:ptCount val="1"/>
                <c:pt idx="0">
                  <c:v>Frequency</c:v>
                </c:pt>
              </c:strCache>
            </c:strRef>
          </c:tx>
          <c:spPr/>
          <c:explosion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lang="x-none" sz="900" b="0" i="0" u="none" strike="noStrike" kern="1200" baseline="0">
                    <a:solidFill>
                      <a:schemeClr val="dk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dk1">
                          <a:lumMod val="35000"/>
                          <a:lumOff val="65000"/>
                        </a:schemeClr>
                      </a:solidFill>
                      <a:round/>
                    </a:ln>
                    <a:effectLst/>
                  </c:spPr>
                </c15:leaderLines>
              </c:ext>
            </c:extLst>
          </c:dLbls>
          <c:cat>
            <c:strRef>
              <c:f>'[Coding excel.xlsx]Sheet1'!$C$71:$C$73</c:f>
              <c:strCache>
                <c:ptCount val="3"/>
                <c:pt idx="0">
                  <c:v>Theme 1: Behavioural decision-making models, consumer attitudes, and psychological barriers significantly dictate initial consumer adoption intentions across diverse demographic and cross-cultural populations</c:v>
                </c:pt>
                <c:pt idx="1">
                  <c:v>Theme 2: Infrastructural deficiencies, charging availability, and battery performance/safety concerns act as critical operational bottlenecks limiting full EV adoption</c:v>
                </c:pt>
                <c:pt idx="2">
                  <c:v>Theme 3: Strategic marketing communications, perceived value framing, domain awareness and segment-specific dynamics directly influence market transition and consumer preferences.</c:v>
                </c:pt>
              </c:strCache>
            </c:strRef>
          </c:cat>
          <c:val>
            <c:numRef>
              <c:f>'[Coding excel.xlsx]Sheet1'!$D$71:$D$73</c:f>
              <c:numCache>
                <c:formatCode>General</c:formatCode>
                <c:ptCount val="3"/>
                <c:pt idx="0">
                  <c:v>9</c:v>
                </c:pt>
                <c:pt idx="1">
                  <c:v>6</c:v>
                </c:pt>
                <c:pt idx="2">
                  <c:v>26</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r"/>
      <c:layout/>
      <c:overlay val="0"/>
      <c:spPr>
        <a:solidFill>
          <a:schemeClr val="lt1">
            <a:alpha val="50000"/>
          </a:schemeClr>
        </a:solidFill>
        <a:ln>
          <a:noFill/>
        </a:ln>
        <a:effectLst/>
      </c:spPr>
      <c:txPr>
        <a:bodyPr rot="0" spcFirstLastPara="1" vertOverflow="ellipsis" vert="horz" wrap="square" anchor="ctr" anchorCtr="1"/>
        <a:lstStyle/>
        <a:p>
          <a:pPr>
            <a:defRPr lang="x-none" sz="900" b="0" i="0" u="none" strike="noStrike" kern="1200" baseline="0">
              <a:solidFill>
                <a:schemeClr val="dk1">
                  <a:lumMod val="65000"/>
                  <a:lumOff val="35000"/>
                </a:schemeClr>
              </a:solidFill>
              <a:latin typeface="+mn-lt"/>
              <a:ea typeface="+mn-ea"/>
              <a:cs typeface="+mn-cs"/>
            </a:defRPr>
          </a:pPr>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lang="x-none"/>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x-none" sz="1800" b="1" i="0" u="none" strike="noStrike" kern="1200" baseline="0">
                <a:solidFill>
                  <a:schemeClr val="dk1">
                    <a:lumMod val="75000"/>
                    <a:lumOff val="25000"/>
                  </a:schemeClr>
                </a:solidFill>
                <a:latin typeface="+mn-lt"/>
                <a:ea typeface="+mn-ea"/>
                <a:cs typeface="+mn-cs"/>
              </a:defRPr>
            </a:pPr>
            <a:r>
              <a:rPr lang="en-US"/>
              <a:t>Source mapping with themes</a:t>
            </a:r>
            <a:endParaRPr lang="en-US"/>
          </a:p>
        </c:rich>
      </c:tx>
      <c:layout/>
      <c:overlay val="0"/>
      <c:spPr>
        <a:noFill/>
        <a:ln>
          <a:noFill/>
        </a:ln>
        <a:effectLst/>
      </c:spPr>
    </c:title>
    <c:autoTitleDeleted val="0"/>
    <c:plotArea>
      <c:layout/>
      <c:barChart>
        <c:barDir val="bar"/>
        <c:grouping val="stacked"/>
        <c:varyColors val="0"/>
        <c:ser>
          <c:idx val="0"/>
          <c:order val="0"/>
          <c:tx>
            <c:strRef>
              <c:f>'[Coding excel.xlsx]Sheet1'!$D$38</c:f>
              <c:strCache>
                <c:ptCount val="1"/>
                <c:pt idx="0">
                  <c:v>Source Count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x-none" sz="900" b="1" i="0" u="none" strike="noStrike" kern="1200" baseline="0">
                    <a:solidFill>
                      <a:schemeClr val="lt1"/>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'[Coding excel.xlsx]Sheet1'!$C$39:$C$41</c:f>
              <c:strCache>
                <c:ptCount val="3"/>
                <c:pt idx="0">
                  <c:v>Theme 1: Behavioural Decision-Making and Consumer Psychology</c:v>
                </c:pt>
                <c:pt idx="1">
                  <c:v>Theme 2: Operational Friction and Infrastructural Bottlenecks</c:v>
                </c:pt>
                <c:pt idx="2">
                  <c:v>Theme 3: Strategic Marketing, Knowledge Mediation, &amp; Market Dynamics</c:v>
                </c:pt>
              </c:strCache>
            </c:strRef>
          </c:cat>
          <c:val>
            <c:numRef>
              <c:f>'[Coding excel.xlsx]Sheet1'!$D$39:$D$41</c:f>
              <c:numCache>
                <c:formatCode>General</c:formatCode>
                <c:ptCount val="3"/>
                <c:pt idx="0">
                  <c:v>7</c:v>
                </c:pt>
                <c:pt idx="1">
                  <c:v>4</c:v>
                </c:pt>
                <c:pt idx="2">
                  <c:v>9</c:v>
                </c:pt>
              </c:numCache>
            </c:numRef>
          </c:val>
        </c:ser>
        <c:dLbls>
          <c:showLegendKey val="0"/>
          <c:showVal val="1"/>
          <c:showCatName val="0"/>
          <c:showSerName val="0"/>
          <c:showPercent val="0"/>
          <c:showBubbleSize val="0"/>
        </c:dLbls>
        <c:gapWidth val="150"/>
        <c:overlap val="100"/>
        <c:axId val="253654608"/>
        <c:axId val="253655000"/>
      </c:barChart>
      <c:catAx>
        <c:axId val="25365460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x-none" sz="900" b="0" i="0" u="none" strike="noStrike" kern="1200" cap="all" baseline="0">
                <a:solidFill>
                  <a:schemeClr val="dk1">
                    <a:lumMod val="75000"/>
                    <a:lumOff val="25000"/>
                  </a:schemeClr>
                </a:solidFill>
                <a:latin typeface="+mn-lt"/>
                <a:ea typeface="+mn-ea"/>
                <a:cs typeface="+mn-cs"/>
              </a:defRPr>
            </a:pPr>
          </a:p>
        </c:txPr>
        <c:crossAx val="253655000"/>
        <c:crosses val="autoZero"/>
        <c:auto val="1"/>
        <c:lblAlgn val="ctr"/>
        <c:lblOffset val="100"/>
        <c:noMultiLvlLbl val="0"/>
      </c:catAx>
      <c:valAx>
        <c:axId val="253655000"/>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x-none" sz="900" kern="1200">
                <a:solidFill>
                  <a:schemeClr val="dk1">
                    <a:lumMod val="75000"/>
                    <a:lumOff val="25000"/>
                  </a:schemeClr>
                </a:solidFill>
                <a:latin typeface="+mn-lt"/>
                <a:ea typeface="+mn-ea"/>
                <a:cs typeface="+mn-cs"/>
              </a:defRPr>
            </a:pPr>
          </a:p>
        </c:txPr>
        <c:crossAx val="25365460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x-none"/>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20">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75000"/>
      </a:schemeClr>
    </cs:fontRef>
    <cs:spPr>
      <a:solidFill>
        <a:schemeClr val="dk1">
          <a:lumMod val="75000"/>
          <a:lumOff val="25000"/>
        </a:schemeClr>
      </a:solidFill>
      <a:ln>
        <a:solidFill>
          <a:schemeClr val="lt1">
            <a:lumMod val="75000"/>
          </a:schemeClr>
        </a:solidFill>
      </a:ln>
      <a:effectLst>
        <a:glow rad="63500">
          <a:schemeClr val="lt1">
            <a:lumMod val="75000"/>
            <a:alpha val="15000"/>
          </a:schemeClr>
        </a:glow>
      </a:effectLst>
    </cs:spPr>
    <cs:defRPr sz="900" kern="1200"/>
    <cs:bodyPr>
      <a:spAutoFit/>
    </cs:bodyPr>
  </cs:dataLabelCallout>
  <cs:dataPoint>
    <cs:lnRef idx="0">
      <cs:styleClr val="auto"/>
    </cs:lnRef>
    <cs:fillRef idx="0">
      <cs:styleClr val="auto"/>
    </cs:fillRef>
    <cs:effectRef idx="0">
      <cs:styleClr val="auto"/>
    </cs:effectRef>
    <cs:fontRef idx="minor">
      <a:schemeClr val="dk1"/>
    </cs:fontRef>
    <cs:spPr>
      <a:solidFill>
        <a:schemeClr val="phClr">
          <a:alpha val="69804"/>
        </a:schemeClr>
      </a:solidFill>
      <a:ln w="9525" cap="flat" cmpd="sng" algn="ctr">
        <a:solidFill>
          <a:schemeClr val="phClr">
            <a:alpha val="69804"/>
          </a:schemeClr>
        </a:solidFill>
        <a:miter lim="800000"/>
      </a:ln>
      <a:effectLst>
        <a:glow rad="76200">
          <a:schemeClr val="phClr">
            <a:satMod val="175000"/>
            <a:alpha val="34000"/>
          </a:schemeClr>
        </a:glow>
      </a:effectLst>
    </cs:spPr>
  </cs:dataPoint>
  <cs:dataPoint3D>
    <cs:lnRef idx="0">
      <cs:styleClr val="auto"/>
    </cs:lnRef>
    <cs:fillRef idx="0">
      <cs:styleClr val="auto"/>
    </cs:fillRef>
    <cs:effectRef idx="0">
      <cs:styleClr val="auto"/>
    </cs:effectRef>
    <cs:fontRef idx="minor">
      <a:schemeClr val="dk1"/>
    </cs:fontRef>
    <cs:spPr>
      <a:solidFill>
        <a:schemeClr val="phClr">
          <a:alpha val="69804"/>
        </a:schemeClr>
      </a:solidFill>
      <a:ln w="9525" cap="flat" cmpd="sng" algn="ctr">
        <a:solidFill>
          <a:schemeClr val="phClr">
            <a:alpha val="69804"/>
          </a:schemeClr>
        </a:solidFill>
        <a:miter lim="800000"/>
      </a:ln>
      <a:effectLst>
        <a:glow rad="76200">
          <a:schemeClr val="phClr">
            <a:satMod val="175000"/>
            <a:alpha val="34000"/>
          </a:schemeClr>
        </a:glow>
      </a:effectLst>
    </cs:spPr>
  </cs:dataPoint3D>
  <cs:dataPointLine>
    <cs:lnRef idx="0">
      <cs:styleClr val="auto"/>
    </cs:lnRef>
    <cs:fillRef idx="0">
      <cs:styleClr val="auto"/>
    </cs:fillRef>
    <cs:effectRef idx="0">
      <cs:styleClr val="auto"/>
    </cs:effectRef>
    <cs:fontRef idx="minor">
      <a:schemeClr val="dk1"/>
    </cs:fontRef>
    <cs:spPr>
      <a:ln w="28575" cap="rnd">
        <a:solidFill>
          <a:schemeClr val="phClr"/>
        </a:solidFill>
      </a:ln>
      <a:effectLst>
        <a:glow rad="76200">
          <a:schemeClr val="phClr">
            <a:satMod val="175000"/>
            <a:alpha val="3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0000"/>
          </a:schemeClr>
        </a:solidFill>
        <a:round/>
      </a:ln>
    </cs:spPr>
  </cs:gridlineMajor>
  <cs:gridlineMinor>
    <cs:lnRef idx="0"/>
    <cs:fillRef idx="0"/>
    <cs:effectRef idx="0"/>
    <cs:fontRef idx="minor">
      <a:schemeClr val="dk1"/>
    </cs:fontRef>
    <cs:spPr>
      <a:ln w="9525" cap="flat" cmpd="sng" algn="ctr">
        <a:solidFill>
          <a:schemeClr val="lt1">
            <a:alpha val="20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0" kern="1200" cap="none" spc="5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3#1">
  <dgm:title val=""/>
  <dgm:desc val=""/>
  <dgm:catLst>
    <dgm:cat type="colorful" pri="10300"/>
  </dgm:catLst>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ltNode1NoLn">
    <dgm:fillClrLst>
      <a:schemeClr val="accent3">
        <a:tint val="75000"/>
      </a:schemeClr>
      <a:schemeClr val="accent4">
        <a:tint val="75000"/>
      </a:schemeClr>
    </dgm:fillClrLst>
    <dgm:linClrLst meth="repeat">
      <a:schemeClr val="lt1">
        <a:alpha val="0"/>
      </a:schemeClr>
    </dgm:linClrLst>
    <dgm:effectClrLst/>
    <dgm:txLinClrLst/>
    <dgm:txFillClrLst meth="repeat">
      <a:schemeClr val="dk1"/>
    </dgm:txFillClrLst>
    <dgm:txEffectClrLst/>
  </dgm:styleLbl>
  <dgm:styleLbl name="node0">
    <dgm:fillClrLst meth="repeat">
      <a:schemeClr val="accent2"/>
    </dgm:fillClrLst>
    <dgm:linClrLst meth="repeat">
      <a:schemeClr val="lt1"/>
    </dgm:linClrLst>
    <dgm:effectClrLst/>
    <dgm:txLinClrLst/>
    <dgm:txFillClrLst/>
    <dgm:txEffectClrLst/>
  </dgm:styleLbl>
  <dgm:styleLbl name="node0NoLn">
    <dgm:fillClrLst meth="repeat">
      <a:schemeClr val="accent2"/>
    </dgm:fillClrLst>
    <dgm:linClrLst meth="repeat">
      <a:schemeClr val="lt1">
        <a:alpha val="0"/>
      </a:schemeClr>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node1NoLn">
    <dgm:fillClrLst>
      <a:schemeClr val="accent3"/>
      <a:schemeClr val="accent4"/>
    </dgm:fillClrLst>
    <dgm:linClrLst meth="repeat">
      <a:schemeClr val="lt1">
        <a:alpha val="0"/>
      </a:schemeClr>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2NoLn">
    <dgm:fillClrLst>
      <a:schemeClr val="accent4"/>
    </dgm:fillClrLst>
    <dgm:linClrLst meth="repeat">
      <a:schemeClr val="lt1">
        <a:alpha val="0"/>
      </a:schemeClr>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3NoLn">
    <dgm:fillClrLst>
      <a:schemeClr val="accent5"/>
    </dgm:fillClrLst>
    <dgm:linClrLst meth="repeat">
      <a:schemeClr val="lt1">
        <a:alpha val="0"/>
      </a:schemeClr>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node4NoLn">
    <dgm:fillClrLst>
      <a:schemeClr val="accent6"/>
    </dgm:fillClrLst>
    <dgm:linClrLst meth="repeat">
      <a:schemeClr val="lt1">
        <a:alpha val="0"/>
      </a:schemeClr>
    </dgm:linClrLst>
    <dgm:effectClrLst/>
    <dgm:txLinClrLst/>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C3B2DC26-1208-49B0-9214-D872D43B63F8}" type="doc">
      <dgm:prSet loTypeId="urn:microsoft.com/office/officeart/2005/8/layout/list1#1" loCatId="list" qsTypeId="urn:microsoft.com/office/officeart/2005/8/quickstyle/simple1#1" qsCatId="simple" csTypeId="urn:microsoft.com/office/officeart/2005/8/colors/colorful3#1" csCatId="colorful" phldr="1"/>
      <dgm:spPr/>
      <dgm:t>
        <a:bodyPr/>
        <a:p>
          <a:endParaRPr lang="en-IN"/>
        </a:p>
      </dgm:t>
    </dgm:pt>
    <dgm:pt modelId="{EC9BCA2F-FD36-441E-9E13-1F03BFD2C252}">
      <dgm:prSet phldrT="[Text]"/>
      <dgm:spPr/>
      <dgm:t>
        <a:bodyPr/>
        <a:p>
          <a:r>
            <a:rPr lang="en-IN"/>
            <a:t>Chapter 1: Introduction</a:t>
          </a:r>
        </a:p>
      </dgm:t>
    </dgm:pt>
    <dgm:pt modelId="{AD1AAD2B-FF2D-4C5C-A572-7DB5F26D5C38}" cxnId="{C1537B9B-BA27-4D40-BFFD-0457A28468E4}" type="parTrans">
      <dgm:prSet/>
      <dgm:spPr/>
      <dgm:t>
        <a:bodyPr/>
        <a:p>
          <a:endParaRPr lang="en-IN"/>
        </a:p>
      </dgm:t>
    </dgm:pt>
    <dgm:pt modelId="{5BB1F4E5-3A2C-48E5-9742-31C66DFEE8C9}" cxnId="{C1537B9B-BA27-4D40-BFFD-0457A28468E4}" type="sibTrans">
      <dgm:prSet/>
      <dgm:spPr/>
      <dgm:t>
        <a:bodyPr/>
        <a:p>
          <a:endParaRPr lang="en-IN"/>
        </a:p>
      </dgm:t>
    </dgm:pt>
    <dgm:pt modelId="{3A5984ED-C5B8-4F27-822C-500A1262E162}">
      <dgm:prSet phldrT="[Text]"/>
      <dgm:spPr/>
      <dgm:t>
        <a:bodyPr/>
        <a:p>
          <a:r>
            <a:rPr lang="en-IN"/>
            <a:t>Chapter 2: Literature Review </a:t>
          </a:r>
        </a:p>
      </dgm:t>
    </dgm:pt>
    <dgm:pt modelId="{4C192C6F-6CC9-4193-9833-ACD59E8951C1}" cxnId="{02B14F5D-DC97-45A8-A4F4-7E499ED3E617}" type="parTrans">
      <dgm:prSet/>
      <dgm:spPr/>
      <dgm:t>
        <a:bodyPr/>
        <a:p>
          <a:endParaRPr lang="en-IN"/>
        </a:p>
      </dgm:t>
    </dgm:pt>
    <dgm:pt modelId="{C02DFE95-9824-48E2-AA41-75A675DE8B5E}" cxnId="{02B14F5D-DC97-45A8-A4F4-7E499ED3E617}" type="sibTrans">
      <dgm:prSet/>
      <dgm:spPr/>
      <dgm:t>
        <a:bodyPr/>
        <a:p>
          <a:endParaRPr lang="en-IN"/>
        </a:p>
      </dgm:t>
    </dgm:pt>
    <dgm:pt modelId="{21366494-357F-4447-969B-45DEB42FBDA8}">
      <dgm:prSet phldrT="[Text]"/>
      <dgm:spPr/>
      <dgm:t>
        <a:bodyPr/>
        <a:p>
          <a:r>
            <a:rPr lang="en-IN"/>
            <a:t>Chapter 3: Methodology</a:t>
          </a:r>
        </a:p>
      </dgm:t>
    </dgm:pt>
    <dgm:pt modelId="{3CCE1173-588E-4578-8178-F4218615AC47}" cxnId="{7ABB9D5E-AFFC-401E-A5CB-9EBBFEC749EB}" type="parTrans">
      <dgm:prSet/>
      <dgm:spPr/>
      <dgm:t>
        <a:bodyPr/>
        <a:p>
          <a:endParaRPr lang="en-IN"/>
        </a:p>
      </dgm:t>
    </dgm:pt>
    <dgm:pt modelId="{73AEEBEA-E7C0-439D-95BB-AE60FCDD3D02}" cxnId="{7ABB9D5E-AFFC-401E-A5CB-9EBBFEC749EB}" type="sibTrans">
      <dgm:prSet/>
      <dgm:spPr/>
      <dgm:t>
        <a:bodyPr/>
        <a:p>
          <a:endParaRPr lang="en-IN"/>
        </a:p>
      </dgm:t>
    </dgm:pt>
    <dgm:pt modelId="{6F8BE88E-622E-4B52-A9E7-46CC5D3347FC}">
      <dgm:prSet phldrT="[Text]"/>
      <dgm:spPr/>
      <dgm:t>
        <a:bodyPr/>
        <a:p>
          <a:r>
            <a:rPr lang="en-IN"/>
            <a:t>Chapter 4: Data Finding </a:t>
          </a:r>
        </a:p>
      </dgm:t>
    </dgm:pt>
    <dgm:pt modelId="{1888E006-DA08-4595-B67D-28CA53730A73}" cxnId="{58FC54FD-A5BF-42C4-B058-B1AE16A52712}" type="parTrans">
      <dgm:prSet/>
      <dgm:spPr/>
    </dgm:pt>
    <dgm:pt modelId="{E92CDACB-6221-4809-A124-A4666107CF6F}" cxnId="{58FC54FD-A5BF-42C4-B058-B1AE16A52712}" type="sibTrans">
      <dgm:prSet/>
      <dgm:spPr/>
    </dgm:pt>
    <dgm:pt modelId="{09EAE46D-BB3E-455D-960A-8123EA90706E}">
      <dgm:prSet phldrT="[Text]"/>
      <dgm:spPr/>
      <dgm:t>
        <a:bodyPr/>
        <a:p>
          <a:r>
            <a:rPr lang="en-IN"/>
            <a:t>Chapter 5: Discussion </a:t>
          </a:r>
        </a:p>
      </dgm:t>
    </dgm:pt>
    <dgm:pt modelId="{B3670E4A-1E4F-4E21-842C-DFFC687CF6D1}" cxnId="{8497C797-95A0-477C-A0D9-DB2302E6BCF6}" type="parTrans">
      <dgm:prSet/>
      <dgm:spPr/>
    </dgm:pt>
    <dgm:pt modelId="{8F44CBA0-55B2-43CF-AA09-5A00EBFA739B}" cxnId="{8497C797-95A0-477C-A0D9-DB2302E6BCF6}" type="sibTrans">
      <dgm:prSet/>
      <dgm:spPr/>
    </dgm:pt>
    <dgm:pt modelId="{9D513339-A69C-4031-BB28-AA66350F274E}">
      <dgm:prSet phldrT="[Text]"/>
      <dgm:spPr/>
      <dgm:t>
        <a:bodyPr/>
        <a:p>
          <a:r>
            <a:rPr lang="en-IN"/>
            <a:t>Chapter 6: Conclusion </a:t>
          </a:r>
        </a:p>
      </dgm:t>
    </dgm:pt>
    <dgm:pt modelId="{AB0511AB-127F-44A1-8EDE-75392AE894E7}" cxnId="{B4C29D26-4855-43FD-A4BF-CFF18148272D}" type="parTrans">
      <dgm:prSet/>
      <dgm:spPr/>
    </dgm:pt>
    <dgm:pt modelId="{16C17FFC-CC39-4CF5-A17C-C2DFE81DDC8A}" cxnId="{B4C29D26-4855-43FD-A4BF-CFF18148272D}" type="sibTrans">
      <dgm:prSet/>
      <dgm:spPr/>
    </dgm:pt>
    <dgm:pt modelId="{DD16AF85-A53D-4B9E-BC89-EFF8218E01E3}" type="pres">
      <dgm:prSet presAssocID="{C3B2DC26-1208-49B0-9214-D872D43B63F8}" presName="linear" presStyleCnt="0">
        <dgm:presLayoutVars>
          <dgm:dir/>
          <dgm:animLvl val="lvl"/>
          <dgm:resizeHandles val="exact"/>
        </dgm:presLayoutVars>
      </dgm:prSet>
      <dgm:spPr/>
    </dgm:pt>
    <dgm:pt modelId="{7DB09801-1310-46B3-9066-302AAD637974}" type="pres">
      <dgm:prSet presAssocID="{EC9BCA2F-FD36-441E-9E13-1F03BFD2C252}" presName="parentLin" presStyleCnt="0"/>
      <dgm:spPr/>
    </dgm:pt>
    <dgm:pt modelId="{9F3000EE-A458-4164-A197-CFA930EAAE37}" type="pres">
      <dgm:prSet presAssocID="{EC9BCA2F-FD36-441E-9E13-1F03BFD2C252}" presName="parentLeftMargin" presStyleLbl="node1" presStyleIdx="0" presStyleCnt="6"/>
      <dgm:spPr/>
    </dgm:pt>
    <dgm:pt modelId="{6A63C23D-0B47-4751-9B23-BC17189B1DED}" type="pres">
      <dgm:prSet presAssocID="{EC9BCA2F-FD36-441E-9E13-1F03BFD2C252}" presName="parentText" presStyleLbl="node1" presStyleIdx="0" presStyleCnt="6">
        <dgm:presLayoutVars>
          <dgm:chMax val="0"/>
          <dgm:bulletEnabled val="1"/>
        </dgm:presLayoutVars>
      </dgm:prSet>
      <dgm:spPr/>
    </dgm:pt>
    <dgm:pt modelId="{5A44D2B2-F315-4A4A-85E8-EFEA238CDBE8}" type="pres">
      <dgm:prSet presAssocID="{EC9BCA2F-FD36-441E-9E13-1F03BFD2C252}" presName="negativeSpace" presStyleCnt="0"/>
      <dgm:spPr/>
    </dgm:pt>
    <dgm:pt modelId="{91EE285D-E5C7-4983-948A-5D063643C35A}" type="pres">
      <dgm:prSet presAssocID="{EC9BCA2F-FD36-441E-9E13-1F03BFD2C252}" presName="childText" presStyleLbl="conFgAcc1" presStyleIdx="0" presStyleCnt="6">
        <dgm:presLayoutVars>
          <dgm:bulletEnabled val="1"/>
        </dgm:presLayoutVars>
      </dgm:prSet>
      <dgm:spPr/>
    </dgm:pt>
    <dgm:pt modelId="{5AE1C63C-88E0-4F1D-B040-AD57428FD946}" type="pres">
      <dgm:prSet presAssocID="{5BB1F4E5-3A2C-48E5-9742-31C66DFEE8C9}" presName="spaceBetweenRectangles" presStyleCnt="0"/>
      <dgm:spPr/>
    </dgm:pt>
    <dgm:pt modelId="{2FB316B6-9218-4FBA-B46E-FFD8AFCE4771}" type="pres">
      <dgm:prSet presAssocID="{3A5984ED-C5B8-4F27-822C-500A1262E162}" presName="parentLin" presStyleCnt="0"/>
      <dgm:spPr/>
    </dgm:pt>
    <dgm:pt modelId="{2E82E046-C8F1-4EBA-8747-00386DFD20B4}" type="pres">
      <dgm:prSet presAssocID="{3A5984ED-C5B8-4F27-822C-500A1262E162}" presName="parentLeftMargin" presStyleLbl="node1" presStyleIdx="0" presStyleCnt="6"/>
      <dgm:spPr/>
    </dgm:pt>
    <dgm:pt modelId="{1A2E30A3-A316-487F-8502-B659FC3706C0}" type="pres">
      <dgm:prSet presAssocID="{3A5984ED-C5B8-4F27-822C-500A1262E162}" presName="parentText" presStyleLbl="node1" presStyleIdx="1" presStyleCnt="6">
        <dgm:presLayoutVars>
          <dgm:chMax val="0"/>
          <dgm:bulletEnabled val="1"/>
        </dgm:presLayoutVars>
      </dgm:prSet>
      <dgm:spPr/>
    </dgm:pt>
    <dgm:pt modelId="{EC30F729-2436-433B-9391-37826BF2FDA6}" type="pres">
      <dgm:prSet presAssocID="{3A5984ED-C5B8-4F27-822C-500A1262E162}" presName="negativeSpace" presStyleCnt="0"/>
      <dgm:spPr/>
    </dgm:pt>
    <dgm:pt modelId="{BCEEED69-C0F2-4BF6-B046-3452A557757A}" type="pres">
      <dgm:prSet presAssocID="{3A5984ED-C5B8-4F27-822C-500A1262E162}" presName="childText" presStyleLbl="conFgAcc1" presStyleIdx="1" presStyleCnt="6">
        <dgm:presLayoutVars>
          <dgm:bulletEnabled val="1"/>
        </dgm:presLayoutVars>
      </dgm:prSet>
      <dgm:spPr/>
    </dgm:pt>
    <dgm:pt modelId="{15F019AA-DD54-4252-B160-E5491C1219EE}" type="pres">
      <dgm:prSet presAssocID="{C02DFE95-9824-48E2-AA41-75A675DE8B5E}" presName="spaceBetweenRectangles" presStyleCnt="0"/>
      <dgm:spPr/>
    </dgm:pt>
    <dgm:pt modelId="{BD6DFBB2-7DA8-4121-A346-2EB4BF14A847}" type="pres">
      <dgm:prSet presAssocID="{21366494-357F-4447-969B-45DEB42FBDA8}" presName="parentLin" presStyleCnt="0"/>
      <dgm:spPr/>
    </dgm:pt>
    <dgm:pt modelId="{AC0C775E-400B-40FF-814F-ED3997DEE913}" type="pres">
      <dgm:prSet presAssocID="{21366494-357F-4447-969B-45DEB42FBDA8}" presName="parentLeftMargin" presStyleLbl="node1" presStyleIdx="1" presStyleCnt="6"/>
      <dgm:spPr/>
    </dgm:pt>
    <dgm:pt modelId="{6B58D44C-30BA-4D5B-90FE-0DCDD6AF653E}" type="pres">
      <dgm:prSet presAssocID="{21366494-357F-4447-969B-45DEB42FBDA8}" presName="parentText" presStyleLbl="node1" presStyleIdx="2" presStyleCnt="6">
        <dgm:presLayoutVars>
          <dgm:chMax val="0"/>
          <dgm:bulletEnabled val="1"/>
        </dgm:presLayoutVars>
      </dgm:prSet>
      <dgm:spPr/>
    </dgm:pt>
    <dgm:pt modelId="{AE70E128-797A-4337-9D0A-783401181AAB}" type="pres">
      <dgm:prSet presAssocID="{21366494-357F-4447-969B-45DEB42FBDA8}" presName="negativeSpace" presStyleCnt="0"/>
      <dgm:spPr/>
    </dgm:pt>
    <dgm:pt modelId="{7B092A7D-57EF-4C92-9040-F6FD5AEFFB27}" type="pres">
      <dgm:prSet presAssocID="{21366494-357F-4447-969B-45DEB42FBDA8}" presName="childText" presStyleLbl="conFgAcc1" presStyleIdx="2" presStyleCnt="6">
        <dgm:presLayoutVars>
          <dgm:bulletEnabled val="1"/>
        </dgm:presLayoutVars>
      </dgm:prSet>
      <dgm:spPr/>
    </dgm:pt>
    <dgm:pt modelId="{5A843ACB-8CD3-401B-9968-8F08BA3FF981}" type="pres">
      <dgm:prSet presAssocID="{73AEEBEA-E7C0-439D-95BB-AE60FCDD3D02}" presName="spaceBetweenRectangles" presStyleCnt="0"/>
      <dgm:spPr/>
    </dgm:pt>
    <dgm:pt modelId="{F4418D3B-4674-4929-8A4D-0AB09BCF72D6}" type="pres">
      <dgm:prSet presAssocID="{6F8BE88E-622E-4B52-A9E7-46CC5D3347FC}" presName="parentLin" presStyleCnt="0"/>
      <dgm:spPr/>
    </dgm:pt>
    <dgm:pt modelId="{4E005E47-91DF-40FD-B2D6-D9F4DE5A4EC9}" type="pres">
      <dgm:prSet presAssocID="{6F8BE88E-622E-4B52-A9E7-46CC5D3347FC}" presName="parentLeftMargin" presStyleLbl="node1" presStyleIdx="2" presStyleCnt="6"/>
      <dgm:spPr/>
    </dgm:pt>
    <dgm:pt modelId="{5E8EFA71-9572-4435-A764-5EDDD9CDB6D2}" type="pres">
      <dgm:prSet presAssocID="{6F8BE88E-622E-4B52-A9E7-46CC5D3347FC}" presName="parentText" presStyleLbl="node1" presStyleIdx="3" presStyleCnt="6">
        <dgm:presLayoutVars>
          <dgm:chMax val="0"/>
          <dgm:bulletEnabled val="1"/>
        </dgm:presLayoutVars>
      </dgm:prSet>
      <dgm:spPr/>
    </dgm:pt>
    <dgm:pt modelId="{E646947D-AAA9-4891-9EBC-0D64EE968E75}" type="pres">
      <dgm:prSet presAssocID="{6F8BE88E-622E-4B52-A9E7-46CC5D3347FC}" presName="negativeSpace" presStyleCnt="0"/>
      <dgm:spPr/>
    </dgm:pt>
    <dgm:pt modelId="{5F52792B-188D-40FC-9D0D-293DA5641EA1}" type="pres">
      <dgm:prSet presAssocID="{6F8BE88E-622E-4B52-A9E7-46CC5D3347FC}" presName="childText" presStyleLbl="conFgAcc1" presStyleIdx="3" presStyleCnt="6">
        <dgm:presLayoutVars>
          <dgm:bulletEnabled val="1"/>
        </dgm:presLayoutVars>
      </dgm:prSet>
      <dgm:spPr/>
    </dgm:pt>
    <dgm:pt modelId="{9107B659-08FA-4AA8-9279-D3C8B69D47F5}" type="pres">
      <dgm:prSet presAssocID="{E92CDACB-6221-4809-A124-A4666107CF6F}" presName="spaceBetweenRectangles" presStyleCnt="0"/>
      <dgm:spPr/>
    </dgm:pt>
    <dgm:pt modelId="{FF435433-42A8-4B81-AA79-99B64FA45ACF}" type="pres">
      <dgm:prSet presAssocID="{09EAE46D-BB3E-455D-960A-8123EA90706E}" presName="parentLin" presStyleCnt="0"/>
      <dgm:spPr/>
    </dgm:pt>
    <dgm:pt modelId="{9CFEA650-EE69-4CD4-886B-926187A82659}" type="pres">
      <dgm:prSet presAssocID="{09EAE46D-BB3E-455D-960A-8123EA90706E}" presName="parentLeftMargin" presStyleLbl="node1" presStyleIdx="3" presStyleCnt="6"/>
      <dgm:spPr/>
    </dgm:pt>
    <dgm:pt modelId="{943779B3-6EDC-42B2-B4D0-8B8EAFDA155A}" type="pres">
      <dgm:prSet presAssocID="{09EAE46D-BB3E-455D-960A-8123EA90706E}" presName="parentText" presStyleLbl="node1" presStyleIdx="4" presStyleCnt="6">
        <dgm:presLayoutVars>
          <dgm:chMax val="0"/>
          <dgm:bulletEnabled val="1"/>
        </dgm:presLayoutVars>
      </dgm:prSet>
      <dgm:spPr/>
    </dgm:pt>
    <dgm:pt modelId="{9730B66B-98C8-4C2E-A390-F3238E405651}" type="pres">
      <dgm:prSet presAssocID="{09EAE46D-BB3E-455D-960A-8123EA90706E}" presName="negativeSpace" presStyleCnt="0"/>
      <dgm:spPr/>
    </dgm:pt>
    <dgm:pt modelId="{2F568230-788C-489D-A474-1B2F2CDC2B21}" type="pres">
      <dgm:prSet presAssocID="{09EAE46D-BB3E-455D-960A-8123EA90706E}" presName="childText" presStyleLbl="conFgAcc1" presStyleIdx="4" presStyleCnt="6">
        <dgm:presLayoutVars>
          <dgm:bulletEnabled val="1"/>
        </dgm:presLayoutVars>
      </dgm:prSet>
      <dgm:spPr/>
    </dgm:pt>
    <dgm:pt modelId="{F78AF1BE-2BB4-4CB8-95E3-79E3EA46117C}" type="pres">
      <dgm:prSet presAssocID="{8F44CBA0-55B2-43CF-AA09-5A00EBFA739B}" presName="spaceBetweenRectangles" presStyleCnt="0"/>
      <dgm:spPr/>
    </dgm:pt>
    <dgm:pt modelId="{A698EC7D-AF1F-428F-B96B-779F9BF2DC2E}" type="pres">
      <dgm:prSet presAssocID="{9D513339-A69C-4031-BB28-AA66350F274E}" presName="parentLin" presStyleCnt="0"/>
      <dgm:spPr/>
    </dgm:pt>
    <dgm:pt modelId="{7C97CEA0-41DE-4617-A48F-F1B723D204B4}" type="pres">
      <dgm:prSet presAssocID="{9D513339-A69C-4031-BB28-AA66350F274E}" presName="parentLeftMargin" presStyleLbl="node1" presStyleIdx="4" presStyleCnt="6"/>
      <dgm:spPr/>
    </dgm:pt>
    <dgm:pt modelId="{37021021-C621-469E-844E-E196155B9E26}" type="pres">
      <dgm:prSet presAssocID="{9D513339-A69C-4031-BB28-AA66350F274E}" presName="parentText" presStyleLbl="node1" presStyleIdx="5" presStyleCnt="6">
        <dgm:presLayoutVars>
          <dgm:chMax val="0"/>
          <dgm:bulletEnabled val="1"/>
        </dgm:presLayoutVars>
      </dgm:prSet>
      <dgm:spPr/>
    </dgm:pt>
    <dgm:pt modelId="{A5A0478D-106D-4120-A311-D0295A7A3AE1}" type="pres">
      <dgm:prSet presAssocID="{9D513339-A69C-4031-BB28-AA66350F274E}" presName="negativeSpace" presStyleCnt="0"/>
      <dgm:spPr/>
    </dgm:pt>
    <dgm:pt modelId="{AB0B4691-7952-4128-8BDB-F08809A72C48}" type="pres">
      <dgm:prSet presAssocID="{9D513339-A69C-4031-BB28-AA66350F274E}" presName="childText" presStyleLbl="conFgAcc1" presStyleIdx="5" presStyleCnt="6">
        <dgm:presLayoutVars>
          <dgm:bulletEnabled val="1"/>
        </dgm:presLayoutVars>
      </dgm:prSet>
      <dgm:spPr/>
    </dgm:pt>
  </dgm:ptLst>
  <dgm:cxnLst>
    <dgm:cxn modelId="{2F42C90C-A3F9-4025-B6ED-DF4F72B4362F}" type="presOf" srcId="{09EAE46D-BB3E-455D-960A-8123EA90706E}" destId="{943779B3-6EDC-42B2-B4D0-8B8EAFDA155A}" srcOrd="1" destOrd="0" presId="urn:microsoft.com/office/officeart/2005/8/layout/list1#1"/>
    <dgm:cxn modelId="{18955418-0921-4ECE-B437-8CD89404FC96}" type="presOf" srcId="{EC9BCA2F-FD36-441E-9E13-1F03BFD2C252}" destId="{9F3000EE-A458-4164-A197-CFA930EAAE37}" srcOrd="0" destOrd="0" presId="urn:microsoft.com/office/officeart/2005/8/layout/list1#1"/>
    <dgm:cxn modelId="{B4C29D26-4855-43FD-A4BF-CFF18148272D}" srcId="{C3B2DC26-1208-49B0-9214-D872D43B63F8}" destId="{9D513339-A69C-4031-BB28-AA66350F274E}" srcOrd="5" destOrd="0" parTransId="{AB0511AB-127F-44A1-8EDE-75392AE894E7}" sibTransId="{16C17FFC-CC39-4CF5-A17C-C2DFE81DDC8A}"/>
    <dgm:cxn modelId="{8854022E-EA62-472F-8B85-9724D309AC75}" type="presOf" srcId="{21366494-357F-4447-969B-45DEB42FBDA8}" destId="{6B58D44C-30BA-4D5B-90FE-0DCDD6AF653E}" srcOrd="1" destOrd="0" presId="urn:microsoft.com/office/officeart/2005/8/layout/list1#1"/>
    <dgm:cxn modelId="{54678731-8648-4074-8DD0-6B449574DF5E}" type="presOf" srcId="{09EAE46D-BB3E-455D-960A-8123EA90706E}" destId="{9CFEA650-EE69-4CD4-886B-926187A82659}" srcOrd="0" destOrd="0" presId="urn:microsoft.com/office/officeart/2005/8/layout/list1#1"/>
    <dgm:cxn modelId="{2697FF35-1D4B-4E88-9A33-A014C07673F6}" type="presOf" srcId="{9D513339-A69C-4031-BB28-AA66350F274E}" destId="{7C97CEA0-41DE-4617-A48F-F1B723D204B4}" srcOrd="0" destOrd="0" presId="urn:microsoft.com/office/officeart/2005/8/layout/list1#1"/>
    <dgm:cxn modelId="{02B14F5D-DC97-45A8-A4F4-7E499ED3E617}" srcId="{C3B2DC26-1208-49B0-9214-D872D43B63F8}" destId="{3A5984ED-C5B8-4F27-822C-500A1262E162}" srcOrd="1" destOrd="0" parTransId="{4C192C6F-6CC9-4193-9833-ACD59E8951C1}" sibTransId="{C02DFE95-9824-48E2-AA41-75A675DE8B5E}"/>
    <dgm:cxn modelId="{7ABB9D5E-AFFC-401E-A5CB-9EBBFEC749EB}" srcId="{C3B2DC26-1208-49B0-9214-D872D43B63F8}" destId="{21366494-357F-4447-969B-45DEB42FBDA8}" srcOrd="2" destOrd="0" parTransId="{3CCE1173-588E-4578-8178-F4218615AC47}" sibTransId="{73AEEBEA-E7C0-439D-95BB-AE60FCDD3D02}"/>
    <dgm:cxn modelId="{3F7EF26C-2F94-4481-BE18-4886C6C085EB}" type="presOf" srcId="{3A5984ED-C5B8-4F27-822C-500A1262E162}" destId="{2E82E046-C8F1-4EBA-8747-00386DFD20B4}" srcOrd="0" destOrd="0" presId="urn:microsoft.com/office/officeart/2005/8/layout/list1#1"/>
    <dgm:cxn modelId="{BF5AA556-8958-4485-B37A-2E4F0168BB03}" type="presOf" srcId="{9D513339-A69C-4031-BB28-AA66350F274E}" destId="{37021021-C621-469E-844E-E196155B9E26}" srcOrd="1" destOrd="0" presId="urn:microsoft.com/office/officeart/2005/8/layout/list1#1"/>
    <dgm:cxn modelId="{DD128C80-8673-4208-9A8E-9CA061AB09F4}" type="presOf" srcId="{21366494-357F-4447-969B-45DEB42FBDA8}" destId="{AC0C775E-400B-40FF-814F-ED3997DEE913}" srcOrd="0" destOrd="0" presId="urn:microsoft.com/office/officeart/2005/8/layout/list1#1"/>
    <dgm:cxn modelId="{4F30868B-FE93-4EAE-83D6-618C88C4E3D1}" type="presOf" srcId="{6F8BE88E-622E-4B52-A9E7-46CC5D3347FC}" destId="{4E005E47-91DF-40FD-B2D6-D9F4DE5A4EC9}" srcOrd="0" destOrd="0" presId="urn:microsoft.com/office/officeart/2005/8/layout/list1#1"/>
    <dgm:cxn modelId="{8497C797-95A0-477C-A0D9-DB2302E6BCF6}" srcId="{C3B2DC26-1208-49B0-9214-D872D43B63F8}" destId="{09EAE46D-BB3E-455D-960A-8123EA90706E}" srcOrd="4" destOrd="0" parTransId="{B3670E4A-1E4F-4E21-842C-DFFC687CF6D1}" sibTransId="{8F44CBA0-55B2-43CF-AA09-5A00EBFA739B}"/>
    <dgm:cxn modelId="{C1537B9B-BA27-4D40-BFFD-0457A28468E4}" srcId="{C3B2DC26-1208-49B0-9214-D872D43B63F8}" destId="{EC9BCA2F-FD36-441E-9E13-1F03BFD2C252}" srcOrd="0" destOrd="0" parTransId="{AD1AAD2B-FF2D-4C5C-A572-7DB5F26D5C38}" sibTransId="{5BB1F4E5-3A2C-48E5-9742-31C66DFEE8C9}"/>
    <dgm:cxn modelId="{905ADAC0-5A82-4EE2-9795-2D93A5C4537A}" type="presOf" srcId="{C3B2DC26-1208-49B0-9214-D872D43B63F8}" destId="{DD16AF85-A53D-4B9E-BC89-EFF8218E01E3}" srcOrd="0" destOrd="0" presId="urn:microsoft.com/office/officeart/2005/8/layout/list1#1"/>
    <dgm:cxn modelId="{08DB68C9-0AC8-4C65-9CB4-1802104C5F3D}" type="presOf" srcId="{EC9BCA2F-FD36-441E-9E13-1F03BFD2C252}" destId="{6A63C23D-0B47-4751-9B23-BC17189B1DED}" srcOrd="1" destOrd="0" presId="urn:microsoft.com/office/officeart/2005/8/layout/list1#1"/>
    <dgm:cxn modelId="{03AB77ED-C3EA-4D89-8F4F-5C3F52F75470}" type="presOf" srcId="{6F8BE88E-622E-4B52-A9E7-46CC5D3347FC}" destId="{5E8EFA71-9572-4435-A764-5EDDD9CDB6D2}" srcOrd="1" destOrd="0" presId="urn:microsoft.com/office/officeart/2005/8/layout/list1#1"/>
    <dgm:cxn modelId="{58FC54FD-A5BF-42C4-B058-B1AE16A52712}" srcId="{C3B2DC26-1208-49B0-9214-D872D43B63F8}" destId="{6F8BE88E-622E-4B52-A9E7-46CC5D3347FC}" srcOrd="3" destOrd="0" parTransId="{1888E006-DA08-4595-B67D-28CA53730A73}" sibTransId="{E92CDACB-6221-4809-A124-A4666107CF6F}"/>
    <dgm:cxn modelId="{F45CCAFD-5DC4-4539-B7AC-9842D1EB2209}" type="presOf" srcId="{3A5984ED-C5B8-4F27-822C-500A1262E162}" destId="{1A2E30A3-A316-487F-8502-B659FC3706C0}" srcOrd="1" destOrd="0" presId="urn:microsoft.com/office/officeart/2005/8/layout/list1#1"/>
    <dgm:cxn modelId="{3C434F3A-11CA-462E-9721-DF2E8C92A41F}" type="presParOf" srcId="{DD16AF85-A53D-4B9E-BC89-EFF8218E01E3}" destId="{7DB09801-1310-46B3-9066-302AAD637974}" srcOrd="0" destOrd="0" presId="urn:microsoft.com/office/officeart/2005/8/layout/list1#1"/>
    <dgm:cxn modelId="{7CCC133E-3D22-49AA-80A2-79AA6897C93B}" type="presParOf" srcId="{7DB09801-1310-46B3-9066-302AAD637974}" destId="{9F3000EE-A458-4164-A197-CFA930EAAE37}" srcOrd="0" destOrd="0" presId="urn:microsoft.com/office/officeart/2005/8/layout/list1#1"/>
    <dgm:cxn modelId="{4989C293-5F72-4ED9-AC8B-B5BEEBA4A50A}" type="presParOf" srcId="{7DB09801-1310-46B3-9066-302AAD637974}" destId="{6A63C23D-0B47-4751-9B23-BC17189B1DED}" srcOrd="1" destOrd="0" presId="urn:microsoft.com/office/officeart/2005/8/layout/list1#1"/>
    <dgm:cxn modelId="{BE216D60-06E5-422E-A571-B027F0BE99B2}" type="presParOf" srcId="{DD16AF85-A53D-4B9E-BC89-EFF8218E01E3}" destId="{5A44D2B2-F315-4A4A-85E8-EFEA238CDBE8}" srcOrd="1" destOrd="0" presId="urn:microsoft.com/office/officeart/2005/8/layout/list1#1"/>
    <dgm:cxn modelId="{48846230-0459-45A8-A98F-02054CC495E3}" type="presParOf" srcId="{DD16AF85-A53D-4B9E-BC89-EFF8218E01E3}" destId="{91EE285D-E5C7-4983-948A-5D063643C35A}" srcOrd="2" destOrd="0" presId="urn:microsoft.com/office/officeart/2005/8/layout/list1#1"/>
    <dgm:cxn modelId="{44C97E95-26DB-4D43-ADB4-97DA77914253}" type="presParOf" srcId="{DD16AF85-A53D-4B9E-BC89-EFF8218E01E3}" destId="{5AE1C63C-88E0-4F1D-B040-AD57428FD946}" srcOrd="3" destOrd="0" presId="urn:microsoft.com/office/officeart/2005/8/layout/list1#1"/>
    <dgm:cxn modelId="{04ACE1D5-7076-4C8F-B914-0ECBFAEB070D}" type="presParOf" srcId="{DD16AF85-A53D-4B9E-BC89-EFF8218E01E3}" destId="{2FB316B6-9218-4FBA-B46E-FFD8AFCE4771}" srcOrd="4" destOrd="0" presId="urn:microsoft.com/office/officeart/2005/8/layout/list1#1"/>
    <dgm:cxn modelId="{2EE58FF4-8586-4592-A288-DD0D0EB1EFA0}" type="presParOf" srcId="{2FB316B6-9218-4FBA-B46E-FFD8AFCE4771}" destId="{2E82E046-C8F1-4EBA-8747-00386DFD20B4}" srcOrd="0" destOrd="0" presId="urn:microsoft.com/office/officeart/2005/8/layout/list1#1"/>
    <dgm:cxn modelId="{EA02B9F7-D838-46F3-A086-B726075F2175}" type="presParOf" srcId="{2FB316B6-9218-4FBA-B46E-FFD8AFCE4771}" destId="{1A2E30A3-A316-487F-8502-B659FC3706C0}" srcOrd="1" destOrd="0" presId="urn:microsoft.com/office/officeart/2005/8/layout/list1#1"/>
    <dgm:cxn modelId="{8B74EEAE-4D86-493C-94D1-5C1876DBB480}" type="presParOf" srcId="{DD16AF85-A53D-4B9E-BC89-EFF8218E01E3}" destId="{EC30F729-2436-433B-9391-37826BF2FDA6}" srcOrd="5" destOrd="0" presId="urn:microsoft.com/office/officeart/2005/8/layout/list1#1"/>
    <dgm:cxn modelId="{D184983F-E0D2-4EA4-B8BE-802B2180D22B}" type="presParOf" srcId="{DD16AF85-A53D-4B9E-BC89-EFF8218E01E3}" destId="{BCEEED69-C0F2-4BF6-B046-3452A557757A}" srcOrd="6" destOrd="0" presId="urn:microsoft.com/office/officeart/2005/8/layout/list1#1"/>
    <dgm:cxn modelId="{E2A1416F-E548-4437-BCB9-EACAAF912F1C}" type="presParOf" srcId="{DD16AF85-A53D-4B9E-BC89-EFF8218E01E3}" destId="{15F019AA-DD54-4252-B160-E5491C1219EE}" srcOrd="7" destOrd="0" presId="urn:microsoft.com/office/officeart/2005/8/layout/list1#1"/>
    <dgm:cxn modelId="{D2FD2432-D2D9-4DA8-96C5-812A5461C4A7}" type="presParOf" srcId="{DD16AF85-A53D-4B9E-BC89-EFF8218E01E3}" destId="{BD6DFBB2-7DA8-4121-A346-2EB4BF14A847}" srcOrd="8" destOrd="0" presId="urn:microsoft.com/office/officeart/2005/8/layout/list1#1"/>
    <dgm:cxn modelId="{7BEF0082-B50D-474C-B2B0-BBE19802026C}" type="presParOf" srcId="{BD6DFBB2-7DA8-4121-A346-2EB4BF14A847}" destId="{AC0C775E-400B-40FF-814F-ED3997DEE913}" srcOrd="0" destOrd="0" presId="urn:microsoft.com/office/officeart/2005/8/layout/list1#1"/>
    <dgm:cxn modelId="{0E96CA3F-FD41-4DBC-A45E-58C665248A91}" type="presParOf" srcId="{BD6DFBB2-7DA8-4121-A346-2EB4BF14A847}" destId="{6B58D44C-30BA-4D5B-90FE-0DCDD6AF653E}" srcOrd="1" destOrd="0" presId="urn:microsoft.com/office/officeart/2005/8/layout/list1#1"/>
    <dgm:cxn modelId="{ADE9B1F8-7B0F-44A9-8E93-EFAEB3590FAE}" type="presParOf" srcId="{DD16AF85-A53D-4B9E-BC89-EFF8218E01E3}" destId="{AE70E128-797A-4337-9D0A-783401181AAB}" srcOrd="9" destOrd="0" presId="urn:microsoft.com/office/officeart/2005/8/layout/list1#1"/>
    <dgm:cxn modelId="{337B2851-97CE-403D-88ED-D9C95634F7F5}" type="presParOf" srcId="{DD16AF85-A53D-4B9E-BC89-EFF8218E01E3}" destId="{7B092A7D-57EF-4C92-9040-F6FD5AEFFB27}" srcOrd="10" destOrd="0" presId="urn:microsoft.com/office/officeart/2005/8/layout/list1#1"/>
    <dgm:cxn modelId="{9D2390CB-8254-4C15-8607-79D16562B858}" type="presParOf" srcId="{DD16AF85-A53D-4B9E-BC89-EFF8218E01E3}" destId="{5A843ACB-8CD3-401B-9968-8F08BA3FF981}" srcOrd="11" destOrd="0" presId="urn:microsoft.com/office/officeart/2005/8/layout/list1#1"/>
    <dgm:cxn modelId="{1F5D315E-88E6-46EE-BD12-EEDA78A4DB2A}" type="presParOf" srcId="{DD16AF85-A53D-4B9E-BC89-EFF8218E01E3}" destId="{F4418D3B-4674-4929-8A4D-0AB09BCF72D6}" srcOrd="12" destOrd="0" presId="urn:microsoft.com/office/officeart/2005/8/layout/list1#1"/>
    <dgm:cxn modelId="{F7498E74-1E13-4FAE-908C-CFA8323E9F01}" type="presParOf" srcId="{F4418D3B-4674-4929-8A4D-0AB09BCF72D6}" destId="{4E005E47-91DF-40FD-B2D6-D9F4DE5A4EC9}" srcOrd="0" destOrd="0" presId="urn:microsoft.com/office/officeart/2005/8/layout/list1#1"/>
    <dgm:cxn modelId="{2ADC6C62-18A4-41CD-B00D-23D747FD9E28}" type="presParOf" srcId="{F4418D3B-4674-4929-8A4D-0AB09BCF72D6}" destId="{5E8EFA71-9572-4435-A764-5EDDD9CDB6D2}" srcOrd="1" destOrd="0" presId="urn:microsoft.com/office/officeart/2005/8/layout/list1#1"/>
    <dgm:cxn modelId="{860E3612-8C03-4004-BE58-0B3864AC68EE}" type="presParOf" srcId="{DD16AF85-A53D-4B9E-BC89-EFF8218E01E3}" destId="{E646947D-AAA9-4891-9EBC-0D64EE968E75}" srcOrd="13" destOrd="0" presId="urn:microsoft.com/office/officeart/2005/8/layout/list1#1"/>
    <dgm:cxn modelId="{3AE2ED28-58C4-411F-BCA3-24EAC838CB46}" type="presParOf" srcId="{DD16AF85-A53D-4B9E-BC89-EFF8218E01E3}" destId="{5F52792B-188D-40FC-9D0D-293DA5641EA1}" srcOrd="14" destOrd="0" presId="urn:microsoft.com/office/officeart/2005/8/layout/list1#1"/>
    <dgm:cxn modelId="{2652B43E-02EF-4191-B435-BD61697A3F62}" type="presParOf" srcId="{DD16AF85-A53D-4B9E-BC89-EFF8218E01E3}" destId="{9107B659-08FA-4AA8-9279-D3C8B69D47F5}" srcOrd="15" destOrd="0" presId="urn:microsoft.com/office/officeart/2005/8/layout/list1#1"/>
    <dgm:cxn modelId="{BB53ECA3-7577-40D2-957F-12888E0AFE62}" type="presParOf" srcId="{DD16AF85-A53D-4B9E-BC89-EFF8218E01E3}" destId="{FF435433-42A8-4B81-AA79-99B64FA45ACF}" srcOrd="16" destOrd="0" presId="urn:microsoft.com/office/officeart/2005/8/layout/list1#1"/>
    <dgm:cxn modelId="{C62DC25E-AC9E-4EE8-BA9B-97AFE5629672}" type="presParOf" srcId="{FF435433-42A8-4B81-AA79-99B64FA45ACF}" destId="{9CFEA650-EE69-4CD4-886B-926187A82659}" srcOrd="0" destOrd="0" presId="urn:microsoft.com/office/officeart/2005/8/layout/list1#1"/>
    <dgm:cxn modelId="{FEAB1B6B-D414-4CF6-8A9B-4FE2EBBFFC18}" type="presParOf" srcId="{FF435433-42A8-4B81-AA79-99B64FA45ACF}" destId="{943779B3-6EDC-42B2-B4D0-8B8EAFDA155A}" srcOrd="1" destOrd="0" presId="urn:microsoft.com/office/officeart/2005/8/layout/list1#1"/>
    <dgm:cxn modelId="{5D27AF7C-AA2F-470B-A4E6-A3DDA276FE4C}" type="presParOf" srcId="{DD16AF85-A53D-4B9E-BC89-EFF8218E01E3}" destId="{9730B66B-98C8-4C2E-A390-F3238E405651}" srcOrd="17" destOrd="0" presId="urn:microsoft.com/office/officeart/2005/8/layout/list1#1"/>
    <dgm:cxn modelId="{4F5DFFEF-995C-4087-8D58-51DCF7980821}" type="presParOf" srcId="{DD16AF85-A53D-4B9E-BC89-EFF8218E01E3}" destId="{2F568230-788C-489D-A474-1B2F2CDC2B21}" srcOrd="18" destOrd="0" presId="urn:microsoft.com/office/officeart/2005/8/layout/list1#1"/>
    <dgm:cxn modelId="{BF64810A-13A7-403A-958E-3E14D94A11F5}" type="presParOf" srcId="{DD16AF85-A53D-4B9E-BC89-EFF8218E01E3}" destId="{F78AF1BE-2BB4-4CB8-95E3-79E3EA46117C}" srcOrd="19" destOrd="0" presId="urn:microsoft.com/office/officeart/2005/8/layout/list1#1"/>
    <dgm:cxn modelId="{74282F99-9D6F-43CE-9696-A1BFE807F6F4}" type="presParOf" srcId="{DD16AF85-A53D-4B9E-BC89-EFF8218E01E3}" destId="{A698EC7D-AF1F-428F-B96B-779F9BF2DC2E}" srcOrd="20" destOrd="0" presId="urn:microsoft.com/office/officeart/2005/8/layout/list1#1"/>
    <dgm:cxn modelId="{DBED7C32-E655-46DD-87EE-5F6145BD306B}" type="presParOf" srcId="{A698EC7D-AF1F-428F-B96B-779F9BF2DC2E}" destId="{7C97CEA0-41DE-4617-A48F-F1B723D204B4}" srcOrd="0" destOrd="0" presId="urn:microsoft.com/office/officeart/2005/8/layout/list1#1"/>
    <dgm:cxn modelId="{50C7664B-E202-48C4-9E9A-3292CD5DB5D0}" type="presParOf" srcId="{A698EC7D-AF1F-428F-B96B-779F9BF2DC2E}" destId="{37021021-C621-469E-844E-E196155B9E26}" srcOrd="1" destOrd="0" presId="urn:microsoft.com/office/officeart/2005/8/layout/list1#1"/>
    <dgm:cxn modelId="{1E851720-4189-4633-877A-08B2AFA964D3}" type="presParOf" srcId="{DD16AF85-A53D-4B9E-BC89-EFF8218E01E3}" destId="{A5A0478D-106D-4120-A311-D0295A7A3AE1}" srcOrd="21" destOrd="0" presId="urn:microsoft.com/office/officeart/2005/8/layout/list1#1"/>
    <dgm:cxn modelId="{9EC7236A-8ED0-448F-BE65-C029BA5FCA2F}" type="presParOf" srcId="{DD16AF85-A53D-4B9E-BC89-EFF8218E01E3}" destId="{AB0B4691-7952-4128-8BDB-F08809A72C48}" srcOrd="22" destOrd="0" presId="urn:microsoft.com/office/officeart/2005/8/layout/list1#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EE285D-E5C7-4983-948A-5D063643C35A}">
      <dsp:nvSpPr>
        <dsp:cNvPr id="0" name=""/>
        <dsp:cNvSpPr/>
      </dsp:nvSpPr>
      <dsp:spPr>
        <a:xfrm>
          <a:off x="0" y="295380"/>
          <a:ext cx="5486400" cy="2772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63C23D-0B47-4751-9B23-BC17189B1DED}">
      <dsp:nvSpPr>
        <dsp:cNvPr id="0" name=""/>
        <dsp:cNvSpPr/>
      </dsp:nvSpPr>
      <dsp:spPr>
        <a:xfrm>
          <a:off x="274320" y="133020"/>
          <a:ext cx="3840480" cy="32472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kern="1200"/>
            <a:t>Chapter 1: Introduction</a:t>
          </a:r>
        </a:p>
      </dsp:txBody>
      <dsp:txXfrm>
        <a:off x="290172" y="148872"/>
        <a:ext cx="3808776" cy="293016"/>
      </dsp:txXfrm>
    </dsp:sp>
    <dsp:sp modelId="{BCEEED69-C0F2-4BF6-B046-3452A557757A}">
      <dsp:nvSpPr>
        <dsp:cNvPr id="0" name=""/>
        <dsp:cNvSpPr/>
      </dsp:nvSpPr>
      <dsp:spPr>
        <a:xfrm>
          <a:off x="0" y="794340"/>
          <a:ext cx="5486400" cy="277200"/>
        </a:xfrm>
        <a:prstGeom prst="rect">
          <a:avLst/>
        </a:prstGeom>
        <a:solidFill>
          <a:schemeClr val="lt1">
            <a:alpha val="90000"/>
            <a:hueOff val="0"/>
            <a:satOff val="0"/>
            <a:lumOff val="0"/>
            <a:alphaOff val="0"/>
          </a:schemeClr>
        </a:solidFill>
        <a:ln w="12700" cap="flat" cmpd="sng" algn="ctr">
          <a:solidFill>
            <a:schemeClr val="accent3">
              <a:hueOff val="542120"/>
              <a:satOff val="20000"/>
              <a:lumOff val="-2941"/>
              <a:alphaOff val="0"/>
            </a:schemeClr>
          </a:solidFill>
          <a:prstDash val="solid"/>
          <a:miter lim="800000"/>
        </a:ln>
        <a:effectLst/>
      </dsp:spPr>
      <dsp:style>
        <a:lnRef idx="2">
          <a:scrgbClr r="0" g="0" b="0"/>
        </a:lnRef>
        <a:fillRef idx="1">
          <a:scrgbClr r="0" g="0" b="0"/>
        </a:fillRef>
        <a:effectRef idx="0">
          <a:scrgbClr r="0" g="0" b="0"/>
        </a:effectRef>
        <a:fontRef idx="minor"/>
      </dsp:style>
    </dsp:sp>
    <dsp:sp modelId="{1A2E30A3-A316-487F-8502-B659FC3706C0}">
      <dsp:nvSpPr>
        <dsp:cNvPr id="0" name=""/>
        <dsp:cNvSpPr/>
      </dsp:nvSpPr>
      <dsp:spPr>
        <a:xfrm>
          <a:off x="274320" y="631980"/>
          <a:ext cx="3840480" cy="324720"/>
        </a:xfrm>
        <a:prstGeom prst="roundRect">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kern="1200"/>
            <a:t>Chapter 2: Literature Review </a:t>
          </a:r>
        </a:p>
      </dsp:txBody>
      <dsp:txXfrm>
        <a:off x="290172" y="647832"/>
        <a:ext cx="3808776" cy="293016"/>
      </dsp:txXfrm>
    </dsp:sp>
    <dsp:sp modelId="{7B092A7D-57EF-4C92-9040-F6FD5AEFFB27}">
      <dsp:nvSpPr>
        <dsp:cNvPr id="0" name=""/>
        <dsp:cNvSpPr/>
      </dsp:nvSpPr>
      <dsp:spPr>
        <a:xfrm>
          <a:off x="0" y="1293300"/>
          <a:ext cx="5486400" cy="277200"/>
        </a:xfrm>
        <a:prstGeom prst="rect">
          <a:avLst/>
        </a:prstGeom>
        <a:solidFill>
          <a:schemeClr val="lt1">
            <a:alpha val="90000"/>
            <a:hueOff val="0"/>
            <a:satOff val="0"/>
            <a:lumOff val="0"/>
            <a:alphaOff val="0"/>
          </a:schemeClr>
        </a:solidFill>
        <a:ln w="12700" cap="flat" cmpd="sng" algn="ctr">
          <a:solidFill>
            <a:schemeClr val="accent3">
              <a:hueOff val="1084240"/>
              <a:satOff val="40000"/>
              <a:lumOff val="-5882"/>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58D44C-30BA-4D5B-90FE-0DCDD6AF653E}">
      <dsp:nvSpPr>
        <dsp:cNvPr id="0" name=""/>
        <dsp:cNvSpPr/>
      </dsp:nvSpPr>
      <dsp:spPr>
        <a:xfrm>
          <a:off x="274320" y="1130940"/>
          <a:ext cx="3840480" cy="324720"/>
        </a:xfrm>
        <a:prstGeom prst="roundRect">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kern="1200"/>
            <a:t>Chapter 3: Methodology</a:t>
          </a:r>
        </a:p>
      </dsp:txBody>
      <dsp:txXfrm>
        <a:off x="290172" y="1146792"/>
        <a:ext cx="3808776" cy="293016"/>
      </dsp:txXfrm>
    </dsp:sp>
    <dsp:sp modelId="{5F52792B-188D-40FC-9D0D-293DA5641EA1}">
      <dsp:nvSpPr>
        <dsp:cNvPr id="0" name=""/>
        <dsp:cNvSpPr/>
      </dsp:nvSpPr>
      <dsp:spPr>
        <a:xfrm>
          <a:off x="0" y="1792260"/>
          <a:ext cx="5486400" cy="277200"/>
        </a:xfrm>
        <a:prstGeom prst="rect">
          <a:avLst/>
        </a:prstGeom>
        <a:solidFill>
          <a:schemeClr val="lt1">
            <a:alpha val="90000"/>
            <a:hueOff val="0"/>
            <a:satOff val="0"/>
            <a:lumOff val="0"/>
            <a:alphaOff val="0"/>
          </a:schemeClr>
        </a:solidFill>
        <a:ln w="12700" cap="flat" cmpd="sng" algn="ctr">
          <a:solidFill>
            <a:schemeClr val="accent3">
              <a:hueOff val="1626359"/>
              <a:satOff val="60000"/>
              <a:lumOff val="-8824"/>
              <a:alphaOff val="0"/>
            </a:schemeClr>
          </a:solidFill>
          <a:prstDash val="solid"/>
          <a:miter lim="800000"/>
        </a:ln>
        <a:effectLst/>
      </dsp:spPr>
      <dsp:style>
        <a:lnRef idx="2">
          <a:scrgbClr r="0" g="0" b="0"/>
        </a:lnRef>
        <a:fillRef idx="1">
          <a:scrgbClr r="0" g="0" b="0"/>
        </a:fillRef>
        <a:effectRef idx="0">
          <a:scrgbClr r="0" g="0" b="0"/>
        </a:effectRef>
        <a:fontRef idx="minor"/>
      </dsp:style>
    </dsp:sp>
    <dsp:sp modelId="{5E8EFA71-9572-4435-A764-5EDDD9CDB6D2}">
      <dsp:nvSpPr>
        <dsp:cNvPr id="0" name=""/>
        <dsp:cNvSpPr/>
      </dsp:nvSpPr>
      <dsp:spPr>
        <a:xfrm>
          <a:off x="274320" y="1629900"/>
          <a:ext cx="3840480" cy="324720"/>
        </a:xfrm>
        <a:prstGeom prst="roundRect">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kern="1200"/>
            <a:t>Chapter 4: Data Finding </a:t>
          </a:r>
        </a:p>
      </dsp:txBody>
      <dsp:txXfrm>
        <a:off x="290172" y="1645752"/>
        <a:ext cx="3808776" cy="293016"/>
      </dsp:txXfrm>
    </dsp:sp>
    <dsp:sp modelId="{2F568230-788C-489D-A474-1B2F2CDC2B21}">
      <dsp:nvSpPr>
        <dsp:cNvPr id="0" name=""/>
        <dsp:cNvSpPr/>
      </dsp:nvSpPr>
      <dsp:spPr>
        <a:xfrm>
          <a:off x="0" y="2291220"/>
          <a:ext cx="5486400" cy="277200"/>
        </a:xfrm>
        <a:prstGeom prst="rect">
          <a:avLst/>
        </a:prstGeom>
        <a:solidFill>
          <a:schemeClr val="lt1">
            <a:alpha val="90000"/>
            <a:hueOff val="0"/>
            <a:satOff val="0"/>
            <a:lumOff val="0"/>
            <a:alphaOff val="0"/>
          </a:schemeClr>
        </a:solidFill>
        <a:ln w="12700" cap="flat" cmpd="sng" algn="ctr">
          <a:solidFill>
            <a:schemeClr val="accent3">
              <a:hueOff val="2168479"/>
              <a:satOff val="80000"/>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943779B3-6EDC-42B2-B4D0-8B8EAFDA155A}">
      <dsp:nvSpPr>
        <dsp:cNvPr id="0" name=""/>
        <dsp:cNvSpPr/>
      </dsp:nvSpPr>
      <dsp:spPr>
        <a:xfrm>
          <a:off x="274320" y="2128860"/>
          <a:ext cx="3840480" cy="324720"/>
        </a:xfrm>
        <a:prstGeom prst="roundRect">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kern="1200"/>
            <a:t>Chapter 5: Discussion </a:t>
          </a:r>
        </a:p>
      </dsp:txBody>
      <dsp:txXfrm>
        <a:off x="290172" y="2144712"/>
        <a:ext cx="3808776" cy="293016"/>
      </dsp:txXfrm>
    </dsp:sp>
    <dsp:sp modelId="{AB0B4691-7952-4128-8BDB-F08809A72C48}">
      <dsp:nvSpPr>
        <dsp:cNvPr id="0" name=""/>
        <dsp:cNvSpPr/>
      </dsp:nvSpPr>
      <dsp:spPr>
        <a:xfrm>
          <a:off x="0" y="2790180"/>
          <a:ext cx="5486400" cy="2772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37021021-C621-469E-844E-E196155B9E26}">
      <dsp:nvSpPr>
        <dsp:cNvPr id="0" name=""/>
        <dsp:cNvSpPr/>
      </dsp:nvSpPr>
      <dsp:spPr>
        <a:xfrm>
          <a:off x="274320" y="2627820"/>
          <a:ext cx="3840480" cy="32472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kern="1200"/>
            <a:t>Chapter 6: Conclusion </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nodeHorzAlign" val="l"/>
          <dgm:param type="horzAlign" val="l"/>
        </dgm:alg>
      </dgm:if>
      <dgm:else name="Name2">
        <dgm:alg type="lin">
          <dgm:param type="linDir" val="fromT"/>
          <dgm:param type="vertAlign" val="mid"/>
          <dgm:param type="nodeHorzAlign" val="r"/>
          <dgm:param typ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nodeHorzAlign" val="l"/>
              <dgm:param type="horzAlign" val="l"/>
            </dgm:alg>
          </dgm:if>
          <dgm:else name="Name6">
            <dgm:alg type="lin">
              <dgm:param type="linDir" val="fromR"/>
              <dgm:param type="nodeHorzAlign" val="r"/>
              <dgm:param typ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txPr/>
    <dgm:style>
      <a:lnRef idx="1">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txPr/>
    <dgm:style>
      <a:lnRef idx="1">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txPr/>
    <dgm:style>
      <a:lnRef idx="0">
        <a:scrgbClr r="0" g="0" b="0"/>
      </a:lnRef>
      <a:fillRef idx="0">
        <a:scrgbClr r="0" g="0" b="0"/>
      </a:fillRef>
      <a:effectRef idx="0">
        <a:scrgbClr r="0" g="0" b="0"/>
      </a:effectRef>
      <a:fontRef idx="minor">
        <a:schemeClr val="lt1"/>
      </a:fontRef>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82</Pages>
  <Words>24400</Words>
  <Characters>139084</Characters>
  <Lines>1159</Lines>
  <Paragraphs>326</Paragraphs>
  <TotalTime>0</TotalTime>
  <ScaleCrop>false</ScaleCrop>
  <LinksUpToDate>false</LinksUpToDate>
  <CharactersWithSpaces>163158</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2026-08-01T06:43:00Z</dcterms:created>
  <cp:lastModifiedBy>iPhone</cp:lastModifiedBy>
  <dcterms:modified xsi:type="dcterms:W3CDTF">2026-09-25T09:43:11Z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93a6854e-a40f-4148-84ef-1b6163298309</vt:lpwstr>
  </property>
  <property fmtid="{D5CDD505-2E9C-101B-9397-08002B2CF9AE}" pid="3" name="ICV">
    <vt:lpwstr>8C74558698B0FC70E12EB66AF8CA07AE_31</vt:lpwstr>
  </property>
  <property fmtid="{D5CDD505-2E9C-101B-9397-08002B2CF9AE}" pid="4" name="KSOProductBuildVer">
    <vt:lpwstr>3081-26.9.0</vt:lpwstr>
  </property>
</Properties>
</file>