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1D2F0" w14:textId="77777777" w:rsidR="00762DDA" w:rsidRPr="00381776" w:rsidRDefault="00762DDA" w:rsidP="00762DDA">
      <w:pPr>
        <w:rPr>
          <w:rFonts w:ascii="Arial" w:hAnsi="Arial" w:cs="Arial"/>
          <w:b/>
          <w:bCs/>
        </w:rPr>
      </w:pPr>
      <w:bookmarkStart w:id="0" w:name="_Hlk181177171"/>
      <w:r w:rsidRPr="00381776">
        <w:rPr>
          <w:rFonts w:ascii="Arial" w:hAnsi="Arial" w:cs="Arial"/>
          <w:b/>
          <w:bCs/>
        </w:rPr>
        <w:t>Academic Skills (HPFY3010).</w:t>
      </w:r>
    </w:p>
    <w:bookmarkEnd w:id="0"/>
    <w:p w14:paraId="7FDF1206" w14:textId="02FD3318" w:rsidR="00762DDA" w:rsidRDefault="00762DDA" w:rsidP="00762DDA">
      <w:pPr>
        <w:rPr>
          <w:rFonts w:ascii="Arial" w:hAnsi="Arial" w:cs="Arial"/>
          <w:b/>
          <w:bCs/>
        </w:rPr>
      </w:pPr>
      <w:r w:rsidRPr="00381776">
        <w:rPr>
          <w:rFonts w:ascii="Arial" w:hAnsi="Arial" w:cs="Arial"/>
          <w:b/>
          <w:bCs/>
        </w:rPr>
        <w:t xml:space="preserve">Assignment 2: </w:t>
      </w:r>
      <w:r w:rsidR="00A14296" w:rsidRPr="00381776">
        <w:rPr>
          <w:rFonts w:ascii="Arial" w:hAnsi="Arial" w:cs="Arial"/>
          <w:b/>
          <w:bCs/>
        </w:rPr>
        <w:t>Literature review</w:t>
      </w:r>
      <w:r w:rsidR="0086205B" w:rsidRPr="00381776">
        <w:rPr>
          <w:rFonts w:ascii="Arial" w:hAnsi="Arial" w:cs="Arial"/>
          <w:b/>
          <w:bCs/>
        </w:rPr>
        <w:t>.</w:t>
      </w:r>
      <w:r w:rsidRPr="00381776">
        <w:rPr>
          <w:rFonts w:ascii="Arial" w:hAnsi="Arial" w:cs="Arial"/>
          <w:b/>
          <w:bCs/>
        </w:rPr>
        <w:t xml:space="preserve"> </w:t>
      </w:r>
    </w:p>
    <w:p w14:paraId="73B1297B" w14:textId="2F5723A7" w:rsidR="00F17F43" w:rsidRDefault="002571AC" w:rsidP="00762DDA">
      <w:pPr>
        <w:rPr>
          <w:rFonts w:ascii="Arial" w:hAnsi="Arial" w:cs="Arial"/>
          <w:b/>
          <w:bCs/>
        </w:rPr>
      </w:pPr>
      <w:r w:rsidRPr="002571AC">
        <w:rPr>
          <w:rFonts w:ascii="Arial" w:hAnsi="Arial" w:cs="Arial"/>
          <w:b/>
          <w:bCs/>
        </w:rPr>
        <w:t>I confirm that I have not presented any AI generated text as my own work. I confirm I</w:t>
      </w:r>
      <w:r w:rsidR="00E04EB6">
        <w:rPr>
          <w:rFonts w:ascii="Arial" w:hAnsi="Arial" w:cs="Arial"/>
          <w:b/>
          <w:bCs/>
        </w:rPr>
        <w:t xml:space="preserve"> </w:t>
      </w:r>
      <w:r w:rsidRPr="002571AC">
        <w:rPr>
          <w:rFonts w:ascii="Arial" w:hAnsi="Arial" w:cs="Arial"/>
          <w:b/>
          <w:bCs/>
        </w:rPr>
        <w:t>have copies of my drafts, notes, and other resources I used before, and after the use of</w:t>
      </w:r>
      <w:r w:rsidR="00E04EB6">
        <w:rPr>
          <w:rFonts w:ascii="Arial" w:hAnsi="Arial" w:cs="Arial"/>
          <w:b/>
          <w:bCs/>
        </w:rPr>
        <w:t xml:space="preserve"> </w:t>
      </w:r>
      <w:r w:rsidRPr="002571AC">
        <w:rPr>
          <w:rFonts w:ascii="Arial" w:hAnsi="Arial" w:cs="Arial"/>
          <w:b/>
          <w:bCs/>
        </w:rPr>
        <w:t>AI tools which I may be asked to provide in evidence.</w:t>
      </w:r>
    </w:p>
    <w:p w14:paraId="705DB2B8" w14:textId="77777777" w:rsidR="00890BB3" w:rsidRPr="00381776" w:rsidRDefault="00890BB3" w:rsidP="00762DDA">
      <w:pPr>
        <w:rPr>
          <w:rFonts w:ascii="Arial" w:hAnsi="Arial" w:cs="Arial"/>
          <w:b/>
          <w:bCs/>
        </w:rPr>
      </w:pPr>
    </w:p>
    <w:p w14:paraId="4D9A1B74" w14:textId="790A0BAF" w:rsidR="005F12AF" w:rsidRDefault="00812069" w:rsidP="0046348E">
      <w:pPr>
        <w:rPr>
          <w:rFonts w:ascii="Arial" w:hAnsi="Arial" w:cs="Arial"/>
        </w:rPr>
      </w:pPr>
      <w:r w:rsidRPr="00381776">
        <w:rPr>
          <w:rFonts w:ascii="Arial" w:hAnsi="Arial" w:cs="Arial"/>
        </w:rPr>
        <w:t>T</w:t>
      </w:r>
      <w:r w:rsidR="007A378F" w:rsidRPr="00381776">
        <w:rPr>
          <w:rFonts w:ascii="Arial" w:hAnsi="Arial" w:cs="Arial"/>
        </w:rPr>
        <w:t>he follo</w:t>
      </w:r>
      <w:r w:rsidR="008F30ED" w:rsidRPr="00381776">
        <w:rPr>
          <w:rFonts w:ascii="Arial" w:hAnsi="Arial" w:cs="Arial"/>
        </w:rPr>
        <w:t>wing texts</w:t>
      </w:r>
      <w:r w:rsidRPr="00381776">
        <w:rPr>
          <w:rFonts w:ascii="Arial" w:hAnsi="Arial" w:cs="Arial"/>
        </w:rPr>
        <w:t xml:space="preserve"> will provide a mix of perspectives</w:t>
      </w:r>
      <w:r w:rsidR="00734694" w:rsidRPr="00381776">
        <w:rPr>
          <w:rFonts w:ascii="Arial" w:hAnsi="Arial" w:cs="Arial"/>
        </w:rPr>
        <w:t xml:space="preserve"> from all avenues of approach</w:t>
      </w:r>
      <w:r w:rsidRPr="00381776">
        <w:rPr>
          <w:rFonts w:ascii="Arial" w:hAnsi="Arial" w:cs="Arial"/>
        </w:rPr>
        <w:t>, including Soviet and German views, intelligence analysis, and strategic assessments,</w:t>
      </w:r>
      <w:r w:rsidR="001C6779" w:rsidRPr="00381776">
        <w:rPr>
          <w:rFonts w:ascii="Arial" w:hAnsi="Arial" w:cs="Arial"/>
        </w:rPr>
        <w:t xml:space="preserve"> therefore ensuring </w:t>
      </w:r>
      <w:r w:rsidR="00724C90" w:rsidRPr="00381776">
        <w:rPr>
          <w:rFonts w:ascii="Arial" w:hAnsi="Arial" w:cs="Arial"/>
        </w:rPr>
        <w:t xml:space="preserve">means for </w:t>
      </w:r>
      <w:r w:rsidRPr="00381776">
        <w:rPr>
          <w:rFonts w:ascii="Arial" w:hAnsi="Arial" w:cs="Arial"/>
        </w:rPr>
        <w:t>a deeper evaluation of arguments, sources, and historiographical approaches.</w:t>
      </w:r>
    </w:p>
    <w:p w14:paraId="258F662F" w14:textId="77777777" w:rsidR="00CD4736" w:rsidRPr="00381776" w:rsidRDefault="00CD4736" w:rsidP="0046348E">
      <w:pPr>
        <w:rPr>
          <w:rFonts w:ascii="Arial" w:hAnsi="Arial" w:cs="Arial"/>
        </w:rPr>
      </w:pPr>
    </w:p>
    <w:p w14:paraId="2C1C0DD4" w14:textId="77777777" w:rsidR="005F12AF" w:rsidRPr="00381776" w:rsidRDefault="005F12AF">
      <w:pPr>
        <w:pStyle w:val="p4"/>
        <w:divId w:val="236331251"/>
        <w:rPr>
          <w:rFonts w:ascii="Arial" w:hAnsi="Arial" w:cs="Arial"/>
          <w:sz w:val="22"/>
          <w:szCs w:val="22"/>
        </w:rPr>
      </w:pPr>
      <w:r w:rsidRPr="00381776">
        <w:rPr>
          <w:rStyle w:val="s3"/>
          <w:rFonts w:ascii="Arial" w:hAnsi="Arial" w:cs="Arial"/>
          <w:sz w:val="22"/>
          <w:szCs w:val="22"/>
        </w:rPr>
        <w:t>Could Germany Have Won the Battle of Kursk if It Had Started in Late May or the Beginning of June 1943?</w:t>
      </w:r>
    </w:p>
    <w:p w14:paraId="4B4B4BF1" w14:textId="77777777" w:rsidR="005F12AF" w:rsidRPr="00381776" w:rsidRDefault="005F12AF">
      <w:pPr>
        <w:pStyle w:val="p2"/>
        <w:divId w:val="236331251"/>
        <w:rPr>
          <w:rFonts w:ascii="Arial" w:hAnsi="Arial" w:cs="Arial"/>
          <w:sz w:val="22"/>
          <w:szCs w:val="22"/>
        </w:rPr>
      </w:pPr>
    </w:p>
    <w:p w14:paraId="22AD32CC" w14:textId="3CC499B6" w:rsidR="005F12AF" w:rsidRPr="00381776" w:rsidRDefault="005F12AF">
      <w:pPr>
        <w:pStyle w:val="p1"/>
        <w:divId w:val="236331251"/>
        <w:rPr>
          <w:rFonts w:ascii="Arial" w:hAnsi="Arial" w:cs="Arial"/>
          <w:sz w:val="22"/>
          <w:szCs w:val="22"/>
        </w:rPr>
      </w:pPr>
      <w:r w:rsidRPr="00381776">
        <w:rPr>
          <w:rStyle w:val="s1"/>
          <w:rFonts w:ascii="Arial" w:hAnsi="Arial" w:cs="Arial"/>
          <w:sz w:val="22"/>
          <w:szCs w:val="22"/>
        </w:rPr>
        <w:t xml:space="preserve">Valeriy N. Zamulin’s (2014) article examines the hypothesis of an earlier start date for Operation Citadel. Zamulin, a Russian military historian </w:t>
      </w:r>
      <w:r w:rsidR="005A47F5" w:rsidRPr="00381776">
        <w:rPr>
          <w:rStyle w:val="s1"/>
          <w:rFonts w:ascii="Arial" w:hAnsi="Arial" w:cs="Arial"/>
          <w:sz w:val="22"/>
          <w:szCs w:val="22"/>
        </w:rPr>
        <w:t>specialising</w:t>
      </w:r>
      <w:r w:rsidRPr="00381776">
        <w:rPr>
          <w:rStyle w:val="s1"/>
          <w:rFonts w:ascii="Arial" w:hAnsi="Arial" w:cs="Arial"/>
          <w:sz w:val="22"/>
          <w:szCs w:val="22"/>
        </w:rPr>
        <w:t xml:space="preserve"> in Soviet-German engagements, argues that while a May or early June offensive might have provided tactical benefits, it would not have led to a strategic German victory. According to Zamulin, “the Soviet command had foreseen German actions and positioned its forces accordingly” (Zamulin, 2014, p. 608), </w:t>
      </w:r>
      <w:r w:rsidR="005A47F5" w:rsidRPr="00381776">
        <w:rPr>
          <w:rStyle w:val="s1"/>
          <w:rFonts w:ascii="Arial" w:hAnsi="Arial" w:cs="Arial"/>
          <w:sz w:val="22"/>
          <w:szCs w:val="22"/>
        </w:rPr>
        <w:t>emphasising</w:t>
      </w:r>
      <w:r w:rsidRPr="00381776">
        <w:rPr>
          <w:rStyle w:val="s1"/>
          <w:rFonts w:ascii="Arial" w:hAnsi="Arial" w:cs="Arial"/>
          <w:sz w:val="22"/>
          <w:szCs w:val="22"/>
        </w:rPr>
        <w:t xml:space="preserve"> Soviet defensive depth and intelligence as crucial counterbalances. He further asserts that “even if the Germans had launched the attack earlier, Soviet countermeasures would have blunted the offensive” (Zamulin, 2014, p. 611), highlighting Soviet resilience against German operational changes.</w:t>
      </w:r>
    </w:p>
    <w:p w14:paraId="69827235" w14:textId="77777777" w:rsidR="005F12AF" w:rsidRPr="00381776" w:rsidRDefault="005F12AF">
      <w:pPr>
        <w:pStyle w:val="p2"/>
        <w:divId w:val="236331251"/>
        <w:rPr>
          <w:rFonts w:ascii="Arial" w:hAnsi="Arial" w:cs="Arial"/>
          <w:sz w:val="22"/>
          <w:szCs w:val="22"/>
        </w:rPr>
      </w:pPr>
    </w:p>
    <w:p w14:paraId="4C643AA3" w14:textId="77777777" w:rsidR="005F12AF" w:rsidRPr="00381776" w:rsidRDefault="005F12AF">
      <w:pPr>
        <w:pStyle w:val="p1"/>
        <w:divId w:val="236331251"/>
        <w:rPr>
          <w:rFonts w:ascii="Arial" w:hAnsi="Arial" w:cs="Arial"/>
          <w:sz w:val="22"/>
          <w:szCs w:val="22"/>
        </w:rPr>
      </w:pPr>
      <w:r w:rsidRPr="00381776">
        <w:rPr>
          <w:rStyle w:val="s1"/>
          <w:rFonts w:ascii="Arial" w:hAnsi="Arial" w:cs="Arial"/>
          <w:sz w:val="22"/>
          <w:szCs w:val="22"/>
        </w:rPr>
        <w:t>Zamulin’s use of Soviet archival materials, accessible post-Cold War, supports his challenge to German-centric narratives. His analysis aligns with works such as Mulligan’s (1987) and Glantz’s studies, which similarly highlight Soviet intelligence and layered defence systems. A strength of Zamulin’s approach is his balanced use of Soviet and German records, contributing to our understanding of Soviet resilience. However, his assumption of Soviet consistency across timelines could be critiqued, as Kasdorf’s (2014) analysis suggests Soviet adaptability.</w:t>
      </w:r>
    </w:p>
    <w:p w14:paraId="3C2A61D2" w14:textId="77777777" w:rsidR="005F12AF" w:rsidRPr="00381776" w:rsidRDefault="005F12AF">
      <w:pPr>
        <w:pStyle w:val="p2"/>
        <w:divId w:val="236331251"/>
        <w:rPr>
          <w:rFonts w:ascii="Arial" w:hAnsi="Arial" w:cs="Arial"/>
          <w:sz w:val="22"/>
          <w:szCs w:val="22"/>
        </w:rPr>
      </w:pPr>
    </w:p>
    <w:p w14:paraId="40F790A0" w14:textId="77777777" w:rsidR="005F12AF" w:rsidRDefault="005F12AF">
      <w:pPr>
        <w:pStyle w:val="p1"/>
        <w:divId w:val="236331251"/>
        <w:rPr>
          <w:rStyle w:val="s1"/>
          <w:rFonts w:ascii="Arial" w:hAnsi="Arial" w:cs="Arial"/>
          <w:sz w:val="22"/>
          <w:szCs w:val="22"/>
        </w:rPr>
      </w:pPr>
      <w:r w:rsidRPr="00381776">
        <w:rPr>
          <w:rStyle w:val="s1"/>
          <w:rFonts w:ascii="Arial" w:hAnsi="Arial" w:cs="Arial"/>
          <w:sz w:val="22"/>
          <w:szCs w:val="22"/>
        </w:rPr>
        <w:t>Overall, Zamulin’s article reinforces the dominant view in Kursk scholarship that Soviet preparation and intelligence were decisive. His analysis contributes to research on the importance of Soviet defensive preparations and the limitations of German operations.</w:t>
      </w:r>
    </w:p>
    <w:p w14:paraId="74743412" w14:textId="77777777" w:rsidR="005F12AF" w:rsidRDefault="005F12AF">
      <w:pPr>
        <w:pStyle w:val="p2"/>
        <w:divId w:val="236331251"/>
        <w:rPr>
          <w:rFonts w:ascii="Arial" w:hAnsi="Arial" w:cs="Arial"/>
          <w:sz w:val="22"/>
          <w:szCs w:val="22"/>
        </w:rPr>
      </w:pPr>
    </w:p>
    <w:p w14:paraId="1682B425" w14:textId="77777777" w:rsidR="00AC6D79" w:rsidRPr="00381776" w:rsidRDefault="00AC6D79">
      <w:pPr>
        <w:pStyle w:val="p2"/>
        <w:divId w:val="236331251"/>
        <w:rPr>
          <w:rFonts w:ascii="Arial" w:hAnsi="Arial" w:cs="Arial"/>
          <w:sz w:val="22"/>
          <w:szCs w:val="22"/>
        </w:rPr>
      </w:pPr>
    </w:p>
    <w:p w14:paraId="28FE9099" w14:textId="77777777" w:rsidR="005F12AF" w:rsidRPr="00381776" w:rsidRDefault="005F12AF">
      <w:pPr>
        <w:pStyle w:val="p4"/>
        <w:divId w:val="236331251"/>
        <w:rPr>
          <w:rFonts w:ascii="Arial" w:hAnsi="Arial" w:cs="Arial"/>
          <w:sz w:val="22"/>
          <w:szCs w:val="22"/>
        </w:rPr>
      </w:pPr>
      <w:r w:rsidRPr="00381776">
        <w:rPr>
          <w:rStyle w:val="s3"/>
          <w:rFonts w:ascii="Arial" w:hAnsi="Arial" w:cs="Arial"/>
          <w:sz w:val="22"/>
          <w:szCs w:val="22"/>
        </w:rPr>
        <w:t>Citadel, Prokhorovka and Kharkov: The Armoured Losses of the II SS Panzer Korps Sonderverbände During the Battle of Kursk, July-August 1943</w:t>
      </w:r>
    </w:p>
    <w:p w14:paraId="48FE1360" w14:textId="77777777" w:rsidR="005F12AF" w:rsidRPr="00381776" w:rsidRDefault="005F12AF">
      <w:pPr>
        <w:pStyle w:val="p2"/>
        <w:divId w:val="236331251"/>
        <w:rPr>
          <w:rFonts w:ascii="Arial" w:hAnsi="Arial" w:cs="Arial"/>
          <w:sz w:val="22"/>
          <w:szCs w:val="22"/>
        </w:rPr>
      </w:pPr>
    </w:p>
    <w:p w14:paraId="0F595694" w14:textId="4B473FF9" w:rsidR="005F12AF" w:rsidRPr="00381776" w:rsidRDefault="005F12AF" w:rsidP="005A47F5">
      <w:pPr>
        <w:pStyle w:val="p1"/>
        <w:divId w:val="236331251"/>
        <w:rPr>
          <w:rStyle w:val="s1"/>
          <w:rFonts w:ascii="Arial" w:hAnsi="Arial" w:cs="Arial"/>
          <w:sz w:val="22"/>
          <w:szCs w:val="22"/>
        </w:rPr>
      </w:pPr>
      <w:r w:rsidRPr="00381776">
        <w:rPr>
          <w:rStyle w:val="s1"/>
          <w:rFonts w:ascii="Arial" w:hAnsi="Arial" w:cs="Arial"/>
          <w:sz w:val="22"/>
          <w:szCs w:val="22"/>
        </w:rPr>
        <w:t xml:space="preserve">Ben Wheatley’s (2024) work revisits narratives about the armoured losses of the II SS Panzer Corps during Operation Citadel, focusing on engagements at Prokhorovka and Kharkov. Using German archival sources, including war diaries and statistical reports, Wheatley challenges claims that German armoured units were decisively defeated at Prokhorovka. He argues </w:t>
      </w:r>
      <w:proofErr w:type="gramStart"/>
      <w:r w:rsidRPr="00381776">
        <w:rPr>
          <w:rStyle w:val="s1"/>
          <w:rFonts w:ascii="Arial" w:hAnsi="Arial" w:cs="Arial"/>
          <w:sz w:val="22"/>
          <w:szCs w:val="22"/>
        </w:rPr>
        <w:t>that,</w:t>
      </w:r>
      <w:proofErr w:type="gramEnd"/>
      <w:r w:rsidRPr="00381776">
        <w:rPr>
          <w:rStyle w:val="s1"/>
          <w:rFonts w:ascii="Arial" w:hAnsi="Arial" w:cs="Arial"/>
          <w:sz w:val="22"/>
          <w:szCs w:val="22"/>
        </w:rPr>
        <w:t xml:space="preserve"> contrary to inflated Soviet reports, the II SS Panzer Corps retained operational capacity throughout July 1943. For instance, by 13 July, 70% of its tanks were serviceable, contradicting the narrative of complete armoured collapse (Wheatley, 2024, p. 19). He attributes the German failure to logistical constraints and Soviet defensive strategies (Wheatley, 2024, pp. 21–27).</w:t>
      </w:r>
    </w:p>
    <w:p w14:paraId="26009743" w14:textId="77777777" w:rsidR="005A47F5" w:rsidRPr="00381776" w:rsidRDefault="005A47F5" w:rsidP="005A47F5">
      <w:pPr>
        <w:pStyle w:val="p1"/>
        <w:divId w:val="236331251"/>
        <w:rPr>
          <w:rFonts w:ascii="Arial" w:hAnsi="Arial" w:cs="Arial"/>
          <w:sz w:val="22"/>
          <w:szCs w:val="22"/>
        </w:rPr>
      </w:pPr>
    </w:p>
    <w:p w14:paraId="715B25C2" w14:textId="77777777" w:rsidR="005F12AF" w:rsidRPr="00381776" w:rsidRDefault="005F12AF">
      <w:pPr>
        <w:pStyle w:val="p1"/>
        <w:divId w:val="236331251"/>
        <w:rPr>
          <w:rFonts w:ascii="Arial" w:hAnsi="Arial" w:cs="Arial"/>
          <w:sz w:val="22"/>
          <w:szCs w:val="22"/>
        </w:rPr>
      </w:pPr>
      <w:r w:rsidRPr="00381776">
        <w:rPr>
          <w:rStyle w:val="s1"/>
          <w:rFonts w:ascii="Arial" w:hAnsi="Arial" w:cs="Arial"/>
          <w:sz w:val="22"/>
          <w:szCs w:val="22"/>
        </w:rPr>
        <w:lastRenderedPageBreak/>
        <w:t>The detailed use of archival material is a strength of Wheatley’s analysis. However, reliance on German sources limits coverage of Soviet perspectives. Moreover, the focus on statistical data occasionally overlooks the strategic impact of Prokhorovka on German morale and decision-making.</w:t>
      </w:r>
    </w:p>
    <w:p w14:paraId="50C473F1" w14:textId="77777777" w:rsidR="005F12AF" w:rsidRPr="00381776" w:rsidRDefault="005F12AF">
      <w:pPr>
        <w:pStyle w:val="p2"/>
        <w:divId w:val="236331251"/>
        <w:rPr>
          <w:rFonts w:ascii="Arial" w:hAnsi="Arial" w:cs="Arial"/>
          <w:sz w:val="22"/>
          <w:szCs w:val="22"/>
        </w:rPr>
      </w:pPr>
    </w:p>
    <w:p w14:paraId="1BA0D71E" w14:textId="77777777" w:rsidR="005F12AF" w:rsidRDefault="005F12AF">
      <w:pPr>
        <w:pStyle w:val="p1"/>
        <w:divId w:val="236331251"/>
        <w:rPr>
          <w:rStyle w:val="s1"/>
          <w:rFonts w:ascii="Arial" w:hAnsi="Arial" w:cs="Arial"/>
          <w:sz w:val="22"/>
          <w:szCs w:val="22"/>
        </w:rPr>
      </w:pPr>
      <w:r w:rsidRPr="00381776">
        <w:rPr>
          <w:rStyle w:val="s1"/>
          <w:rFonts w:ascii="Arial" w:hAnsi="Arial" w:cs="Arial"/>
          <w:sz w:val="22"/>
          <w:szCs w:val="22"/>
        </w:rPr>
        <w:t>Wheatley’s study complements existing scholarship by addressing the logistical and tactical aspects of the Battle of Kursk, offering valuable insights into German operational realities.</w:t>
      </w:r>
    </w:p>
    <w:p w14:paraId="011D6B12" w14:textId="77777777" w:rsidR="00CD4736" w:rsidRPr="00381776" w:rsidRDefault="00CD4736">
      <w:pPr>
        <w:pStyle w:val="p1"/>
        <w:divId w:val="236331251"/>
        <w:rPr>
          <w:rFonts w:ascii="Arial" w:hAnsi="Arial" w:cs="Arial"/>
          <w:sz w:val="22"/>
          <w:szCs w:val="22"/>
        </w:rPr>
      </w:pPr>
    </w:p>
    <w:p w14:paraId="04696954" w14:textId="77777777" w:rsidR="005F12AF" w:rsidRPr="00381776" w:rsidRDefault="005F12AF">
      <w:pPr>
        <w:pStyle w:val="p2"/>
        <w:divId w:val="236331251"/>
        <w:rPr>
          <w:rFonts w:ascii="Arial" w:hAnsi="Arial" w:cs="Arial"/>
          <w:sz w:val="22"/>
          <w:szCs w:val="22"/>
        </w:rPr>
      </w:pPr>
    </w:p>
    <w:p w14:paraId="5AFA5D4F" w14:textId="77777777" w:rsidR="005F12AF" w:rsidRPr="00381776" w:rsidRDefault="005F12AF">
      <w:pPr>
        <w:pStyle w:val="p4"/>
        <w:divId w:val="236331251"/>
        <w:rPr>
          <w:rFonts w:ascii="Arial" w:hAnsi="Arial" w:cs="Arial"/>
          <w:sz w:val="22"/>
          <w:szCs w:val="22"/>
        </w:rPr>
      </w:pPr>
      <w:r w:rsidRPr="00381776">
        <w:rPr>
          <w:rStyle w:val="s3"/>
          <w:rFonts w:ascii="Arial" w:hAnsi="Arial" w:cs="Arial"/>
          <w:sz w:val="22"/>
          <w:szCs w:val="22"/>
        </w:rPr>
        <w:t>Did Vatutin Err When Planning the Defence of the Voronezh Front While Preparing for the Battle of Kursk?</w:t>
      </w:r>
    </w:p>
    <w:p w14:paraId="51DA7677" w14:textId="77777777" w:rsidR="005F12AF" w:rsidRPr="00381776" w:rsidRDefault="005F12AF">
      <w:pPr>
        <w:pStyle w:val="p2"/>
        <w:divId w:val="236331251"/>
        <w:rPr>
          <w:rFonts w:ascii="Arial" w:hAnsi="Arial" w:cs="Arial"/>
          <w:sz w:val="22"/>
          <w:szCs w:val="22"/>
        </w:rPr>
      </w:pPr>
    </w:p>
    <w:p w14:paraId="44FF9A1B" w14:textId="77777777" w:rsidR="005F12AF" w:rsidRPr="00381776" w:rsidRDefault="005F12AF">
      <w:pPr>
        <w:pStyle w:val="p1"/>
        <w:divId w:val="236331251"/>
        <w:rPr>
          <w:rFonts w:ascii="Arial" w:hAnsi="Arial" w:cs="Arial"/>
          <w:sz w:val="22"/>
          <w:szCs w:val="22"/>
        </w:rPr>
      </w:pPr>
      <w:r w:rsidRPr="00381776">
        <w:rPr>
          <w:rStyle w:val="s1"/>
          <w:rFonts w:ascii="Arial" w:hAnsi="Arial" w:cs="Arial"/>
          <w:sz w:val="22"/>
          <w:szCs w:val="22"/>
        </w:rPr>
        <w:t>Valeriy N. Zamulin (2015) evaluates General N.F. Vatutin’s defensive planning for the Voronezh Front during the Battle of Kursk. Using declassified Soviet military archives, Zamulin addresses criticisms of Vatutin’s strategy, particularly claims that his deployment of forces allowed deep German penetration of Soviet defences.</w:t>
      </w:r>
    </w:p>
    <w:p w14:paraId="1CC7E6B6" w14:textId="77777777" w:rsidR="005F12AF" w:rsidRPr="00381776" w:rsidRDefault="005F12AF">
      <w:pPr>
        <w:pStyle w:val="p2"/>
        <w:divId w:val="236331251"/>
        <w:rPr>
          <w:rFonts w:ascii="Arial" w:hAnsi="Arial" w:cs="Arial"/>
          <w:sz w:val="22"/>
          <w:szCs w:val="22"/>
        </w:rPr>
      </w:pPr>
    </w:p>
    <w:p w14:paraId="3BEA92FC" w14:textId="77777777" w:rsidR="005F12AF" w:rsidRPr="00381776" w:rsidRDefault="005F12AF">
      <w:pPr>
        <w:pStyle w:val="p1"/>
        <w:divId w:val="236331251"/>
        <w:rPr>
          <w:rFonts w:ascii="Arial" w:hAnsi="Arial" w:cs="Arial"/>
          <w:sz w:val="22"/>
          <w:szCs w:val="22"/>
        </w:rPr>
      </w:pPr>
      <w:r w:rsidRPr="00381776">
        <w:rPr>
          <w:rStyle w:val="s1"/>
          <w:rFonts w:ascii="Arial" w:hAnsi="Arial" w:cs="Arial"/>
          <w:sz w:val="22"/>
          <w:szCs w:val="22"/>
        </w:rPr>
        <w:t>Zamulin argues that Vatutin’s approach, referred to as a “matador’s defence,” was a calculated response to the terrain and uncertainty of the German attack’s direction. The strategy deliberately thinned forces along certain sectors to lure German forces into heavily fortified areas where Soviet reserves could launch counterattacks (Zamulin, 2015, p. 681). To counter the Fourth Panzer Army’s advance, Vatutin concentrated artillery, anti-tank defences, and mobile reserves, including the 1st Tank Army, to blunt the attack and protect strategic depths (Zamulin, 2015, pp. 686–688).</w:t>
      </w:r>
    </w:p>
    <w:p w14:paraId="3115903C" w14:textId="77777777" w:rsidR="005F12AF" w:rsidRPr="00381776" w:rsidRDefault="005F12AF">
      <w:pPr>
        <w:pStyle w:val="p2"/>
        <w:divId w:val="236331251"/>
        <w:rPr>
          <w:rFonts w:ascii="Arial" w:hAnsi="Arial" w:cs="Arial"/>
          <w:sz w:val="22"/>
          <w:szCs w:val="22"/>
        </w:rPr>
      </w:pPr>
    </w:p>
    <w:p w14:paraId="234B1A9A" w14:textId="77777777" w:rsidR="005F12AF" w:rsidRPr="00381776" w:rsidRDefault="005F12AF">
      <w:pPr>
        <w:pStyle w:val="p1"/>
        <w:divId w:val="236331251"/>
        <w:rPr>
          <w:rFonts w:ascii="Arial" w:hAnsi="Arial" w:cs="Arial"/>
          <w:sz w:val="22"/>
          <w:szCs w:val="22"/>
        </w:rPr>
      </w:pPr>
      <w:r w:rsidRPr="00381776">
        <w:rPr>
          <w:rStyle w:val="s1"/>
          <w:rFonts w:ascii="Arial" w:hAnsi="Arial" w:cs="Arial"/>
          <w:sz w:val="22"/>
          <w:szCs w:val="22"/>
        </w:rPr>
        <w:t>The article relies on Soviet operational documents such as Stavka orders and Voronezh Front reports. While providing insight into Soviet planning, the exclusion of German archival material limits its analysis. Furthermore, Zamulin’s sympathetic portrayal of Vatutin occasionally overlooks criticisms, such as high Soviet casualties and uneven force distribution (Zamulin, 2015, p. 689).</w:t>
      </w:r>
    </w:p>
    <w:p w14:paraId="13484064" w14:textId="77777777" w:rsidR="005F12AF" w:rsidRPr="00381776" w:rsidRDefault="005F12AF">
      <w:pPr>
        <w:pStyle w:val="p2"/>
        <w:divId w:val="236331251"/>
        <w:rPr>
          <w:rFonts w:ascii="Arial" w:hAnsi="Arial" w:cs="Arial"/>
          <w:sz w:val="22"/>
          <w:szCs w:val="22"/>
        </w:rPr>
      </w:pPr>
    </w:p>
    <w:p w14:paraId="55DB09E1" w14:textId="321207DE" w:rsidR="005F12AF" w:rsidRDefault="005F12AF">
      <w:pPr>
        <w:pStyle w:val="p1"/>
        <w:divId w:val="236331251"/>
        <w:rPr>
          <w:rStyle w:val="s1"/>
          <w:rFonts w:ascii="Arial" w:hAnsi="Arial" w:cs="Arial"/>
          <w:sz w:val="22"/>
          <w:szCs w:val="22"/>
        </w:rPr>
      </w:pPr>
      <w:r w:rsidRPr="00381776">
        <w:rPr>
          <w:rStyle w:val="s1"/>
          <w:rFonts w:ascii="Arial" w:hAnsi="Arial" w:cs="Arial"/>
          <w:sz w:val="22"/>
          <w:szCs w:val="22"/>
        </w:rPr>
        <w:t xml:space="preserve">Despite these limitations, Zamulin provides a reassessment of Vatutin’s leadership, </w:t>
      </w:r>
      <w:r w:rsidR="00381776" w:rsidRPr="00381776">
        <w:rPr>
          <w:rStyle w:val="s1"/>
          <w:rFonts w:ascii="Arial" w:hAnsi="Arial" w:cs="Arial"/>
          <w:sz w:val="22"/>
          <w:szCs w:val="22"/>
        </w:rPr>
        <w:t>emphasising</w:t>
      </w:r>
      <w:r w:rsidRPr="00381776">
        <w:rPr>
          <w:rStyle w:val="s1"/>
          <w:rFonts w:ascii="Arial" w:hAnsi="Arial" w:cs="Arial"/>
          <w:sz w:val="22"/>
          <w:szCs w:val="22"/>
        </w:rPr>
        <w:t xml:space="preserve"> his strategic depth and constraints. This study offers valuable insights into the operational dynamics of the Voronezh Front.</w:t>
      </w:r>
    </w:p>
    <w:p w14:paraId="270F4E8C" w14:textId="77777777" w:rsidR="00CD4736" w:rsidRPr="00381776" w:rsidRDefault="00CD4736">
      <w:pPr>
        <w:pStyle w:val="p1"/>
        <w:divId w:val="236331251"/>
        <w:rPr>
          <w:rFonts w:ascii="Arial" w:hAnsi="Arial" w:cs="Arial"/>
          <w:sz w:val="22"/>
          <w:szCs w:val="22"/>
        </w:rPr>
      </w:pPr>
    </w:p>
    <w:p w14:paraId="4F16D680" w14:textId="77777777" w:rsidR="005F12AF" w:rsidRPr="00381776" w:rsidRDefault="005F12AF">
      <w:pPr>
        <w:pStyle w:val="p2"/>
        <w:divId w:val="236331251"/>
        <w:rPr>
          <w:rFonts w:ascii="Arial" w:hAnsi="Arial" w:cs="Arial"/>
          <w:sz w:val="22"/>
          <w:szCs w:val="22"/>
        </w:rPr>
      </w:pPr>
    </w:p>
    <w:p w14:paraId="3A2FDD91" w14:textId="77777777" w:rsidR="005F12AF" w:rsidRPr="00381776" w:rsidRDefault="005F12AF">
      <w:pPr>
        <w:pStyle w:val="p4"/>
        <w:divId w:val="236331251"/>
        <w:rPr>
          <w:rFonts w:ascii="Arial" w:hAnsi="Arial" w:cs="Arial"/>
          <w:sz w:val="22"/>
          <w:szCs w:val="22"/>
        </w:rPr>
      </w:pPr>
      <w:r w:rsidRPr="00381776">
        <w:rPr>
          <w:rStyle w:val="s3"/>
          <w:rFonts w:ascii="Arial" w:hAnsi="Arial" w:cs="Arial"/>
          <w:sz w:val="22"/>
          <w:szCs w:val="22"/>
        </w:rPr>
        <w:t>Spies, Ciphers and ‘Zitadelle’: Intelligence and the Battle of Kursk, 1943</w:t>
      </w:r>
    </w:p>
    <w:p w14:paraId="5953E12F" w14:textId="77777777" w:rsidR="005F12AF" w:rsidRPr="00381776" w:rsidRDefault="005F12AF">
      <w:pPr>
        <w:pStyle w:val="p2"/>
        <w:divId w:val="236331251"/>
        <w:rPr>
          <w:rFonts w:ascii="Arial" w:hAnsi="Arial" w:cs="Arial"/>
          <w:sz w:val="22"/>
          <w:szCs w:val="22"/>
        </w:rPr>
      </w:pPr>
    </w:p>
    <w:p w14:paraId="01F2BC4B" w14:textId="77777777" w:rsidR="005F12AF" w:rsidRPr="00381776" w:rsidRDefault="005F12AF">
      <w:pPr>
        <w:pStyle w:val="p1"/>
        <w:divId w:val="236331251"/>
        <w:rPr>
          <w:rFonts w:ascii="Arial" w:hAnsi="Arial" w:cs="Arial"/>
          <w:sz w:val="22"/>
          <w:szCs w:val="22"/>
        </w:rPr>
      </w:pPr>
      <w:r w:rsidRPr="00381776">
        <w:rPr>
          <w:rStyle w:val="s1"/>
          <w:rFonts w:ascii="Arial" w:hAnsi="Arial" w:cs="Arial"/>
          <w:sz w:val="22"/>
          <w:szCs w:val="22"/>
        </w:rPr>
        <w:t xml:space="preserve">Timothy P. Mulligan (1987) examines the critical role of intelligence during the Battle of Kursk. Published in the </w:t>
      </w:r>
      <w:r w:rsidRPr="00381776">
        <w:rPr>
          <w:rStyle w:val="s4"/>
          <w:rFonts w:ascii="Arial" w:hAnsi="Arial" w:cs="Arial"/>
          <w:sz w:val="22"/>
          <w:szCs w:val="22"/>
        </w:rPr>
        <w:t>Journal of Contemporary History</w:t>
      </w:r>
      <w:r w:rsidRPr="00381776">
        <w:rPr>
          <w:rStyle w:val="s1"/>
          <w:rFonts w:ascii="Arial" w:hAnsi="Arial" w:cs="Arial"/>
          <w:sz w:val="22"/>
          <w:szCs w:val="22"/>
        </w:rPr>
        <w:t>, the article explores how both German and Soviet intelligence operations, including intercepted communications and espionage, influenced strategic decisions. Mulligan argues that intelligence decisively shaped Soviet preparations and German strategies. He asserts that “the Soviet ability to anticipate German actions was largely due to the efficiency of their intelligence networks” (Mulligan, 1987, p. 238). Additionally, he notes that German reliance on flawed intelligence compromised Operation Citadel, as “the extent of Soviet intelligence penetrations effectively nullified German efforts at operational secrecy” (Mulligan, 1987, p. 247).</w:t>
      </w:r>
    </w:p>
    <w:p w14:paraId="582E3228" w14:textId="77777777" w:rsidR="005F12AF" w:rsidRPr="00381776" w:rsidRDefault="005F12AF">
      <w:pPr>
        <w:pStyle w:val="p2"/>
        <w:divId w:val="236331251"/>
        <w:rPr>
          <w:rFonts w:ascii="Arial" w:hAnsi="Arial" w:cs="Arial"/>
          <w:sz w:val="22"/>
          <w:szCs w:val="22"/>
        </w:rPr>
      </w:pPr>
    </w:p>
    <w:p w14:paraId="7F47091D" w14:textId="77777777" w:rsidR="005F12AF" w:rsidRPr="00381776" w:rsidRDefault="005F12AF">
      <w:pPr>
        <w:pStyle w:val="p1"/>
        <w:divId w:val="236331251"/>
        <w:rPr>
          <w:rFonts w:ascii="Arial" w:hAnsi="Arial" w:cs="Arial"/>
          <w:sz w:val="22"/>
          <w:szCs w:val="22"/>
        </w:rPr>
      </w:pPr>
      <w:r w:rsidRPr="00381776">
        <w:rPr>
          <w:rStyle w:val="s1"/>
          <w:rFonts w:ascii="Arial" w:hAnsi="Arial" w:cs="Arial"/>
          <w:sz w:val="22"/>
          <w:szCs w:val="22"/>
        </w:rPr>
        <w:t>Mulligan’s approach is analytical, focusing on intelligence methods rather than battlefield tactics. His work draws on primary and secondary sources, including decrypted communications, providing credibility but also revealing inherent biases. Written during the 1980s, his analysis benefits from access to newly declassified documents, enhancing his understanding of intelligence dynamics.</w:t>
      </w:r>
    </w:p>
    <w:p w14:paraId="6335938C" w14:textId="77777777" w:rsidR="005F12AF" w:rsidRPr="00381776" w:rsidRDefault="005F12AF">
      <w:pPr>
        <w:pStyle w:val="p2"/>
        <w:divId w:val="236331251"/>
        <w:rPr>
          <w:rFonts w:ascii="Arial" w:hAnsi="Arial" w:cs="Arial"/>
          <w:sz w:val="22"/>
          <w:szCs w:val="22"/>
        </w:rPr>
      </w:pPr>
    </w:p>
    <w:p w14:paraId="277DB3C8" w14:textId="1C22DE84" w:rsidR="006C13F6" w:rsidRDefault="005F12AF" w:rsidP="006C13F6">
      <w:pPr>
        <w:pStyle w:val="p1"/>
        <w:divId w:val="236331251"/>
        <w:rPr>
          <w:rStyle w:val="s1"/>
          <w:rFonts w:ascii="Arial" w:hAnsi="Arial" w:cs="Arial"/>
          <w:sz w:val="22"/>
          <w:szCs w:val="22"/>
        </w:rPr>
      </w:pPr>
      <w:r w:rsidRPr="00381776">
        <w:rPr>
          <w:rStyle w:val="s1"/>
          <w:rFonts w:ascii="Arial" w:hAnsi="Arial" w:cs="Arial"/>
          <w:sz w:val="22"/>
          <w:szCs w:val="22"/>
        </w:rPr>
        <w:lastRenderedPageBreak/>
        <w:t xml:space="preserve">Mulligan’s focus on intelligence complements studies that </w:t>
      </w:r>
      <w:r w:rsidR="00381776" w:rsidRPr="00381776">
        <w:rPr>
          <w:rStyle w:val="s1"/>
          <w:rFonts w:ascii="Arial" w:hAnsi="Arial" w:cs="Arial"/>
          <w:sz w:val="22"/>
          <w:szCs w:val="22"/>
        </w:rPr>
        <w:t>prioritise</w:t>
      </w:r>
      <w:r w:rsidRPr="00381776">
        <w:rPr>
          <w:rStyle w:val="s1"/>
          <w:rFonts w:ascii="Arial" w:hAnsi="Arial" w:cs="Arial"/>
          <w:sz w:val="22"/>
          <w:szCs w:val="22"/>
        </w:rPr>
        <w:t xml:space="preserve"> battlefield tactics. However, his emphasis on intelligence risks underestimating other decisive factors, such as Soviet defensive strategies highlighted by Glantz (1999). Nevertheless, the article offers a nuanced understanding of pre-battle manoeuvring, contributing to a comprehensive perspective on Soviet success at Kursk.</w:t>
      </w:r>
    </w:p>
    <w:p w14:paraId="740F16F2" w14:textId="01F04ABD" w:rsidR="006C13F6" w:rsidRPr="006C13F6" w:rsidRDefault="006C13F6" w:rsidP="006C13F6">
      <w:pPr>
        <w:rPr>
          <w:rFonts w:ascii="Arial" w:eastAsiaTheme="minorEastAsia" w:hAnsi="Arial" w:cs="Arial"/>
          <w:color w:val="111111"/>
          <w:lang w:eastAsia="en-GB"/>
        </w:rPr>
      </w:pPr>
      <w:r>
        <w:rPr>
          <w:rStyle w:val="s1"/>
          <w:rFonts w:ascii="Arial" w:hAnsi="Arial" w:cs="Arial"/>
          <w:sz w:val="22"/>
          <w:szCs w:val="22"/>
        </w:rPr>
        <w:br w:type="page"/>
      </w:r>
    </w:p>
    <w:p w14:paraId="51D2ACCC" w14:textId="261F5C41" w:rsidR="006C13F6" w:rsidRPr="00381776" w:rsidRDefault="005F12AF" w:rsidP="006C13F6">
      <w:pPr>
        <w:pStyle w:val="p4"/>
        <w:jc w:val="center"/>
        <w:divId w:val="236331251"/>
        <w:rPr>
          <w:rFonts w:ascii="Arial" w:hAnsi="Arial" w:cs="Arial"/>
          <w:sz w:val="22"/>
          <w:szCs w:val="22"/>
        </w:rPr>
      </w:pPr>
      <w:r w:rsidRPr="00381776">
        <w:rPr>
          <w:rStyle w:val="s3"/>
          <w:rFonts w:ascii="Arial" w:hAnsi="Arial" w:cs="Arial"/>
          <w:sz w:val="22"/>
          <w:szCs w:val="22"/>
        </w:rPr>
        <w:lastRenderedPageBreak/>
        <w:t>Bibliography</w:t>
      </w:r>
    </w:p>
    <w:p w14:paraId="1A3BE7BA" w14:textId="77777777" w:rsidR="006C13F6" w:rsidRPr="00381776" w:rsidRDefault="006C13F6" w:rsidP="006C13F6">
      <w:pPr>
        <w:pStyle w:val="p2"/>
        <w:ind w:left="720" w:hanging="720"/>
        <w:divId w:val="236331251"/>
        <w:rPr>
          <w:rFonts w:ascii="Arial" w:hAnsi="Arial" w:cs="Arial"/>
          <w:sz w:val="22"/>
          <w:szCs w:val="22"/>
        </w:rPr>
      </w:pPr>
    </w:p>
    <w:p w14:paraId="07358757" w14:textId="77777777" w:rsidR="006C13F6" w:rsidRPr="00381776" w:rsidRDefault="006C13F6" w:rsidP="006C13F6">
      <w:pPr>
        <w:pStyle w:val="p1"/>
        <w:ind w:left="720" w:hanging="720"/>
        <w:divId w:val="236331251"/>
        <w:rPr>
          <w:rFonts w:ascii="Arial" w:hAnsi="Arial" w:cs="Arial"/>
          <w:sz w:val="22"/>
          <w:szCs w:val="22"/>
        </w:rPr>
      </w:pPr>
      <w:r w:rsidRPr="00381776">
        <w:rPr>
          <w:rStyle w:val="s1"/>
          <w:rFonts w:ascii="Arial" w:hAnsi="Arial" w:cs="Arial"/>
          <w:sz w:val="22"/>
          <w:szCs w:val="22"/>
        </w:rPr>
        <w:t xml:space="preserve">Mulligan, T.P. (1987) ‘Spies, Ciphers and “Zitadelle”: Intelligence and the Battle of Kursk, 1943’, </w:t>
      </w:r>
      <w:r w:rsidRPr="00381776">
        <w:rPr>
          <w:rStyle w:val="s4"/>
          <w:rFonts w:ascii="Arial" w:hAnsi="Arial" w:cs="Arial"/>
          <w:sz w:val="22"/>
          <w:szCs w:val="22"/>
        </w:rPr>
        <w:t>Journal of Contemporary History</w:t>
      </w:r>
      <w:r w:rsidRPr="00381776">
        <w:rPr>
          <w:rStyle w:val="s1"/>
          <w:rFonts w:ascii="Arial" w:hAnsi="Arial" w:cs="Arial"/>
          <w:sz w:val="22"/>
          <w:szCs w:val="22"/>
        </w:rPr>
        <w:t>, 22(2), pp. 235–260.</w:t>
      </w:r>
    </w:p>
    <w:p w14:paraId="2B95D3FF" w14:textId="77777777" w:rsidR="006C13F6" w:rsidRPr="00381776" w:rsidRDefault="006C13F6" w:rsidP="006C13F6">
      <w:pPr>
        <w:pStyle w:val="p1"/>
        <w:ind w:left="720" w:hanging="720"/>
        <w:divId w:val="236331251"/>
        <w:rPr>
          <w:rFonts w:ascii="Arial" w:hAnsi="Arial" w:cs="Arial"/>
          <w:sz w:val="22"/>
          <w:szCs w:val="22"/>
        </w:rPr>
      </w:pPr>
      <w:r w:rsidRPr="00381776">
        <w:rPr>
          <w:rStyle w:val="s1"/>
          <w:rFonts w:ascii="Arial" w:hAnsi="Arial" w:cs="Arial"/>
          <w:sz w:val="22"/>
          <w:szCs w:val="22"/>
        </w:rPr>
        <w:t xml:space="preserve">Wheatley, B. (2024) </w:t>
      </w:r>
      <w:r w:rsidRPr="00381776">
        <w:rPr>
          <w:rStyle w:val="s4"/>
          <w:rFonts w:ascii="Arial" w:hAnsi="Arial" w:cs="Arial"/>
          <w:sz w:val="22"/>
          <w:szCs w:val="22"/>
        </w:rPr>
        <w:t>Citadel, Prokhorovka and Kharkov: The Armoured Losses of the II SS Panzer Korps Sonderverbände During the Battle of Kursk, July-August 1943</w:t>
      </w:r>
      <w:r w:rsidRPr="00381776">
        <w:rPr>
          <w:rStyle w:val="s1"/>
          <w:rFonts w:ascii="Arial" w:hAnsi="Arial" w:cs="Arial"/>
          <w:sz w:val="22"/>
          <w:szCs w:val="22"/>
        </w:rPr>
        <w:t>.</w:t>
      </w:r>
    </w:p>
    <w:p w14:paraId="2DF2AABD" w14:textId="77777777" w:rsidR="006C13F6" w:rsidRPr="00381776" w:rsidRDefault="006C13F6" w:rsidP="006C13F6">
      <w:pPr>
        <w:pStyle w:val="p1"/>
        <w:ind w:left="720" w:hanging="720"/>
        <w:divId w:val="236331251"/>
        <w:rPr>
          <w:rFonts w:ascii="Arial" w:hAnsi="Arial" w:cs="Arial"/>
          <w:sz w:val="22"/>
          <w:szCs w:val="22"/>
        </w:rPr>
      </w:pPr>
      <w:r w:rsidRPr="00381776">
        <w:rPr>
          <w:rStyle w:val="s1"/>
          <w:rFonts w:ascii="Arial" w:hAnsi="Arial" w:cs="Arial"/>
          <w:sz w:val="22"/>
          <w:szCs w:val="22"/>
        </w:rPr>
        <w:t xml:space="preserve">Zamulin, V.N. (2014) ‘Could Germany Have Won the Battle of Kursk if It Had Started in Late May or the Beginning of June 1943?’, </w:t>
      </w:r>
      <w:r w:rsidRPr="00381776">
        <w:rPr>
          <w:rStyle w:val="s4"/>
          <w:rFonts w:ascii="Arial" w:hAnsi="Arial" w:cs="Arial"/>
          <w:sz w:val="22"/>
          <w:szCs w:val="22"/>
        </w:rPr>
        <w:t>The Journal of Slavic Military Studies</w:t>
      </w:r>
      <w:r w:rsidRPr="00381776">
        <w:rPr>
          <w:rStyle w:val="s1"/>
          <w:rFonts w:ascii="Arial" w:hAnsi="Arial" w:cs="Arial"/>
          <w:sz w:val="22"/>
          <w:szCs w:val="22"/>
        </w:rPr>
        <w:t>, 27(4), pp. 606–617.</w:t>
      </w:r>
    </w:p>
    <w:p w14:paraId="518CEAFA" w14:textId="77777777" w:rsidR="006C13F6" w:rsidRPr="00381776" w:rsidRDefault="006C13F6" w:rsidP="006C13F6">
      <w:pPr>
        <w:pStyle w:val="p1"/>
        <w:ind w:left="720" w:hanging="720"/>
        <w:divId w:val="236331251"/>
        <w:rPr>
          <w:rFonts w:ascii="Arial" w:hAnsi="Arial" w:cs="Arial"/>
          <w:sz w:val="22"/>
          <w:szCs w:val="22"/>
        </w:rPr>
      </w:pPr>
      <w:r w:rsidRPr="00381776">
        <w:rPr>
          <w:rStyle w:val="s1"/>
          <w:rFonts w:ascii="Arial" w:hAnsi="Arial" w:cs="Arial"/>
          <w:sz w:val="22"/>
          <w:szCs w:val="22"/>
        </w:rPr>
        <w:t xml:space="preserve">Zamulin, V.N. (2015) ‘Did Vatutin Err When Planning the Defence of the Voronezh Front While Preparing for the Battle of Kursk?’, </w:t>
      </w:r>
      <w:r w:rsidRPr="00381776">
        <w:rPr>
          <w:rStyle w:val="s4"/>
          <w:rFonts w:ascii="Arial" w:hAnsi="Arial" w:cs="Arial"/>
          <w:sz w:val="22"/>
          <w:szCs w:val="22"/>
        </w:rPr>
        <w:t>The Journal of Slavic Military Studies</w:t>
      </w:r>
      <w:r w:rsidRPr="00381776">
        <w:rPr>
          <w:rStyle w:val="s1"/>
          <w:rFonts w:ascii="Arial" w:hAnsi="Arial" w:cs="Arial"/>
          <w:sz w:val="22"/>
          <w:szCs w:val="22"/>
        </w:rPr>
        <w:t>, 28(4), pp. 677–697.</w:t>
      </w:r>
    </w:p>
    <w:sectPr w:rsidR="006C13F6" w:rsidRPr="0038177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F7E14" w14:textId="77777777" w:rsidR="00711805" w:rsidRDefault="00711805" w:rsidP="00A00119">
      <w:pPr>
        <w:spacing w:after="0" w:line="240" w:lineRule="auto"/>
      </w:pPr>
      <w:r>
        <w:separator/>
      </w:r>
    </w:p>
  </w:endnote>
  <w:endnote w:type="continuationSeparator" w:id="0">
    <w:p w14:paraId="3AAABD82" w14:textId="77777777" w:rsidR="00711805" w:rsidRDefault="00711805" w:rsidP="00A00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F UI">
    <w:altName w:val="Cambria"/>
    <w:charset w:val="00"/>
    <w:family w:val="roman"/>
    <w:pitch w:val="default"/>
  </w:font>
  <w:font w:name=".SFUI-Regular">
    <w:altName w:val="Cambria"/>
    <w:charset w:val="00"/>
    <w:family w:val="roman"/>
    <w:pitch w:val="default"/>
  </w:font>
  <w:font w:name=".SFUI-Bold">
    <w:altName w:val="Cambria"/>
    <w:charset w:val="00"/>
    <w:family w:val="roman"/>
    <w:pitch w:val="default"/>
  </w:font>
  <w:font w:name=".SFUI-Semibold">
    <w:altName w:val="Cambria"/>
    <w:charset w:val="00"/>
    <w:family w:val="roman"/>
    <w:pitch w:val="default"/>
  </w:font>
  <w:font w:name=".SFUI-RegularItalic">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A7114" w14:textId="5DCE3DAD" w:rsidR="00762DDA" w:rsidRDefault="00762DDA">
    <w:pPr>
      <w:pStyle w:val="Footer"/>
    </w:pPr>
    <w:r w:rsidRPr="00762DDA">
      <w:t>Academic Skills (HPFY3010).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1D9C8" w14:textId="77777777" w:rsidR="00711805" w:rsidRDefault="00711805" w:rsidP="00A00119">
      <w:pPr>
        <w:spacing w:after="0" w:line="240" w:lineRule="auto"/>
      </w:pPr>
      <w:r>
        <w:separator/>
      </w:r>
    </w:p>
  </w:footnote>
  <w:footnote w:type="continuationSeparator" w:id="0">
    <w:p w14:paraId="71946BEB" w14:textId="77777777" w:rsidR="00711805" w:rsidRDefault="00711805" w:rsidP="00A00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835748"/>
      <w:docPartObj>
        <w:docPartGallery w:val="Page Numbers (Top of Page)"/>
        <w:docPartUnique/>
      </w:docPartObj>
    </w:sdtPr>
    <w:sdtEndPr>
      <w:rPr>
        <w:noProof/>
      </w:rPr>
    </w:sdtEndPr>
    <w:sdtContent>
      <w:p w14:paraId="6AB3E5C4" w14:textId="3397B23A" w:rsidR="00896BC8" w:rsidRDefault="00896BC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400FA7" w14:textId="0FABE3FB" w:rsidR="00896BC8" w:rsidRPr="00896BC8" w:rsidRDefault="00896BC8">
    <w:pPr>
      <w:pStyle w:val="Header"/>
      <w:rPr>
        <w:rFonts w:ascii="Arial" w:hAnsi="Arial" w:cs="Arial"/>
      </w:rPr>
    </w:pPr>
    <w:r w:rsidRPr="00896BC8">
      <w:rPr>
        <w:rFonts w:ascii="Arial" w:hAnsi="Arial" w:cs="Arial"/>
      </w:rPr>
      <w:t>Callum Carter 2404122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47"/>
    <w:rsid w:val="000125A1"/>
    <w:rsid w:val="00066FB8"/>
    <w:rsid w:val="000A4AC8"/>
    <w:rsid w:val="000C758B"/>
    <w:rsid w:val="000D6100"/>
    <w:rsid w:val="00140723"/>
    <w:rsid w:val="001C6779"/>
    <w:rsid w:val="00216F67"/>
    <w:rsid w:val="0022502C"/>
    <w:rsid w:val="002253EE"/>
    <w:rsid w:val="00234875"/>
    <w:rsid w:val="002571AC"/>
    <w:rsid w:val="00293444"/>
    <w:rsid w:val="002A25E7"/>
    <w:rsid w:val="002C6F07"/>
    <w:rsid w:val="002D6682"/>
    <w:rsid w:val="002E0DBC"/>
    <w:rsid w:val="002E6375"/>
    <w:rsid w:val="003223FA"/>
    <w:rsid w:val="003412DE"/>
    <w:rsid w:val="00356282"/>
    <w:rsid w:val="003608DE"/>
    <w:rsid w:val="00381776"/>
    <w:rsid w:val="0038328F"/>
    <w:rsid w:val="004049EE"/>
    <w:rsid w:val="00414D92"/>
    <w:rsid w:val="0041672E"/>
    <w:rsid w:val="00425204"/>
    <w:rsid w:val="00452627"/>
    <w:rsid w:val="004610FF"/>
    <w:rsid w:val="0046348E"/>
    <w:rsid w:val="004A7ACA"/>
    <w:rsid w:val="004B544C"/>
    <w:rsid w:val="004B748E"/>
    <w:rsid w:val="005338FD"/>
    <w:rsid w:val="00537D45"/>
    <w:rsid w:val="00540963"/>
    <w:rsid w:val="005504A8"/>
    <w:rsid w:val="005764DF"/>
    <w:rsid w:val="005953A3"/>
    <w:rsid w:val="005A47F5"/>
    <w:rsid w:val="005A5924"/>
    <w:rsid w:val="005F12AF"/>
    <w:rsid w:val="00615914"/>
    <w:rsid w:val="00616EEF"/>
    <w:rsid w:val="006176CC"/>
    <w:rsid w:val="00657944"/>
    <w:rsid w:val="006B5A5A"/>
    <w:rsid w:val="006C13F6"/>
    <w:rsid w:val="006E3A5C"/>
    <w:rsid w:val="006E4565"/>
    <w:rsid w:val="006F7B75"/>
    <w:rsid w:val="00711805"/>
    <w:rsid w:val="00724C90"/>
    <w:rsid w:val="00734694"/>
    <w:rsid w:val="00750751"/>
    <w:rsid w:val="00762DDA"/>
    <w:rsid w:val="007A378F"/>
    <w:rsid w:val="00812069"/>
    <w:rsid w:val="00817AEC"/>
    <w:rsid w:val="008260D3"/>
    <w:rsid w:val="008506EE"/>
    <w:rsid w:val="0086205B"/>
    <w:rsid w:val="0087211F"/>
    <w:rsid w:val="00890BB3"/>
    <w:rsid w:val="00896BC8"/>
    <w:rsid w:val="008C6972"/>
    <w:rsid w:val="008D7C2F"/>
    <w:rsid w:val="008F012E"/>
    <w:rsid w:val="008F30ED"/>
    <w:rsid w:val="00933354"/>
    <w:rsid w:val="00963088"/>
    <w:rsid w:val="00974D47"/>
    <w:rsid w:val="00997035"/>
    <w:rsid w:val="009A4AE0"/>
    <w:rsid w:val="009C4FED"/>
    <w:rsid w:val="009F54DE"/>
    <w:rsid w:val="00A00119"/>
    <w:rsid w:val="00A14296"/>
    <w:rsid w:val="00A20BCF"/>
    <w:rsid w:val="00A24BE2"/>
    <w:rsid w:val="00A252A4"/>
    <w:rsid w:val="00A2604F"/>
    <w:rsid w:val="00A4493B"/>
    <w:rsid w:val="00A769FC"/>
    <w:rsid w:val="00A9732E"/>
    <w:rsid w:val="00AB5B53"/>
    <w:rsid w:val="00AC6D79"/>
    <w:rsid w:val="00AD1254"/>
    <w:rsid w:val="00AE5342"/>
    <w:rsid w:val="00B0746D"/>
    <w:rsid w:val="00B23AF3"/>
    <w:rsid w:val="00B37F78"/>
    <w:rsid w:val="00B420A8"/>
    <w:rsid w:val="00B43C99"/>
    <w:rsid w:val="00B761A4"/>
    <w:rsid w:val="00BC0040"/>
    <w:rsid w:val="00C17309"/>
    <w:rsid w:val="00C41493"/>
    <w:rsid w:val="00C70C4F"/>
    <w:rsid w:val="00C74DCC"/>
    <w:rsid w:val="00C9156C"/>
    <w:rsid w:val="00CB261F"/>
    <w:rsid w:val="00CD4736"/>
    <w:rsid w:val="00CF569F"/>
    <w:rsid w:val="00DE305C"/>
    <w:rsid w:val="00E04EB6"/>
    <w:rsid w:val="00E3475F"/>
    <w:rsid w:val="00E562BC"/>
    <w:rsid w:val="00E72943"/>
    <w:rsid w:val="00EA551D"/>
    <w:rsid w:val="00EF0532"/>
    <w:rsid w:val="00F01697"/>
    <w:rsid w:val="00F166CA"/>
    <w:rsid w:val="00F17F43"/>
    <w:rsid w:val="00F9194A"/>
    <w:rsid w:val="00FB0EE9"/>
    <w:rsid w:val="00FB7D57"/>
    <w:rsid w:val="00FE5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93A7A"/>
  <w15:chartTrackingRefBased/>
  <w15:docId w15:val="{B1FBFBE5-F8E8-43DA-9EF7-3991E1B63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001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119"/>
    <w:rPr>
      <w:sz w:val="20"/>
      <w:szCs w:val="20"/>
    </w:rPr>
  </w:style>
  <w:style w:type="character" w:styleId="FootnoteReference">
    <w:name w:val="footnote reference"/>
    <w:basedOn w:val="DefaultParagraphFont"/>
    <w:uiPriority w:val="99"/>
    <w:unhideWhenUsed/>
    <w:rsid w:val="00A00119"/>
    <w:rPr>
      <w:vertAlign w:val="superscript"/>
    </w:rPr>
  </w:style>
  <w:style w:type="paragraph" w:styleId="Header">
    <w:name w:val="header"/>
    <w:basedOn w:val="Normal"/>
    <w:link w:val="HeaderChar"/>
    <w:uiPriority w:val="99"/>
    <w:unhideWhenUsed/>
    <w:rsid w:val="00896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BC8"/>
  </w:style>
  <w:style w:type="paragraph" w:styleId="Footer">
    <w:name w:val="footer"/>
    <w:basedOn w:val="Normal"/>
    <w:link w:val="FooterChar"/>
    <w:uiPriority w:val="99"/>
    <w:unhideWhenUsed/>
    <w:rsid w:val="00896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BC8"/>
  </w:style>
  <w:style w:type="paragraph" w:styleId="Caption">
    <w:name w:val="caption"/>
    <w:basedOn w:val="Normal"/>
    <w:next w:val="Normal"/>
    <w:uiPriority w:val="35"/>
    <w:unhideWhenUsed/>
    <w:qFormat/>
    <w:rsid w:val="00BC0040"/>
    <w:pPr>
      <w:spacing w:after="200" w:line="240" w:lineRule="auto"/>
    </w:pPr>
    <w:rPr>
      <w:i/>
      <w:iCs/>
      <w:color w:val="44546A" w:themeColor="text2"/>
      <w:sz w:val="18"/>
      <w:szCs w:val="18"/>
    </w:rPr>
  </w:style>
  <w:style w:type="paragraph" w:customStyle="1" w:styleId="p1">
    <w:name w:val="p1"/>
    <w:basedOn w:val="Normal"/>
    <w:rsid w:val="005F12AF"/>
    <w:pPr>
      <w:spacing w:after="0" w:line="240" w:lineRule="auto"/>
    </w:pPr>
    <w:rPr>
      <w:rFonts w:ascii=".SF UI" w:eastAsiaTheme="minorEastAsia" w:hAnsi=".SF UI" w:cs="Times New Roman"/>
      <w:color w:val="111111"/>
      <w:sz w:val="26"/>
      <w:szCs w:val="26"/>
      <w:lang w:eastAsia="en-GB"/>
    </w:rPr>
  </w:style>
  <w:style w:type="paragraph" w:customStyle="1" w:styleId="p2">
    <w:name w:val="p2"/>
    <w:basedOn w:val="Normal"/>
    <w:rsid w:val="005F12AF"/>
    <w:pPr>
      <w:spacing w:after="0" w:line="240" w:lineRule="auto"/>
    </w:pPr>
    <w:rPr>
      <w:rFonts w:ascii=".SF UI" w:eastAsiaTheme="minorEastAsia" w:hAnsi=".SF UI" w:cs="Times New Roman"/>
      <w:color w:val="111111"/>
      <w:sz w:val="26"/>
      <w:szCs w:val="26"/>
      <w:lang w:eastAsia="en-GB"/>
    </w:rPr>
  </w:style>
  <w:style w:type="paragraph" w:customStyle="1" w:styleId="p3">
    <w:name w:val="p3"/>
    <w:basedOn w:val="Normal"/>
    <w:rsid w:val="005F12AF"/>
    <w:pPr>
      <w:spacing w:after="0" w:line="240" w:lineRule="auto"/>
    </w:pPr>
    <w:rPr>
      <w:rFonts w:ascii=".SF UI" w:eastAsiaTheme="minorEastAsia" w:hAnsi=".SF UI" w:cs="Times New Roman"/>
      <w:color w:val="111111"/>
      <w:sz w:val="33"/>
      <w:szCs w:val="33"/>
      <w:lang w:eastAsia="en-GB"/>
    </w:rPr>
  </w:style>
  <w:style w:type="paragraph" w:customStyle="1" w:styleId="p4">
    <w:name w:val="p4"/>
    <w:basedOn w:val="Normal"/>
    <w:rsid w:val="005F12AF"/>
    <w:pPr>
      <w:spacing w:after="0" w:line="240" w:lineRule="auto"/>
    </w:pPr>
    <w:rPr>
      <w:rFonts w:ascii=".SF UI" w:eastAsiaTheme="minorEastAsia" w:hAnsi=".SF UI" w:cs="Times New Roman"/>
      <w:color w:val="111111"/>
      <w:sz w:val="30"/>
      <w:szCs w:val="30"/>
      <w:lang w:eastAsia="en-GB"/>
    </w:rPr>
  </w:style>
  <w:style w:type="character" w:customStyle="1" w:styleId="s1">
    <w:name w:val="s1"/>
    <w:basedOn w:val="DefaultParagraphFont"/>
    <w:rsid w:val="005F12AF"/>
    <w:rPr>
      <w:rFonts w:ascii=".SFUI-Regular" w:hAnsi=".SFUI-Regular" w:hint="default"/>
      <w:b w:val="0"/>
      <w:bCs w:val="0"/>
      <w:i w:val="0"/>
      <w:iCs w:val="0"/>
      <w:sz w:val="26"/>
      <w:szCs w:val="26"/>
    </w:rPr>
  </w:style>
  <w:style w:type="character" w:customStyle="1" w:styleId="s2">
    <w:name w:val="s2"/>
    <w:basedOn w:val="DefaultParagraphFont"/>
    <w:rsid w:val="005F12AF"/>
    <w:rPr>
      <w:rFonts w:ascii=".SFUI-Bold" w:hAnsi=".SFUI-Bold" w:hint="default"/>
      <w:b/>
      <w:bCs/>
      <w:i w:val="0"/>
      <w:iCs w:val="0"/>
      <w:sz w:val="33"/>
      <w:szCs w:val="33"/>
    </w:rPr>
  </w:style>
  <w:style w:type="character" w:customStyle="1" w:styleId="s3">
    <w:name w:val="s3"/>
    <w:basedOn w:val="DefaultParagraphFont"/>
    <w:rsid w:val="005F12AF"/>
    <w:rPr>
      <w:rFonts w:ascii=".SFUI-Semibold" w:hAnsi=".SFUI-Semibold" w:hint="default"/>
      <w:b/>
      <w:bCs/>
      <w:i w:val="0"/>
      <w:iCs w:val="0"/>
      <w:sz w:val="30"/>
      <w:szCs w:val="30"/>
    </w:rPr>
  </w:style>
  <w:style w:type="character" w:customStyle="1" w:styleId="s4">
    <w:name w:val="s4"/>
    <w:basedOn w:val="DefaultParagraphFont"/>
    <w:rsid w:val="005F12AF"/>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331251">
      <w:bodyDiv w:val="1"/>
      <w:marLeft w:val="0"/>
      <w:marRight w:val="0"/>
      <w:marTop w:val="0"/>
      <w:marBottom w:val="0"/>
      <w:divBdr>
        <w:top w:val="none" w:sz="0" w:space="0" w:color="auto"/>
        <w:left w:val="none" w:sz="0" w:space="0" w:color="auto"/>
        <w:bottom w:val="none" w:sz="0" w:space="0" w:color="auto"/>
        <w:right w:val="none" w:sz="0" w:space="0" w:color="auto"/>
      </w:divBdr>
    </w:div>
    <w:div w:id="179020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65935-7DCB-4E23-B8DA-538C70C0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Callum LCpl</dc:creator>
  <cp:keywords/>
  <dc:description/>
  <cp:lastModifiedBy>Carter, Callum LCpl</cp:lastModifiedBy>
  <cp:revision>4</cp:revision>
  <dcterms:created xsi:type="dcterms:W3CDTF">2024-11-20T10:24:00Z</dcterms:created>
  <dcterms:modified xsi:type="dcterms:W3CDTF">2024-11-20T10:26:00Z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2024-10-30T10:11:00Z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ab6f3f84-4379-46d5-a584-5faa75603b72</vt:lpwstr>
  </property>
  <property fmtid="{D5CDD505-2E9C-101B-9397-08002B2CF9AE}" pid="8" name="MSIP_Label_8e28611e-2819-430a-bdf7-3581be6cbbdd_ContentBits">
    <vt:lpwstr>0</vt:lpwstr>
  </property>
</Properties>
</file>