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487DF" w14:textId="6DE932BF" w:rsidR="00AF577C" w:rsidRPr="00AA3E2C" w:rsidRDefault="00764B6B" w:rsidP="00AA3E2C">
      <w:pPr>
        <w:spacing w:line="360" w:lineRule="auto"/>
        <w:rPr>
          <w:rFonts w:ascii="Arial" w:eastAsia="Arial" w:hAnsi="Arial" w:cs="Arial"/>
          <w:b/>
          <w:sz w:val="24"/>
          <w:szCs w:val="24"/>
        </w:rPr>
      </w:pPr>
      <w:r w:rsidRPr="00AA3E2C">
        <w:rPr>
          <w:rFonts w:ascii="Arial" w:eastAsia="Arial" w:hAnsi="Arial" w:cs="Arial"/>
          <w:b/>
          <w:sz w:val="24"/>
          <w:szCs w:val="24"/>
        </w:rPr>
        <w:t>Assignment 2</w:t>
      </w:r>
    </w:p>
    <w:p w14:paraId="264CB13D" w14:textId="5B8D9894" w:rsidR="00AA3E2C" w:rsidRPr="00AA3E2C" w:rsidRDefault="00AA3E2C" w:rsidP="00AA3E2C">
      <w:pPr>
        <w:spacing w:line="360" w:lineRule="auto"/>
        <w:rPr>
          <w:rFonts w:ascii="Arial" w:eastAsia="Arial" w:hAnsi="Arial" w:cs="Arial"/>
          <w:b/>
          <w:sz w:val="24"/>
          <w:szCs w:val="24"/>
        </w:rPr>
      </w:pPr>
      <w:r w:rsidRPr="00AA3E2C">
        <w:rPr>
          <w:rFonts w:ascii="Arial" w:eastAsia="Arial" w:hAnsi="Arial" w:cs="Arial"/>
          <w:b/>
          <w:sz w:val="24"/>
          <w:szCs w:val="24"/>
        </w:rPr>
        <w:t xml:space="preserve">Shaun O’Sullivan </w:t>
      </w:r>
    </w:p>
    <w:p w14:paraId="62233C4E" w14:textId="0B30A914" w:rsidR="00AA3E2C" w:rsidRPr="00AA3E2C" w:rsidRDefault="00AA3E2C" w:rsidP="00AA3E2C">
      <w:pPr>
        <w:spacing w:line="360" w:lineRule="auto"/>
        <w:rPr>
          <w:rFonts w:ascii="Arial" w:eastAsia="Arial" w:hAnsi="Arial" w:cs="Arial"/>
          <w:b/>
          <w:sz w:val="24"/>
          <w:szCs w:val="24"/>
        </w:rPr>
      </w:pPr>
      <w:r w:rsidRPr="00AA3E2C">
        <w:rPr>
          <w:rFonts w:ascii="Arial" w:eastAsia="Arial" w:hAnsi="Arial" w:cs="Arial"/>
          <w:b/>
          <w:sz w:val="24"/>
          <w:szCs w:val="24"/>
        </w:rPr>
        <w:t>2000763</w:t>
      </w:r>
    </w:p>
    <w:p w14:paraId="5B2DEEA7" w14:textId="1BFF5608" w:rsidR="00B52E8D" w:rsidRPr="00AA3E2C" w:rsidRDefault="00F50348" w:rsidP="00AA3E2C">
      <w:pPr>
        <w:spacing w:line="360" w:lineRule="auto"/>
        <w:rPr>
          <w:rFonts w:ascii="Arial" w:hAnsi="Arial" w:cs="Arial"/>
          <w:sz w:val="24"/>
          <w:szCs w:val="24"/>
        </w:rPr>
      </w:pPr>
      <w:r w:rsidRPr="00AA3E2C">
        <w:rPr>
          <w:rFonts w:ascii="Arial" w:hAnsi="Arial" w:cs="Arial"/>
          <w:sz w:val="24"/>
          <w:szCs w:val="24"/>
        </w:rPr>
        <w:t xml:space="preserve">Within court to not be convicted of a crime, the defence of insanity must be proven, for this to happen it must be </w:t>
      </w:r>
      <w:r w:rsidR="00E8161B" w:rsidRPr="00AA3E2C">
        <w:rPr>
          <w:rFonts w:ascii="Arial" w:hAnsi="Arial" w:cs="Arial"/>
          <w:sz w:val="24"/>
          <w:szCs w:val="24"/>
        </w:rPr>
        <w:t xml:space="preserve">proven that the defendant, during the time they were committing the act that they </w:t>
      </w:r>
      <w:r w:rsidR="009B4A4A" w:rsidRPr="00AA3E2C">
        <w:rPr>
          <w:rFonts w:ascii="Arial" w:hAnsi="Arial" w:cs="Arial"/>
          <w:sz w:val="24"/>
          <w:szCs w:val="24"/>
        </w:rPr>
        <w:t>did not have control or know what they were doing</w:t>
      </w:r>
      <w:r w:rsidR="00860DA7" w:rsidRPr="00AA3E2C">
        <w:rPr>
          <w:rFonts w:ascii="Arial" w:hAnsi="Arial" w:cs="Arial"/>
          <w:sz w:val="24"/>
          <w:szCs w:val="24"/>
        </w:rPr>
        <w:t xml:space="preserve"> </w:t>
      </w:r>
      <w:r w:rsidR="009B4A4A" w:rsidRPr="00AA3E2C">
        <w:rPr>
          <w:rFonts w:ascii="Arial" w:hAnsi="Arial" w:cs="Arial"/>
          <w:sz w:val="24"/>
          <w:szCs w:val="24"/>
        </w:rPr>
        <w:t>or that the act they were undertaking was illegal and wrong</w:t>
      </w:r>
      <w:r w:rsidR="00860DA7" w:rsidRPr="00AA3E2C">
        <w:rPr>
          <w:rFonts w:ascii="Arial" w:hAnsi="Arial" w:cs="Arial"/>
          <w:sz w:val="24"/>
          <w:szCs w:val="24"/>
        </w:rPr>
        <w:t>, from a disease of the mind.</w:t>
      </w:r>
      <w:r w:rsidR="009B4A4A" w:rsidRPr="00AA3E2C">
        <w:rPr>
          <w:rFonts w:ascii="Arial" w:hAnsi="Arial" w:cs="Arial"/>
          <w:sz w:val="24"/>
          <w:szCs w:val="24"/>
        </w:rPr>
        <w:t xml:space="preserve"> The defendant must prove that he or she is not guilty by the reason of insanity, also know as the special verdict. Due to the defendant not being found guilty of the crime,</w:t>
      </w:r>
      <w:r w:rsidR="004A00C7" w:rsidRPr="00AA3E2C">
        <w:rPr>
          <w:rFonts w:ascii="Arial" w:hAnsi="Arial" w:cs="Arial"/>
          <w:sz w:val="24"/>
          <w:szCs w:val="24"/>
        </w:rPr>
        <w:t xml:space="preserve"> but guilty by reason of insanity, the crown court can do what they think is right for the person, this is known as disposal, the defendant will be emitted into hospital and detained or placed under a supervision order. They will not be released until the Secretary of State deems that the persons mental health does not create a risk to themselves or to the public (Law Commission, 2013</w:t>
      </w:r>
      <w:r w:rsidR="00CD798A" w:rsidRPr="00AA3E2C">
        <w:rPr>
          <w:rFonts w:ascii="Arial" w:hAnsi="Arial" w:cs="Arial"/>
          <w:sz w:val="24"/>
          <w:szCs w:val="24"/>
        </w:rPr>
        <w:t>a</w:t>
      </w:r>
      <w:r w:rsidR="004A00C7" w:rsidRPr="00AA3E2C">
        <w:rPr>
          <w:rFonts w:ascii="Arial" w:hAnsi="Arial" w:cs="Arial"/>
          <w:sz w:val="24"/>
          <w:szCs w:val="24"/>
        </w:rPr>
        <w:t>).</w:t>
      </w:r>
      <w:r w:rsidR="00DA28D1" w:rsidRPr="00AA3E2C">
        <w:rPr>
          <w:rFonts w:ascii="Arial" w:hAnsi="Arial" w:cs="Arial"/>
          <w:sz w:val="24"/>
          <w:szCs w:val="24"/>
        </w:rPr>
        <w:t xml:space="preserve"> </w:t>
      </w:r>
    </w:p>
    <w:p w14:paraId="30928237" w14:textId="406B75DA" w:rsidR="00DA28D1" w:rsidRPr="00AA3E2C" w:rsidRDefault="003E18C3" w:rsidP="00AA3E2C">
      <w:pPr>
        <w:spacing w:line="360" w:lineRule="auto"/>
        <w:rPr>
          <w:rFonts w:ascii="Arial" w:hAnsi="Arial" w:cs="Arial"/>
          <w:sz w:val="24"/>
          <w:szCs w:val="24"/>
        </w:rPr>
      </w:pPr>
      <w:r w:rsidRPr="00AA3E2C">
        <w:rPr>
          <w:rFonts w:ascii="Arial" w:hAnsi="Arial" w:cs="Arial"/>
          <w:sz w:val="24"/>
          <w:szCs w:val="24"/>
        </w:rPr>
        <w:t xml:space="preserve">While the defendant may not be guilty due to reason of insanity, the defendant can also be released on the defence of automatism. The insanity defence means that the person has something wrong mentally, whereas automatism is where the defendant has no control over their body during the </w:t>
      </w:r>
      <w:r w:rsidR="00CD798A" w:rsidRPr="00AA3E2C">
        <w:rPr>
          <w:rFonts w:ascii="Arial" w:hAnsi="Arial" w:cs="Arial"/>
          <w:sz w:val="24"/>
          <w:szCs w:val="24"/>
        </w:rPr>
        <w:t>time,</w:t>
      </w:r>
      <w:r w:rsidRPr="00AA3E2C">
        <w:rPr>
          <w:rFonts w:ascii="Arial" w:hAnsi="Arial" w:cs="Arial"/>
          <w:sz w:val="24"/>
          <w:szCs w:val="24"/>
        </w:rPr>
        <w:t xml:space="preserve"> they are committing the crime, but if the person purposely made themselves lose control through drug use or drinking, the defendant is seen as guilty</w:t>
      </w:r>
      <w:r w:rsidR="00CD798A" w:rsidRPr="00AA3E2C">
        <w:rPr>
          <w:rFonts w:ascii="Arial" w:hAnsi="Arial" w:cs="Arial"/>
          <w:sz w:val="24"/>
          <w:szCs w:val="24"/>
        </w:rPr>
        <w:t xml:space="preserve"> (Law Commission, 2013b).</w:t>
      </w:r>
      <w:r w:rsidR="000F3076" w:rsidRPr="00AA3E2C">
        <w:rPr>
          <w:rFonts w:ascii="Arial" w:hAnsi="Arial" w:cs="Arial"/>
          <w:sz w:val="24"/>
          <w:szCs w:val="24"/>
        </w:rPr>
        <w:t xml:space="preserve"> </w:t>
      </w:r>
      <w:r w:rsidR="003C5483" w:rsidRPr="00AA3E2C">
        <w:rPr>
          <w:rFonts w:ascii="Arial" w:hAnsi="Arial" w:cs="Arial"/>
          <w:sz w:val="24"/>
          <w:szCs w:val="24"/>
        </w:rPr>
        <w:t xml:space="preserve">A case law of automatism is </w:t>
      </w:r>
      <w:bookmarkStart w:id="0" w:name="_Hlk68174658"/>
      <w:r w:rsidR="003C5483" w:rsidRPr="00AA3E2C">
        <w:rPr>
          <w:rFonts w:ascii="Arial" w:hAnsi="Arial" w:cs="Arial"/>
          <w:sz w:val="24"/>
          <w:szCs w:val="24"/>
        </w:rPr>
        <w:t>Broome v Perkins (1987)</w:t>
      </w:r>
      <w:bookmarkEnd w:id="0"/>
      <w:r w:rsidR="003C5483" w:rsidRPr="00AA3E2C">
        <w:rPr>
          <w:rFonts w:ascii="Arial" w:hAnsi="Arial" w:cs="Arial"/>
          <w:sz w:val="24"/>
          <w:szCs w:val="24"/>
        </w:rPr>
        <w:t xml:space="preserve"> where the defendant failed to eat enough food after an injection of insulin due to being diabetic, </w:t>
      </w:r>
      <w:r w:rsidR="00DA28D1" w:rsidRPr="00AA3E2C">
        <w:rPr>
          <w:rFonts w:ascii="Arial" w:hAnsi="Arial" w:cs="Arial"/>
          <w:sz w:val="24"/>
          <w:szCs w:val="24"/>
        </w:rPr>
        <w:t xml:space="preserve">therefore going into a hypoglycaemic trance like state, cause his driving to be extremely dangerous, which ultimately ending up crashing into another car. The Defendant was charged with driving without due care and attention, D was found not guilty due to automatism. </w:t>
      </w:r>
    </w:p>
    <w:p w14:paraId="6FCCC0B5" w14:textId="77777777" w:rsidR="001B3072" w:rsidRPr="00AA3E2C" w:rsidRDefault="001B3072" w:rsidP="00AA3E2C">
      <w:pPr>
        <w:spacing w:line="360" w:lineRule="auto"/>
        <w:rPr>
          <w:rFonts w:ascii="Arial" w:hAnsi="Arial" w:cs="Arial"/>
          <w:sz w:val="24"/>
          <w:szCs w:val="24"/>
        </w:rPr>
      </w:pPr>
    </w:p>
    <w:p w14:paraId="37A72C8F" w14:textId="406195AB" w:rsidR="00CB1AA6" w:rsidRPr="00AA3E2C" w:rsidRDefault="00092D0B" w:rsidP="00AA3E2C">
      <w:pPr>
        <w:spacing w:line="360" w:lineRule="auto"/>
        <w:rPr>
          <w:rFonts w:ascii="Arial" w:hAnsi="Arial" w:cs="Arial"/>
          <w:sz w:val="24"/>
          <w:szCs w:val="24"/>
        </w:rPr>
      </w:pPr>
      <w:r w:rsidRPr="00AA3E2C">
        <w:rPr>
          <w:rFonts w:ascii="Arial" w:hAnsi="Arial" w:cs="Arial"/>
          <w:sz w:val="24"/>
          <w:szCs w:val="24"/>
        </w:rPr>
        <w:t>According to Law Commission (2013</w:t>
      </w:r>
      <w:r w:rsidR="009D3128" w:rsidRPr="00AA3E2C">
        <w:rPr>
          <w:rFonts w:ascii="Arial" w:hAnsi="Arial" w:cs="Arial"/>
          <w:sz w:val="24"/>
          <w:szCs w:val="24"/>
        </w:rPr>
        <w:t>c</w:t>
      </w:r>
      <w:r w:rsidRPr="00AA3E2C">
        <w:rPr>
          <w:rFonts w:ascii="Arial" w:hAnsi="Arial" w:cs="Arial"/>
          <w:sz w:val="24"/>
          <w:szCs w:val="24"/>
        </w:rPr>
        <w:t xml:space="preserve">) the current problems within the </w:t>
      </w:r>
      <w:r w:rsidR="00794EB3" w:rsidRPr="00AA3E2C">
        <w:rPr>
          <w:rFonts w:ascii="Arial" w:hAnsi="Arial" w:cs="Arial"/>
          <w:sz w:val="24"/>
          <w:szCs w:val="24"/>
        </w:rPr>
        <w:t xml:space="preserve">Insanity Act 1964 </w:t>
      </w:r>
      <w:r w:rsidRPr="00AA3E2C">
        <w:rPr>
          <w:rFonts w:ascii="Arial" w:hAnsi="Arial" w:cs="Arial"/>
          <w:sz w:val="24"/>
          <w:szCs w:val="24"/>
        </w:rPr>
        <w:t>and why it needs to be reformed are the act is not up to date with recent understanding of the mental state of individuals, therefore</w:t>
      </w:r>
      <w:r w:rsidR="002E07F2" w:rsidRPr="00AA3E2C">
        <w:rPr>
          <w:rFonts w:ascii="Arial" w:hAnsi="Arial" w:cs="Arial"/>
          <w:sz w:val="24"/>
          <w:szCs w:val="24"/>
        </w:rPr>
        <w:t xml:space="preserve"> </w:t>
      </w:r>
      <w:r w:rsidR="002255CE" w:rsidRPr="00AA3E2C">
        <w:rPr>
          <w:rFonts w:ascii="Arial" w:hAnsi="Arial" w:cs="Arial"/>
          <w:sz w:val="24"/>
          <w:szCs w:val="24"/>
        </w:rPr>
        <w:t xml:space="preserve">it is lacking information within the modern period, therefore the act is sometimes used wrong or medical </w:t>
      </w:r>
      <w:r w:rsidR="009D3128" w:rsidRPr="00AA3E2C">
        <w:rPr>
          <w:rFonts w:ascii="Arial" w:hAnsi="Arial" w:cs="Arial"/>
          <w:sz w:val="24"/>
          <w:szCs w:val="24"/>
        </w:rPr>
        <w:t>professionals</w:t>
      </w:r>
      <w:r w:rsidR="002255CE" w:rsidRPr="00AA3E2C">
        <w:rPr>
          <w:rFonts w:ascii="Arial" w:hAnsi="Arial" w:cs="Arial"/>
          <w:sz w:val="24"/>
          <w:szCs w:val="24"/>
        </w:rPr>
        <w:t xml:space="preserve"> do not use the correct legal test. </w:t>
      </w:r>
      <w:r w:rsidR="009D3128" w:rsidRPr="00AA3E2C">
        <w:rPr>
          <w:rFonts w:ascii="Arial" w:hAnsi="Arial" w:cs="Arial"/>
          <w:sz w:val="24"/>
          <w:szCs w:val="24"/>
        </w:rPr>
        <w:t xml:space="preserve"> Moreover, the word ‘insane’ is </w:t>
      </w:r>
      <w:r w:rsidR="009D3128" w:rsidRPr="00AA3E2C">
        <w:rPr>
          <w:rFonts w:ascii="Arial" w:hAnsi="Arial" w:cs="Arial"/>
          <w:sz w:val="24"/>
          <w:szCs w:val="24"/>
        </w:rPr>
        <w:lastRenderedPageBreak/>
        <w:t>considered outdated when used to describe someone with a mental illness and is morally wrong when describing someone with learning disabilities or those with epilepsy</w:t>
      </w:r>
      <w:r w:rsidR="00903B86" w:rsidRPr="00AA3E2C">
        <w:rPr>
          <w:rFonts w:ascii="Arial" w:hAnsi="Arial" w:cs="Arial"/>
          <w:sz w:val="24"/>
          <w:szCs w:val="24"/>
        </w:rPr>
        <w:t>.</w:t>
      </w:r>
      <w:r w:rsidR="004B1A7D" w:rsidRPr="00AA3E2C">
        <w:rPr>
          <w:rFonts w:ascii="Arial" w:hAnsi="Arial" w:cs="Arial"/>
          <w:sz w:val="24"/>
          <w:szCs w:val="24"/>
        </w:rPr>
        <w:t xml:space="preserve"> </w:t>
      </w:r>
    </w:p>
    <w:p w14:paraId="5C3ABEE2" w14:textId="77777777" w:rsidR="008B10B7" w:rsidRPr="00AA3E2C" w:rsidRDefault="008B10B7" w:rsidP="00AA3E2C">
      <w:pPr>
        <w:spacing w:line="360" w:lineRule="auto"/>
        <w:rPr>
          <w:rFonts w:ascii="Arial" w:hAnsi="Arial" w:cs="Arial"/>
          <w:sz w:val="24"/>
          <w:szCs w:val="24"/>
        </w:rPr>
      </w:pPr>
      <w:r w:rsidRPr="00AA3E2C">
        <w:rPr>
          <w:rFonts w:ascii="Arial" w:hAnsi="Arial" w:cs="Arial"/>
          <w:sz w:val="24"/>
          <w:szCs w:val="24"/>
        </w:rPr>
        <w:t xml:space="preserve">Howard (2003) suggests that there needs to be a clear difference between having a mental illness and being labelled as insane. Howard further explains how it is also unfair to allow the label of ‘guilty but mentally ill’ onto the defendant, there needs to be a term that is both suitable for describing ‘mentally ill’ and ‘insane’ defendants, where it is modern and fair and does not cause offence to those involved. Furthermore, the suggestion for the term is that of ‘an aberration of normal mental functioning present at the time of the commission of the alleged offence’. </w:t>
      </w:r>
    </w:p>
    <w:p w14:paraId="413B7707" w14:textId="78870332" w:rsidR="00DE1922" w:rsidRPr="00AA3E2C" w:rsidRDefault="00903B86" w:rsidP="00AA3E2C">
      <w:pPr>
        <w:spacing w:line="360" w:lineRule="auto"/>
        <w:rPr>
          <w:rFonts w:ascii="Arial" w:hAnsi="Arial" w:cs="Arial"/>
          <w:sz w:val="24"/>
          <w:szCs w:val="24"/>
        </w:rPr>
      </w:pPr>
      <w:r w:rsidRPr="00AA3E2C">
        <w:rPr>
          <w:rFonts w:ascii="Arial" w:hAnsi="Arial" w:cs="Arial"/>
          <w:sz w:val="24"/>
          <w:szCs w:val="24"/>
        </w:rPr>
        <w:t>L</w:t>
      </w:r>
      <w:r w:rsidR="003A589B" w:rsidRPr="00AA3E2C">
        <w:rPr>
          <w:rFonts w:ascii="Arial" w:hAnsi="Arial" w:cs="Arial"/>
          <w:sz w:val="24"/>
          <w:szCs w:val="24"/>
        </w:rPr>
        <w:t xml:space="preserve">ooking at </w:t>
      </w:r>
      <w:bookmarkStart w:id="1" w:name="_Hlk69054244"/>
      <w:r w:rsidR="003A589B" w:rsidRPr="00AA3E2C">
        <w:rPr>
          <w:rFonts w:ascii="Arial" w:hAnsi="Arial" w:cs="Arial"/>
          <w:sz w:val="24"/>
          <w:szCs w:val="24"/>
        </w:rPr>
        <w:t>M’</w:t>
      </w:r>
      <w:r w:rsidR="004139A6" w:rsidRPr="00AA3E2C">
        <w:rPr>
          <w:rFonts w:ascii="Arial" w:hAnsi="Arial" w:cs="Arial"/>
          <w:sz w:val="24"/>
          <w:szCs w:val="24"/>
        </w:rPr>
        <w:t>Naghten Rules</w:t>
      </w:r>
      <w:r w:rsidR="001B3072" w:rsidRPr="00AA3E2C">
        <w:rPr>
          <w:rFonts w:ascii="Arial" w:hAnsi="Arial" w:cs="Arial"/>
          <w:sz w:val="24"/>
          <w:szCs w:val="24"/>
        </w:rPr>
        <w:t xml:space="preserve"> (1843)</w:t>
      </w:r>
      <w:bookmarkEnd w:id="1"/>
      <w:r w:rsidR="004139A6" w:rsidRPr="00AA3E2C">
        <w:rPr>
          <w:rFonts w:ascii="Arial" w:hAnsi="Arial" w:cs="Arial"/>
          <w:sz w:val="24"/>
          <w:szCs w:val="24"/>
        </w:rPr>
        <w:t xml:space="preserve">, disease of the mind is a complicated factor for insanity, </w:t>
      </w:r>
      <w:r w:rsidR="009712A9" w:rsidRPr="00AA3E2C">
        <w:rPr>
          <w:rFonts w:ascii="Arial" w:hAnsi="Arial" w:cs="Arial"/>
          <w:sz w:val="24"/>
          <w:szCs w:val="24"/>
        </w:rPr>
        <w:t xml:space="preserve">the </w:t>
      </w:r>
      <w:r w:rsidR="00FC50AF" w:rsidRPr="00AA3E2C">
        <w:rPr>
          <w:rFonts w:ascii="Arial" w:hAnsi="Arial" w:cs="Arial"/>
          <w:sz w:val="24"/>
          <w:szCs w:val="24"/>
        </w:rPr>
        <w:t>definition</w:t>
      </w:r>
      <w:r w:rsidR="009712A9" w:rsidRPr="00AA3E2C">
        <w:rPr>
          <w:rFonts w:ascii="Arial" w:hAnsi="Arial" w:cs="Arial"/>
          <w:sz w:val="24"/>
          <w:szCs w:val="24"/>
        </w:rPr>
        <w:t xml:space="preserve"> of disease of the mind </w:t>
      </w:r>
      <w:r w:rsidR="00FC50AF" w:rsidRPr="00AA3E2C">
        <w:rPr>
          <w:rFonts w:ascii="Arial" w:hAnsi="Arial" w:cs="Arial"/>
          <w:sz w:val="24"/>
          <w:szCs w:val="24"/>
        </w:rPr>
        <w:t xml:space="preserve">is complicated and other factors are looked at instead of just psychiatric disorders, such as schizophrenia. Looking into the case of </w:t>
      </w:r>
      <w:bookmarkStart w:id="2" w:name="_Hlk67491209"/>
      <w:r w:rsidR="00FC50AF" w:rsidRPr="00AA3E2C">
        <w:rPr>
          <w:rFonts w:ascii="Arial" w:hAnsi="Arial" w:cs="Arial"/>
          <w:sz w:val="24"/>
          <w:szCs w:val="24"/>
        </w:rPr>
        <w:t>R v Charlson (1995)</w:t>
      </w:r>
      <w:r w:rsidR="002D5EEE" w:rsidRPr="00AA3E2C">
        <w:rPr>
          <w:rFonts w:ascii="Arial" w:hAnsi="Arial" w:cs="Arial"/>
          <w:sz w:val="24"/>
          <w:szCs w:val="24"/>
        </w:rPr>
        <w:t xml:space="preserve"> </w:t>
      </w:r>
      <w:bookmarkEnd w:id="2"/>
      <w:r w:rsidR="00D30450" w:rsidRPr="00AA3E2C">
        <w:rPr>
          <w:rFonts w:ascii="Arial" w:hAnsi="Arial" w:cs="Arial"/>
          <w:sz w:val="24"/>
          <w:szCs w:val="24"/>
        </w:rPr>
        <w:t xml:space="preserve">The court assumed that </w:t>
      </w:r>
      <w:r w:rsidR="00355AAF" w:rsidRPr="00AA3E2C">
        <w:rPr>
          <w:rFonts w:ascii="Arial" w:hAnsi="Arial" w:cs="Arial"/>
          <w:sz w:val="24"/>
          <w:szCs w:val="24"/>
        </w:rPr>
        <w:t xml:space="preserve">diseases </w:t>
      </w:r>
      <w:r w:rsidR="003F1E76" w:rsidRPr="00AA3E2C">
        <w:rPr>
          <w:rFonts w:ascii="Arial" w:hAnsi="Arial" w:cs="Arial"/>
          <w:sz w:val="24"/>
          <w:szCs w:val="24"/>
        </w:rPr>
        <w:t xml:space="preserve">like </w:t>
      </w:r>
      <w:r w:rsidR="00725B8A" w:rsidRPr="00AA3E2C">
        <w:rPr>
          <w:rFonts w:ascii="Arial" w:hAnsi="Arial" w:cs="Arial"/>
          <w:sz w:val="24"/>
          <w:szCs w:val="24"/>
        </w:rPr>
        <w:t>cerebral</w:t>
      </w:r>
      <w:r w:rsidR="003F1E76" w:rsidRPr="00AA3E2C">
        <w:rPr>
          <w:rFonts w:ascii="Arial" w:hAnsi="Arial" w:cs="Arial"/>
          <w:sz w:val="24"/>
          <w:szCs w:val="24"/>
        </w:rPr>
        <w:t xml:space="preserve"> tumour and epilepsy,  are not diseases of the </w:t>
      </w:r>
      <w:r w:rsidR="00725B8A" w:rsidRPr="00AA3E2C">
        <w:rPr>
          <w:rFonts w:ascii="Arial" w:hAnsi="Arial" w:cs="Arial"/>
          <w:sz w:val="24"/>
          <w:szCs w:val="24"/>
        </w:rPr>
        <w:t xml:space="preserve">mind even though they can make the person unable to control their actions, proved within </w:t>
      </w:r>
      <w:r w:rsidR="007E36E6" w:rsidRPr="00AA3E2C">
        <w:rPr>
          <w:rFonts w:ascii="Arial" w:hAnsi="Arial" w:cs="Arial"/>
          <w:sz w:val="24"/>
          <w:szCs w:val="24"/>
        </w:rPr>
        <w:t xml:space="preserve"> the case of R v Sullivan (1984) the defendant had an epileptic fit </w:t>
      </w:r>
      <w:r w:rsidR="008D250C" w:rsidRPr="00AA3E2C">
        <w:rPr>
          <w:rFonts w:ascii="Arial" w:hAnsi="Arial" w:cs="Arial"/>
          <w:sz w:val="24"/>
          <w:szCs w:val="24"/>
        </w:rPr>
        <w:t xml:space="preserve">during this time they kicked and injured a man, </w:t>
      </w:r>
      <w:r w:rsidR="00167796" w:rsidRPr="00AA3E2C">
        <w:rPr>
          <w:rFonts w:ascii="Arial" w:hAnsi="Arial" w:cs="Arial"/>
          <w:sz w:val="24"/>
          <w:szCs w:val="24"/>
        </w:rPr>
        <w:t xml:space="preserve">the defendant pleaded on the defence of insanity but not automatism, the House of Lords stated that epilepsy is a disease of the mind due to the fact that the defendant was unable to know what they were doing, and that they were unable to mentally control themselves, the defendant was found not guilty by reason of insanity. </w:t>
      </w:r>
    </w:p>
    <w:p w14:paraId="351C5193" w14:textId="1CD83105" w:rsidR="007E36E6" w:rsidRPr="00AA3E2C" w:rsidRDefault="00DE1922" w:rsidP="00AA3E2C">
      <w:pPr>
        <w:spacing w:line="360" w:lineRule="auto"/>
        <w:rPr>
          <w:rFonts w:ascii="Arial" w:hAnsi="Arial" w:cs="Arial"/>
          <w:sz w:val="24"/>
          <w:szCs w:val="24"/>
        </w:rPr>
      </w:pPr>
      <w:r w:rsidRPr="00AA3E2C">
        <w:rPr>
          <w:rFonts w:ascii="Arial" w:hAnsi="Arial" w:cs="Arial"/>
          <w:sz w:val="24"/>
          <w:szCs w:val="24"/>
        </w:rPr>
        <w:t xml:space="preserve">Furthermore, Case Law is an issue within the act, it is incoherent and confusing, due the to fact the term ‘disease of the mind’ is not subjected to one </w:t>
      </w:r>
      <w:r w:rsidR="00E1172F" w:rsidRPr="00AA3E2C">
        <w:rPr>
          <w:rFonts w:ascii="Arial" w:hAnsi="Arial" w:cs="Arial"/>
          <w:sz w:val="24"/>
          <w:szCs w:val="24"/>
        </w:rPr>
        <w:t>or two psychiatric disorders</w:t>
      </w:r>
      <w:r w:rsidRPr="00AA3E2C">
        <w:rPr>
          <w:rFonts w:ascii="Arial" w:hAnsi="Arial" w:cs="Arial"/>
          <w:sz w:val="24"/>
          <w:szCs w:val="24"/>
        </w:rPr>
        <w:t xml:space="preserve">, the term is </w:t>
      </w:r>
      <w:r w:rsidR="00EE1231" w:rsidRPr="00AA3E2C">
        <w:rPr>
          <w:rFonts w:ascii="Arial" w:hAnsi="Arial" w:cs="Arial"/>
          <w:sz w:val="24"/>
          <w:szCs w:val="24"/>
        </w:rPr>
        <w:t xml:space="preserve">unfit for purpose within the modern day. </w:t>
      </w:r>
      <w:r w:rsidR="00E1172F" w:rsidRPr="00AA3E2C">
        <w:rPr>
          <w:rFonts w:ascii="Arial" w:hAnsi="Arial" w:cs="Arial"/>
          <w:sz w:val="24"/>
          <w:szCs w:val="24"/>
        </w:rPr>
        <w:t xml:space="preserve">In the House of Lords, Lord Dennington in Bratty v Attorney – General for Northern Ireland (1993) explained that </w:t>
      </w:r>
      <w:r w:rsidR="00057349" w:rsidRPr="00AA3E2C">
        <w:rPr>
          <w:rFonts w:ascii="Arial" w:hAnsi="Arial" w:cs="Arial"/>
          <w:sz w:val="24"/>
          <w:szCs w:val="24"/>
        </w:rPr>
        <w:t>diseases</w:t>
      </w:r>
      <w:r w:rsidR="00E1172F" w:rsidRPr="00AA3E2C">
        <w:rPr>
          <w:rFonts w:ascii="Arial" w:hAnsi="Arial" w:cs="Arial"/>
          <w:sz w:val="24"/>
          <w:szCs w:val="24"/>
        </w:rPr>
        <w:t xml:space="preserve"> such as schizophrenia and other psychoses, are known to be </w:t>
      </w:r>
      <w:r w:rsidR="00057349" w:rsidRPr="00AA3E2C">
        <w:rPr>
          <w:rFonts w:ascii="Arial" w:hAnsi="Arial" w:cs="Arial"/>
          <w:sz w:val="24"/>
          <w:szCs w:val="24"/>
        </w:rPr>
        <w:t>Diseases of the mind</w:t>
      </w:r>
      <w:r w:rsidR="00EE1231" w:rsidRPr="00AA3E2C">
        <w:rPr>
          <w:rFonts w:ascii="Arial" w:hAnsi="Arial" w:cs="Arial"/>
          <w:sz w:val="24"/>
          <w:szCs w:val="24"/>
        </w:rPr>
        <w:t>, Lord Denning explains that in R v Charlson that the judge Barry J, as mentioned earlier, assumed that diseases like cerebral tumour and epilepsy,  are not diseases of the mind. Lord Denning does not agree with this, explaining that any mental disorder that ultimately leads to violence and which could happen again in the future, is a disease of the mind (Mermon, 2006).</w:t>
      </w:r>
      <w:r w:rsidR="00903B86" w:rsidRPr="00AA3E2C">
        <w:rPr>
          <w:rFonts w:ascii="Arial" w:hAnsi="Arial" w:cs="Arial"/>
          <w:sz w:val="24"/>
          <w:szCs w:val="24"/>
        </w:rPr>
        <w:t xml:space="preserve"> </w:t>
      </w:r>
    </w:p>
    <w:p w14:paraId="4E65D386" w14:textId="27D4FB8A" w:rsidR="00036814" w:rsidRPr="00AA3E2C" w:rsidRDefault="00A20F2E" w:rsidP="00AA3E2C">
      <w:pPr>
        <w:spacing w:line="360" w:lineRule="auto"/>
        <w:rPr>
          <w:rFonts w:ascii="Arial" w:hAnsi="Arial" w:cs="Arial"/>
          <w:sz w:val="24"/>
          <w:szCs w:val="24"/>
        </w:rPr>
      </w:pPr>
      <w:r w:rsidRPr="00AA3E2C">
        <w:rPr>
          <w:rFonts w:ascii="Arial" w:hAnsi="Arial" w:cs="Arial"/>
          <w:sz w:val="24"/>
          <w:szCs w:val="24"/>
        </w:rPr>
        <w:lastRenderedPageBreak/>
        <w:t>Law commission (2006</w:t>
      </w:r>
      <w:r w:rsidR="00A73B23" w:rsidRPr="00AA3E2C">
        <w:rPr>
          <w:rFonts w:ascii="Arial" w:hAnsi="Arial" w:cs="Arial"/>
          <w:sz w:val="24"/>
          <w:szCs w:val="24"/>
        </w:rPr>
        <w:t>a</w:t>
      </w:r>
      <w:r w:rsidRPr="00AA3E2C">
        <w:rPr>
          <w:rFonts w:ascii="Arial" w:hAnsi="Arial" w:cs="Arial"/>
          <w:sz w:val="24"/>
          <w:szCs w:val="24"/>
        </w:rPr>
        <w:t xml:space="preserve">) explained in that under section 2 of the Homicide Act (1957) </w:t>
      </w:r>
      <w:r w:rsidR="00EB2D20" w:rsidRPr="00AA3E2C">
        <w:rPr>
          <w:rFonts w:ascii="Arial" w:hAnsi="Arial" w:cs="Arial"/>
          <w:sz w:val="24"/>
          <w:szCs w:val="24"/>
        </w:rPr>
        <w:t xml:space="preserve">that to be able to prove </w:t>
      </w:r>
      <w:r w:rsidR="004516AB" w:rsidRPr="00AA3E2C">
        <w:rPr>
          <w:rFonts w:ascii="Arial" w:hAnsi="Arial" w:cs="Arial"/>
          <w:sz w:val="24"/>
          <w:szCs w:val="24"/>
        </w:rPr>
        <w:t>diminished</w:t>
      </w:r>
      <w:r w:rsidR="00EB2D20" w:rsidRPr="00AA3E2C">
        <w:rPr>
          <w:rFonts w:ascii="Arial" w:hAnsi="Arial" w:cs="Arial"/>
          <w:sz w:val="24"/>
          <w:szCs w:val="24"/>
        </w:rPr>
        <w:t xml:space="preserve"> responsibility the defendant must be able to provide evidence of mental abnormality. Within the Law Commission (2006b</w:t>
      </w:r>
      <w:r w:rsidR="00A73B23" w:rsidRPr="00AA3E2C">
        <w:rPr>
          <w:rFonts w:ascii="Arial" w:hAnsi="Arial" w:cs="Arial"/>
          <w:sz w:val="24"/>
          <w:szCs w:val="24"/>
        </w:rPr>
        <w:t xml:space="preserve">) paper it shows the change within the act and how Diminished Responsibility will affect the law on insanity. </w:t>
      </w:r>
      <w:r w:rsidR="006C2A28" w:rsidRPr="00AA3E2C">
        <w:rPr>
          <w:rFonts w:ascii="Arial" w:hAnsi="Arial" w:cs="Arial"/>
          <w:sz w:val="24"/>
          <w:szCs w:val="24"/>
        </w:rPr>
        <w:t xml:space="preserve">The recommendation by the Law Commission is described as a more restrictive version of the law, meaning that it is more difficult to prove that the defendant is insane. Therefore, meaning that there is a very small difference between </w:t>
      </w:r>
      <w:r w:rsidR="00794EB3" w:rsidRPr="00AA3E2C">
        <w:rPr>
          <w:rFonts w:ascii="Arial" w:hAnsi="Arial" w:cs="Arial"/>
          <w:sz w:val="24"/>
          <w:szCs w:val="24"/>
        </w:rPr>
        <w:t xml:space="preserve">diminished responsibility and the Insanity Act 1964. The recommendations made will allow new medical conditions to be taken into account when they defendant pleads diminished responsibility. </w:t>
      </w:r>
    </w:p>
    <w:p w14:paraId="538D5B6B" w14:textId="5A6E4160" w:rsidR="00C86D70" w:rsidRPr="00AA3E2C" w:rsidRDefault="00613260" w:rsidP="00AA3E2C">
      <w:pPr>
        <w:spacing w:line="360" w:lineRule="auto"/>
        <w:rPr>
          <w:rFonts w:ascii="Arial" w:hAnsi="Arial" w:cs="Arial"/>
          <w:sz w:val="24"/>
          <w:szCs w:val="24"/>
        </w:rPr>
      </w:pPr>
      <w:r w:rsidRPr="00AA3E2C">
        <w:rPr>
          <w:rFonts w:ascii="Arial" w:hAnsi="Arial" w:cs="Arial"/>
          <w:sz w:val="24"/>
          <w:szCs w:val="24"/>
        </w:rPr>
        <w:t xml:space="preserve">In conclusion from researching the subject the Insanity defence is in need of reform due to the fact that </w:t>
      </w:r>
      <w:r w:rsidR="005604EA" w:rsidRPr="00AA3E2C">
        <w:rPr>
          <w:rFonts w:ascii="Arial" w:hAnsi="Arial" w:cs="Arial"/>
          <w:sz w:val="24"/>
          <w:szCs w:val="24"/>
        </w:rPr>
        <w:t>the act is not in line with recent research and modern understanding of what the mental state of people is. The word insane is also outdated the professionals no longer use the word to describes someone’s mental state as it can be offence to their families and friends, and to those who suffer with epilepsy and other illnesses.</w:t>
      </w:r>
    </w:p>
    <w:p w14:paraId="52CEF968" w14:textId="77777777" w:rsidR="005604EA" w:rsidRPr="00AA3E2C" w:rsidRDefault="005604EA" w:rsidP="00AA3E2C">
      <w:pPr>
        <w:spacing w:line="360" w:lineRule="auto"/>
        <w:rPr>
          <w:rFonts w:ascii="Arial" w:hAnsi="Arial" w:cs="Arial"/>
          <w:sz w:val="24"/>
          <w:szCs w:val="24"/>
        </w:rPr>
      </w:pPr>
    </w:p>
    <w:p w14:paraId="6EFFC7A1" w14:textId="77777777" w:rsidR="00C86D70" w:rsidRPr="00AA3E2C" w:rsidRDefault="00C86D70" w:rsidP="00AA3E2C">
      <w:pPr>
        <w:pStyle w:val="ListParagraph"/>
        <w:numPr>
          <w:ilvl w:val="0"/>
          <w:numId w:val="3"/>
        </w:numPr>
        <w:spacing w:line="360" w:lineRule="auto"/>
        <w:rPr>
          <w:rFonts w:ascii="Arial" w:hAnsi="Arial" w:cs="Arial"/>
          <w:sz w:val="24"/>
          <w:szCs w:val="24"/>
        </w:rPr>
      </w:pPr>
      <w:r w:rsidRPr="00AA3E2C">
        <w:rPr>
          <w:rFonts w:ascii="Arial" w:hAnsi="Arial" w:cs="Arial"/>
          <w:sz w:val="24"/>
          <w:szCs w:val="24"/>
          <w:shd w:val="clear" w:color="auto" w:fill="FFFFFF"/>
        </w:rPr>
        <w:t>Howard, H. (2003) ‘Reform of the Insanity Defence: Theoretical Issues’, </w:t>
      </w:r>
      <w:r w:rsidRPr="00AA3E2C">
        <w:rPr>
          <w:rFonts w:ascii="Arial" w:hAnsi="Arial" w:cs="Arial"/>
          <w:i/>
          <w:iCs/>
          <w:sz w:val="24"/>
          <w:szCs w:val="24"/>
          <w:shd w:val="clear" w:color="auto" w:fill="FFFFFF"/>
        </w:rPr>
        <w:t>The Journal of Criminal Law</w:t>
      </w:r>
      <w:r w:rsidRPr="00AA3E2C">
        <w:rPr>
          <w:rFonts w:ascii="Arial" w:hAnsi="Arial" w:cs="Arial"/>
          <w:sz w:val="24"/>
          <w:szCs w:val="24"/>
          <w:shd w:val="clear" w:color="auto" w:fill="FFFFFF"/>
        </w:rPr>
        <w:t xml:space="preserve">, 67(1), pp. 51–67. </w:t>
      </w:r>
      <w:proofErr w:type="spellStart"/>
      <w:r w:rsidRPr="00AA3E2C">
        <w:rPr>
          <w:rFonts w:ascii="Arial" w:hAnsi="Arial" w:cs="Arial"/>
          <w:sz w:val="24"/>
          <w:szCs w:val="24"/>
          <w:shd w:val="clear" w:color="auto" w:fill="FFFFFF"/>
        </w:rPr>
        <w:t>doi</w:t>
      </w:r>
      <w:proofErr w:type="spellEnd"/>
      <w:r w:rsidRPr="00AA3E2C">
        <w:rPr>
          <w:rFonts w:ascii="Arial" w:hAnsi="Arial" w:cs="Arial"/>
          <w:sz w:val="24"/>
          <w:szCs w:val="24"/>
          <w:shd w:val="clear" w:color="auto" w:fill="FFFFFF"/>
        </w:rPr>
        <w:t>: </w:t>
      </w:r>
      <w:hyperlink r:id="rId6" w:history="1">
        <w:r w:rsidRPr="00AA3E2C">
          <w:rPr>
            <w:rStyle w:val="Hyperlink"/>
            <w:rFonts w:ascii="Arial" w:hAnsi="Arial" w:cs="Arial"/>
            <w:color w:val="006ACC"/>
            <w:sz w:val="24"/>
            <w:szCs w:val="24"/>
            <w:shd w:val="clear" w:color="auto" w:fill="FFFFFF"/>
          </w:rPr>
          <w:t>10.1177/002201830306700105</w:t>
        </w:r>
      </w:hyperlink>
      <w:r w:rsidRPr="00AA3E2C">
        <w:rPr>
          <w:rFonts w:ascii="Arial" w:hAnsi="Arial" w:cs="Arial"/>
          <w:color w:val="333333"/>
          <w:sz w:val="24"/>
          <w:szCs w:val="24"/>
          <w:shd w:val="clear" w:color="auto" w:fill="FFFFFF"/>
        </w:rPr>
        <w:t xml:space="preserve">. </w:t>
      </w:r>
    </w:p>
    <w:p w14:paraId="659A4CBE" w14:textId="77777777" w:rsidR="00C86D70" w:rsidRPr="00AA3E2C" w:rsidRDefault="00C86D70" w:rsidP="00AA3E2C">
      <w:pPr>
        <w:pStyle w:val="ListParagraph"/>
        <w:numPr>
          <w:ilvl w:val="0"/>
          <w:numId w:val="3"/>
        </w:numPr>
        <w:spacing w:line="360" w:lineRule="auto"/>
        <w:rPr>
          <w:rFonts w:ascii="Arial" w:hAnsi="Arial" w:cs="Arial"/>
          <w:sz w:val="24"/>
          <w:szCs w:val="24"/>
        </w:rPr>
      </w:pPr>
      <w:r w:rsidRPr="00AA3E2C">
        <w:rPr>
          <w:rFonts w:ascii="Arial" w:hAnsi="Arial" w:cs="Arial"/>
          <w:sz w:val="24"/>
          <w:szCs w:val="24"/>
        </w:rPr>
        <w:t xml:space="preserve">Law Commission (2006) ‘A New Homicide Act </w:t>
      </w:r>
      <w:proofErr w:type="gramStart"/>
      <w:r w:rsidRPr="00AA3E2C">
        <w:rPr>
          <w:rFonts w:ascii="Arial" w:hAnsi="Arial" w:cs="Arial"/>
          <w:sz w:val="24"/>
          <w:szCs w:val="24"/>
        </w:rPr>
        <w:t>For</w:t>
      </w:r>
      <w:proofErr w:type="gramEnd"/>
      <w:r w:rsidRPr="00AA3E2C">
        <w:rPr>
          <w:rFonts w:ascii="Arial" w:hAnsi="Arial" w:cs="Arial"/>
          <w:sz w:val="24"/>
          <w:szCs w:val="24"/>
        </w:rPr>
        <w:t xml:space="preserve"> England And Wales?’ Available at: </w:t>
      </w:r>
      <w:hyperlink r:id="rId7" w:history="1">
        <w:r w:rsidRPr="00AA3E2C">
          <w:rPr>
            <w:rStyle w:val="Hyperlink"/>
            <w:rFonts w:ascii="Arial" w:hAnsi="Arial" w:cs="Arial"/>
            <w:sz w:val="24"/>
            <w:szCs w:val="24"/>
          </w:rPr>
          <w:t>http://www.lawcom.gov.uk/app/uploads/2015/03/cp177_Murder_Manslaughter_and_Infanticide_consultation_overview_.pdf</w:t>
        </w:r>
      </w:hyperlink>
      <w:r w:rsidRPr="00AA3E2C">
        <w:rPr>
          <w:rFonts w:ascii="Arial" w:hAnsi="Arial" w:cs="Arial"/>
          <w:sz w:val="24"/>
          <w:szCs w:val="24"/>
        </w:rPr>
        <w:t xml:space="preserve"> (Accessed </w:t>
      </w:r>
      <w:proofErr w:type="gramStart"/>
      <w:r w:rsidRPr="00AA3E2C">
        <w:rPr>
          <w:rFonts w:ascii="Arial" w:hAnsi="Arial" w:cs="Arial"/>
          <w:sz w:val="24"/>
          <w:szCs w:val="24"/>
        </w:rPr>
        <w:t>on:</w:t>
      </w:r>
      <w:proofErr w:type="gramEnd"/>
      <w:r w:rsidRPr="00AA3E2C">
        <w:rPr>
          <w:rFonts w:ascii="Arial" w:hAnsi="Arial" w:cs="Arial"/>
          <w:sz w:val="24"/>
          <w:szCs w:val="24"/>
        </w:rPr>
        <w:t xml:space="preserve"> 13 April 2021)</w:t>
      </w:r>
    </w:p>
    <w:p w14:paraId="6B7F0C88" w14:textId="77777777" w:rsidR="00C86D70" w:rsidRPr="00AA3E2C" w:rsidRDefault="00C86D70" w:rsidP="00AA3E2C">
      <w:pPr>
        <w:pStyle w:val="ListParagraph"/>
        <w:numPr>
          <w:ilvl w:val="0"/>
          <w:numId w:val="3"/>
        </w:numPr>
        <w:spacing w:line="360" w:lineRule="auto"/>
        <w:rPr>
          <w:rFonts w:ascii="Arial" w:hAnsi="Arial" w:cs="Arial"/>
          <w:sz w:val="24"/>
          <w:szCs w:val="24"/>
        </w:rPr>
      </w:pPr>
      <w:r w:rsidRPr="00AA3E2C">
        <w:rPr>
          <w:rFonts w:ascii="Arial" w:hAnsi="Arial" w:cs="Arial"/>
          <w:sz w:val="24"/>
          <w:szCs w:val="24"/>
        </w:rPr>
        <w:t xml:space="preserve">Law Commission (2006) ‘Murder, Manslaughter and Infanticide’ Available at: </w:t>
      </w:r>
      <w:hyperlink r:id="rId8" w:history="1">
        <w:r w:rsidRPr="00AA3E2C">
          <w:rPr>
            <w:rStyle w:val="Hyperlink"/>
            <w:rFonts w:ascii="Arial" w:hAnsi="Arial" w:cs="Arial"/>
            <w:sz w:val="24"/>
            <w:szCs w:val="24"/>
          </w:rPr>
          <w:t>https://assets.publishing.service.gov.uk/government/uploads/system/uploads/attachment_data/file/228782/0030.pdf</w:t>
        </w:r>
      </w:hyperlink>
      <w:r w:rsidRPr="00AA3E2C">
        <w:rPr>
          <w:rFonts w:ascii="Arial" w:hAnsi="Arial" w:cs="Arial"/>
          <w:sz w:val="24"/>
          <w:szCs w:val="24"/>
        </w:rPr>
        <w:t xml:space="preserve"> (Accessed on: 13 April 2021) </w:t>
      </w:r>
    </w:p>
    <w:p w14:paraId="0410B2BF" w14:textId="77777777" w:rsidR="00C86D70" w:rsidRPr="00AA3E2C" w:rsidRDefault="00C86D70" w:rsidP="00AA3E2C">
      <w:pPr>
        <w:pStyle w:val="ListParagraph"/>
        <w:numPr>
          <w:ilvl w:val="0"/>
          <w:numId w:val="3"/>
        </w:numPr>
        <w:spacing w:line="360" w:lineRule="auto"/>
        <w:rPr>
          <w:rFonts w:ascii="Arial" w:hAnsi="Arial" w:cs="Arial"/>
          <w:sz w:val="24"/>
          <w:szCs w:val="24"/>
        </w:rPr>
      </w:pPr>
      <w:r w:rsidRPr="00AA3E2C">
        <w:rPr>
          <w:rFonts w:ascii="Arial" w:hAnsi="Arial" w:cs="Arial"/>
          <w:sz w:val="24"/>
          <w:szCs w:val="24"/>
        </w:rPr>
        <w:t xml:space="preserve">Law Commission (2013a) ‘Criminal Liability: Insanity and Automatism’ Available at: </w:t>
      </w:r>
      <w:hyperlink r:id="rId9" w:history="1">
        <w:r w:rsidRPr="00AA3E2C">
          <w:rPr>
            <w:rStyle w:val="Hyperlink"/>
            <w:rFonts w:ascii="Arial" w:hAnsi="Arial" w:cs="Arial"/>
            <w:sz w:val="24"/>
            <w:szCs w:val="24"/>
          </w:rPr>
          <w:t>https://s3-eu-west-2.amazonaws.com/lawcom-prod-storage-11jsxou24uy7q/uploads/2015/06/insanity_discussion.pdf</w:t>
        </w:r>
      </w:hyperlink>
      <w:r w:rsidRPr="00AA3E2C">
        <w:rPr>
          <w:rFonts w:ascii="Arial" w:hAnsi="Arial" w:cs="Arial"/>
          <w:sz w:val="24"/>
          <w:szCs w:val="24"/>
        </w:rPr>
        <w:t xml:space="preserve"> (Accessed on: 15 March 2021)</w:t>
      </w:r>
    </w:p>
    <w:p w14:paraId="0FA60E40" w14:textId="77777777" w:rsidR="00C86D70" w:rsidRPr="00AA3E2C" w:rsidRDefault="00C86D70" w:rsidP="00AA3E2C">
      <w:pPr>
        <w:pStyle w:val="ListParagraph"/>
        <w:numPr>
          <w:ilvl w:val="0"/>
          <w:numId w:val="3"/>
        </w:numPr>
        <w:spacing w:line="360" w:lineRule="auto"/>
        <w:rPr>
          <w:rFonts w:ascii="Arial" w:hAnsi="Arial" w:cs="Arial"/>
          <w:sz w:val="24"/>
          <w:szCs w:val="24"/>
        </w:rPr>
      </w:pPr>
      <w:r w:rsidRPr="00AA3E2C">
        <w:rPr>
          <w:rFonts w:ascii="Arial" w:hAnsi="Arial" w:cs="Arial"/>
          <w:sz w:val="24"/>
          <w:szCs w:val="24"/>
        </w:rPr>
        <w:lastRenderedPageBreak/>
        <w:t xml:space="preserve">Law Commission (2013b) ‘Changes to the special reasons why someone is not </w:t>
      </w:r>
      <w:proofErr w:type="spellStart"/>
      <w:r w:rsidRPr="00AA3E2C">
        <w:rPr>
          <w:rFonts w:ascii="Arial" w:hAnsi="Arial" w:cs="Arial"/>
          <w:sz w:val="24"/>
          <w:szCs w:val="24"/>
        </w:rPr>
        <w:t>guility</w:t>
      </w:r>
      <w:proofErr w:type="spellEnd"/>
      <w:r w:rsidRPr="00AA3E2C">
        <w:rPr>
          <w:rFonts w:ascii="Arial" w:hAnsi="Arial" w:cs="Arial"/>
          <w:sz w:val="24"/>
          <w:szCs w:val="24"/>
        </w:rPr>
        <w:t xml:space="preserve"> of a crime – things to talk about’ Available at: </w:t>
      </w:r>
      <w:hyperlink r:id="rId10" w:history="1">
        <w:r w:rsidRPr="00AA3E2C">
          <w:rPr>
            <w:rStyle w:val="Hyperlink"/>
            <w:rFonts w:ascii="Arial" w:hAnsi="Arial" w:cs="Arial"/>
            <w:sz w:val="24"/>
            <w:szCs w:val="24"/>
          </w:rPr>
          <w:t>https://s3-eu-west-2.amazonaws.com/lawcom-prod-storage-11jsxou24uy7q/uploads/2015/06/insanity_discussion_EasyRead_web.pdf</w:t>
        </w:r>
      </w:hyperlink>
      <w:r w:rsidRPr="00AA3E2C">
        <w:rPr>
          <w:rFonts w:ascii="Arial" w:hAnsi="Arial" w:cs="Arial"/>
          <w:sz w:val="24"/>
          <w:szCs w:val="24"/>
        </w:rPr>
        <w:t xml:space="preserve"> (Accessed on: 15 March 2021) </w:t>
      </w:r>
    </w:p>
    <w:p w14:paraId="707D5DF3" w14:textId="77777777" w:rsidR="00C86D70" w:rsidRPr="00AA3E2C" w:rsidRDefault="00C86D70" w:rsidP="00AA3E2C">
      <w:pPr>
        <w:pStyle w:val="ListParagraph"/>
        <w:numPr>
          <w:ilvl w:val="0"/>
          <w:numId w:val="3"/>
        </w:numPr>
        <w:spacing w:line="360" w:lineRule="auto"/>
        <w:rPr>
          <w:rFonts w:ascii="Arial" w:hAnsi="Arial" w:cs="Arial"/>
          <w:sz w:val="24"/>
          <w:szCs w:val="24"/>
        </w:rPr>
      </w:pPr>
      <w:r w:rsidRPr="00AA3E2C">
        <w:rPr>
          <w:rFonts w:ascii="Arial" w:hAnsi="Arial" w:cs="Arial"/>
          <w:sz w:val="24"/>
          <w:szCs w:val="24"/>
        </w:rPr>
        <w:t xml:space="preserve">Law commission (2013c) ‘Insanity and Automatism’ Available at: </w:t>
      </w:r>
      <w:hyperlink r:id="rId11" w:history="1">
        <w:r w:rsidRPr="00AA3E2C">
          <w:rPr>
            <w:rStyle w:val="Hyperlink"/>
            <w:rFonts w:ascii="Arial" w:hAnsi="Arial" w:cs="Arial"/>
            <w:sz w:val="24"/>
            <w:szCs w:val="24"/>
          </w:rPr>
          <w:t>https://www.lawcom.gov.uk/project/insanity-and-automatism/</w:t>
        </w:r>
      </w:hyperlink>
      <w:r w:rsidRPr="00AA3E2C">
        <w:rPr>
          <w:rFonts w:ascii="Arial" w:hAnsi="Arial" w:cs="Arial"/>
          <w:sz w:val="24"/>
          <w:szCs w:val="24"/>
        </w:rPr>
        <w:t xml:space="preserve"> (Accessed on: 17</w:t>
      </w:r>
      <w:r w:rsidRPr="00AA3E2C">
        <w:rPr>
          <w:rFonts w:ascii="Arial" w:hAnsi="Arial" w:cs="Arial"/>
          <w:sz w:val="24"/>
          <w:szCs w:val="24"/>
          <w:vertAlign w:val="superscript"/>
        </w:rPr>
        <w:t xml:space="preserve"> </w:t>
      </w:r>
      <w:r w:rsidRPr="00AA3E2C">
        <w:rPr>
          <w:rFonts w:ascii="Arial" w:hAnsi="Arial" w:cs="Arial"/>
          <w:sz w:val="24"/>
          <w:szCs w:val="24"/>
        </w:rPr>
        <w:t>March 2021)</w:t>
      </w:r>
    </w:p>
    <w:p w14:paraId="148A3608" w14:textId="77777777" w:rsidR="00C86D70" w:rsidRPr="00AA3E2C" w:rsidRDefault="00C86D70" w:rsidP="00AA3E2C">
      <w:pPr>
        <w:pStyle w:val="ListParagraph"/>
        <w:numPr>
          <w:ilvl w:val="0"/>
          <w:numId w:val="3"/>
        </w:numPr>
        <w:spacing w:line="360" w:lineRule="auto"/>
        <w:rPr>
          <w:rFonts w:ascii="Arial" w:hAnsi="Arial" w:cs="Arial"/>
          <w:sz w:val="24"/>
          <w:szCs w:val="24"/>
        </w:rPr>
      </w:pPr>
      <w:r w:rsidRPr="00AA3E2C">
        <w:rPr>
          <w:rFonts w:ascii="Arial" w:hAnsi="Arial" w:cs="Arial"/>
          <w:sz w:val="24"/>
          <w:szCs w:val="24"/>
        </w:rPr>
        <w:t>Memon, R., (2006) ‘Legal theory and case law defining the insanity defence in English and Welsh law.’ The Journal of Forensic Psychiatry &amp; Psychology, 17(2), pp.230-252. Available at:</w:t>
      </w:r>
      <w:hyperlink r:id="rId12" w:history="1">
        <w:r w:rsidRPr="00AA3E2C">
          <w:rPr>
            <w:rStyle w:val="Hyperlink"/>
            <w:rFonts w:ascii="Arial" w:hAnsi="Arial" w:cs="Arial"/>
            <w:sz w:val="24"/>
            <w:szCs w:val="24"/>
          </w:rPr>
          <w:t>https://www.tandfonline.com/doi/pdf/10.1080/14789940600554609?casa_token=P2TZ9JFHkAEAAAAA:RjrBKjmnY-wIeUC81zYG-Rn14ns2MmwO_7GJ7BWTQ1vjDFNqnYZTGTeZS4SaYQEPQsScDgCJHta1Jg</w:t>
        </w:r>
      </w:hyperlink>
      <w:r w:rsidRPr="00AA3E2C">
        <w:rPr>
          <w:rFonts w:ascii="Arial" w:hAnsi="Arial" w:cs="Arial"/>
          <w:color w:val="1155CC"/>
          <w:sz w:val="24"/>
          <w:szCs w:val="24"/>
          <w:u w:val="single"/>
        </w:rPr>
        <w:t xml:space="preserve">  </w:t>
      </w:r>
      <w:r w:rsidRPr="00AA3E2C">
        <w:rPr>
          <w:rFonts w:ascii="Arial" w:hAnsi="Arial" w:cs="Arial"/>
          <w:sz w:val="24"/>
          <w:szCs w:val="24"/>
        </w:rPr>
        <w:t>(Accessed on: 1 April 2021)</w:t>
      </w:r>
    </w:p>
    <w:p w14:paraId="15478309" w14:textId="77777777" w:rsidR="00C86D70" w:rsidRPr="00AA3E2C" w:rsidRDefault="00C86D70" w:rsidP="00AA3E2C">
      <w:pPr>
        <w:spacing w:line="360" w:lineRule="auto"/>
        <w:rPr>
          <w:rFonts w:ascii="Arial" w:hAnsi="Arial" w:cs="Arial"/>
          <w:color w:val="1155CC"/>
          <w:sz w:val="24"/>
          <w:szCs w:val="24"/>
          <w:u w:val="single"/>
        </w:rPr>
      </w:pPr>
      <w:r w:rsidRPr="00AA3E2C">
        <w:rPr>
          <w:rFonts w:ascii="Arial" w:hAnsi="Arial" w:cs="Arial"/>
          <w:color w:val="4A86E8"/>
          <w:sz w:val="24"/>
          <w:szCs w:val="24"/>
        </w:rPr>
        <w:t xml:space="preserve"> </w:t>
      </w:r>
    </w:p>
    <w:p w14:paraId="737AB799" w14:textId="77777777" w:rsidR="00C86D70" w:rsidRPr="00AA3E2C" w:rsidRDefault="00C86D70" w:rsidP="00AA3E2C">
      <w:pPr>
        <w:pBdr>
          <w:top w:val="nil"/>
          <w:left w:val="nil"/>
          <w:bottom w:val="nil"/>
          <w:right w:val="nil"/>
          <w:between w:val="nil"/>
        </w:pBdr>
        <w:spacing w:line="360" w:lineRule="auto"/>
        <w:rPr>
          <w:rFonts w:ascii="Arial" w:hAnsi="Arial" w:cs="Arial"/>
          <w:sz w:val="24"/>
          <w:szCs w:val="24"/>
        </w:rPr>
      </w:pPr>
    </w:p>
    <w:p w14:paraId="45E265CA" w14:textId="77777777" w:rsidR="00C86D70" w:rsidRPr="00AA3E2C" w:rsidRDefault="00C86D70" w:rsidP="00AA3E2C">
      <w:pPr>
        <w:spacing w:line="360" w:lineRule="auto"/>
        <w:rPr>
          <w:rFonts w:ascii="Arial" w:hAnsi="Arial" w:cs="Arial"/>
          <w:sz w:val="24"/>
          <w:szCs w:val="24"/>
        </w:rPr>
      </w:pPr>
      <w:r w:rsidRPr="00AA3E2C">
        <w:rPr>
          <w:rFonts w:ascii="Arial" w:hAnsi="Arial" w:cs="Arial"/>
          <w:sz w:val="24"/>
          <w:szCs w:val="24"/>
        </w:rPr>
        <w:t>Bratty v Attorney – General for Northern Ireland (1993)</w:t>
      </w:r>
    </w:p>
    <w:p w14:paraId="1967BDF1" w14:textId="77777777" w:rsidR="00C86D70" w:rsidRPr="00AA3E2C" w:rsidRDefault="00C86D70" w:rsidP="00AA3E2C">
      <w:pPr>
        <w:spacing w:line="360" w:lineRule="auto"/>
        <w:rPr>
          <w:rFonts w:ascii="Arial" w:hAnsi="Arial" w:cs="Arial"/>
          <w:sz w:val="24"/>
          <w:szCs w:val="24"/>
        </w:rPr>
      </w:pPr>
      <w:r w:rsidRPr="00AA3E2C">
        <w:rPr>
          <w:rFonts w:ascii="Arial" w:hAnsi="Arial" w:cs="Arial"/>
          <w:sz w:val="24"/>
          <w:szCs w:val="24"/>
        </w:rPr>
        <w:t>Broome v Perkins (1987)</w:t>
      </w:r>
    </w:p>
    <w:p w14:paraId="3BEE8BEF" w14:textId="77777777" w:rsidR="00C86D70" w:rsidRPr="00AA3E2C" w:rsidRDefault="00C86D70" w:rsidP="00AA3E2C">
      <w:pPr>
        <w:spacing w:line="360" w:lineRule="auto"/>
        <w:rPr>
          <w:rFonts w:ascii="Arial" w:hAnsi="Arial" w:cs="Arial"/>
          <w:sz w:val="24"/>
          <w:szCs w:val="24"/>
        </w:rPr>
      </w:pPr>
      <w:r w:rsidRPr="00AA3E2C">
        <w:rPr>
          <w:rFonts w:ascii="Arial" w:hAnsi="Arial" w:cs="Arial"/>
          <w:sz w:val="24"/>
          <w:szCs w:val="24"/>
        </w:rPr>
        <w:t>M’Naghten Rules (1843)</w:t>
      </w:r>
    </w:p>
    <w:p w14:paraId="497B314E" w14:textId="77777777" w:rsidR="00C86D70" w:rsidRPr="00AA3E2C" w:rsidRDefault="00C86D70" w:rsidP="00AA3E2C">
      <w:pPr>
        <w:spacing w:line="360" w:lineRule="auto"/>
        <w:rPr>
          <w:rFonts w:ascii="Arial" w:hAnsi="Arial" w:cs="Arial"/>
          <w:sz w:val="24"/>
          <w:szCs w:val="24"/>
        </w:rPr>
      </w:pPr>
      <w:r w:rsidRPr="00AA3E2C">
        <w:rPr>
          <w:rFonts w:ascii="Arial" w:hAnsi="Arial" w:cs="Arial"/>
          <w:sz w:val="24"/>
          <w:szCs w:val="24"/>
        </w:rPr>
        <w:t>R v Charlson (1995)</w:t>
      </w:r>
    </w:p>
    <w:p w14:paraId="161F633E" w14:textId="77777777" w:rsidR="00C86D70" w:rsidRPr="00AA3E2C" w:rsidRDefault="00C86D70" w:rsidP="00AA3E2C">
      <w:pPr>
        <w:spacing w:line="360" w:lineRule="auto"/>
        <w:rPr>
          <w:rFonts w:ascii="Arial" w:hAnsi="Arial" w:cs="Arial"/>
          <w:sz w:val="24"/>
          <w:szCs w:val="24"/>
        </w:rPr>
      </w:pPr>
      <w:r w:rsidRPr="00AA3E2C">
        <w:rPr>
          <w:rFonts w:ascii="Arial" w:hAnsi="Arial" w:cs="Arial"/>
          <w:sz w:val="24"/>
          <w:szCs w:val="24"/>
        </w:rPr>
        <w:t>R v Johnson (2007)</w:t>
      </w:r>
    </w:p>
    <w:p w14:paraId="4D2EF633" w14:textId="77777777" w:rsidR="00C86D70" w:rsidRPr="00AA3E2C" w:rsidRDefault="00C86D70" w:rsidP="00AA3E2C">
      <w:pPr>
        <w:spacing w:line="360" w:lineRule="auto"/>
        <w:rPr>
          <w:rFonts w:ascii="Arial" w:hAnsi="Arial" w:cs="Arial"/>
          <w:sz w:val="24"/>
          <w:szCs w:val="24"/>
        </w:rPr>
      </w:pPr>
      <w:r w:rsidRPr="00AA3E2C">
        <w:rPr>
          <w:rFonts w:ascii="Arial" w:hAnsi="Arial" w:cs="Arial"/>
          <w:sz w:val="24"/>
          <w:szCs w:val="24"/>
        </w:rPr>
        <w:t>R v Sullivan (1984)</w:t>
      </w:r>
    </w:p>
    <w:p w14:paraId="57B2330A" w14:textId="77777777" w:rsidR="006951B4" w:rsidRDefault="006951B4" w:rsidP="00AA3E2C">
      <w:pPr>
        <w:spacing w:line="360" w:lineRule="auto"/>
        <w:rPr>
          <w:rFonts w:ascii="Arial" w:hAnsi="Arial" w:cs="Arial"/>
          <w:sz w:val="24"/>
          <w:szCs w:val="24"/>
        </w:rPr>
      </w:pPr>
    </w:p>
    <w:p w14:paraId="0980C399" w14:textId="77777777" w:rsidR="006951B4" w:rsidRDefault="006951B4" w:rsidP="00AA3E2C">
      <w:pPr>
        <w:spacing w:line="360" w:lineRule="auto"/>
        <w:rPr>
          <w:rFonts w:ascii="Arial" w:hAnsi="Arial" w:cs="Arial"/>
          <w:sz w:val="24"/>
          <w:szCs w:val="24"/>
        </w:rPr>
      </w:pPr>
    </w:p>
    <w:p w14:paraId="420DFF1B" w14:textId="77777777" w:rsidR="006951B4" w:rsidRDefault="006951B4" w:rsidP="00AA3E2C">
      <w:pPr>
        <w:spacing w:line="360" w:lineRule="auto"/>
        <w:rPr>
          <w:rFonts w:ascii="Arial" w:hAnsi="Arial" w:cs="Arial"/>
          <w:sz w:val="24"/>
          <w:szCs w:val="24"/>
        </w:rPr>
      </w:pPr>
    </w:p>
    <w:p w14:paraId="66F7096C" w14:textId="77777777" w:rsidR="006951B4" w:rsidRDefault="006951B4" w:rsidP="00AA3E2C">
      <w:pPr>
        <w:spacing w:line="360" w:lineRule="auto"/>
        <w:rPr>
          <w:rFonts w:ascii="Arial" w:hAnsi="Arial" w:cs="Arial"/>
          <w:sz w:val="24"/>
          <w:szCs w:val="24"/>
        </w:rPr>
      </w:pPr>
    </w:p>
    <w:p w14:paraId="35EBB0CC" w14:textId="77777777" w:rsidR="006951B4" w:rsidRDefault="006951B4" w:rsidP="00AA3E2C">
      <w:pPr>
        <w:spacing w:line="360" w:lineRule="auto"/>
        <w:rPr>
          <w:rFonts w:ascii="Arial" w:hAnsi="Arial" w:cs="Arial"/>
          <w:sz w:val="24"/>
          <w:szCs w:val="24"/>
        </w:rPr>
      </w:pPr>
    </w:p>
    <w:p w14:paraId="0EAB56B1" w14:textId="2E31573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lastRenderedPageBreak/>
        <w:t xml:space="preserve">During the time Ali and his friends started making comments towards Colin and Colin retaliated and started the fight Ali would not be charged with anything due to the fact that Colin started the fight where he could have walked away. Ali punched Lee the doorman, due to this fact Ali at first would be charged with assault by beating under Common Assault, s.39 of the Criminal Justice Act 1988. </w:t>
      </w:r>
    </w:p>
    <w:p w14:paraId="5E298650"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Assault is defined by threatening someone or attempting to engage into a situation where you mean to do them harm with physical violence or in some cases such as R v Ireland (1997) where the defendant made numerous phone calls to the victim where the defendant was silent, therefore causing the victim to be in fear which led to them suffering with psychological trauma from the calls. Battery is defined as the actual physical contact of them threats being made, it is the defendant intentionally or recklessly causes unlawful force onto the victim.</w:t>
      </w:r>
    </w:p>
    <w:p w14:paraId="7A1285DF"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 xml:space="preserve">Looking at the actus reus of his actions Ali physically punched the doorman which led to Lee being knocked out unconscious, the mens rea of this is the fact that Ali mentally knew what he was doing at that moment he had full control of his actions, and intentionally and recklessly punched Lee. The case law of DPP v Little (1992) shows how assault and battery are two separate offences, in this instance Ali committed both offences at this time, Ali swung at Lee to punch him, which is assault, he made contact and knocked out Lee meaning he committed battery. </w:t>
      </w:r>
    </w:p>
    <w:p w14:paraId="33A6C1E9"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 xml:space="preserve">Once Lee had been to the hospital for his injuries, he died meaning that Ali would now be guilty of  involuntary manslaughter, under the Corporate Manslaughter and Corporate Homicide Act 2007. Ali has committed the unlawful act manslaughter (UAM) which is also known as the ‘unlawful and dangerous act manslaughter. Involuntary manslaughter is where the defendant has no intent of killing the victim or causing grievous bodily harm (GBH)  from their actions, but the victim dies due to the consequences of what they have done. Unlawful Act Manslaughter is where the defendant’s action is proved to be voluntary and intentional, but they did not intend for the victims’ injuries to be fatal. Looking at the actus reus of unlawful manslaughter and Ali’s actions, the conduct element is where Ali punched Lee which caused the results. The circumstance element is that Ali was guilty of battery as soon as he punched Lee does not know what the results of his actions would be, but he may of knew what risks of punching someone could be and what harm he could </w:t>
      </w:r>
      <w:r w:rsidRPr="00AA3E2C">
        <w:rPr>
          <w:rFonts w:ascii="Arial" w:hAnsi="Arial" w:cs="Arial"/>
          <w:sz w:val="24"/>
          <w:szCs w:val="24"/>
        </w:rPr>
        <w:lastRenderedPageBreak/>
        <w:t xml:space="preserve">bring to his victim. Finally, the result element is the death of the victim from the base element that Ali committed. The mens rea of Ali’s actions, was that it was his own choice to punch Lee meaning his actions were voluntary. </w:t>
      </w:r>
    </w:p>
    <w:p w14:paraId="1F69D1E7"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 xml:space="preserve">During the case of R v Larkin (1943) the defendant waved a razor about which had the intention of scaring his mistress’s lover, his mistress was drink therefore falling against the razor which ended to be fatal, the defendant was guilty of manslaughter. In Ali’s situation it is very similar due to the fact that Ali had no intention of killing Lee but unlike the case Lee also acted with intention when he punched Lee whereas in the case there was only a threat which ended to be fatal. Furthermore, during DPP v Newbury and Jones (1976) two teenage defendants pushed a stone slab from a bridge onto a train coming into their direction which killed the guard, during this case it was said that  even though the defendant did not for see any harm their acts were dangerous and unlawful which still caused the train drivers death. Therefore, meaning that they knew what they were doing but they did not know what the outcome would be.  </w:t>
      </w:r>
    </w:p>
    <w:p w14:paraId="39A63E9F"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 xml:space="preserve">Once Ali stabbed Colin and Coilin died, Ali would also be guilty of murder, murder is the intentional killing of a person. Looking at the actus reus of murder the first element to take into consideration is the actual unlawful killing by an act or omission, the second element is that the victim is required to be a human being, the last is that the killing must be in the Queen’s peace which means killing is only permitted during the time of war and any other time is illegal. The mens rea of murder is the malice aforethought which is the intention to kill or to cause grievous bodily harm (GBH). Ali’s actions fall under all of these elements due to the fact that he intentionally caused grievous bodily harm by stabbing Colin which eventually dying from his actions. Looking at R v Woollin (1999) during this case there is a debate over proving the mens rea of the defendants’ actions which their act causes GBH, but it ends up being fatal, there is a debate on how they prove that the defendant’s intention was to murder and not just cause GBH. During the case of R v Nedrick (1986) the defendant drove to the victim’s house pouring petrol though the letter box and lighting it causing a fire within the house, as a result a child died, and the defendant was charged with murder. During the case in court, it was questioned that has the jury taken into account that death or serious injury would occur from the </w:t>
      </w:r>
      <w:r w:rsidRPr="00AA3E2C">
        <w:rPr>
          <w:rFonts w:ascii="Arial" w:hAnsi="Arial" w:cs="Arial"/>
          <w:sz w:val="24"/>
          <w:szCs w:val="24"/>
        </w:rPr>
        <w:lastRenderedPageBreak/>
        <w:t xml:space="preserve">defendants’ actions and was the defendant aware that death was a big factor in the outcome of his actions. </w:t>
      </w:r>
    </w:p>
    <w:p w14:paraId="39BD19FA"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 xml:space="preserve">Looking at Ali’s it can be proved that his actions by stabbing Colin was sufficient enough to cause GBH, serious injury would always occur from his actions, and from stabbing someone he would be aware of the consequences that could amount to death being a big factor in this situation. Ali would be found guilty of all of these offences for his actions. </w:t>
      </w:r>
    </w:p>
    <w:p w14:paraId="269A58D9" w14:textId="77777777" w:rsidR="00575593" w:rsidRPr="00AA3E2C" w:rsidRDefault="00575593" w:rsidP="00AA3E2C">
      <w:pPr>
        <w:spacing w:line="360" w:lineRule="auto"/>
        <w:rPr>
          <w:rFonts w:ascii="Arial" w:hAnsi="Arial" w:cs="Arial"/>
          <w:sz w:val="24"/>
          <w:szCs w:val="24"/>
        </w:rPr>
      </w:pPr>
    </w:p>
    <w:p w14:paraId="0A4F4C2F"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DPP v Little (1992)</w:t>
      </w:r>
    </w:p>
    <w:p w14:paraId="1F2A6844"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 xml:space="preserve">DPP v Newbury and Jones (1976) </w:t>
      </w:r>
    </w:p>
    <w:p w14:paraId="38EEAD3B"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R v Ireland (1997)</w:t>
      </w:r>
    </w:p>
    <w:p w14:paraId="37787093"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R v Larkin (1943)</w:t>
      </w:r>
    </w:p>
    <w:p w14:paraId="22837D76"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R v Nedrick (1986)</w:t>
      </w:r>
    </w:p>
    <w:p w14:paraId="2970EB57" w14:textId="77777777" w:rsidR="00575593" w:rsidRPr="00AA3E2C" w:rsidRDefault="00575593" w:rsidP="00AA3E2C">
      <w:pPr>
        <w:spacing w:line="360" w:lineRule="auto"/>
        <w:rPr>
          <w:rFonts w:ascii="Arial" w:hAnsi="Arial" w:cs="Arial"/>
          <w:sz w:val="24"/>
          <w:szCs w:val="24"/>
        </w:rPr>
      </w:pPr>
      <w:r w:rsidRPr="00AA3E2C">
        <w:rPr>
          <w:rFonts w:ascii="Arial" w:hAnsi="Arial" w:cs="Arial"/>
          <w:sz w:val="24"/>
          <w:szCs w:val="24"/>
        </w:rPr>
        <w:t>R v Woollin (1999)</w:t>
      </w:r>
    </w:p>
    <w:p w14:paraId="1D62B67E" w14:textId="77777777" w:rsidR="00C86D70" w:rsidRPr="00AA3E2C" w:rsidRDefault="00C86D70" w:rsidP="00AA3E2C">
      <w:pPr>
        <w:spacing w:line="360" w:lineRule="auto"/>
        <w:rPr>
          <w:rFonts w:ascii="Arial" w:hAnsi="Arial" w:cs="Arial"/>
          <w:sz w:val="24"/>
          <w:szCs w:val="24"/>
        </w:rPr>
      </w:pPr>
    </w:p>
    <w:p w14:paraId="25A6896A" w14:textId="77777777" w:rsidR="00A66C5A" w:rsidRPr="00AA3E2C" w:rsidRDefault="00A66C5A" w:rsidP="00AA3E2C">
      <w:pPr>
        <w:spacing w:line="360" w:lineRule="auto"/>
        <w:rPr>
          <w:rFonts w:ascii="Arial" w:hAnsi="Arial" w:cs="Arial"/>
          <w:sz w:val="24"/>
          <w:szCs w:val="24"/>
        </w:rPr>
      </w:pPr>
    </w:p>
    <w:p w14:paraId="1CBA927D" w14:textId="77777777" w:rsidR="00C20E65" w:rsidRPr="00AA3E2C" w:rsidRDefault="00C20E65" w:rsidP="00AA3E2C">
      <w:pPr>
        <w:spacing w:line="360" w:lineRule="auto"/>
        <w:rPr>
          <w:rFonts w:ascii="Arial" w:hAnsi="Arial" w:cs="Arial"/>
          <w:sz w:val="24"/>
          <w:szCs w:val="24"/>
        </w:rPr>
      </w:pPr>
    </w:p>
    <w:p w14:paraId="2986A3CA" w14:textId="77777777" w:rsidR="00B52E8D" w:rsidRPr="00AA3E2C" w:rsidRDefault="00B52E8D" w:rsidP="00AA3E2C">
      <w:pPr>
        <w:spacing w:line="360" w:lineRule="auto"/>
        <w:rPr>
          <w:rFonts w:ascii="Arial" w:hAnsi="Arial" w:cs="Arial"/>
          <w:sz w:val="24"/>
          <w:szCs w:val="24"/>
        </w:rPr>
      </w:pPr>
    </w:p>
    <w:p w14:paraId="68FD7FF5" w14:textId="77777777" w:rsidR="00CD798A" w:rsidRPr="00AA3E2C" w:rsidRDefault="00CD798A" w:rsidP="00AA3E2C">
      <w:pPr>
        <w:spacing w:line="360" w:lineRule="auto"/>
        <w:rPr>
          <w:rFonts w:ascii="Arial" w:hAnsi="Arial" w:cs="Arial"/>
          <w:sz w:val="24"/>
          <w:szCs w:val="24"/>
        </w:rPr>
      </w:pPr>
    </w:p>
    <w:sectPr w:rsidR="00CD798A" w:rsidRPr="00AA3E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B7B4B"/>
    <w:multiLevelType w:val="multilevel"/>
    <w:tmpl w:val="6BCCE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1A7E30"/>
    <w:multiLevelType w:val="multilevel"/>
    <w:tmpl w:val="7DB0303C"/>
    <w:lvl w:ilvl="0">
      <w:start w:val="1"/>
      <w:numFmt w:val="bullet"/>
      <w:lvlText w:val="-"/>
      <w:lvlJc w:val="left"/>
      <w:pPr>
        <w:ind w:left="1080" w:hanging="360"/>
      </w:pPr>
      <w:rPr>
        <w:rFonts w:ascii="Times New Roman" w:eastAsia="Times New Roman" w:hAnsi="Times New Roman" w:cs="Times New Roman"/>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2" w15:restartNumberingAfterBreak="0">
    <w:nsid w:val="6CE146DA"/>
    <w:multiLevelType w:val="hybridMultilevel"/>
    <w:tmpl w:val="7C88F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6B"/>
    <w:rsid w:val="00036814"/>
    <w:rsid w:val="00057349"/>
    <w:rsid w:val="00062DE0"/>
    <w:rsid w:val="00092D0B"/>
    <w:rsid w:val="000D7D86"/>
    <w:rsid w:val="000F3076"/>
    <w:rsid w:val="00132F16"/>
    <w:rsid w:val="00167796"/>
    <w:rsid w:val="001A64A6"/>
    <w:rsid w:val="001B3072"/>
    <w:rsid w:val="002255CE"/>
    <w:rsid w:val="002B10FB"/>
    <w:rsid w:val="002D5EEE"/>
    <w:rsid w:val="002E07F2"/>
    <w:rsid w:val="00300174"/>
    <w:rsid w:val="00331B34"/>
    <w:rsid w:val="00354BDF"/>
    <w:rsid w:val="00355AAF"/>
    <w:rsid w:val="003931DB"/>
    <w:rsid w:val="003A589B"/>
    <w:rsid w:val="003C5483"/>
    <w:rsid w:val="003E18C3"/>
    <w:rsid w:val="003F1E76"/>
    <w:rsid w:val="004139A6"/>
    <w:rsid w:val="004516AB"/>
    <w:rsid w:val="004A00C7"/>
    <w:rsid w:val="004B1A7D"/>
    <w:rsid w:val="004F09BC"/>
    <w:rsid w:val="00504F63"/>
    <w:rsid w:val="005509CC"/>
    <w:rsid w:val="005604EA"/>
    <w:rsid w:val="00575593"/>
    <w:rsid w:val="00585358"/>
    <w:rsid w:val="005B01A2"/>
    <w:rsid w:val="00613260"/>
    <w:rsid w:val="006951B4"/>
    <w:rsid w:val="006C2A28"/>
    <w:rsid w:val="00725B8A"/>
    <w:rsid w:val="00752C69"/>
    <w:rsid w:val="00764B6B"/>
    <w:rsid w:val="00794EB3"/>
    <w:rsid w:val="007E36E6"/>
    <w:rsid w:val="00860DA7"/>
    <w:rsid w:val="00897B13"/>
    <w:rsid w:val="008B10B7"/>
    <w:rsid w:val="008D250C"/>
    <w:rsid w:val="008E2775"/>
    <w:rsid w:val="008E7098"/>
    <w:rsid w:val="00902E59"/>
    <w:rsid w:val="00903B86"/>
    <w:rsid w:val="009712A9"/>
    <w:rsid w:val="009A23B3"/>
    <w:rsid w:val="009B4A4A"/>
    <w:rsid w:val="009D3128"/>
    <w:rsid w:val="009F2EB8"/>
    <w:rsid w:val="00A20F2E"/>
    <w:rsid w:val="00A66C5A"/>
    <w:rsid w:val="00A73B23"/>
    <w:rsid w:val="00A908C1"/>
    <w:rsid w:val="00AA3E2C"/>
    <w:rsid w:val="00AF577C"/>
    <w:rsid w:val="00B52E8D"/>
    <w:rsid w:val="00B81413"/>
    <w:rsid w:val="00BD6130"/>
    <w:rsid w:val="00C20E65"/>
    <w:rsid w:val="00C86D70"/>
    <w:rsid w:val="00CA28F4"/>
    <w:rsid w:val="00CB1AA6"/>
    <w:rsid w:val="00CD798A"/>
    <w:rsid w:val="00D30450"/>
    <w:rsid w:val="00DA28D1"/>
    <w:rsid w:val="00DE1922"/>
    <w:rsid w:val="00DE2C2F"/>
    <w:rsid w:val="00E1172F"/>
    <w:rsid w:val="00E8161B"/>
    <w:rsid w:val="00EB2D20"/>
    <w:rsid w:val="00EE1231"/>
    <w:rsid w:val="00F50348"/>
    <w:rsid w:val="00F94C76"/>
    <w:rsid w:val="00FC50AF"/>
    <w:rsid w:val="00FD2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46AE6"/>
  <w15:chartTrackingRefBased/>
  <w15:docId w15:val="{5999834B-75D3-4E07-9456-48BD06748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55CE"/>
    <w:rPr>
      <w:color w:val="0000FF"/>
      <w:u w:val="single"/>
    </w:rPr>
  </w:style>
  <w:style w:type="paragraph" w:styleId="NormalWeb">
    <w:name w:val="Normal (Web)"/>
    <w:basedOn w:val="Normal"/>
    <w:uiPriority w:val="99"/>
    <w:semiHidden/>
    <w:unhideWhenUsed/>
    <w:rsid w:val="009D31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D3128"/>
    <w:rPr>
      <w:b/>
      <w:bCs/>
    </w:rPr>
  </w:style>
  <w:style w:type="character" w:styleId="UnresolvedMention">
    <w:name w:val="Unresolved Mention"/>
    <w:basedOn w:val="DefaultParagraphFont"/>
    <w:uiPriority w:val="99"/>
    <w:semiHidden/>
    <w:unhideWhenUsed/>
    <w:rsid w:val="007E36E6"/>
    <w:rPr>
      <w:color w:val="605E5C"/>
      <w:shd w:val="clear" w:color="auto" w:fill="E1DFDD"/>
    </w:rPr>
  </w:style>
  <w:style w:type="paragraph" w:styleId="ListParagraph">
    <w:name w:val="List Paragraph"/>
    <w:basedOn w:val="Normal"/>
    <w:uiPriority w:val="34"/>
    <w:qFormat/>
    <w:rsid w:val="00C86D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576237">
      <w:bodyDiv w:val="1"/>
      <w:marLeft w:val="0"/>
      <w:marRight w:val="0"/>
      <w:marTop w:val="0"/>
      <w:marBottom w:val="0"/>
      <w:divBdr>
        <w:top w:val="none" w:sz="0" w:space="0" w:color="auto"/>
        <w:left w:val="none" w:sz="0" w:space="0" w:color="auto"/>
        <w:bottom w:val="none" w:sz="0" w:space="0" w:color="auto"/>
        <w:right w:val="none" w:sz="0" w:space="0" w:color="auto"/>
      </w:divBdr>
    </w:div>
    <w:div w:id="47861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28782/0030.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lawcom.gov.uk/app/uploads/2015/03/cp177_Murder_Manslaughter_and_Infanticide_consultation_overview_.pdf" TargetMode="External"/><Relationship Id="rId12" Type="http://schemas.openxmlformats.org/officeDocument/2006/relationships/hyperlink" Target="https://www.tandfonline.com/doi/pdf/10.1080/14789940600554609?casa_token=P2TZ9JFHkAEAAAAA:RjrBKjmnY-wIeUC81zYG-Rn14ns2MmwO_7GJ7BWTQ1vjDFNqnYZTGTeZS4SaYQEPQsScDgCJHta1J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77/002201830306700105" TargetMode="External"/><Relationship Id="rId11" Type="http://schemas.openxmlformats.org/officeDocument/2006/relationships/hyperlink" Target="https://www.lawcom.gov.uk/project/insanity-and-automatism/" TargetMode="External"/><Relationship Id="rId5" Type="http://schemas.openxmlformats.org/officeDocument/2006/relationships/webSettings" Target="webSettings.xml"/><Relationship Id="rId10" Type="http://schemas.openxmlformats.org/officeDocument/2006/relationships/hyperlink" Target="https://s3-eu-west-2.amazonaws.com/lawcom-prod-storage-11jsxou24uy7q/uploads/2015/06/insanity_discussion_EasyRead_web.pdf" TargetMode="External"/><Relationship Id="rId4" Type="http://schemas.openxmlformats.org/officeDocument/2006/relationships/settings" Target="settings.xml"/><Relationship Id="rId9" Type="http://schemas.openxmlformats.org/officeDocument/2006/relationships/hyperlink" Target="https://s3-eu-west-2.amazonaws.com/lawcom-prod-storage-11jsxou24uy7q/uploads/2015/06/insanity_discussio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C5794-B064-4132-95A7-9B3EEAFCD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2133</Words>
  <Characters>12159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George Osullivan</dc:creator>
  <cp:keywords/>
  <dc:description/>
  <cp:lastModifiedBy>Shaun George Osullivan</cp:lastModifiedBy>
  <cp:revision>5</cp:revision>
  <dcterms:created xsi:type="dcterms:W3CDTF">2021-05-04T20:34:00Z</dcterms:created>
  <dcterms:modified xsi:type="dcterms:W3CDTF">2021-05-07T08:55:00Z</dcterms:modified>
</cp:coreProperties>
</file>