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02C1F0" w14:textId="77777777" w:rsidR="00B04260" w:rsidRDefault="00B04260" w:rsidP="00D862FD"/>
    <w:p w14:paraId="3376CAEC" w14:textId="0A9789D4" w:rsidR="00B04260" w:rsidRDefault="000D2D1C" w:rsidP="00B04260">
      <w:pPr>
        <w:jc w:val="center"/>
        <w:rPr>
          <w:b/>
          <w:bCs/>
        </w:rPr>
      </w:pPr>
      <w:r w:rsidRPr="000D2D1C">
        <w:rPr>
          <w:b/>
          <w:bCs/>
        </w:rPr>
        <w:t>Critical appraisal</w:t>
      </w:r>
      <w:r>
        <w:rPr>
          <w:b/>
          <w:bCs/>
        </w:rPr>
        <w:t xml:space="preserve"> on</w:t>
      </w:r>
    </w:p>
    <w:p w14:paraId="728F3984" w14:textId="234C0052" w:rsidR="000D2D1C" w:rsidRPr="000D2D1C" w:rsidRDefault="000D2D1C" w:rsidP="000D2D1C">
      <w:pPr>
        <w:jc w:val="center"/>
        <w:rPr>
          <w:b/>
          <w:bCs/>
        </w:rPr>
      </w:pPr>
      <w:r w:rsidRPr="000D2D1C">
        <w:rPr>
          <w:b/>
          <w:bCs/>
        </w:rPr>
        <w:t xml:space="preserve">Sex-Specific Thresholds of High-Sensitivity Troponin in Patients </w:t>
      </w:r>
      <w:proofErr w:type="gramStart"/>
      <w:r w:rsidRPr="000D2D1C">
        <w:rPr>
          <w:b/>
          <w:bCs/>
        </w:rPr>
        <w:t>With</w:t>
      </w:r>
      <w:proofErr w:type="gramEnd"/>
      <w:r w:rsidRPr="000D2D1C">
        <w:rPr>
          <w:b/>
          <w:bCs/>
        </w:rPr>
        <w:t xml:space="preserve"> Suspected Acute Coronary Syndrome</w:t>
      </w:r>
    </w:p>
    <w:p w14:paraId="35B51CA9" w14:textId="00195531" w:rsidR="000D2D1C" w:rsidRDefault="000D2D1C" w:rsidP="000D2D1C">
      <w:pPr>
        <w:jc w:val="center"/>
      </w:pPr>
    </w:p>
    <w:p w14:paraId="66E5EB73" w14:textId="6B9382DA" w:rsidR="000D2D1C" w:rsidRPr="00B37F16" w:rsidRDefault="009E42CC" w:rsidP="000D2D1C">
      <w:pPr>
        <w:jc w:val="both"/>
        <w:rPr>
          <w:b/>
          <w:bCs/>
        </w:rPr>
      </w:pPr>
      <w:r w:rsidRPr="00B37F16">
        <w:rPr>
          <w:b/>
          <w:bCs/>
        </w:rPr>
        <w:t>Introduction</w:t>
      </w:r>
    </w:p>
    <w:p w14:paraId="4EBDFC76" w14:textId="3D0FDE0D" w:rsidR="000D2D1C" w:rsidRDefault="000D2D1C" w:rsidP="000D2D1C">
      <w:pPr>
        <w:jc w:val="both"/>
      </w:pPr>
      <w:r>
        <w:t xml:space="preserve">This appraisal will discuss major disparities between women and men within the diagnosis, management, and outcomes of acute coronary syndrome and how they are recognized.  There are very key disparities exist in the diagnosis, management, and outcomes of acute coronary syndrome between women and men (1–3). Women </w:t>
      </w:r>
      <w:r w:rsidR="007F0974">
        <w:t xml:space="preserve">who are suspected to have </w:t>
      </w:r>
      <w:r>
        <w:t xml:space="preserve">acute coronary syndrome </w:t>
      </w:r>
      <w:r w:rsidR="007F0974">
        <w:t>may not experience</w:t>
      </w:r>
      <w:r>
        <w:t xml:space="preserve"> evidence-based investigations and treatment</w:t>
      </w:r>
      <w:r w:rsidR="007F0974">
        <w:t>. O</w:t>
      </w:r>
      <w:r>
        <w:t xml:space="preserve">utcomes following myocardial infarction are </w:t>
      </w:r>
      <w:r w:rsidR="007F0974">
        <w:t>regularly</w:t>
      </w:r>
      <w:r>
        <w:t xml:space="preserve"> </w:t>
      </w:r>
      <w:r w:rsidR="007F0974">
        <w:t>weaker</w:t>
      </w:r>
      <w:r>
        <w:t xml:space="preserve"> </w:t>
      </w:r>
      <w:r w:rsidR="007F0974">
        <w:t>than</w:t>
      </w:r>
      <w:r>
        <w:t xml:space="preserve"> with men.</w:t>
      </w:r>
    </w:p>
    <w:p w14:paraId="7E439016" w14:textId="609D029F" w:rsidR="000D2D1C" w:rsidRDefault="000D2D1C" w:rsidP="000D2D1C">
      <w:pPr>
        <w:jc w:val="both"/>
      </w:pPr>
      <w:r>
        <w:t xml:space="preserve">The </w:t>
      </w:r>
      <w:r w:rsidR="007F0974">
        <w:t>advancement</w:t>
      </w:r>
      <w:r>
        <w:t xml:space="preserve"> of high-sensitivity cardiac troponin assays </w:t>
      </w:r>
      <w:r w:rsidR="007F0974">
        <w:t>documented</w:t>
      </w:r>
      <w:r>
        <w:t xml:space="preserve"> sex differences in the reference range of cardiac troponin, with the 99th centile in men being twice that in women (4–6). </w:t>
      </w:r>
      <w:r w:rsidR="00B37F16">
        <w:t>It was</w:t>
      </w:r>
      <w:r>
        <w:t xml:space="preserve"> demonstrated that the use of a high-sensitivity assay with sex-specific thresholds </w:t>
      </w:r>
      <w:r w:rsidR="00B37F16">
        <w:t>is possible to</w:t>
      </w:r>
      <w:r>
        <w:t xml:space="preserve"> double the diagnosis of myocardial infarction in women and identify women at risk for future cardiac events (7). Th</w:t>
      </w:r>
      <w:r w:rsidR="00B37F16">
        <w:t>e</w:t>
      </w:r>
      <w:r>
        <w:t xml:space="preserve"> question</w:t>
      </w:r>
      <w:r w:rsidR="00B37F16">
        <w:t xml:space="preserve"> </w:t>
      </w:r>
      <w:proofErr w:type="gramStart"/>
      <w:r w:rsidR="00B37F16">
        <w:t>is,</w:t>
      </w:r>
      <w:proofErr w:type="gramEnd"/>
      <w:r>
        <w:t xml:space="preserve"> whether the use of single diagnostic thresholds contributed to inequalities in the diagnosis, management, and outcomes of women with acute coronary syndrome.</w:t>
      </w:r>
    </w:p>
    <w:p w14:paraId="0487DFBA" w14:textId="150FDE5B" w:rsidR="000D2D1C" w:rsidRDefault="000D2D1C" w:rsidP="000D2D1C">
      <w:pPr>
        <w:jc w:val="both"/>
      </w:pPr>
    </w:p>
    <w:p w14:paraId="1CD217F6" w14:textId="705BBA27" w:rsidR="009E42CC" w:rsidRPr="00B37F16" w:rsidRDefault="009E42CC" w:rsidP="000D2D1C">
      <w:pPr>
        <w:jc w:val="both"/>
        <w:rPr>
          <w:b/>
          <w:bCs/>
        </w:rPr>
      </w:pPr>
      <w:r w:rsidRPr="00B37F16">
        <w:rPr>
          <w:b/>
          <w:bCs/>
        </w:rPr>
        <w:t>Method</w:t>
      </w:r>
    </w:p>
    <w:p w14:paraId="3F538BFF" w14:textId="56E96A93" w:rsidR="000D2D1C" w:rsidRDefault="00A24F19" w:rsidP="00A24F19">
      <w:pPr>
        <w:jc w:val="both"/>
      </w:pPr>
      <w:r>
        <w:t xml:space="preserve">The critical evaluation will </w:t>
      </w:r>
      <w:proofErr w:type="gramStart"/>
      <w:r>
        <w:t>based</w:t>
      </w:r>
      <w:proofErr w:type="gramEnd"/>
      <w:r>
        <w:t xml:space="preserve"> on (Lee et al, 2019</w:t>
      </w:r>
      <w:r w:rsidR="00B37F16">
        <w:t>) publication</w:t>
      </w:r>
      <w:r>
        <w:t xml:space="preserve"> study. The </w:t>
      </w:r>
      <w:r w:rsidR="00B37F16">
        <w:t>study methods</w:t>
      </w:r>
      <w:r>
        <w:t xml:space="preserve"> used the High-STEACS (High-Sensitivity Troponin in the Evaluation of Patients </w:t>
      </w:r>
      <w:proofErr w:type="gramStart"/>
      <w:r>
        <w:t>With</w:t>
      </w:r>
      <w:proofErr w:type="gramEnd"/>
      <w:r>
        <w:t xml:space="preserve"> Suspected Acute Coronary Syndrome) </w:t>
      </w:r>
      <w:proofErr w:type="spellStart"/>
      <w:r>
        <w:t>steppedwedge</w:t>
      </w:r>
      <w:proofErr w:type="spellEnd"/>
      <w:r>
        <w:t xml:space="preserve">, cluster-randomized controlled trial </w:t>
      </w:r>
      <w:r w:rsidR="00B37F16">
        <w:t>which</w:t>
      </w:r>
      <w:r>
        <w:t xml:space="preserve"> evaluated the implementation of an </w:t>
      </w:r>
      <w:proofErr w:type="spellStart"/>
      <w:r>
        <w:t>hscTnI</w:t>
      </w:r>
      <w:proofErr w:type="spellEnd"/>
      <w:r>
        <w:t xml:space="preserve"> assay in </w:t>
      </w:r>
      <w:r w:rsidRPr="00B37F16">
        <w:rPr>
          <w:highlight w:val="yellow"/>
        </w:rPr>
        <w:t>consecutive</w:t>
      </w:r>
      <w:r>
        <w:t xml:space="preserve"> patients presenting with suspected acute coronary syndrome across 10 secondary and tertiary hospitals in Scotland. </w:t>
      </w:r>
    </w:p>
    <w:p w14:paraId="074F3FA3" w14:textId="2949B0B1" w:rsidR="00A24F19" w:rsidRDefault="00B37F16" w:rsidP="00A24F19">
      <w:pPr>
        <w:jc w:val="both"/>
      </w:pPr>
      <w:r>
        <w:t>The</w:t>
      </w:r>
      <w:r w:rsidR="00A24F19">
        <w:t xml:space="preserve"> patients were screened </w:t>
      </w:r>
      <w:r>
        <w:t>who attended</w:t>
      </w:r>
      <w:r w:rsidR="00A24F19">
        <w:t xml:space="preserve"> clinician for suspected acute coronary syndrome</w:t>
      </w:r>
      <w:r w:rsidR="00366303">
        <w:t>. This was done by</w:t>
      </w:r>
      <w:r w:rsidR="00A24F19">
        <w:t xml:space="preserve"> using </w:t>
      </w:r>
      <w:r w:rsidR="00366303">
        <w:t>automated</w:t>
      </w:r>
      <w:r w:rsidR="00A24F19">
        <w:t xml:space="preserve"> form embedded within the clinical care pathway. </w:t>
      </w:r>
      <w:r w:rsidR="00A24F19" w:rsidRPr="00366303">
        <w:rPr>
          <w:highlight w:val="yellow"/>
        </w:rPr>
        <w:t>Patients who presented with suspected acute coronary syndrome and had paired troponin measurements using the contemporary and trial assay were eligible for inclusion.</w:t>
      </w:r>
      <w:r w:rsidR="00A24F19">
        <w:t xml:space="preserve"> Patients who were not </w:t>
      </w:r>
      <w:r w:rsidR="00366303">
        <w:t>from</w:t>
      </w:r>
      <w:r w:rsidR="00A24F19">
        <w:t xml:space="preserve"> Scotland or who </w:t>
      </w:r>
      <w:r w:rsidR="00366303">
        <w:t>were</w:t>
      </w:r>
      <w:r w:rsidR="00A24F19">
        <w:t xml:space="preserve"> admitted </w:t>
      </w:r>
      <w:r w:rsidR="00366303">
        <w:t xml:space="preserve">before </w:t>
      </w:r>
      <w:r w:rsidR="00A24F19">
        <w:t xml:space="preserve">during the trial period were </w:t>
      </w:r>
      <w:r w:rsidR="00366303">
        <w:t>eliminated</w:t>
      </w:r>
      <w:r w:rsidR="00A24F19">
        <w:t xml:space="preserve">. </w:t>
      </w:r>
      <w:r w:rsidR="00366303">
        <w:t>This is so as the</w:t>
      </w:r>
      <w:r w:rsidR="00A24F19">
        <w:t xml:space="preserve"> intervention was implemented at the hospital level, individual patient consent was not sought</w:t>
      </w:r>
      <w:r w:rsidR="00366303">
        <w:t xml:space="preserve"> </w:t>
      </w:r>
      <w:proofErr w:type="gramStart"/>
      <w:r w:rsidR="00366303">
        <w:t>in order to</w:t>
      </w:r>
      <w:proofErr w:type="gramEnd"/>
      <w:r w:rsidR="00366303">
        <w:t xml:space="preserve"> prevent bias selection</w:t>
      </w:r>
      <w:r w:rsidR="00A24F19">
        <w:t xml:space="preserve">. </w:t>
      </w:r>
    </w:p>
    <w:p w14:paraId="50793703" w14:textId="0D824376" w:rsidR="00A24F19" w:rsidRDefault="00A24F19" w:rsidP="00A24F19">
      <w:pPr>
        <w:jc w:val="both"/>
      </w:pPr>
      <w:r>
        <w:t xml:space="preserve">Cardiac troponin testing </w:t>
      </w:r>
      <w:r w:rsidR="00366303">
        <w:t>had been</w:t>
      </w:r>
      <w:r>
        <w:t xml:space="preserve"> repeated 6 or 12 h after the onset of symptoms </w:t>
      </w:r>
      <w:r w:rsidR="00366303">
        <w:t xml:space="preserve">based on decision </w:t>
      </w:r>
      <w:r>
        <w:t xml:space="preserve">of the attending clinician in accordance with national and international guidelines during enrolment (9,10). </w:t>
      </w:r>
      <w:r w:rsidR="00366303">
        <w:t>T</w:t>
      </w:r>
      <w:r>
        <w:t xml:space="preserve">he </w:t>
      </w:r>
      <w:r w:rsidR="00366303">
        <w:t>period</w:t>
      </w:r>
      <w:r>
        <w:t xml:space="preserve"> of the trial, all sites measured cardiac troponin using both the </w:t>
      </w:r>
      <w:proofErr w:type="spellStart"/>
      <w:r>
        <w:t>cTnI</w:t>
      </w:r>
      <w:proofErr w:type="spellEnd"/>
      <w:r>
        <w:t xml:space="preserve"> and </w:t>
      </w:r>
      <w:proofErr w:type="spellStart"/>
      <w:r>
        <w:t>hs-cTnI</w:t>
      </w:r>
      <w:proofErr w:type="spellEnd"/>
      <w:r>
        <w:t xml:space="preserve"> assays </w:t>
      </w:r>
      <w:proofErr w:type="spellStart"/>
      <w:r w:rsidR="00366303">
        <w:t>concurently</w:t>
      </w:r>
      <w:proofErr w:type="spellEnd"/>
      <w:r>
        <w:t xml:space="preserve">. </w:t>
      </w:r>
      <w:r w:rsidR="00452534">
        <w:t>T</w:t>
      </w:r>
      <w:r>
        <w:t>he validation phase</w:t>
      </w:r>
      <w:r w:rsidR="00452534">
        <w:t xml:space="preserve"> uses</w:t>
      </w:r>
      <w:r>
        <w:t xml:space="preserve"> the results of the </w:t>
      </w:r>
      <w:proofErr w:type="spellStart"/>
      <w:r>
        <w:t>cTnI</w:t>
      </w:r>
      <w:proofErr w:type="spellEnd"/>
      <w:r>
        <w:t xml:space="preserve"> assay to the attending clinician, </w:t>
      </w:r>
      <w:r w:rsidR="00452534">
        <w:t>whereas</w:t>
      </w:r>
      <w:r>
        <w:t xml:space="preserve"> during the </w:t>
      </w:r>
      <w:r w:rsidR="00452534">
        <w:t>execution</w:t>
      </w:r>
      <w:r>
        <w:t xml:space="preserve"> phase, only the results of the </w:t>
      </w:r>
      <w:proofErr w:type="spellStart"/>
      <w:r>
        <w:t>hs-cTnI</w:t>
      </w:r>
      <w:proofErr w:type="spellEnd"/>
      <w:r>
        <w:t xml:space="preserve"> assay were reported.</w:t>
      </w:r>
    </w:p>
    <w:p w14:paraId="04B1E6C9" w14:textId="37EF697D" w:rsidR="004E26F1" w:rsidRDefault="004E26F1" w:rsidP="00A24F19">
      <w:pPr>
        <w:jc w:val="both"/>
      </w:pPr>
    </w:p>
    <w:p w14:paraId="76AEAA49" w14:textId="457D1239" w:rsidR="004E26F1" w:rsidRPr="00366303" w:rsidRDefault="009E42CC" w:rsidP="00A24F19">
      <w:pPr>
        <w:jc w:val="both"/>
        <w:rPr>
          <w:b/>
          <w:bCs/>
        </w:rPr>
      </w:pPr>
      <w:r w:rsidRPr="00366303">
        <w:rPr>
          <w:b/>
          <w:bCs/>
        </w:rPr>
        <w:t>Results:</w:t>
      </w:r>
    </w:p>
    <w:p w14:paraId="6A30FEE1" w14:textId="77777777" w:rsidR="009E42CC" w:rsidRDefault="009E42CC" w:rsidP="00A24F19">
      <w:pPr>
        <w:jc w:val="both"/>
      </w:pPr>
    </w:p>
    <w:p w14:paraId="34849FC7" w14:textId="77777777" w:rsidR="00452534" w:rsidRDefault="004E26F1" w:rsidP="00452534">
      <w:pPr>
        <w:keepNext/>
        <w:jc w:val="both"/>
      </w:pPr>
      <w:r>
        <w:rPr>
          <w:noProof/>
        </w:rPr>
        <w:lastRenderedPageBreak/>
        <w:drawing>
          <wp:inline distT="0" distB="0" distL="0" distR="0" wp14:anchorId="0E0122A8" wp14:editId="4C005C1A">
            <wp:extent cx="5638800" cy="6709639"/>
            <wp:effectExtent l="19050" t="19050" r="19050" b="1524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rotWithShape="1">
                    <a:blip r:embed="rId8"/>
                    <a:srcRect t="3371"/>
                    <a:stretch/>
                  </pic:blipFill>
                  <pic:spPr bwMode="auto">
                    <a:xfrm>
                      <a:off x="0" y="0"/>
                      <a:ext cx="5638800" cy="6709639"/>
                    </a:xfrm>
                    <a:prstGeom prst="rect">
                      <a:avLst/>
                    </a:prstGeom>
                    <a:ln>
                      <a:solidFill>
                        <a:schemeClr val="accent1"/>
                      </a:solidFill>
                    </a:ln>
                    <a:effectLst/>
                    <a:extLst>
                      <a:ext uri="{53640926-AAD7-44D8-BBD7-CCE9431645EC}">
                        <a14:shadowObscured xmlns:a14="http://schemas.microsoft.com/office/drawing/2010/main"/>
                      </a:ext>
                    </a:extLst>
                  </pic:spPr>
                </pic:pic>
              </a:graphicData>
            </a:graphic>
          </wp:inline>
        </w:drawing>
      </w:r>
    </w:p>
    <w:p w14:paraId="79AFEE7C" w14:textId="3A4BA8EA" w:rsidR="004E26F1" w:rsidRDefault="00452534" w:rsidP="00452534">
      <w:pPr>
        <w:pStyle w:val="Caption"/>
        <w:jc w:val="center"/>
      </w:pPr>
      <w:r>
        <w:t xml:space="preserve">Table </w:t>
      </w:r>
      <w:fldSimple w:instr=" SEQ Table \* ARABIC ">
        <w:r w:rsidR="008F1D10">
          <w:rPr>
            <w:noProof/>
          </w:rPr>
          <w:t>1</w:t>
        </w:r>
      </w:fldSimple>
      <w:r>
        <w:t>: Characteristics of Trial Participants with Myocardial injury, stratified by sex and study phase</w:t>
      </w:r>
    </w:p>
    <w:p w14:paraId="189E6D32" w14:textId="59FCF2FF" w:rsidR="004E26F1" w:rsidRDefault="00E95D7B" w:rsidP="00E95D7B">
      <w:pPr>
        <w:jc w:val="both"/>
      </w:pPr>
      <w:r>
        <w:t xml:space="preserve">In table 1, majority of </w:t>
      </w:r>
      <w:r w:rsidR="00452534">
        <w:t xml:space="preserve">the </w:t>
      </w:r>
      <w:r>
        <w:t xml:space="preserve">patients </w:t>
      </w:r>
      <w:r w:rsidRPr="00452534">
        <w:rPr>
          <w:highlight w:val="yellow"/>
        </w:rPr>
        <w:t>reclassified</w:t>
      </w:r>
      <w:r>
        <w:t xml:space="preserve"> by the </w:t>
      </w:r>
      <w:proofErr w:type="spellStart"/>
      <w:r>
        <w:t>hs-cTnI</w:t>
      </w:r>
      <w:proofErr w:type="spellEnd"/>
      <w:r>
        <w:t xml:space="preserve"> assay and sex-specific thresholds were women (1,470 of 1,771 women [83%] vs. 301 of 1,771 men [17%]), with the total number of patients with myocardial injury increasing from 3,521 (16%) to 4,991 (22%) in 22,562 women and from 5,068 (20%) to 5,369 (21%) in 25,720 men.</w:t>
      </w:r>
    </w:p>
    <w:p w14:paraId="4FB066D1" w14:textId="3D654681" w:rsidR="004E26F1" w:rsidRDefault="004E26F1" w:rsidP="00A24F19">
      <w:pPr>
        <w:jc w:val="both"/>
      </w:pPr>
    </w:p>
    <w:p w14:paraId="714E8FE3" w14:textId="6DF2ED2D" w:rsidR="004E26F1" w:rsidRDefault="004E26F1" w:rsidP="00A24F19">
      <w:pPr>
        <w:jc w:val="both"/>
      </w:pPr>
    </w:p>
    <w:p w14:paraId="7C9746B9" w14:textId="77777777" w:rsidR="008F1D10" w:rsidRDefault="004E26F1" w:rsidP="008F1D10">
      <w:pPr>
        <w:keepNext/>
        <w:jc w:val="both"/>
      </w:pPr>
      <w:r>
        <w:rPr>
          <w:noProof/>
        </w:rPr>
        <w:lastRenderedPageBreak/>
        <w:drawing>
          <wp:inline distT="0" distB="0" distL="0" distR="0" wp14:anchorId="2D0E3663" wp14:editId="0F4C919F">
            <wp:extent cx="4688205" cy="5625389"/>
            <wp:effectExtent l="19050" t="19050" r="17145" b="1397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rotWithShape="1">
                    <a:blip r:embed="rId9"/>
                    <a:srcRect l="1212" t="3946" r="1686" b="1236"/>
                    <a:stretch/>
                  </pic:blipFill>
                  <pic:spPr bwMode="auto">
                    <a:xfrm>
                      <a:off x="0" y="0"/>
                      <a:ext cx="4689228" cy="5626617"/>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14:paraId="1B81BEFA" w14:textId="15A254EF" w:rsidR="004E26F1" w:rsidRDefault="008F1D10" w:rsidP="008F1D10">
      <w:pPr>
        <w:pStyle w:val="Caption"/>
        <w:jc w:val="both"/>
      </w:pPr>
      <w:r>
        <w:t xml:space="preserve">Figure </w:t>
      </w:r>
      <w:fldSimple w:instr=" SEQ Figure \* ARABIC ">
        <w:r>
          <w:rPr>
            <w:noProof/>
          </w:rPr>
          <w:t>1</w:t>
        </w:r>
      </w:fldSimple>
      <w:r>
        <w:t>: Flow diagram of Adjudication process in women and men with suspected acute coronary syndrome</w:t>
      </w:r>
    </w:p>
    <w:p w14:paraId="3493238F" w14:textId="1DE36A13" w:rsidR="004E26F1" w:rsidRDefault="00595C52" w:rsidP="00595C52">
      <w:pPr>
        <w:jc w:val="both"/>
      </w:pPr>
      <w:r w:rsidRPr="00210665">
        <w:rPr>
          <w:highlight w:val="yellow"/>
        </w:rPr>
        <w:t xml:space="preserve">In figure 1 the adjudication panel was able to achieve a consensus diagnosis in 9,115 of 10,360 patients (88%) with </w:t>
      </w:r>
      <w:proofErr w:type="spellStart"/>
      <w:r w:rsidRPr="00210665">
        <w:rPr>
          <w:highlight w:val="yellow"/>
        </w:rPr>
        <w:t>hs-cTnI</w:t>
      </w:r>
      <w:proofErr w:type="spellEnd"/>
      <w:r w:rsidRPr="00210665">
        <w:rPr>
          <w:highlight w:val="yellow"/>
        </w:rPr>
        <w:t xml:space="preserve"> concentrations above the sex-specific 99th centile</w:t>
      </w:r>
    </w:p>
    <w:p w14:paraId="66BB7222" w14:textId="40165D04" w:rsidR="004E26F1" w:rsidRDefault="004E26F1" w:rsidP="00A24F19">
      <w:pPr>
        <w:jc w:val="both"/>
      </w:pPr>
    </w:p>
    <w:p w14:paraId="34FB340D" w14:textId="2408A925" w:rsidR="004E26F1" w:rsidRDefault="004E26F1" w:rsidP="00A24F19">
      <w:pPr>
        <w:jc w:val="both"/>
      </w:pPr>
    </w:p>
    <w:p w14:paraId="6D434E28" w14:textId="77777777" w:rsidR="008F1D10" w:rsidRDefault="004E26F1" w:rsidP="008F1D10">
      <w:pPr>
        <w:keepNext/>
        <w:jc w:val="both"/>
      </w:pPr>
      <w:r>
        <w:rPr>
          <w:noProof/>
        </w:rPr>
        <w:lastRenderedPageBreak/>
        <w:drawing>
          <wp:inline distT="0" distB="0" distL="0" distR="0" wp14:anchorId="61F1BB23" wp14:editId="6F194A12">
            <wp:extent cx="5580167" cy="2476119"/>
            <wp:effectExtent l="19050" t="19050" r="20955" b="19685"/>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pic:nvPicPr>
                  <pic:blipFill rotWithShape="1">
                    <a:blip r:embed="rId10"/>
                    <a:srcRect l="1026" t="8511" r="1122" b="2546"/>
                    <a:stretch/>
                  </pic:blipFill>
                  <pic:spPr bwMode="auto">
                    <a:xfrm>
                      <a:off x="0" y="0"/>
                      <a:ext cx="5601641" cy="2485648"/>
                    </a:xfrm>
                    <a:prstGeom prst="rect">
                      <a:avLst/>
                    </a:prstGeom>
                    <a:ln w="9525" cap="flat" cmpd="sng" algn="ctr">
                      <a:solidFill>
                        <a:srgbClr val="4472C4"/>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7B4DC2C9" w14:textId="1EBE52D6" w:rsidR="004E26F1" w:rsidRDefault="008F1D10" w:rsidP="008F1D10">
      <w:pPr>
        <w:pStyle w:val="Caption"/>
        <w:jc w:val="both"/>
      </w:pPr>
      <w:r>
        <w:t xml:space="preserve">Table </w:t>
      </w:r>
      <w:fldSimple w:instr=" SEQ Table \* ARABIC ">
        <w:r>
          <w:rPr>
            <w:noProof/>
          </w:rPr>
          <w:t>2</w:t>
        </w:r>
      </w:fldSimple>
      <w:r>
        <w:t xml:space="preserve">: Management of </w:t>
      </w:r>
      <w:proofErr w:type="spellStart"/>
      <w:r>
        <w:t>patiens</w:t>
      </w:r>
      <w:proofErr w:type="spellEnd"/>
      <w:r>
        <w:t xml:space="preserve"> with myocardial injury during initial hospital admission, stratified by sex and study phase</w:t>
      </w:r>
    </w:p>
    <w:p w14:paraId="68B534FB" w14:textId="7EFE169C" w:rsidR="004E26F1" w:rsidRDefault="00595C52" w:rsidP="00595C52">
      <w:pPr>
        <w:jc w:val="both"/>
      </w:pPr>
      <w:r w:rsidRPr="00210665">
        <w:rPr>
          <w:highlight w:val="yellow"/>
        </w:rPr>
        <w:t xml:space="preserve">In table </w:t>
      </w:r>
      <w:proofErr w:type="gramStart"/>
      <w:r w:rsidRPr="00210665">
        <w:rPr>
          <w:highlight w:val="yellow"/>
        </w:rPr>
        <w:t>2,  Women</w:t>
      </w:r>
      <w:proofErr w:type="gramEnd"/>
      <w:r w:rsidRPr="00210665">
        <w:rPr>
          <w:highlight w:val="yellow"/>
        </w:rPr>
        <w:t xml:space="preserve"> were as likely as men to present with chest pain (66% vs. 74%) and to have evidence of myocardial ischemia on electrocardiography (27% vs. 36%). Compared with those identified by the </w:t>
      </w:r>
      <w:proofErr w:type="spellStart"/>
      <w:r w:rsidRPr="00210665">
        <w:rPr>
          <w:highlight w:val="yellow"/>
        </w:rPr>
        <w:t>cTnI</w:t>
      </w:r>
      <w:proofErr w:type="spellEnd"/>
      <w:r w:rsidRPr="00210665">
        <w:rPr>
          <w:highlight w:val="yellow"/>
        </w:rPr>
        <w:t xml:space="preserve"> assay, both women and men reclassified by the </w:t>
      </w:r>
      <w:proofErr w:type="spellStart"/>
      <w:r w:rsidRPr="00210665">
        <w:rPr>
          <w:highlight w:val="yellow"/>
        </w:rPr>
        <w:t>hs-cTnI</w:t>
      </w:r>
      <w:proofErr w:type="spellEnd"/>
      <w:r w:rsidRPr="00210665">
        <w:rPr>
          <w:highlight w:val="yellow"/>
        </w:rPr>
        <w:t xml:space="preserve"> assay were less likely to have myocardial ischemia on electrocardiography but had similar age, presenting symptoms, and cardiovascular risk factors</w:t>
      </w:r>
    </w:p>
    <w:p w14:paraId="30546E4C" w14:textId="321835D9" w:rsidR="004E26F1" w:rsidRDefault="004E26F1" w:rsidP="00A24F19">
      <w:pPr>
        <w:jc w:val="both"/>
      </w:pPr>
    </w:p>
    <w:p w14:paraId="36E3CE90" w14:textId="77777777" w:rsidR="008F1D10" w:rsidRDefault="004E26F1" w:rsidP="008F1D10">
      <w:pPr>
        <w:keepNext/>
        <w:jc w:val="both"/>
      </w:pPr>
      <w:r>
        <w:rPr>
          <w:noProof/>
        </w:rPr>
        <w:lastRenderedPageBreak/>
        <w:drawing>
          <wp:inline distT="0" distB="0" distL="0" distR="0" wp14:anchorId="3FC65B00" wp14:editId="5EBFA7D8">
            <wp:extent cx="5339467" cy="5347411"/>
            <wp:effectExtent l="19050" t="19050" r="13970" b="24765"/>
            <wp:docPr id="4" name="Picture 4" descr="Application, calend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pplication, calendar&#10;&#10;Description automatically generated with medium confidence"/>
                    <pic:cNvPicPr/>
                  </pic:nvPicPr>
                  <pic:blipFill rotWithShape="1">
                    <a:blip r:embed="rId11"/>
                    <a:srcRect l="2217" t="5704" r="2592" b="1638"/>
                    <a:stretch/>
                  </pic:blipFill>
                  <pic:spPr bwMode="auto">
                    <a:xfrm>
                      <a:off x="0" y="0"/>
                      <a:ext cx="5340464" cy="5348409"/>
                    </a:xfrm>
                    <a:prstGeom prst="rect">
                      <a:avLst/>
                    </a:prstGeom>
                    <a:ln>
                      <a:solidFill>
                        <a:srgbClr val="4472C4"/>
                      </a:solidFill>
                    </a:ln>
                    <a:extLst>
                      <a:ext uri="{53640926-AAD7-44D8-BBD7-CCE9431645EC}">
                        <a14:shadowObscured xmlns:a14="http://schemas.microsoft.com/office/drawing/2010/main"/>
                      </a:ext>
                    </a:extLst>
                  </pic:spPr>
                </pic:pic>
              </a:graphicData>
            </a:graphic>
          </wp:inline>
        </w:drawing>
      </w:r>
    </w:p>
    <w:p w14:paraId="65D6904F" w14:textId="566833FF" w:rsidR="004E26F1" w:rsidRDefault="008F1D10" w:rsidP="008F1D10">
      <w:pPr>
        <w:pStyle w:val="Caption"/>
        <w:jc w:val="both"/>
      </w:pPr>
      <w:r>
        <w:t xml:space="preserve">Figure </w:t>
      </w:r>
      <w:fldSimple w:instr=" SEQ Figure \* ARABIC ">
        <w:r>
          <w:rPr>
            <w:noProof/>
          </w:rPr>
          <w:t>2</w:t>
        </w:r>
      </w:fldSimple>
      <w:r>
        <w:t xml:space="preserve">: Patient Management during index hospitalization and adjusted odds ratio of Myocardial infarction or </w:t>
      </w:r>
      <w:proofErr w:type="spellStart"/>
      <w:r>
        <w:t>Cardiovasular</w:t>
      </w:r>
      <w:proofErr w:type="spellEnd"/>
      <w:r>
        <w:t xml:space="preserve"> death at 1 year stratified by treatment received during index hospitalization and sex</w:t>
      </w:r>
    </w:p>
    <w:p w14:paraId="6E00A130" w14:textId="66C268A1" w:rsidR="004E26F1" w:rsidRDefault="00595C52" w:rsidP="00595C52">
      <w:pPr>
        <w:jc w:val="both"/>
      </w:pPr>
      <w:r w:rsidRPr="00210665">
        <w:rPr>
          <w:highlight w:val="yellow"/>
        </w:rPr>
        <w:t xml:space="preserve">In figure 1, Overall, the use of an </w:t>
      </w:r>
      <w:proofErr w:type="spellStart"/>
      <w:r w:rsidRPr="00210665">
        <w:rPr>
          <w:highlight w:val="yellow"/>
        </w:rPr>
        <w:t>hs-cTnI</w:t>
      </w:r>
      <w:proofErr w:type="spellEnd"/>
      <w:r w:rsidRPr="00210665">
        <w:rPr>
          <w:highlight w:val="yellow"/>
        </w:rPr>
        <w:t xml:space="preserve"> assay and sex-specific thresholds increased the diagnosis of type 1 myocardial infarction in women by 25% (from 1,609 of 21,959 [7%] to 2,010 of 21,959 [9%]) and in men by 6% (from 2,904 of 25,078 [12%] to 3,018 of 25,078 [12%]). The use of an </w:t>
      </w:r>
      <w:proofErr w:type="spellStart"/>
      <w:r w:rsidRPr="00210665">
        <w:rPr>
          <w:highlight w:val="yellow"/>
        </w:rPr>
        <w:t>hs-cTnI</w:t>
      </w:r>
      <w:proofErr w:type="spellEnd"/>
      <w:r w:rsidRPr="00210665">
        <w:rPr>
          <w:highlight w:val="yellow"/>
        </w:rPr>
        <w:t xml:space="preserve"> assay and sex-specific thresholds increased the diagnosis of type 2 myocardial infarction in women by 39% (from 505 of 21,959 [2%] to 700 of 21,959 [3%]) and in men by 9% (from 515 of 25,078 [2%] to 560 of 25,078 [2%]) and increased the diagnosis of </w:t>
      </w:r>
      <w:proofErr w:type="spellStart"/>
      <w:r w:rsidRPr="00210665">
        <w:rPr>
          <w:highlight w:val="yellow"/>
        </w:rPr>
        <w:t>nonischemic</w:t>
      </w:r>
      <w:proofErr w:type="spellEnd"/>
      <w:r w:rsidRPr="00210665">
        <w:rPr>
          <w:highlight w:val="yellow"/>
        </w:rPr>
        <w:t xml:space="preserve"> myocardial injury in women by 67% (from 1,000 of 21,959 [5%] to 1,673 of 21,959 [8%]) and in men by 12% (from 1,014 of 25,078 [2%] to 1,137 of 25,078 [2%]).</w:t>
      </w:r>
    </w:p>
    <w:p w14:paraId="014CDF94" w14:textId="7D29DDF2" w:rsidR="00595C52" w:rsidRDefault="00595C52" w:rsidP="00595C52">
      <w:pPr>
        <w:jc w:val="both"/>
      </w:pPr>
    </w:p>
    <w:p w14:paraId="4A347B0F" w14:textId="77777777" w:rsidR="00595C52" w:rsidRDefault="00595C52" w:rsidP="00595C52">
      <w:pPr>
        <w:jc w:val="both"/>
      </w:pPr>
    </w:p>
    <w:p w14:paraId="730F6A22" w14:textId="072572EB" w:rsidR="004E26F1" w:rsidRPr="004E26F1" w:rsidRDefault="004E26F1" w:rsidP="00A24F19">
      <w:pPr>
        <w:jc w:val="both"/>
        <w:rPr>
          <w:b/>
          <w:bCs/>
        </w:rPr>
      </w:pPr>
      <w:r w:rsidRPr="004E26F1">
        <w:rPr>
          <w:b/>
          <w:bCs/>
        </w:rPr>
        <w:t>Critical discussion</w:t>
      </w:r>
      <w:r w:rsidR="009E42CC">
        <w:rPr>
          <w:b/>
          <w:bCs/>
        </w:rPr>
        <w:t xml:space="preserve"> and analysis</w:t>
      </w:r>
    </w:p>
    <w:p w14:paraId="718274A3" w14:textId="1D01DF40" w:rsidR="004E26F1" w:rsidRDefault="001A3FA6" w:rsidP="004E26F1">
      <w:pPr>
        <w:jc w:val="both"/>
      </w:pPr>
      <w:r>
        <w:t xml:space="preserve">According to (Lee </w:t>
      </w:r>
      <w:proofErr w:type="spellStart"/>
      <w:r>
        <w:t>etal</w:t>
      </w:r>
      <w:proofErr w:type="spellEnd"/>
      <w:r>
        <w:t xml:space="preserve">) results </w:t>
      </w:r>
      <w:r w:rsidR="00F75B6B">
        <w:t>where a</w:t>
      </w:r>
      <w:r>
        <w:t xml:space="preserve"> total of 48,282 patients were used, myocardial injury reclassified 5 times with women than men.  For this implementation the same </w:t>
      </w:r>
      <w:r w:rsidR="00F75B6B">
        <w:t>number</w:t>
      </w:r>
      <w:r w:rsidR="004E26F1">
        <w:t xml:space="preserve"> of women and </w:t>
      </w:r>
      <w:r w:rsidR="004E26F1">
        <w:lastRenderedPageBreak/>
        <w:t xml:space="preserve">men now identiﬁed </w:t>
      </w:r>
      <w:r w:rsidR="00790F9A">
        <w:t>with</w:t>
      </w:r>
      <w:r w:rsidR="004E26F1">
        <w:t xml:space="preserve"> </w:t>
      </w:r>
      <w:r w:rsidR="00F75B6B">
        <w:t>myocardial injury</w:t>
      </w:r>
      <w:r w:rsidR="004E26F1">
        <w:t xml:space="preserve">.  </w:t>
      </w:r>
      <w:r w:rsidR="00790F9A">
        <w:t xml:space="preserve">The </w:t>
      </w:r>
      <w:r w:rsidR="004E26F1">
        <w:t>Second,</w:t>
      </w:r>
      <w:r w:rsidR="00790F9A">
        <w:t xml:space="preserve"> </w:t>
      </w:r>
      <w:r w:rsidR="004E26F1">
        <w:t xml:space="preserve">implementation </w:t>
      </w:r>
      <w:r w:rsidR="00790F9A">
        <w:t>showed</w:t>
      </w:r>
      <w:r w:rsidR="004E26F1">
        <w:t xml:space="preserve"> increased rates of coronary angiography and revascularization, </w:t>
      </w:r>
      <w:r w:rsidR="00790F9A">
        <w:t>with</w:t>
      </w:r>
      <w:r w:rsidR="004E26F1">
        <w:t xml:space="preserve"> increases </w:t>
      </w:r>
      <w:r w:rsidR="00790F9A">
        <w:t>using</w:t>
      </w:r>
      <w:r w:rsidR="004E26F1">
        <w:t xml:space="preserve"> of secondary preventive therapy in </w:t>
      </w:r>
      <w:r w:rsidR="00F75B6B">
        <w:t>all patients</w:t>
      </w:r>
      <w:r w:rsidR="004E26F1">
        <w:t xml:space="preserve">.  </w:t>
      </w:r>
      <w:r w:rsidR="00790F9A">
        <w:t>Even though</w:t>
      </w:r>
      <w:r w:rsidR="004E26F1">
        <w:t xml:space="preserve"> </w:t>
      </w:r>
      <w:r w:rsidR="00F75B6B">
        <w:t>the identiﬁcation of more</w:t>
      </w:r>
      <w:r w:rsidR="004E26F1">
        <w:t xml:space="preserve"> women </w:t>
      </w:r>
      <w:r w:rsidR="00F75B6B">
        <w:t xml:space="preserve">with myocardial </w:t>
      </w:r>
      <w:proofErr w:type="gramStart"/>
      <w:r w:rsidR="00F75B6B">
        <w:t>injury</w:t>
      </w:r>
      <w:r w:rsidR="004E26F1">
        <w:t xml:space="preserve">  following</w:t>
      </w:r>
      <w:proofErr w:type="gramEnd"/>
      <w:r w:rsidR="004E26F1">
        <w:t xml:space="preserve">  the  adoption  of  sex-speciﬁc  thresholds,  women   admitted during the </w:t>
      </w:r>
      <w:r w:rsidR="00790F9A">
        <w:t xml:space="preserve">third </w:t>
      </w:r>
      <w:r w:rsidR="004E26F1">
        <w:t xml:space="preserve">implementation phase </w:t>
      </w:r>
      <w:r w:rsidR="00790F9A">
        <w:t>were not</w:t>
      </w:r>
      <w:r w:rsidR="004E26F1">
        <w:t xml:space="preserve"> </w:t>
      </w:r>
      <w:r w:rsidR="00790F9A">
        <w:t>expected</w:t>
      </w:r>
      <w:r w:rsidR="004E26F1">
        <w:t xml:space="preserve"> to be investigated and treated for coronary artery disease than men. </w:t>
      </w:r>
      <w:r w:rsidR="00F75B6B">
        <w:t>Lastly</w:t>
      </w:r>
      <w:r w:rsidR="004E26F1">
        <w:t xml:space="preserve">, the rates of </w:t>
      </w:r>
      <w:r w:rsidR="00F75B6B">
        <w:t>the following</w:t>
      </w:r>
      <w:r w:rsidR="004E26F1">
        <w:t xml:space="preserve"> myocardial infarction or cardiovascular death were unchanged in both women and men </w:t>
      </w:r>
      <w:r w:rsidR="00F75B6B">
        <w:t>after</w:t>
      </w:r>
      <w:r w:rsidR="004E26F1">
        <w:t xml:space="preserve"> </w:t>
      </w:r>
      <w:r w:rsidR="00F75B6B">
        <w:t xml:space="preserve">implementation of </w:t>
      </w:r>
      <w:proofErr w:type="spellStart"/>
      <w:r w:rsidR="00F75B6B">
        <w:t>hs</w:t>
      </w:r>
      <w:r w:rsidR="000E797E">
        <w:t>-</w:t>
      </w:r>
      <w:r w:rsidR="00F75B6B">
        <w:t>cTnI</w:t>
      </w:r>
      <w:proofErr w:type="spellEnd"/>
      <w:r w:rsidR="00F75B6B">
        <w:t xml:space="preserve"> testing.</w:t>
      </w:r>
      <w:r w:rsidR="004E26F1">
        <w:t xml:space="preserve"> </w:t>
      </w:r>
    </w:p>
    <w:p w14:paraId="591CD4AB" w14:textId="77777777" w:rsidR="000E797E" w:rsidRDefault="00F75B6B" w:rsidP="004E26F1">
      <w:pPr>
        <w:jc w:val="both"/>
      </w:pPr>
      <w:r>
        <w:t>Even though</w:t>
      </w:r>
      <w:r w:rsidR="004E26F1">
        <w:t xml:space="preserve"> </w:t>
      </w:r>
      <w:proofErr w:type="spellStart"/>
      <w:r w:rsidR="004E26F1">
        <w:t>hs-cTnI</w:t>
      </w:r>
      <w:proofErr w:type="spellEnd"/>
      <w:r w:rsidR="004E26F1">
        <w:t xml:space="preserve"> </w:t>
      </w:r>
      <w:proofErr w:type="gramStart"/>
      <w:r w:rsidR="004E26F1">
        <w:t xml:space="preserve">testing </w:t>
      </w:r>
      <w:r>
        <w:t xml:space="preserve"> had</w:t>
      </w:r>
      <w:proofErr w:type="gramEnd"/>
      <w:r>
        <w:t xml:space="preserve"> </w:t>
      </w:r>
      <w:r w:rsidR="004E26F1">
        <w:t xml:space="preserve">identiﬁed </w:t>
      </w:r>
      <w:r>
        <w:t>comparable</w:t>
      </w:r>
      <w:r w:rsidR="004E26F1">
        <w:t xml:space="preserve"> proportions of women and  men  with  myocardial  injury, </w:t>
      </w:r>
      <w:r>
        <w:t>in</w:t>
      </w:r>
      <w:r w:rsidR="004E26F1">
        <w:t xml:space="preserve"> observ</w:t>
      </w:r>
      <w:r>
        <w:t>ation there are</w:t>
      </w:r>
      <w:r w:rsidR="004E26F1">
        <w:t xml:space="preserve"> major differences in their management. Women </w:t>
      </w:r>
      <w:r>
        <w:t xml:space="preserve">is still unlikely compare to men </w:t>
      </w:r>
      <w:r w:rsidR="004E26F1">
        <w:t xml:space="preserve">to receive treatment </w:t>
      </w:r>
      <w:proofErr w:type="gramStart"/>
      <w:r w:rsidR="004E26F1">
        <w:t>for  acute</w:t>
      </w:r>
      <w:proofErr w:type="gramEnd"/>
      <w:r w:rsidR="004E26F1">
        <w:t xml:space="preserve">  coronary  syndrome  even  after  implementation  of  the  </w:t>
      </w:r>
      <w:proofErr w:type="spellStart"/>
      <w:r w:rsidR="004E26F1">
        <w:t>hs-cTnI</w:t>
      </w:r>
      <w:proofErr w:type="spellEnd"/>
      <w:r w:rsidR="004E26F1">
        <w:t xml:space="preserve"> assay and sex-speciﬁc  thresholds.  </w:t>
      </w:r>
      <w:r w:rsidR="000E797E">
        <w:t>This may be as a result of more</w:t>
      </w:r>
      <w:r w:rsidR="004E26F1">
        <w:t xml:space="preserve"> women had non-ischemic myocardial injury </w:t>
      </w:r>
      <w:r w:rsidR="000E797E">
        <w:t xml:space="preserve">in comparison to </w:t>
      </w:r>
      <w:r w:rsidR="004E26F1">
        <w:t xml:space="preserve">men, </w:t>
      </w:r>
      <w:proofErr w:type="gramStart"/>
      <w:r w:rsidR="000E797E">
        <w:t>therefore,</w:t>
      </w:r>
      <w:r w:rsidR="004E26F1">
        <w:t xml:space="preserve">  accounted</w:t>
      </w:r>
      <w:proofErr w:type="gramEnd"/>
      <w:r w:rsidR="004E26F1">
        <w:t xml:space="preserve"> for the lower provision of therapies</w:t>
      </w:r>
      <w:r w:rsidR="000E797E">
        <w:t>. Note, however, t</w:t>
      </w:r>
      <w:r w:rsidR="004E26F1">
        <w:t xml:space="preserve">he primary analysis of the High-STEACS trial </w:t>
      </w:r>
      <w:r w:rsidR="000E797E">
        <w:t>showed</w:t>
      </w:r>
      <w:r w:rsidR="004E26F1">
        <w:t xml:space="preserve"> no reduction in subsequent   incidence   of   myocardial   infarction   or</w:t>
      </w:r>
      <w:r w:rsidR="000E797E">
        <w:t xml:space="preserve"> </w:t>
      </w:r>
      <w:r w:rsidR="004E26F1">
        <w:t xml:space="preserve">cardiovascular death at 1 year (8). </w:t>
      </w:r>
    </w:p>
    <w:p w14:paraId="2E929713" w14:textId="77777777" w:rsidR="00503A33" w:rsidRDefault="00503A33" w:rsidP="004E26F1">
      <w:pPr>
        <w:jc w:val="both"/>
      </w:pPr>
      <w:r>
        <w:t xml:space="preserve">There are </w:t>
      </w:r>
      <w:proofErr w:type="gramStart"/>
      <w:r>
        <w:t xml:space="preserve">a </w:t>
      </w:r>
      <w:r w:rsidR="004E26F1">
        <w:t>number of</w:t>
      </w:r>
      <w:proofErr w:type="gramEnd"/>
      <w:r w:rsidR="004E26F1">
        <w:t xml:space="preserve"> observations </w:t>
      </w:r>
      <w:r>
        <w:t>from the</w:t>
      </w:r>
      <w:r w:rsidR="004E26F1">
        <w:t xml:space="preserve"> ﬁndings</w:t>
      </w:r>
      <w:r>
        <w:t>:</w:t>
      </w:r>
    </w:p>
    <w:p w14:paraId="36E54ED1" w14:textId="6F868207" w:rsidR="00503A33" w:rsidRDefault="00503A33" w:rsidP="00503A33">
      <w:pPr>
        <w:pStyle w:val="ListParagraph"/>
        <w:numPr>
          <w:ilvl w:val="0"/>
          <w:numId w:val="4"/>
        </w:numPr>
        <w:jc w:val="both"/>
        <w:rPr>
          <w:rFonts w:asciiTheme="minorHAnsi" w:hAnsiTheme="minorHAnsi" w:cstheme="minorHAnsi"/>
          <w:sz w:val="22"/>
          <w:szCs w:val="22"/>
        </w:rPr>
      </w:pPr>
      <w:r w:rsidRPr="00503A33">
        <w:rPr>
          <w:rFonts w:asciiTheme="minorHAnsi" w:hAnsiTheme="minorHAnsi" w:cstheme="minorHAnsi"/>
          <w:sz w:val="22"/>
          <w:szCs w:val="22"/>
        </w:rPr>
        <w:t xml:space="preserve">Women are </w:t>
      </w:r>
      <w:r>
        <w:rPr>
          <w:rFonts w:asciiTheme="minorHAnsi" w:hAnsiTheme="minorHAnsi" w:cstheme="minorHAnsi"/>
          <w:sz w:val="22"/>
          <w:szCs w:val="22"/>
        </w:rPr>
        <w:t>not likely to get treatment for ACD than men</w:t>
      </w:r>
    </w:p>
    <w:p w14:paraId="163735AA" w14:textId="1567DAF7" w:rsidR="00503A33" w:rsidRDefault="00503A33" w:rsidP="00503A33">
      <w:pPr>
        <w:pStyle w:val="ListParagraph"/>
        <w:numPr>
          <w:ilvl w:val="0"/>
          <w:numId w:val="4"/>
        </w:numPr>
        <w:jc w:val="both"/>
        <w:rPr>
          <w:rFonts w:asciiTheme="minorHAnsi" w:hAnsiTheme="minorHAnsi" w:cstheme="minorHAnsi"/>
          <w:sz w:val="22"/>
          <w:szCs w:val="22"/>
        </w:rPr>
      </w:pPr>
      <w:r>
        <w:rPr>
          <w:rFonts w:asciiTheme="minorHAnsi" w:hAnsiTheme="minorHAnsi" w:cstheme="minorHAnsi"/>
          <w:sz w:val="22"/>
          <w:szCs w:val="22"/>
        </w:rPr>
        <w:t xml:space="preserve">Most of the patients </w:t>
      </w:r>
      <w:r w:rsidRPr="00503A33">
        <w:rPr>
          <w:rFonts w:asciiTheme="minorHAnsi" w:hAnsiTheme="minorHAnsi" w:cstheme="minorHAnsi"/>
          <w:sz w:val="22"/>
          <w:szCs w:val="22"/>
        </w:rPr>
        <w:t xml:space="preserve">reclassiﬁed </w:t>
      </w:r>
      <w:proofErr w:type="gramStart"/>
      <w:r w:rsidRPr="00503A33">
        <w:rPr>
          <w:rFonts w:asciiTheme="minorHAnsi" w:hAnsiTheme="minorHAnsi" w:cstheme="minorHAnsi"/>
          <w:sz w:val="22"/>
          <w:szCs w:val="22"/>
        </w:rPr>
        <w:t>by  the</w:t>
      </w:r>
      <w:proofErr w:type="gramEnd"/>
      <w:r w:rsidRPr="00503A33">
        <w:rPr>
          <w:rFonts w:asciiTheme="minorHAnsi" w:hAnsiTheme="minorHAnsi" w:cstheme="minorHAnsi"/>
          <w:sz w:val="22"/>
          <w:szCs w:val="22"/>
        </w:rPr>
        <w:t xml:space="preserve">  </w:t>
      </w:r>
      <w:proofErr w:type="spellStart"/>
      <w:r w:rsidRPr="00503A33">
        <w:rPr>
          <w:rFonts w:asciiTheme="minorHAnsi" w:hAnsiTheme="minorHAnsi" w:cstheme="minorHAnsi"/>
          <w:sz w:val="22"/>
          <w:szCs w:val="22"/>
        </w:rPr>
        <w:t>hs</w:t>
      </w:r>
      <w:proofErr w:type="spellEnd"/>
      <w:r w:rsidRPr="00503A33">
        <w:rPr>
          <w:rFonts w:asciiTheme="minorHAnsi" w:hAnsiTheme="minorHAnsi" w:cstheme="minorHAnsi"/>
          <w:sz w:val="22"/>
          <w:szCs w:val="22"/>
        </w:rPr>
        <w:t xml:space="preserve">- </w:t>
      </w:r>
      <w:proofErr w:type="spellStart"/>
      <w:r w:rsidRPr="00503A33">
        <w:rPr>
          <w:rFonts w:asciiTheme="minorHAnsi" w:hAnsiTheme="minorHAnsi" w:cstheme="minorHAnsi"/>
          <w:sz w:val="22"/>
          <w:szCs w:val="22"/>
        </w:rPr>
        <w:t>cTnI</w:t>
      </w:r>
      <w:proofErr w:type="spellEnd"/>
      <w:r w:rsidRPr="00503A33">
        <w:rPr>
          <w:rFonts w:asciiTheme="minorHAnsi" w:hAnsiTheme="minorHAnsi" w:cstheme="minorHAnsi"/>
          <w:sz w:val="22"/>
          <w:szCs w:val="22"/>
        </w:rPr>
        <w:t xml:space="preserve"> assay were women</w:t>
      </w:r>
    </w:p>
    <w:p w14:paraId="325E59ED" w14:textId="77777777" w:rsidR="00503A33" w:rsidRDefault="00503A33" w:rsidP="00503A33">
      <w:pPr>
        <w:pStyle w:val="ListParagraph"/>
        <w:numPr>
          <w:ilvl w:val="0"/>
          <w:numId w:val="4"/>
        </w:numPr>
        <w:jc w:val="both"/>
        <w:rPr>
          <w:rFonts w:asciiTheme="minorHAnsi" w:hAnsiTheme="minorHAnsi" w:cstheme="minorHAnsi"/>
          <w:sz w:val="22"/>
          <w:szCs w:val="22"/>
        </w:rPr>
      </w:pPr>
      <w:r>
        <w:rPr>
          <w:rFonts w:asciiTheme="minorHAnsi" w:hAnsiTheme="minorHAnsi" w:cstheme="minorHAnsi"/>
          <w:sz w:val="22"/>
          <w:szCs w:val="22"/>
        </w:rPr>
        <w:t xml:space="preserve">It was observed that there </w:t>
      </w:r>
      <w:r w:rsidRPr="00503A33">
        <w:rPr>
          <w:rFonts w:asciiTheme="minorHAnsi" w:hAnsiTheme="minorHAnsi" w:cstheme="minorHAnsi"/>
          <w:sz w:val="22"/>
          <w:szCs w:val="22"/>
        </w:rPr>
        <w:t xml:space="preserve">lower treatment efﬁcacy for acute coronary </w:t>
      </w:r>
      <w:proofErr w:type="gramStart"/>
      <w:r w:rsidRPr="00503A33">
        <w:rPr>
          <w:rFonts w:asciiTheme="minorHAnsi" w:hAnsiTheme="minorHAnsi" w:cstheme="minorHAnsi"/>
          <w:sz w:val="22"/>
          <w:szCs w:val="22"/>
        </w:rPr>
        <w:t>syndrome  in</w:t>
      </w:r>
      <w:proofErr w:type="gramEnd"/>
      <w:r w:rsidRPr="00503A33">
        <w:rPr>
          <w:rFonts w:asciiTheme="minorHAnsi" w:hAnsiTheme="minorHAnsi" w:cstheme="minorHAnsi"/>
          <w:sz w:val="22"/>
          <w:szCs w:val="22"/>
        </w:rPr>
        <w:t xml:space="preserve"> women  </w:t>
      </w:r>
      <w:r>
        <w:rPr>
          <w:rFonts w:asciiTheme="minorHAnsi" w:hAnsiTheme="minorHAnsi" w:cstheme="minorHAnsi"/>
          <w:sz w:val="22"/>
          <w:szCs w:val="22"/>
        </w:rPr>
        <w:t>than</w:t>
      </w:r>
      <w:r w:rsidRPr="00503A33">
        <w:rPr>
          <w:rFonts w:asciiTheme="minorHAnsi" w:hAnsiTheme="minorHAnsi" w:cstheme="minorHAnsi"/>
          <w:sz w:val="22"/>
          <w:szCs w:val="22"/>
        </w:rPr>
        <w:t xml:space="preserve">  men. </w:t>
      </w:r>
    </w:p>
    <w:p w14:paraId="3230B4A0" w14:textId="77777777" w:rsidR="00503A33" w:rsidRDefault="00503A33" w:rsidP="00503A33">
      <w:pPr>
        <w:pStyle w:val="ListParagraph"/>
        <w:numPr>
          <w:ilvl w:val="0"/>
          <w:numId w:val="4"/>
        </w:numPr>
        <w:jc w:val="both"/>
        <w:rPr>
          <w:rFonts w:asciiTheme="minorHAnsi" w:hAnsiTheme="minorHAnsi" w:cstheme="minorHAnsi"/>
          <w:sz w:val="22"/>
          <w:szCs w:val="22"/>
        </w:rPr>
      </w:pPr>
      <w:r>
        <w:rPr>
          <w:rFonts w:asciiTheme="minorHAnsi" w:hAnsiTheme="minorHAnsi" w:cstheme="minorHAnsi"/>
          <w:sz w:val="22"/>
          <w:szCs w:val="22"/>
        </w:rPr>
        <w:t>W</w:t>
      </w:r>
      <w:r w:rsidRPr="00503A33">
        <w:rPr>
          <w:rFonts w:asciiTheme="minorHAnsi" w:hAnsiTheme="minorHAnsi" w:cstheme="minorHAnsi"/>
          <w:sz w:val="22"/>
          <w:szCs w:val="22"/>
        </w:rPr>
        <w:t xml:space="preserve">omen   were older </w:t>
      </w:r>
      <w:proofErr w:type="gramStart"/>
      <w:r w:rsidRPr="00503A33">
        <w:rPr>
          <w:rFonts w:asciiTheme="minorHAnsi" w:hAnsiTheme="minorHAnsi" w:cstheme="minorHAnsi"/>
          <w:sz w:val="22"/>
          <w:szCs w:val="22"/>
        </w:rPr>
        <w:t>than  men</w:t>
      </w:r>
      <w:proofErr w:type="gramEnd"/>
      <w:r w:rsidRPr="00503A33">
        <w:rPr>
          <w:rFonts w:asciiTheme="minorHAnsi" w:hAnsiTheme="minorHAnsi" w:cstheme="minorHAnsi"/>
          <w:sz w:val="22"/>
          <w:szCs w:val="22"/>
        </w:rPr>
        <w:t xml:space="preserve">  at  presentation  and </w:t>
      </w:r>
      <w:r>
        <w:rPr>
          <w:rFonts w:asciiTheme="minorHAnsi" w:hAnsiTheme="minorHAnsi" w:cstheme="minorHAnsi"/>
          <w:sz w:val="22"/>
          <w:szCs w:val="22"/>
        </w:rPr>
        <w:t>therefore</w:t>
      </w:r>
      <w:r w:rsidRPr="00503A33">
        <w:rPr>
          <w:rFonts w:asciiTheme="minorHAnsi" w:hAnsiTheme="minorHAnsi" w:cstheme="minorHAnsi"/>
          <w:sz w:val="22"/>
          <w:szCs w:val="22"/>
        </w:rPr>
        <w:t xml:space="preserve"> more  likely  to die of  </w:t>
      </w:r>
      <w:proofErr w:type="spellStart"/>
      <w:r w:rsidRPr="00503A33">
        <w:rPr>
          <w:rFonts w:asciiTheme="minorHAnsi" w:hAnsiTheme="minorHAnsi" w:cstheme="minorHAnsi"/>
          <w:sz w:val="22"/>
          <w:szCs w:val="22"/>
        </w:rPr>
        <w:t>noncardiovascular</w:t>
      </w:r>
      <w:proofErr w:type="spellEnd"/>
      <w:r w:rsidRPr="00503A33">
        <w:rPr>
          <w:rFonts w:asciiTheme="minorHAnsi" w:hAnsiTheme="minorHAnsi" w:cstheme="minorHAnsi"/>
          <w:sz w:val="22"/>
          <w:szCs w:val="22"/>
        </w:rPr>
        <w:t xml:space="preserve">  causes</w:t>
      </w:r>
      <w:r>
        <w:rPr>
          <w:rFonts w:asciiTheme="minorHAnsi" w:hAnsiTheme="minorHAnsi" w:cstheme="minorHAnsi"/>
          <w:sz w:val="22"/>
          <w:szCs w:val="22"/>
        </w:rPr>
        <w:t>.</w:t>
      </w:r>
    </w:p>
    <w:p w14:paraId="4C47FCE9" w14:textId="728D4F86" w:rsidR="00503A33" w:rsidRPr="00503A33" w:rsidRDefault="00503A33" w:rsidP="00503A33">
      <w:pPr>
        <w:pStyle w:val="ListParagraph"/>
        <w:numPr>
          <w:ilvl w:val="0"/>
          <w:numId w:val="4"/>
        </w:numPr>
        <w:jc w:val="both"/>
        <w:rPr>
          <w:rFonts w:asciiTheme="minorHAnsi" w:hAnsiTheme="minorHAnsi" w:cstheme="minorHAnsi"/>
          <w:sz w:val="22"/>
          <w:szCs w:val="22"/>
        </w:rPr>
      </w:pPr>
      <w:r w:rsidRPr="00503A33">
        <w:rPr>
          <w:rFonts w:asciiTheme="minorHAnsi" w:hAnsiTheme="minorHAnsi" w:cstheme="minorHAnsi"/>
          <w:sz w:val="22"/>
          <w:szCs w:val="22"/>
        </w:rPr>
        <w:t xml:space="preserve"> </w:t>
      </w:r>
    </w:p>
    <w:p w14:paraId="277374C2" w14:textId="77777777" w:rsidR="00A03403" w:rsidRDefault="00A03403" w:rsidP="004E26F1">
      <w:pPr>
        <w:jc w:val="both"/>
      </w:pPr>
      <w:r>
        <w:t>With these observations, there are number of inferences to drawn from the experiments:</w:t>
      </w:r>
    </w:p>
    <w:p w14:paraId="470198C0" w14:textId="77777777" w:rsidR="00A03403" w:rsidRDefault="00A03403" w:rsidP="00A03403">
      <w:pPr>
        <w:pStyle w:val="ListParagraph"/>
        <w:numPr>
          <w:ilvl w:val="0"/>
          <w:numId w:val="5"/>
        </w:numPr>
        <w:jc w:val="both"/>
        <w:rPr>
          <w:rFonts w:asciiTheme="minorHAnsi" w:hAnsiTheme="minorHAnsi" w:cstheme="minorHAnsi"/>
          <w:sz w:val="22"/>
          <w:szCs w:val="22"/>
        </w:rPr>
      </w:pPr>
      <w:r w:rsidRPr="00A03403">
        <w:rPr>
          <w:rFonts w:asciiTheme="minorHAnsi" w:hAnsiTheme="minorHAnsi" w:cstheme="minorHAnsi"/>
          <w:sz w:val="22"/>
          <w:szCs w:val="22"/>
        </w:rPr>
        <w:t xml:space="preserve">Women </w:t>
      </w:r>
      <w:proofErr w:type="gramStart"/>
      <w:r w:rsidRPr="00A03403">
        <w:rPr>
          <w:rFonts w:asciiTheme="minorHAnsi" w:hAnsiTheme="minorHAnsi" w:cstheme="minorHAnsi"/>
          <w:sz w:val="22"/>
          <w:szCs w:val="22"/>
        </w:rPr>
        <w:t xml:space="preserve">are </w:t>
      </w:r>
      <w:r>
        <w:rPr>
          <w:rFonts w:asciiTheme="minorHAnsi" w:hAnsiTheme="minorHAnsi" w:cstheme="minorHAnsi"/>
          <w:sz w:val="22"/>
          <w:szCs w:val="22"/>
        </w:rPr>
        <w:t xml:space="preserve"> less</w:t>
      </w:r>
      <w:proofErr w:type="gramEnd"/>
      <w:r>
        <w:rPr>
          <w:rFonts w:asciiTheme="minorHAnsi" w:hAnsiTheme="minorHAnsi" w:cstheme="minorHAnsi"/>
          <w:sz w:val="22"/>
          <w:szCs w:val="22"/>
        </w:rPr>
        <w:t xml:space="preserve"> likely to receive evidence based treatment that were reclassified by the </w:t>
      </w:r>
      <w:proofErr w:type="spellStart"/>
      <w:r>
        <w:rPr>
          <w:rFonts w:asciiTheme="minorHAnsi" w:hAnsiTheme="minorHAnsi" w:cstheme="minorHAnsi"/>
          <w:sz w:val="22"/>
          <w:szCs w:val="22"/>
        </w:rPr>
        <w:t>hs-cTnl</w:t>
      </w:r>
      <w:proofErr w:type="spellEnd"/>
      <w:r>
        <w:rPr>
          <w:rFonts w:asciiTheme="minorHAnsi" w:hAnsiTheme="minorHAnsi" w:cstheme="minorHAnsi"/>
          <w:sz w:val="22"/>
          <w:szCs w:val="22"/>
        </w:rPr>
        <w:t xml:space="preserve"> assay.</w:t>
      </w:r>
    </w:p>
    <w:p w14:paraId="1A53D2CF" w14:textId="25A71090" w:rsidR="00A03403" w:rsidRDefault="00A03403" w:rsidP="00A03403">
      <w:pPr>
        <w:pStyle w:val="ListParagraph"/>
        <w:numPr>
          <w:ilvl w:val="0"/>
          <w:numId w:val="5"/>
        </w:numPr>
        <w:jc w:val="both"/>
        <w:rPr>
          <w:rFonts w:asciiTheme="minorHAnsi" w:hAnsiTheme="minorHAnsi" w:cstheme="minorHAnsi"/>
          <w:sz w:val="22"/>
          <w:szCs w:val="22"/>
        </w:rPr>
      </w:pPr>
      <w:r>
        <w:rPr>
          <w:rFonts w:asciiTheme="minorHAnsi" w:hAnsiTheme="minorHAnsi" w:cstheme="minorHAnsi"/>
          <w:sz w:val="22"/>
          <w:szCs w:val="22"/>
        </w:rPr>
        <w:t>The trial findings were consistent with adjudicated diagnosis of type 1 myocardial infarction</w:t>
      </w:r>
      <w:r w:rsidR="004E26F1" w:rsidRPr="00A03403">
        <w:rPr>
          <w:rFonts w:asciiTheme="minorHAnsi" w:hAnsiTheme="minorHAnsi" w:cstheme="minorHAnsi"/>
          <w:sz w:val="22"/>
          <w:szCs w:val="22"/>
        </w:rPr>
        <w:t xml:space="preserve">. </w:t>
      </w:r>
    </w:p>
    <w:p w14:paraId="15332DF8" w14:textId="27685E78" w:rsidR="00A03403" w:rsidRDefault="00A03403" w:rsidP="00A03403">
      <w:pPr>
        <w:pStyle w:val="ListParagraph"/>
        <w:numPr>
          <w:ilvl w:val="0"/>
          <w:numId w:val="5"/>
        </w:numPr>
        <w:jc w:val="both"/>
        <w:rPr>
          <w:rFonts w:asciiTheme="minorHAnsi" w:hAnsiTheme="minorHAnsi" w:cstheme="minorHAnsi"/>
          <w:sz w:val="22"/>
          <w:szCs w:val="22"/>
        </w:rPr>
      </w:pPr>
      <w:r>
        <w:rPr>
          <w:rFonts w:asciiTheme="minorHAnsi" w:hAnsiTheme="minorHAnsi" w:cstheme="minorHAnsi"/>
          <w:sz w:val="22"/>
          <w:szCs w:val="22"/>
        </w:rPr>
        <w:t xml:space="preserve">With these findings clinicians may not find it motivated to investigate or start treatment in patients with </w:t>
      </w:r>
      <w:r w:rsidR="00A311A7" w:rsidRPr="00A03403">
        <w:rPr>
          <w:rFonts w:asciiTheme="minorHAnsi" w:hAnsiTheme="minorHAnsi" w:cstheme="minorHAnsi"/>
          <w:sz w:val="22"/>
          <w:szCs w:val="22"/>
        </w:rPr>
        <w:t>mode</w:t>
      </w:r>
      <w:r w:rsidR="00A311A7">
        <w:rPr>
          <w:rFonts w:asciiTheme="minorHAnsi" w:hAnsiTheme="minorHAnsi" w:cstheme="minorHAnsi"/>
          <w:sz w:val="22"/>
          <w:szCs w:val="22"/>
        </w:rPr>
        <w:t>rate</w:t>
      </w:r>
      <w:r w:rsidR="00A311A7" w:rsidRPr="00A03403">
        <w:rPr>
          <w:rFonts w:asciiTheme="minorHAnsi" w:hAnsiTheme="minorHAnsi" w:cstheme="minorHAnsi"/>
          <w:sz w:val="22"/>
          <w:szCs w:val="22"/>
        </w:rPr>
        <w:t xml:space="preserve"> elevations</w:t>
      </w:r>
      <w:r w:rsidRPr="00A03403">
        <w:rPr>
          <w:rFonts w:asciiTheme="minorHAnsi" w:hAnsiTheme="minorHAnsi" w:cstheme="minorHAnsi"/>
          <w:sz w:val="22"/>
          <w:szCs w:val="22"/>
        </w:rPr>
        <w:t xml:space="preserve"> in cardiac troponin</w:t>
      </w:r>
    </w:p>
    <w:p w14:paraId="11AFA203" w14:textId="3CCF96A0" w:rsidR="00D068D8" w:rsidRDefault="006A1DFE" w:rsidP="004E667A">
      <w:pPr>
        <w:ind w:left="360"/>
        <w:jc w:val="both"/>
      </w:pPr>
      <w:r>
        <w:rPr>
          <w:rFonts w:cstheme="minorHAnsi"/>
        </w:rPr>
        <w:t xml:space="preserve">Therefore, it would </w:t>
      </w:r>
      <w:proofErr w:type="gramStart"/>
      <w:r>
        <w:rPr>
          <w:rFonts w:cstheme="minorHAnsi"/>
        </w:rPr>
        <w:t>suggested</w:t>
      </w:r>
      <w:proofErr w:type="gramEnd"/>
      <w:r>
        <w:rPr>
          <w:rFonts w:cstheme="minorHAnsi"/>
        </w:rPr>
        <w:t xml:space="preserve"> </w:t>
      </w:r>
      <w:r w:rsidRPr="006A1DFE">
        <w:rPr>
          <w:rFonts w:cstheme="minorHAnsi"/>
        </w:rPr>
        <w:t>th</w:t>
      </w:r>
      <w:r>
        <w:rPr>
          <w:rFonts w:cstheme="minorHAnsi"/>
        </w:rPr>
        <w:t>at there is an</w:t>
      </w:r>
      <w:r w:rsidRPr="006A1DFE">
        <w:rPr>
          <w:rFonts w:cstheme="minorHAnsi"/>
        </w:rPr>
        <w:t xml:space="preserve"> opportunity to modify risk in </w:t>
      </w:r>
      <w:r w:rsidR="00A311A7" w:rsidRPr="006A1DFE">
        <w:rPr>
          <w:rFonts w:cstheme="minorHAnsi"/>
        </w:rPr>
        <w:t>this group of patients</w:t>
      </w:r>
      <w:r w:rsidRPr="006A1DFE">
        <w:rPr>
          <w:rFonts w:cstheme="minorHAnsi"/>
        </w:rPr>
        <w:t xml:space="preserve"> </w:t>
      </w:r>
      <w:r w:rsidR="004E667A">
        <w:rPr>
          <w:rFonts w:cstheme="minorHAnsi"/>
        </w:rPr>
        <w:t xml:space="preserve">that </w:t>
      </w:r>
      <w:r w:rsidRPr="006A1DFE">
        <w:rPr>
          <w:rFonts w:cstheme="minorHAnsi"/>
        </w:rPr>
        <w:t xml:space="preserve">is </w:t>
      </w:r>
      <w:r w:rsidR="00A311A7" w:rsidRPr="006A1DFE">
        <w:rPr>
          <w:rFonts w:cstheme="minorHAnsi"/>
        </w:rPr>
        <w:t>more limited</w:t>
      </w:r>
      <w:r w:rsidR="004E667A">
        <w:rPr>
          <w:rFonts w:cstheme="minorHAnsi"/>
        </w:rPr>
        <w:t xml:space="preserve"> and to have a wider ranger as the presentation for women was attributed their older aged resulted in the lower provision and efficacy treatment for them</w:t>
      </w:r>
      <w:r w:rsidRPr="006A1DFE">
        <w:rPr>
          <w:rFonts w:cstheme="minorHAnsi"/>
        </w:rPr>
        <w:t xml:space="preserve">. </w:t>
      </w:r>
      <w:r w:rsidR="004E667A">
        <w:rPr>
          <w:rFonts w:cstheme="minorHAnsi"/>
        </w:rPr>
        <w:t xml:space="preserve"> </w:t>
      </w:r>
      <w:r w:rsidR="004E26F1">
        <w:t xml:space="preserve">It is </w:t>
      </w:r>
      <w:r w:rsidR="004E667A">
        <w:t>possible</w:t>
      </w:r>
      <w:r w:rsidR="004E26F1">
        <w:t xml:space="preserve"> </w:t>
      </w:r>
      <w:r w:rsidR="00A311A7">
        <w:t>that the</w:t>
      </w:r>
      <w:r w:rsidR="004E26F1">
        <w:t xml:space="preserve"> </w:t>
      </w:r>
      <w:r w:rsidR="00A311A7">
        <w:t>discordance in treatment provision</w:t>
      </w:r>
      <w:r w:rsidR="004E26F1">
        <w:t xml:space="preserve"> and efﬁcacy was due to differences in the pathophysiology of </w:t>
      </w:r>
      <w:proofErr w:type="gramStart"/>
      <w:r w:rsidR="004E26F1">
        <w:t>acute  coronary</w:t>
      </w:r>
      <w:proofErr w:type="gramEnd"/>
      <w:r w:rsidR="004E26F1">
        <w:t xml:space="preserve">  syndromes  between women and men. </w:t>
      </w:r>
    </w:p>
    <w:p w14:paraId="13FF05D3" w14:textId="6E7EEC24" w:rsidR="00A311A7" w:rsidRDefault="00A311A7" w:rsidP="004E26F1">
      <w:pPr>
        <w:jc w:val="both"/>
      </w:pPr>
      <w:r w:rsidRPr="00A311A7">
        <w:t xml:space="preserve">The limitation from the study also </w:t>
      </w:r>
      <w:r w:rsidR="00885B0A">
        <w:t>indicated that:</w:t>
      </w:r>
    </w:p>
    <w:p w14:paraId="1107414A" w14:textId="77777777" w:rsidR="00885B0A" w:rsidRDefault="00885B0A" w:rsidP="00885B0A">
      <w:pPr>
        <w:pStyle w:val="ListParagraph"/>
        <w:numPr>
          <w:ilvl w:val="0"/>
          <w:numId w:val="6"/>
        </w:numPr>
        <w:jc w:val="both"/>
      </w:pPr>
      <w:r>
        <w:t xml:space="preserve">The </w:t>
      </w:r>
      <w:r w:rsidRPr="00885B0A">
        <w:t xml:space="preserve">adjudication panel may have underdiagnosed type 1 myocardial infarction in women, </w:t>
      </w:r>
      <w:r>
        <w:t>because</w:t>
      </w:r>
      <w:r w:rsidRPr="00885B0A">
        <w:t xml:space="preserve"> the rates of</w:t>
      </w:r>
      <w:r>
        <w:t xml:space="preserve"> the </w:t>
      </w:r>
      <w:r w:rsidRPr="00885B0A">
        <w:t xml:space="preserve">coronary angiography were </w:t>
      </w:r>
      <w:r>
        <w:t>fewer than</w:t>
      </w:r>
      <w:r w:rsidRPr="00885B0A">
        <w:t xml:space="preserve"> those </w:t>
      </w:r>
      <w:proofErr w:type="gramStart"/>
      <w:r w:rsidRPr="00885B0A">
        <w:t>of  men</w:t>
      </w:r>
      <w:proofErr w:type="gramEnd"/>
      <w:r w:rsidRPr="00885B0A">
        <w:t>.</w:t>
      </w:r>
    </w:p>
    <w:p w14:paraId="580795BF" w14:textId="65209508" w:rsidR="00885B0A" w:rsidRDefault="00885B0A" w:rsidP="00885B0A">
      <w:pPr>
        <w:pStyle w:val="ListParagraph"/>
        <w:numPr>
          <w:ilvl w:val="0"/>
          <w:numId w:val="6"/>
        </w:numPr>
        <w:jc w:val="both"/>
      </w:pPr>
      <w:r>
        <w:t xml:space="preserve">There may have occurred </w:t>
      </w:r>
      <w:r w:rsidRPr="00885B0A">
        <w:t>some misclassiﬁcation</w:t>
      </w:r>
    </w:p>
    <w:p w14:paraId="16360988" w14:textId="540386F5" w:rsidR="00885B0A" w:rsidRDefault="00885B0A" w:rsidP="00885B0A">
      <w:pPr>
        <w:pStyle w:val="ListParagraph"/>
        <w:numPr>
          <w:ilvl w:val="0"/>
          <w:numId w:val="6"/>
        </w:numPr>
        <w:jc w:val="both"/>
      </w:pPr>
      <w:r>
        <w:t>The residual confounding may be unable to adjust even though optimal adjustment patients were selected for the treatment.</w:t>
      </w:r>
    </w:p>
    <w:p w14:paraId="297C0211" w14:textId="752BBEE5" w:rsidR="00885B0A" w:rsidRDefault="00885B0A" w:rsidP="00885B0A">
      <w:pPr>
        <w:pStyle w:val="ListParagraph"/>
        <w:numPr>
          <w:ilvl w:val="0"/>
          <w:numId w:val="6"/>
        </w:numPr>
        <w:jc w:val="both"/>
      </w:pPr>
      <w:r>
        <w:t xml:space="preserve">Hospitals that </w:t>
      </w:r>
      <w:proofErr w:type="gramStart"/>
      <w:r>
        <w:t>uses</w:t>
      </w:r>
      <w:proofErr w:type="gramEnd"/>
      <w:r>
        <w:t xml:space="preserve"> lower uniform threshold for cardiac troponin may differ based on the impact of adopting sex specific thresholds.</w:t>
      </w:r>
    </w:p>
    <w:p w14:paraId="14223AA0" w14:textId="77777777" w:rsidR="00EC5C20" w:rsidRDefault="00885B0A" w:rsidP="00885B0A">
      <w:pPr>
        <w:pStyle w:val="ListParagraph"/>
        <w:numPr>
          <w:ilvl w:val="0"/>
          <w:numId w:val="6"/>
        </w:numPr>
        <w:jc w:val="both"/>
      </w:pPr>
      <w:r>
        <w:t>H</w:t>
      </w:r>
      <w:r w:rsidRPr="00885B0A">
        <w:t>igh</w:t>
      </w:r>
      <w:r>
        <w:t xml:space="preserve">er </w:t>
      </w:r>
      <w:r w:rsidRPr="00885B0A">
        <w:t>sensitivity assays in clinical</w:t>
      </w:r>
      <w:r>
        <w:t xml:space="preserve"> may be</w:t>
      </w:r>
      <w:r w:rsidRPr="00885B0A">
        <w:t xml:space="preserve"> use</w:t>
      </w:r>
      <w:r>
        <w:t>d in other part of the world but for this study the implementation sex specific 99</w:t>
      </w:r>
      <w:r w:rsidRPr="00885B0A">
        <w:rPr>
          <w:vertAlign w:val="superscript"/>
        </w:rPr>
        <w:t>th</w:t>
      </w:r>
      <w:r>
        <w:t xml:space="preserve"> centile threshold uses high </w:t>
      </w:r>
      <w:proofErr w:type="spellStart"/>
      <w:r>
        <w:t>senstivie</w:t>
      </w:r>
      <w:proofErr w:type="spellEnd"/>
      <w:r>
        <w:t xml:space="preserve"> </w:t>
      </w:r>
      <w:r w:rsidR="00EC5C20">
        <w:t xml:space="preserve">troponin assay in the trial. </w:t>
      </w:r>
    </w:p>
    <w:p w14:paraId="2A474018" w14:textId="0ECF9C29" w:rsidR="00885B0A" w:rsidRDefault="00EC5C20" w:rsidP="00885B0A">
      <w:pPr>
        <w:pStyle w:val="ListParagraph"/>
        <w:numPr>
          <w:ilvl w:val="0"/>
          <w:numId w:val="6"/>
        </w:numPr>
        <w:jc w:val="both"/>
      </w:pPr>
      <w:r>
        <w:lastRenderedPageBreak/>
        <w:t>The</w:t>
      </w:r>
      <w:r w:rsidRPr="00EC5C20">
        <w:t xml:space="preserve"> troponin testing may be performed for other reasons and varies across different health care systems</w:t>
      </w:r>
    </w:p>
    <w:p w14:paraId="4DA6918F" w14:textId="4300C049" w:rsidR="00EC5C20" w:rsidRDefault="00EC5C20" w:rsidP="00885B0A">
      <w:pPr>
        <w:pStyle w:val="ListParagraph"/>
        <w:numPr>
          <w:ilvl w:val="0"/>
          <w:numId w:val="6"/>
        </w:numPr>
        <w:jc w:val="both"/>
      </w:pPr>
      <w:r>
        <w:t xml:space="preserve">The trial </w:t>
      </w:r>
      <w:r w:rsidRPr="00EC5C20">
        <w:t xml:space="preserve">did </w:t>
      </w:r>
      <w:proofErr w:type="gramStart"/>
      <w:r w:rsidRPr="00EC5C20">
        <w:t>not</w:t>
      </w:r>
      <w:r w:rsidRPr="00EC5C20">
        <w:t xml:space="preserve">  </w:t>
      </w:r>
      <w:r>
        <w:t>exactly</w:t>
      </w:r>
      <w:proofErr w:type="gramEnd"/>
      <w:r w:rsidRPr="00EC5C20">
        <w:t xml:space="preserve">  compare  whether  the use of sex-speciﬁc thresholds was superior to  a  uniform threshold using a </w:t>
      </w:r>
      <w:proofErr w:type="spellStart"/>
      <w:r w:rsidRPr="00EC5C20">
        <w:t>hs-cTnI</w:t>
      </w:r>
      <w:proofErr w:type="spellEnd"/>
      <w:r w:rsidRPr="00EC5C20">
        <w:t xml:space="preserve"> assay</w:t>
      </w:r>
      <w:r>
        <w:t>. It was more evaluated</w:t>
      </w:r>
      <w:r w:rsidRPr="00EC5C20">
        <w:t xml:space="preserve"> in a prospective cluster randomized controlled trial</w:t>
      </w:r>
      <w:r>
        <w:t xml:space="preserve"> </w:t>
      </w:r>
      <w:proofErr w:type="gramStart"/>
      <w:r w:rsidRPr="00EC5C20">
        <w:t xml:space="preserve">that  </w:t>
      </w:r>
      <w:r>
        <w:t>would</w:t>
      </w:r>
      <w:proofErr w:type="gramEnd"/>
      <w:r>
        <w:t xml:space="preserve"> have </w:t>
      </w:r>
      <w:r w:rsidRPr="00EC5C20">
        <w:t xml:space="preserve">include  a health economic analysis to  </w:t>
      </w:r>
      <w:r>
        <w:t>decide if</w:t>
      </w:r>
      <w:r w:rsidRPr="00EC5C20">
        <w:t xml:space="preserve"> adopting sex-speciﬁc   thresholds   and   </w:t>
      </w:r>
      <w:r w:rsidRPr="00EC5C20">
        <w:t>finding</w:t>
      </w:r>
      <w:r>
        <w:t xml:space="preserve"> out if</w:t>
      </w:r>
      <w:r w:rsidRPr="00EC5C20">
        <w:t xml:space="preserve"> more women at risk is cost effective.</w:t>
      </w:r>
    </w:p>
    <w:p w14:paraId="21F07FCC" w14:textId="77777777" w:rsidR="00EC5C20" w:rsidRPr="00A311A7" w:rsidRDefault="00EC5C20" w:rsidP="00885B0A">
      <w:pPr>
        <w:pStyle w:val="ListParagraph"/>
        <w:numPr>
          <w:ilvl w:val="0"/>
          <w:numId w:val="6"/>
        </w:numPr>
        <w:jc w:val="both"/>
      </w:pPr>
    </w:p>
    <w:p w14:paraId="35F4A25D" w14:textId="05059C23" w:rsidR="004E26F1" w:rsidRDefault="004E26F1" w:rsidP="004E26F1">
      <w:pPr>
        <w:jc w:val="both"/>
      </w:pPr>
    </w:p>
    <w:p w14:paraId="43438FBB" w14:textId="0422B534" w:rsidR="004E26F1" w:rsidRPr="00B45EC5" w:rsidRDefault="004E26F1" w:rsidP="004E26F1">
      <w:pPr>
        <w:jc w:val="both"/>
        <w:rPr>
          <w:b/>
          <w:bCs/>
        </w:rPr>
      </w:pPr>
      <w:r w:rsidRPr="00B45EC5">
        <w:rPr>
          <w:b/>
          <w:bCs/>
        </w:rPr>
        <w:t>Conclusion</w:t>
      </w:r>
    </w:p>
    <w:p w14:paraId="428E462F" w14:textId="4FC9878F" w:rsidR="004E26F1" w:rsidRDefault="00A311A7" w:rsidP="00A311A7">
      <w:pPr>
        <w:jc w:val="both"/>
      </w:pPr>
      <w:r>
        <w:t xml:space="preserve">From the observational studies based on </w:t>
      </w:r>
      <w:r>
        <w:t>Sex-Specific Thresholds of</w:t>
      </w:r>
      <w:r>
        <w:t xml:space="preserve"> </w:t>
      </w:r>
      <w:r>
        <w:t xml:space="preserve">High-Sensitivity Troponin in Patients </w:t>
      </w:r>
      <w:proofErr w:type="gramStart"/>
      <w:r>
        <w:t>With</w:t>
      </w:r>
      <w:proofErr w:type="gramEnd"/>
      <w:r>
        <w:t xml:space="preserve"> </w:t>
      </w:r>
      <w:r>
        <w:t>Suspected Acute Coronary Syndrome</w:t>
      </w:r>
      <w:r>
        <w:t xml:space="preserve"> it was identified that myocardial injury are five times more in women than men.</w:t>
      </w:r>
    </w:p>
    <w:p w14:paraId="016249E0" w14:textId="05F1CC10" w:rsidR="00A311A7" w:rsidRDefault="00B45EC5" w:rsidP="00A311A7">
      <w:pPr>
        <w:jc w:val="both"/>
      </w:pPr>
      <w:r>
        <w:t>It is more possible for wo</w:t>
      </w:r>
      <w:r w:rsidR="00A311A7" w:rsidRPr="00A311A7">
        <w:t>men than men to have plaque erosions and coronary microembolization (21), spontaneous coronary artery dissections (22), and coronary   microvascular   dysfunction</w:t>
      </w:r>
      <w:proofErr w:type="gramStart"/>
      <w:r w:rsidR="00A311A7" w:rsidRPr="00A311A7">
        <w:t xml:space="preserve">   (</w:t>
      </w:r>
      <w:proofErr w:type="gramEnd"/>
      <w:r w:rsidR="00A311A7" w:rsidRPr="00A311A7">
        <w:t>23)</w:t>
      </w:r>
      <w:r w:rsidR="00946D80">
        <w:t xml:space="preserve">. </w:t>
      </w:r>
      <w:r w:rsidR="00A311A7" w:rsidRPr="00A311A7">
        <w:t xml:space="preserve">   </w:t>
      </w:r>
      <w:r w:rsidR="00946D80">
        <w:t>W</w:t>
      </w:r>
      <w:r w:rsidR="00A311A7" w:rsidRPr="00A311A7">
        <w:t xml:space="preserve">omen are </w:t>
      </w:r>
      <w:r w:rsidR="00946D80">
        <w:t>always less r</w:t>
      </w:r>
      <w:r w:rsidR="00A311A7" w:rsidRPr="00A311A7">
        <w:t xml:space="preserve">epresented in clinical </w:t>
      </w:r>
      <w:proofErr w:type="gramStart"/>
      <w:r w:rsidR="00A311A7" w:rsidRPr="00A311A7">
        <w:t>trials  of</w:t>
      </w:r>
      <w:proofErr w:type="gramEnd"/>
      <w:r w:rsidR="00A311A7" w:rsidRPr="00A311A7">
        <w:t xml:space="preserve">  cardiovascular  therapies  (24–26).  </w:t>
      </w:r>
      <w:r w:rsidR="00946D80">
        <w:t>It is also noted that w</w:t>
      </w:r>
      <w:r w:rsidR="00A311A7" w:rsidRPr="00A311A7">
        <w:t xml:space="preserve">omen may also have been </w:t>
      </w:r>
      <w:r w:rsidR="00946D80">
        <w:t xml:space="preserve">undergo </w:t>
      </w:r>
      <w:proofErr w:type="gramStart"/>
      <w:r w:rsidR="00A311A7" w:rsidRPr="00A311A7">
        <w:t>clinician  bias</w:t>
      </w:r>
      <w:proofErr w:type="gramEnd"/>
      <w:r w:rsidR="00A311A7" w:rsidRPr="00A311A7">
        <w:t xml:space="preserve">  </w:t>
      </w:r>
      <w:r w:rsidR="00946D80">
        <w:t xml:space="preserve">as it relates to </w:t>
      </w:r>
      <w:r w:rsidR="00A311A7" w:rsidRPr="00A311A7">
        <w:t>diagnostic tests or provision of therapies (27)</w:t>
      </w:r>
      <w:r w:rsidR="00946D80">
        <w:t xml:space="preserve">.  They may have </w:t>
      </w:r>
      <w:proofErr w:type="gramStart"/>
      <w:r w:rsidR="00946D80">
        <w:t>unequal</w:t>
      </w:r>
      <w:r w:rsidR="00A311A7" w:rsidRPr="00A311A7">
        <w:t xml:space="preserve">  burden</w:t>
      </w:r>
      <w:proofErr w:type="gramEnd"/>
      <w:r w:rsidR="00A311A7" w:rsidRPr="00A311A7">
        <w:t xml:space="preserve">  of  psychosocial  risk  factors,  </w:t>
      </w:r>
      <w:r w:rsidR="00946D80">
        <w:t>example</w:t>
      </w:r>
      <w:r w:rsidR="00A311A7" w:rsidRPr="00A311A7">
        <w:t xml:space="preserve">  depression</w:t>
      </w:r>
      <w:r w:rsidR="00946D80">
        <w:t xml:space="preserve">, deny </w:t>
      </w:r>
      <w:r w:rsidR="00A311A7" w:rsidRPr="00A311A7">
        <w:t>social support</w:t>
      </w:r>
      <w:r w:rsidR="00946D80">
        <w:t xml:space="preserve"> and these can</w:t>
      </w:r>
      <w:r w:rsidR="00A311A7" w:rsidRPr="00A311A7">
        <w:t xml:space="preserve"> inﬂuence </w:t>
      </w:r>
      <w:r w:rsidR="00946D80">
        <w:t xml:space="preserve">or causes </w:t>
      </w:r>
      <w:r w:rsidR="00A311A7" w:rsidRPr="00A311A7">
        <w:t>cardiovascular risk (28).</w:t>
      </w:r>
    </w:p>
    <w:p w14:paraId="55B31A01" w14:textId="0C397E7A" w:rsidR="00A311A7" w:rsidRDefault="00946D80" w:rsidP="00A311A7">
      <w:pPr>
        <w:jc w:val="both"/>
      </w:pPr>
      <w:r>
        <w:t xml:space="preserve">In concluding, on the contrary, </w:t>
      </w:r>
      <w:r w:rsidRPr="00A311A7">
        <w:t>women</w:t>
      </w:r>
      <w:r w:rsidR="00A311A7" w:rsidRPr="00A311A7">
        <w:t xml:space="preserve"> and men with </w:t>
      </w:r>
      <w:proofErr w:type="spellStart"/>
      <w:r w:rsidR="00A311A7" w:rsidRPr="00A311A7">
        <w:t>hs-cTnI</w:t>
      </w:r>
      <w:proofErr w:type="spellEnd"/>
      <w:r w:rsidR="00A311A7" w:rsidRPr="00A311A7">
        <w:t xml:space="preserve"> concentrations below their respective sex-</w:t>
      </w:r>
      <w:proofErr w:type="gramStart"/>
      <w:r w:rsidR="00A311A7" w:rsidRPr="00A311A7">
        <w:t>speciﬁc  diagnostic</w:t>
      </w:r>
      <w:proofErr w:type="gramEnd"/>
      <w:r w:rsidR="00A311A7" w:rsidRPr="00A311A7">
        <w:t xml:space="preserve">  thresholds  </w:t>
      </w:r>
      <w:r>
        <w:t xml:space="preserve">have shown </w:t>
      </w:r>
      <w:r w:rsidR="00A311A7" w:rsidRPr="00A311A7">
        <w:t xml:space="preserve">similar rates of cardiovascular events, </w:t>
      </w:r>
      <w:r>
        <w:t>indicating</w:t>
      </w:r>
      <w:r w:rsidR="00A311A7" w:rsidRPr="00A311A7">
        <w:t xml:space="preserve"> that the higher 99th centile</w:t>
      </w:r>
      <w:r>
        <w:t xml:space="preserve"> use</w:t>
      </w:r>
      <w:r w:rsidR="00A311A7" w:rsidRPr="00A311A7">
        <w:t xml:space="preserve"> for men </w:t>
      </w:r>
      <w:r>
        <w:t>had</w:t>
      </w:r>
      <w:r w:rsidR="00A311A7" w:rsidRPr="00A311A7">
        <w:t xml:space="preserve"> not </w:t>
      </w:r>
      <w:r w:rsidRPr="00A311A7">
        <w:t>inaptly</w:t>
      </w:r>
      <w:r w:rsidR="00A311A7" w:rsidRPr="00A311A7">
        <w:t xml:space="preserve"> </w:t>
      </w:r>
      <w:r w:rsidRPr="00A311A7">
        <w:t>eliminate</w:t>
      </w:r>
      <w:r w:rsidR="00A311A7" w:rsidRPr="00A311A7">
        <w:t xml:space="preserve">  myocardial  injury  in  those who </w:t>
      </w:r>
      <w:r>
        <w:t>would</w:t>
      </w:r>
      <w:r w:rsidR="00A311A7" w:rsidRPr="00A311A7">
        <w:t xml:space="preserve"> have beneﬁted from being </w:t>
      </w:r>
      <w:r>
        <w:t>recognised</w:t>
      </w:r>
      <w:r w:rsidR="00A311A7" w:rsidRPr="00A311A7">
        <w:t xml:space="preserve"> and treated.</w:t>
      </w:r>
    </w:p>
    <w:p w14:paraId="6C7657BA" w14:textId="13106AE4" w:rsidR="004E26F1" w:rsidRDefault="004E26F1" w:rsidP="004E26F1">
      <w:pPr>
        <w:jc w:val="both"/>
      </w:pPr>
    </w:p>
    <w:p w14:paraId="77E16B17" w14:textId="1DD64F63" w:rsidR="004E26F1" w:rsidRDefault="004E26F1" w:rsidP="004E26F1">
      <w:pPr>
        <w:jc w:val="both"/>
      </w:pPr>
    </w:p>
    <w:p w14:paraId="41B05086" w14:textId="240DEA11" w:rsidR="004E26F1" w:rsidRDefault="004E26F1" w:rsidP="004E26F1">
      <w:pPr>
        <w:jc w:val="both"/>
      </w:pPr>
    </w:p>
    <w:p w14:paraId="5201E30F" w14:textId="77777777" w:rsidR="00BE55EC" w:rsidRDefault="00BE55EC">
      <w:r>
        <w:br w:type="page"/>
      </w:r>
    </w:p>
    <w:p w14:paraId="1392E8D4" w14:textId="2D70A1D3" w:rsidR="004E26F1" w:rsidRPr="00BE55EC" w:rsidRDefault="004E26F1" w:rsidP="004E26F1">
      <w:pPr>
        <w:jc w:val="both"/>
        <w:rPr>
          <w:b/>
          <w:bCs/>
        </w:rPr>
      </w:pPr>
      <w:r w:rsidRPr="00BE55EC">
        <w:rPr>
          <w:b/>
          <w:bCs/>
        </w:rPr>
        <w:lastRenderedPageBreak/>
        <w:t>Reference</w:t>
      </w:r>
    </w:p>
    <w:p w14:paraId="54FCE5C1" w14:textId="05070F9C" w:rsidR="00BE55EC" w:rsidRDefault="00BE55EC" w:rsidP="004E26F1">
      <w:pPr>
        <w:jc w:val="both"/>
      </w:pPr>
    </w:p>
    <w:p w14:paraId="7AEE75C3" w14:textId="77777777" w:rsidR="00BE55EC" w:rsidRDefault="00BE55EC" w:rsidP="004E26F1">
      <w:pPr>
        <w:jc w:val="both"/>
      </w:pPr>
    </w:p>
    <w:p w14:paraId="2F50A70E" w14:textId="77777777" w:rsidR="004E26F1" w:rsidRDefault="004E26F1" w:rsidP="004E26F1">
      <w:pPr>
        <w:jc w:val="both"/>
      </w:pPr>
    </w:p>
    <w:p w14:paraId="00F68518" w14:textId="77777777" w:rsidR="004E26F1" w:rsidRDefault="004E26F1" w:rsidP="004E26F1">
      <w:pPr>
        <w:jc w:val="both"/>
      </w:pPr>
    </w:p>
    <w:p w14:paraId="0AF6D743" w14:textId="77777777" w:rsidR="004E26F1" w:rsidRPr="004E26F1" w:rsidRDefault="004E26F1" w:rsidP="004E26F1">
      <w:pPr>
        <w:jc w:val="both"/>
        <w:rPr>
          <w:lang w:val="en-US"/>
        </w:rPr>
      </w:pPr>
    </w:p>
    <w:p w14:paraId="7D0D056C" w14:textId="77777777" w:rsidR="004E26F1" w:rsidRDefault="004E26F1" w:rsidP="004E26F1">
      <w:pPr>
        <w:jc w:val="both"/>
      </w:pPr>
    </w:p>
    <w:p w14:paraId="5DA8A05B" w14:textId="4542EE5C" w:rsidR="004E26F1" w:rsidRDefault="004E26F1" w:rsidP="00A24F19">
      <w:pPr>
        <w:jc w:val="both"/>
      </w:pPr>
    </w:p>
    <w:p w14:paraId="33BF1DD5" w14:textId="45E8491F" w:rsidR="004E26F1" w:rsidRDefault="004E26F1" w:rsidP="00A24F19">
      <w:pPr>
        <w:jc w:val="both"/>
      </w:pPr>
    </w:p>
    <w:p w14:paraId="7B4A14CE" w14:textId="77777777" w:rsidR="004E26F1" w:rsidRDefault="004E26F1" w:rsidP="00A24F19">
      <w:pPr>
        <w:jc w:val="both"/>
      </w:pPr>
    </w:p>
    <w:sectPr w:rsidR="004E26F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801555" w14:textId="77777777" w:rsidR="002E7C1D" w:rsidRDefault="002E7C1D" w:rsidP="001A4B77">
      <w:pPr>
        <w:spacing w:after="0" w:line="240" w:lineRule="auto"/>
      </w:pPr>
      <w:r>
        <w:separator/>
      </w:r>
    </w:p>
  </w:endnote>
  <w:endnote w:type="continuationSeparator" w:id="0">
    <w:p w14:paraId="7B21F8F9" w14:textId="77777777" w:rsidR="002E7C1D" w:rsidRDefault="002E7C1D" w:rsidP="001A4B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CDCD2D" w14:textId="77777777" w:rsidR="002E7C1D" w:rsidRDefault="002E7C1D" w:rsidP="001A4B77">
      <w:pPr>
        <w:spacing w:after="0" w:line="240" w:lineRule="auto"/>
      </w:pPr>
      <w:r>
        <w:separator/>
      </w:r>
    </w:p>
  </w:footnote>
  <w:footnote w:type="continuationSeparator" w:id="0">
    <w:p w14:paraId="0CEAAD87" w14:textId="77777777" w:rsidR="002E7C1D" w:rsidRDefault="002E7C1D" w:rsidP="001A4B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527074"/>
    <w:multiLevelType w:val="hybridMultilevel"/>
    <w:tmpl w:val="D3DC1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0D2085"/>
    <w:multiLevelType w:val="hybridMultilevel"/>
    <w:tmpl w:val="78C0E9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176C72"/>
    <w:multiLevelType w:val="hybridMultilevel"/>
    <w:tmpl w:val="4942D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AA1ECE"/>
    <w:multiLevelType w:val="hybridMultilevel"/>
    <w:tmpl w:val="1AF22AC4"/>
    <w:lvl w:ilvl="0" w:tplc="2A9CF8F2">
      <w:start w:val="1"/>
      <w:numFmt w:val="bullet"/>
      <w:lvlText w:val="•"/>
      <w:lvlJc w:val="left"/>
      <w:pPr>
        <w:tabs>
          <w:tab w:val="num" w:pos="720"/>
        </w:tabs>
        <w:ind w:left="720" w:hanging="360"/>
      </w:pPr>
      <w:rPr>
        <w:rFonts w:ascii="Arial" w:hAnsi="Arial" w:hint="default"/>
      </w:rPr>
    </w:lvl>
    <w:lvl w:ilvl="1" w:tplc="0CD6E338">
      <w:start w:val="1"/>
      <w:numFmt w:val="bullet"/>
      <w:lvlText w:val="•"/>
      <w:lvlJc w:val="left"/>
      <w:pPr>
        <w:tabs>
          <w:tab w:val="num" w:pos="1440"/>
        </w:tabs>
        <w:ind w:left="1440" w:hanging="360"/>
      </w:pPr>
      <w:rPr>
        <w:rFonts w:ascii="Arial" w:hAnsi="Arial" w:hint="default"/>
      </w:rPr>
    </w:lvl>
    <w:lvl w:ilvl="2" w:tplc="8982BA72" w:tentative="1">
      <w:start w:val="1"/>
      <w:numFmt w:val="bullet"/>
      <w:lvlText w:val="•"/>
      <w:lvlJc w:val="left"/>
      <w:pPr>
        <w:tabs>
          <w:tab w:val="num" w:pos="2160"/>
        </w:tabs>
        <w:ind w:left="2160" w:hanging="360"/>
      </w:pPr>
      <w:rPr>
        <w:rFonts w:ascii="Arial" w:hAnsi="Arial" w:hint="default"/>
      </w:rPr>
    </w:lvl>
    <w:lvl w:ilvl="3" w:tplc="1F74E8C4" w:tentative="1">
      <w:start w:val="1"/>
      <w:numFmt w:val="bullet"/>
      <w:lvlText w:val="•"/>
      <w:lvlJc w:val="left"/>
      <w:pPr>
        <w:tabs>
          <w:tab w:val="num" w:pos="2880"/>
        </w:tabs>
        <w:ind w:left="2880" w:hanging="360"/>
      </w:pPr>
      <w:rPr>
        <w:rFonts w:ascii="Arial" w:hAnsi="Arial" w:hint="default"/>
      </w:rPr>
    </w:lvl>
    <w:lvl w:ilvl="4" w:tplc="52EA5F4C" w:tentative="1">
      <w:start w:val="1"/>
      <w:numFmt w:val="bullet"/>
      <w:lvlText w:val="•"/>
      <w:lvlJc w:val="left"/>
      <w:pPr>
        <w:tabs>
          <w:tab w:val="num" w:pos="3600"/>
        </w:tabs>
        <w:ind w:left="3600" w:hanging="360"/>
      </w:pPr>
      <w:rPr>
        <w:rFonts w:ascii="Arial" w:hAnsi="Arial" w:hint="default"/>
      </w:rPr>
    </w:lvl>
    <w:lvl w:ilvl="5" w:tplc="70C0CF3A" w:tentative="1">
      <w:start w:val="1"/>
      <w:numFmt w:val="bullet"/>
      <w:lvlText w:val="•"/>
      <w:lvlJc w:val="left"/>
      <w:pPr>
        <w:tabs>
          <w:tab w:val="num" w:pos="4320"/>
        </w:tabs>
        <w:ind w:left="4320" w:hanging="360"/>
      </w:pPr>
      <w:rPr>
        <w:rFonts w:ascii="Arial" w:hAnsi="Arial" w:hint="default"/>
      </w:rPr>
    </w:lvl>
    <w:lvl w:ilvl="6" w:tplc="865E5054" w:tentative="1">
      <w:start w:val="1"/>
      <w:numFmt w:val="bullet"/>
      <w:lvlText w:val="•"/>
      <w:lvlJc w:val="left"/>
      <w:pPr>
        <w:tabs>
          <w:tab w:val="num" w:pos="5040"/>
        </w:tabs>
        <w:ind w:left="5040" w:hanging="360"/>
      </w:pPr>
      <w:rPr>
        <w:rFonts w:ascii="Arial" w:hAnsi="Arial" w:hint="default"/>
      </w:rPr>
    </w:lvl>
    <w:lvl w:ilvl="7" w:tplc="3BEC258C" w:tentative="1">
      <w:start w:val="1"/>
      <w:numFmt w:val="bullet"/>
      <w:lvlText w:val="•"/>
      <w:lvlJc w:val="left"/>
      <w:pPr>
        <w:tabs>
          <w:tab w:val="num" w:pos="5760"/>
        </w:tabs>
        <w:ind w:left="5760" w:hanging="360"/>
      </w:pPr>
      <w:rPr>
        <w:rFonts w:ascii="Arial" w:hAnsi="Arial" w:hint="default"/>
      </w:rPr>
    </w:lvl>
    <w:lvl w:ilvl="8" w:tplc="F1C0D35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1184162"/>
    <w:multiLevelType w:val="hybridMultilevel"/>
    <w:tmpl w:val="32F2FD1C"/>
    <w:lvl w:ilvl="0" w:tplc="C5700C60">
      <w:start w:val="1"/>
      <w:numFmt w:val="bullet"/>
      <w:lvlText w:val="•"/>
      <w:lvlJc w:val="left"/>
      <w:pPr>
        <w:tabs>
          <w:tab w:val="num" w:pos="720"/>
        </w:tabs>
        <w:ind w:left="720" w:hanging="360"/>
      </w:pPr>
      <w:rPr>
        <w:rFonts w:ascii="Arial" w:hAnsi="Arial" w:hint="default"/>
      </w:rPr>
    </w:lvl>
    <w:lvl w:ilvl="1" w:tplc="40A0BA28">
      <w:start w:val="1"/>
      <w:numFmt w:val="bullet"/>
      <w:lvlText w:val="•"/>
      <w:lvlJc w:val="left"/>
      <w:pPr>
        <w:tabs>
          <w:tab w:val="num" w:pos="1440"/>
        </w:tabs>
        <w:ind w:left="1440" w:hanging="360"/>
      </w:pPr>
      <w:rPr>
        <w:rFonts w:ascii="Arial" w:hAnsi="Arial" w:hint="default"/>
      </w:rPr>
    </w:lvl>
    <w:lvl w:ilvl="2" w:tplc="2774F096" w:tentative="1">
      <w:start w:val="1"/>
      <w:numFmt w:val="bullet"/>
      <w:lvlText w:val="•"/>
      <w:lvlJc w:val="left"/>
      <w:pPr>
        <w:tabs>
          <w:tab w:val="num" w:pos="2160"/>
        </w:tabs>
        <w:ind w:left="2160" w:hanging="360"/>
      </w:pPr>
      <w:rPr>
        <w:rFonts w:ascii="Arial" w:hAnsi="Arial" w:hint="default"/>
      </w:rPr>
    </w:lvl>
    <w:lvl w:ilvl="3" w:tplc="3D4037B0" w:tentative="1">
      <w:start w:val="1"/>
      <w:numFmt w:val="bullet"/>
      <w:lvlText w:val="•"/>
      <w:lvlJc w:val="left"/>
      <w:pPr>
        <w:tabs>
          <w:tab w:val="num" w:pos="2880"/>
        </w:tabs>
        <w:ind w:left="2880" w:hanging="360"/>
      </w:pPr>
      <w:rPr>
        <w:rFonts w:ascii="Arial" w:hAnsi="Arial" w:hint="default"/>
      </w:rPr>
    </w:lvl>
    <w:lvl w:ilvl="4" w:tplc="B4A6B8C4" w:tentative="1">
      <w:start w:val="1"/>
      <w:numFmt w:val="bullet"/>
      <w:lvlText w:val="•"/>
      <w:lvlJc w:val="left"/>
      <w:pPr>
        <w:tabs>
          <w:tab w:val="num" w:pos="3600"/>
        </w:tabs>
        <w:ind w:left="3600" w:hanging="360"/>
      </w:pPr>
      <w:rPr>
        <w:rFonts w:ascii="Arial" w:hAnsi="Arial" w:hint="default"/>
      </w:rPr>
    </w:lvl>
    <w:lvl w:ilvl="5" w:tplc="CD12A014" w:tentative="1">
      <w:start w:val="1"/>
      <w:numFmt w:val="bullet"/>
      <w:lvlText w:val="•"/>
      <w:lvlJc w:val="left"/>
      <w:pPr>
        <w:tabs>
          <w:tab w:val="num" w:pos="4320"/>
        </w:tabs>
        <w:ind w:left="4320" w:hanging="360"/>
      </w:pPr>
      <w:rPr>
        <w:rFonts w:ascii="Arial" w:hAnsi="Arial" w:hint="default"/>
      </w:rPr>
    </w:lvl>
    <w:lvl w:ilvl="6" w:tplc="953EEFF8" w:tentative="1">
      <w:start w:val="1"/>
      <w:numFmt w:val="bullet"/>
      <w:lvlText w:val="•"/>
      <w:lvlJc w:val="left"/>
      <w:pPr>
        <w:tabs>
          <w:tab w:val="num" w:pos="5040"/>
        </w:tabs>
        <w:ind w:left="5040" w:hanging="360"/>
      </w:pPr>
      <w:rPr>
        <w:rFonts w:ascii="Arial" w:hAnsi="Arial" w:hint="default"/>
      </w:rPr>
    </w:lvl>
    <w:lvl w:ilvl="7" w:tplc="B8808FAE" w:tentative="1">
      <w:start w:val="1"/>
      <w:numFmt w:val="bullet"/>
      <w:lvlText w:val="•"/>
      <w:lvlJc w:val="left"/>
      <w:pPr>
        <w:tabs>
          <w:tab w:val="num" w:pos="5760"/>
        </w:tabs>
        <w:ind w:left="5760" w:hanging="360"/>
      </w:pPr>
      <w:rPr>
        <w:rFonts w:ascii="Arial" w:hAnsi="Arial" w:hint="default"/>
      </w:rPr>
    </w:lvl>
    <w:lvl w:ilvl="8" w:tplc="AC607D2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8BE1846"/>
    <w:multiLevelType w:val="hybridMultilevel"/>
    <w:tmpl w:val="D292EBD6"/>
    <w:lvl w:ilvl="0" w:tplc="00CCE48C">
      <w:start w:val="1"/>
      <w:numFmt w:val="bullet"/>
      <w:lvlText w:val="•"/>
      <w:lvlJc w:val="left"/>
      <w:pPr>
        <w:tabs>
          <w:tab w:val="num" w:pos="720"/>
        </w:tabs>
        <w:ind w:left="720" w:hanging="360"/>
      </w:pPr>
      <w:rPr>
        <w:rFonts w:ascii="Arial" w:hAnsi="Arial" w:hint="default"/>
      </w:rPr>
    </w:lvl>
    <w:lvl w:ilvl="1" w:tplc="6DB8B41E" w:tentative="1">
      <w:start w:val="1"/>
      <w:numFmt w:val="bullet"/>
      <w:lvlText w:val="•"/>
      <w:lvlJc w:val="left"/>
      <w:pPr>
        <w:tabs>
          <w:tab w:val="num" w:pos="1440"/>
        </w:tabs>
        <w:ind w:left="1440" w:hanging="360"/>
      </w:pPr>
      <w:rPr>
        <w:rFonts w:ascii="Arial" w:hAnsi="Arial" w:hint="default"/>
      </w:rPr>
    </w:lvl>
    <w:lvl w:ilvl="2" w:tplc="91C6BF24" w:tentative="1">
      <w:start w:val="1"/>
      <w:numFmt w:val="bullet"/>
      <w:lvlText w:val="•"/>
      <w:lvlJc w:val="left"/>
      <w:pPr>
        <w:tabs>
          <w:tab w:val="num" w:pos="2160"/>
        </w:tabs>
        <w:ind w:left="2160" w:hanging="360"/>
      </w:pPr>
      <w:rPr>
        <w:rFonts w:ascii="Arial" w:hAnsi="Arial" w:hint="default"/>
      </w:rPr>
    </w:lvl>
    <w:lvl w:ilvl="3" w:tplc="83F617BA" w:tentative="1">
      <w:start w:val="1"/>
      <w:numFmt w:val="bullet"/>
      <w:lvlText w:val="•"/>
      <w:lvlJc w:val="left"/>
      <w:pPr>
        <w:tabs>
          <w:tab w:val="num" w:pos="2880"/>
        </w:tabs>
        <w:ind w:left="2880" w:hanging="360"/>
      </w:pPr>
      <w:rPr>
        <w:rFonts w:ascii="Arial" w:hAnsi="Arial" w:hint="default"/>
      </w:rPr>
    </w:lvl>
    <w:lvl w:ilvl="4" w:tplc="8A7665F4" w:tentative="1">
      <w:start w:val="1"/>
      <w:numFmt w:val="bullet"/>
      <w:lvlText w:val="•"/>
      <w:lvlJc w:val="left"/>
      <w:pPr>
        <w:tabs>
          <w:tab w:val="num" w:pos="3600"/>
        </w:tabs>
        <w:ind w:left="3600" w:hanging="360"/>
      </w:pPr>
      <w:rPr>
        <w:rFonts w:ascii="Arial" w:hAnsi="Arial" w:hint="default"/>
      </w:rPr>
    </w:lvl>
    <w:lvl w:ilvl="5" w:tplc="B838E662" w:tentative="1">
      <w:start w:val="1"/>
      <w:numFmt w:val="bullet"/>
      <w:lvlText w:val="•"/>
      <w:lvlJc w:val="left"/>
      <w:pPr>
        <w:tabs>
          <w:tab w:val="num" w:pos="4320"/>
        </w:tabs>
        <w:ind w:left="4320" w:hanging="360"/>
      </w:pPr>
      <w:rPr>
        <w:rFonts w:ascii="Arial" w:hAnsi="Arial" w:hint="default"/>
      </w:rPr>
    </w:lvl>
    <w:lvl w:ilvl="6" w:tplc="BFAEF010" w:tentative="1">
      <w:start w:val="1"/>
      <w:numFmt w:val="bullet"/>
      <w:lvlText w:val="•"/>
      <w:lvlJc w:val="left"/>
      <w:pPr>
        <w:tabs>
          <w:tab w:val="num" w:pos="5040"/>
        </w:tabs>
        <w:ind w:left="5040" w:hanging="360"/>
      </w:pPr>
      <w:rPr>
        <w:rFonts w:ascii="Arial" w:hAnsi="Arial" w:hint="default"/>
      </w:rPr>
    </w:lvl>
    <w:lvl w:ilvl="7" w:tplc="24DA0AD6" w:tentative="1">
      <w:start w:val="1"/>
      <w:numFmt w:val="bullet"/>
      <w:lvlText w:val="•"/>
      <w:lvlJc w:val="left"/>
      <w:pPr>
        <w:tabs>
          <w:tab w:val="num" w:pos="5760"/>
        </w:tabs>
        <w:ind w:left="5760" w:hanging="360"/>
      </w:pPr>
      <w:rPr>
        <w:rFonts w:ascii="Arial" w:hAnsi="Arial" w:hint="default"/>
      </w:rPr>
    </w:lvl>
    <w:lvl w:ilvl="8" w:tplc="11FC3172"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4"/>
  </w:num>
  <w:num w:numId="3">
    <w:abstractNumId w:val="5"/>
  </w:num>
  <w:num w:numId="4">
    <w:abstractNumId w:val="1"/>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4260"/>
    <w:rsid w:val="0002254E"/>
    <w:rsid w:val="00091AB4"/>
    <w:rsid w:val="000D2D1C"/>
    <w:rsid w:val="000E797E"/>
    <w:rsid w:val="00132BFC"/>
    <w:rsid w:val="001364ED"/>
    <w:rsid w:val="00141CD1"/>
    <w:rsid w:val="0015320E"/>
    <w:rsid w:val="0019071D"/>
    <w:rsid w:val="001A3FA6"/>
    <w:rsid w:val="001A4B77"/>
    <w:rsid w:val="001C3402"/>
    <w:rsid w:val="00210665"/>
    <w:rsid w:val="002544D5"/>
    <w:rsid w:val="002E7C1D"/>
    <w:rsid w:val="00366303"/>
    <w:rsid w:val="003A4B6F"/>
    <w:rsid w:val="003C01C3"/>
    <w:rsid w:val="00452534"/>
    <w:rsid w:val="004E26F1"/>
    <w:rsid w:val="004E667A"/>
    <w:rsid w:val="00503A33"/>
    <w:rsid w:val="005240D0"/>
    <w:rsid w:val="00595C52"/>
    <w:rsid w:val="005A4BCD"/>
    <w:rsid w:val="0063796A"/>
    <w:rsid w:val="006900D5"/>
    <w:rsid w:val="006A1DFE"/>
    <w:rsid w:val="007513CB"/>
    <w:rsid w:val="00790F9A"/>
    <w:rsid w:val="007F0974"/>
    <w:rsid w:val="00885B0A"/>
    <w:rsid w:val="008E1C3A"/>
    <w:rsid w:val="008F1D10"/>
    <w:rsid w:val="00905B56"/>
    <w:rsid w:val="00926A4C"/>
    <w:rsid w:val="00931370"/>
    <w:rsid w:val="00946D80"/>
    <w:rsid w:val="00961F4F"/>
    <w:rsid w:val="009B3007"/>
    <w:rsid w:val="009E42CC"/>
    <w:rsid w:val="00A03403"/>
    <w:rsid w:val="00A24F19"/>
    <w:rsid w:val="00A311A7"/>
    <w:rsid w:val="00B04260"/>
    <w:rsid w:val="00B37F16"/>
    <w:rsid w:val="00B433C5"/>
    <w:rsid w:val="00B45EC5"/>
    <w:rsid w:val="00B46E54"/>
    <w:rsid w:val="00BA0D39"/>
    <w:rsid w:val="00BC399D"/>
    <w:rsid w:val="00BE55EC"/>
    <w:rsid w:val="00C51D0F"/>
    <w:rsid w:val="00C634AC"/>
    <w:rsid w:val="00C95DC5"/>
    <w:rsid w:val="00D068D8"/>
    <w:rsid w:val="00D862FD"/>
    <w:rsid w:val="00DE78A1"/>
    <w:rsid w:val="00E3542B"/>
    <w:rsid w:val="00E95D7B"/>
    <w:rsid w:val="00EC5C20"/>
    <w:rsid w:val="00F54A90"/>
    <w:rsid w:val="00F720C1"/>
    <w:rsid w:val="00F75B6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7D9FBE"/>
  <w15:chartTrackingRefBased/>
  <w15:docId w15:val="{E983D0E7-3747-41F9-A32C-98F2335549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5DC5"/>
    <w:pPr>
      <w:spacing w:after="0" w:line="240" w:lineRule="auto"/>
      <w:ind w:left="720"/>
      <w:contextualSpacing/>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A4B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4B77"/>
  </w:style>
  <w:style w:type="paragraph" w:styleId="Footer">
    <w:name w:val="footer"/>
    <w:basedOn w:val="Normal"/>
    <w:link w:val="FooterChar"/>
    <w:uiPriority w:val="99"/>
    <w:unhideWhenUsed/>
    <w:rsid w:val="001A4B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4B77"/>
  </w:style>
  <w:style w:type="paragraph" w:styleId="Caption">
    <w:name w:val="caption"/>
    <w:basedOn w:val="Normal"/>
    <w:next w:val="Normal"/>
    <w:uiPriority w:val="35"/>
    <w:unhideWhenUsed/>
    <w:qFormat/>
    <w:rsid w:val="00452534"/>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7926846">
      <w:bodyDiv w:val="1"/>
      <w:marLeft w:val="0"/>
      <w:marRight w:val="0"/>
      <w:marTop w:val="0"/>
      <w:marBottom w:val="0"/>
      <w:divBdr>
        <w:top w:val="none" w:sz="0" w:space="0" w:color="auto"/>
        <w:left w:val="none" w:sz="0" w:space="0" w:color="auto"/>
        <w:bottom w:val="none" w:sz="0" w:space="0" w:color="auto"/>
        <w:right w:val="none" w:sz="0" w:space="0" w:color="auto"/>
      </w:divBdr>
      <w:divsChild>
        <w:div w:id="1546143005">
          <w:marLeft w:val="360"/>
          <w:marRight w:val="0"/>
          <w:marTop w:val="200"/>
          <w:marBottom w:val="0"/>
          <w:divBdr>
            <w:top w:val="none" w:sz="0" w:space="0" w:color="auto"/>
            <w:left w:val="none" w:sz="0" w:space="0" w:color="auto"/>
            <w:bottom w:val="none" w:sz="0" w:space="0" w:color="auto"/>
            <w:right w:val="none" w:sz="0" w:space="0" w:color="auto"/>
          </w:divBdr>
        </w:div>
        <w:div w:id="515769561">
          <w:marLeft w:val="360"/>
          <w:marRight w:val="0"/>
          <w:marTop w:val="200"/>
          <w:marBottom w:val="0"/>
          <w:divBdr>
            <w:top w:val="none" w:sz="0" w:space="0" w:color="auto"/>
            <w:left w:val="none" w:sz="0" w:space="0" w:color="auto"/>
            <w:bottom w:val="none" w:sz="0" w:space="0" w:color="auto"/>
            <w:right w:val="none" w:sz="0" w:space="0" w:color="auto"/>
          </w:divBdr>
        </w:div>
        <w:div w:id="1423912578">
          <w:marLeft w:val="360"/>
          <w:marRight w:val="0"/>
          <w:marTop w:val="200"/>
          <w:marBottom w:val="0"/>
          <w:divBdr>
            <w:top w:val="none" w:sz="0" w:space="0" w:color="auto"/>
            <w:left w:val="none" w:sz="0" w:space="0" w:color="auto"/>
            <w:bottom w:val="none" w:sz="0" w:space="0" w:color="auto"/>
            <w:right w:val="none" w:sz="0" w:space="0" w:color="auto"/>
          </w:divBdr>
        </w:div>
        <w:div w:id="275522709">
          <w:marLeft w:val="360"/>
          <w:marRight w:val="0"/>
          <w:marTop w:val="200"/>
          <w:marBottom w:val="0"/>
          <w:divBdr>
            <w:top w:val="none" w:sz="0" w:space="0" w:color="auto"/>
            <w:left w:val="none" w:sz="0" w:space="0" w:color="auto"/>
            <w:bottom w:val="none" w:sz="0" w:space="0" w:color="auto"/>
            <w:right w:val="none" w:sz="0" w:space="0" w:color="auto"/>
          </w:divBdr>
        </w:div>
        <w:div w:id="1900089282">
          <w:marLeft w:val="360"/>
          <w:marRight w:val="0"/>
          <w:marTop w:val="200"/>
          <w:marBottom w:val="0"/>
          <w:divBdr>
            <w:top w:val="none" w:sz="0" w:space="0" w:color="auto"/>
            <w:left w:val="none" w:sz="0" w:space="0" w:color="auto"/>
            <w:bottom w:val="none" w:sz="0" w:space="0" w:color="auto"/>
            <w:right w:val="none" w:sz="0" w:space="0" w:color="auto"/>
          </w:divBdr>
        </w:div>
      </w:divsChild>
    </w:div>
    <w:div w:id="432020837">
      <w:bodyDiv w:val="1"/>
      <w:marLeft w:val="0"/>
      <w:marRight w:val="0"/>
      <w:marTop w:val="0"/>
      <w:marBottom w:val="0"/>
      <w:divBdr>
        <w:top w:val="none" w:sz="0" w:space="0" w:color="auto"/>
        <w:left w:val="none" w:sz="0" w:space="0" w:color="auto"/>
        <w:bottom w:val="none" w:sz="0" w:space="0" w:color="auto"/>
        <w:right w:val="none" w:sz="0" w:space="0" w:color="auto"/>
      </w:divBdr>
    </w:div>
    <w:div w:id="575937709">
      <w:bodyDiv w:val="1"/>
      <w:marLeft w:val="0"/>
      <w:marRight w:val="0"/>
      <w:marTop w:val="0"/>
      <w:marBottom w:val="0"/>
      <w:divBdr>
        <w:top w:val="none" w:sz="0" w:space="0" w:color="auto"/>
        <w:left w:val="none" w:sz="0" w:space="0" w:color="auto"/>
        <w:bottom w:val="none" w:sz="0" w:space="0" w:color="auto"/>
        <w:right w:val="none" w:sz="0" w:space="0" w:color="auto"/>
      </w:divBdr>
      <w:divsChild>
        <w:div w:id="2111729950">
          <w:marLeft w:val="1080"/>
          <w:marRight w:val="0"/>
          <w:marTop w:val="100"/>
          <w:marBottom w:val="0"/>
          <w:divBdr>
            <w:top w:val="none" w:sz="0" w:space="0" w:color="auto"/>
            <w:left w:val="none" w:sz="0" w:space="0" w:color="auto"/>
            <w:bottom w:val="none" w:sz="0" w:space="0" w:color="auto"/>
            <w:right w:val="none" w:sz="0" w:space="0" w:color="auto"/>
          </w:divBdr>
        </w:div>
        <w:div w:id="175534536">
          <w:marLeft w:val="1080"/>
          <w:marRight w:val="0"/>
          <w:marTop w:val="100"/>
          <w:marBottom w:val="0"/>
          <w:divBdr>
            <w:top w:val="none" w:sz="0" w:space="0" w:color="auto"/>
            <w:left w:val="none" w:sz="0" w:space="0" w:color="auto"/>
            <w:bottom w:val="none" w:sz="0" w:space="0" w:color="auto"/>
            <w:right w:val="none" w:sz="0" w:space="0" w:color="auto"/>
          </w:divBdr>
        </w:div>
      </w:divsChild>
    </w:div>
    <w:div w:id="1086733773">
      <w:bodyDiv w:val="1"/>
      <w:marLeft w:val="0"/>
      <w:marRight w:val="0"/>
      <w:marTop w:val="0"/>
      <w:marBottom w:val="0"/>
      <w:divBdr>
        <w:top w:val="none" w:sz="0" w:space="0" w:color="auto"/>
        <w:left w:val="none" w:sz="0" w:space="0" w:color="auto"/>
        <w:bottom w:val="none" w:sz="0" w:space="0" w:color="auto"/>
        <w:right w:val="none" w:sz="0" w:space="0" w:color="auto"/>
      </w:divBdr>
    </w:div>
    <w:div w:id="1087387206">
      <w:bodyDiv w:val="1"/>
      <w:marLeft w:val="0"/>
      <w:marRight w:val="0"/>
      <w:marTop w:val="0"/>
      <w:marBottom w:val="0"/>
      <w:divBdr>
        <w:top w:val="none" w:sz="0" w:space="0" w:color="auto"/>
        <w:left w:val="none" w:sz="0" w:space="0" w:color="auto"/>
        <w:bottom w:val="none" w:sz="0" w:space="0" w:color="auto"/>
        <w:right w:val="none" w:sz="0" w:space="0" w:color="auto"/>
      </w:divBdr>
    </w:div>
    <w:div w:id="1776243939">
      <w:bodyDiv w:val="1"/>
      <w:marLeft w:val="0"/>
      <w:marRight w:val="0"/>
      <w:marTop w:val="0"/>
      <w:marBottom w:val="0"/>
      <w:divBdr>
        <w:top w:val="none" w:sz="0" w:space="0" w:color="auto"/>
        <w:left w:val="none" w:sz="0" w:space="0" w:color="auto"/>
        <w:bottom w:val="none" w:sz="0" w:space="0" w:color="auto"/>
        <w:right w:val="none" w:sz="0" w:space="0" w:color="auto"/>
      </w:divBdr>
      <w:divsChild>
        <w:div w:id="1405180030">
          <w:marLeft w:val="1080"/>
          <w:marRight w:val="0"/>
          <w:marTop w:val="100"/>
          <w:marBottom w:val="0"/>
          <w:divBdr>
            <w:top w:val="none" w:sz="0" w:space="0" w:color="auto"/>
            <w:left w:val="none" w:sz="0" w:space="0" w:color="auto"/>
            <w:bottom w:val="none" w:sz="0" w:space="0" w:color="auto"/>
            <w:right w:val="none" w:sz="0" w:space="0" w:color="auto"/>
          </w:divBdr>
        </w:div>
        <w:div w:id="711997547">
          <w:marLeft w:val="1080"/>
          <w:marRight w:val="0"/>
          <w:marTop w:val="1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BBE58A-639B-40C9-8BE3-906E573F24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779</TotalTime>
  <Pages>8</Pages>
  <Words>1537</Words>
  <Characters>8764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Rodd, Dee</dc:creator>
  <cp:keywords/>
  <dc:description/>
  <cp:lastModifiedBy>Carlene Campbell</cp:lastModifiedBy>
  <cp:revision>11</cp:revision>
  <dcterms:created xsi:type="dcterms:W3CDTF">2022-01-25T00:19:00Z</dcterms:created>
  <dcterms:modified xsi:type="dcterms:W3CDTF">2022-01-25T13:18:00Z</dcterms:modified>
</cp:coreProperties>
</file>