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E32C5B" w14:textId="2490EF78" w:rsidR="00230F35" w:rsidRDefault="005B3B1C" w:rsidP="00230F35">
      <w:pPr>
        <w:pStyle w:val="NormalWeb"/>
        <w:spacing w:before="0" w:beforeAutospacing="0" w:after="0" w:afterAutospacing="0"/>
        <w:ind w:left="-180" w:right="-334"/>
      </w:pPr>
      <w:r>
        <w:rPr>
          <w:noProof/>
        </w:rPr>
        <w:drawing>
          <wp:inline distT="0" distB="0" distL="0" distR="0" wp14:anchorId="6204F4BE" wp14:editId="19C13813">
            <wp:extent cx="1905000" cy="638175"/>
            <wp:effectExtent l="19050" t="1905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40297993" w14:textId="77777777" w:rsidR="00230F35" w:rsidRDefault="00230F35" w:rsidP="00230F35">
      <w:pPr>
        <w:pStyle w:val="NormalWeb"/>
        <w:spacing w:before="0" w:beforeAutospacing="0" w:after="0" w:afterAutospacing="0"/>
        <w:ind w:left="-180" w:right="-334"/>
      </w:pPr>
    </w:p>
    <w:p w14:paraId="1229C011" w14:textId="77777777" w:rsidR="00A745B6" w:rsidRDefault="00A745B6" w:rsidP="00230F35">
      <w:pPr>
        <w:pStyle w:val="NormalWeb"/>
        <w:spacing w:before="0" w:beforeAutospacing="0" w:after="0" w:afterAutospacing="0"/>
        <w:ind w:left="-180" w:right="-334"/>
      </w:pPr>
    </w:p>
    <w:p w14:paraId="66BA0079"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08B119EC"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0D3C1ECC" w14:textId="77777777" w:rsidR="002E67CE" w:rsidRPr="00230F35" w:rsidRDefault="002E67CE" w:rsidP="002E67CE">
      <w:pPr>
        <w:rPr>
          <w:rFonts w:ascii="Arial" w:hAnsi="Arial" w:cs="Arial"/>
          <w:sz w:val="28"/>
          <w:szCs w:val="28"/>
          <w:lang w:val="cy-GB"/>
        </w:rPr>
      </w:pPr>
    </w:p>
    <w:p w14:paraId="56762417"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0D53781A"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31"/>
        <w:gridCol w:w="421"/>
        <w:gridCol w:w="1513"/>
        <w:gridCol w:w="281"/>
        <w:gridCol w:w="1790"/>
      </w:tblGrid>
      <w:tr w:rsidR="00E57529" w:rsidRPr="00230F35" w14:paraId="035BF142" w14:textId="77777777" w:rsidTr="00A745B6">
        <w:trPr>
          <w:trHeight w:val="614"/>
        </w:trPr>
        <w:tc>
          <w:tcPr>
            <w:tcW w:w="8856" w:type="dxa"/>
            <w:gridSpan w:val="5"/>
          </w:tcPr>
          <w:p w14:paraId="56332694"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67FB3E24" w14:textId="77777777" w:rsidTr="00A745B6">
        <w:trPr>
          <w:trHeight w:val="718"/>
        </w:trPr>
        <w:tc>
          <w:tcPr>
            <w:tcW w:w="8856" w:type="dxa"/>
            <w:gridSpan w:val="5"/>
          </w:tcPr>
          <w:p w14:paraId="79431D42" w14:textId="37BA3BD8"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5B3B1C">
              <w:rPr>
                <w:rFonts w:ascii="Arial" w:hAnsi="Arial" w:cs="Arial"/>
                <w:sz w:val="22"/>
                <w:szCs w:val="22"/>
              </w:rPr>
              <w:t xml:space="preserve"> Yina Wu</w:t>
            </w:r>
          </w:p>
          <w:p w14:paraId="1EC6543B" w14:textId="77777777" w:rsidR="00230F35" w:rsidRPr="00230F35" w:rsidRDefault="00230F35" w:rsidP="002F467C">
            <w:pPr>
              <w:pStyle w:val="NormalWeb"/>
              <w:spacing w:before="0" w:beforeAutospacing="0" w:after="0" w:afterAutospacing="0"/>
              <w:ind w:right="34"/>
              <w:rPr>
                <w:rFonts w:ascii="Arial" w:hAnsi="Arial" w:cs="Arial"/>
                <w:sz w:val="22"/>
                <w:szCs w:val="22"/>
              </w:rPr>
            </w:pPr>
          </w:p>
          <w:p w14:paraId="399A1A99" w14:textId="20A84A85" w:rsidR="00FA2A4C" w:rsidRPr="00230F35" w:rsidRDefault="00FA2A4C"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9" w:history="1">
              <w:r w:rsidR="005B3B1C">
                <w:rPr>
                  <w:rStyle w:val="Hyperlink"/>
                </w:rPr>
                <w:t>2210518@student.uwtsd.ac.uk</w:t>
              </w:r>
            </w:hyperlink>
          </w:p>
        </w:tc>
      </w:tr>
      <w:tr w:rsidR="00CE3B79" w:rsidRPr="00230F35" w14:paraId="059CD05D" w14:textId="77777777" w:rsidTr="00A745B6">
        <w:trPr>
          <w:trHeight w:val="849"/>
        </w:trPr>
        <w:tc>
          <w:tcPr>
            <w:tcW w:w="4788" w:type="dxa"/>
          </w:tcPr>
          <w:p w14:paraId="2C8BCDC3" w14:textId="68D01C90"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5B3B1C">
              <w:rPr>
                <w:rFonts w:ascii="Arial" w:hAnsi="Arial" w:cs="Arial"/>
                <w:sz w:val="22"/>
                <w:szCs w:val="22"/>
              </w:rPr>
              <w:t xml:space="preserve"> HPCA7015</w:t>
            </w:r>
          </w:p>
          <w:p w14:paraId="0A616DC9" w14:textId="77777777" w:rsidR="00D67BF8" w:rsidRPr="00230F35" w:rsidRDefault="00D67BF8" w:rsidP="002F467C">
            <w:pPr>
              <w:pStyle w:val="NormalWeb"/>
              <w:spacing w:before="0" w:beforeAutospacing="0" w:after="0" w:afterAutospacing="0"/>
              <w:ind w:right="34"/>
              <w:rPr>
                <w:rFonts w:ascii="Arial" w:hAnsi="Arial" w:cs="Arial"/>
                <w:sz w:val="22"/>
                <w:szCs w:val="22"/>
              </w:rPr>
            </w:pPr>
            <w:bookmarkStart w:id="0" w:name="_GoBack"/>
            <w:bookmarkEnd w:id="0"/>
          </w:p>
          <w:p w14:paraId="47707173" w14:textId="18F45F2D" w:rsidR="005B3B1C" w:rsidRPr="005B3B1C" w:rsidRDefault="00CE3B79" w:rsidP="005B3B1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5B3B1C">
              <w:rPr>
                <w:rFonts w:ascii="Arial" w:hAnsi="Arial" w:cs="Arial"/>
                <w:sz w:val="22"/>
                <w:szCs w:val="22"/>
              </w:rPr>
              <w:t xml:space="preserve"> </w:t>
            </w:r>
            <w:r w:rsidR="005B3B1C" w:rsidRPr="005B3B1C">
              <w:rPr>
                <w:rFonts w:ascii="Arial" w:hAnsi="Arial" w:cs="Arial"/>
                <w:sz w:val="22"/>
                <w:szCs w:val="22"/>
                <w:lang w:val="de-DE"/>
              </w:rPr>
              <w:t>Foundations in Cultural Astronomy and Astrology</w:t>
            </w:r>
          </w:p>
          <w:p w14:paraId="63ADE518"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1825DDED"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13AAD87" w14:textId="7FBF9D58" w:rsidR="005B3B1C" w:rsidRPr="00230F35" w:rsidRDefault="005B3B1C" w:rsidP="002F467C">
            <w:pPr>
              <w:pStyle w:val="NormalWeb"/>
              <w:spacing w:before="0" w:beforeAutospacing="0" w:after="0" w:afterAutospacing="0"/>
              <w:ind w:right="34"/>
              <w:rPr>
                <w:rFonts w:ascii="Arial" w:hAnsi="Arial" w:cs="Arial"/>
                <w:sz w:val="22"/>
                <w:szCs w:val="22"/>
              </w:rPr>
            </w:pPr>
            <w:r w:rsidRPr="005B3B1C">
              <w:rPr>
                <w:rFonts w:ascii="Arial" w:hAnsi="Arial" w:cs="Arial"/>
                <w:sz w:val="22"/>
                <w:szCs w:val="22"/>
              </w:rPr>
              <w:t>2210518</w:t>
            </w:r>
          </w:p>
        </w:tc>
        <w:tc>
          <w:tcPr>
            <w:tcW w:w="1802" w:type="dxa"/>
          </w:tcPr>
          <w:p w14:paraId="631FC56B"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4E58E9C"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CE3B79" w:rsidRPr="00230F35" w14:paraId="122D1683" w14:textId="77777777" w:rsidTr="00A745B6">
        <w:trPr>
          <w:trHeight w:val="1139"/>
        </w:trPr>
        <w:tc>
          <w:tcPr>
            <w:tcW w:w="8856" w:type="dxa"/>
            <w:gridSpan w:val="5"/>
          </w:tcPr>
          <w:p w14:paraId="6BF24385" w14:textId="3F443D87" w:rsidR="00CE3B79" w:rsidRPr="00230F35" w:rsidRDefault="00CE3B79" w:rsidP="005B3B1C">
            <w:pPr>
              <w:pStyle w:val="NormalWeb"/>
              <w:ind w:right="34"/>
              <w:rPr>
                <w:rFonts w:ascii="Arial" w:hAnsi="Arial" w:cs="Arial"/>
                <w:sz w:val="22"/>
                <w:szCs w:val="22"/>
              </w:rPr>
            </w:pPr>
            <w:r w:rsidRPr="00230F35">
              <w:rPr>
                <w:rFonts w:ascii="Arial" w:hAnsi="Arial" w:cs="Arial"/>
                <w:sz w:val="22"/>
                <w:szCs w:val="22"/>
              </w:rPr>
              <w:t>Assignment title:</w:t>
            </w:r>
            <w:r w:rsidR="005B3B1C" w:rsidRPr="005B3B1C">
              <w:rPr>
                <w:rFonts w:asciiTheme="majorHAnsi" w:eastAsiaTheme="minorEastAsia" w:hAnsiTheme="majorHAnsi" w:cstheme="majorHAnsi"/>
                <w:color w:val="70AD47" w:themeColor="accent6"/>
                <w:sz w:val="22"/>
                <w:szCs w:val="22"/>
              </w:rPr>
              <w:t xml:space="preserve"> </w:t>
            </w:r>
            <w:r w:rsidR="005B3B1C" w:rsidRPr="005B3B1C">
              <w:rPr>
                <w:rFonts w:ascii="Arial" w:hAnsi="Arial" w:cs="Arial"/>
                <w:sz w:val="22"/>
                <w:szCs w:val="22"/>
              </w:rPr>
              <w:t>A Critical Comparison of Two JSTOR Papers</w:t>
            </w:r>
          </w:p>
          <w:p w14:paraId="481526F3"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6E8405D3" w14:textId="77777777" w:rsidR="00230F35" w:rsidRDefault="00230F35" w:rsidP="002F467C">
            <w:pPr>
              <w:pStyle w:val="NormalWeb"/>
              <w:spacing w:before="0" w:beforeAutospacing="0" w:after="0" w:afterAutospacing="0"/>
              <w:ind w:right="34"/>
              <w:rPr>
                <w:rFonts w:ascii="Arial" w:hAnsi="Arial" w:cs="Arial"/>
                <w:sz w:val="22"/>
                <w:szCs w:val="22"/>
              </w:rPr>
            </w:pPr>
          </w:p>
          <w:p w14:paraId="59E06FC7" w14:textId="2CC8693F"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5B3B1C">
              <w:rPr>
                <w:rFonts w:ascii="Arial" w:hAnsi="Arial" w:cs="Arial"/>
                <w:sz w:val="22"/>
                <w:szCs w:val="22"/>
              </w:rPr>
              <w:t xml:space="preserve"> Nov 7</w:t>
            </w:r>
            <w:r w:rsidR="005B3B1C" w:rsidRPr="005B3B1C">
              <w:rPr>
                <w:rFonts w:ascii="Arial" w:hAnsi="Arial" w:cs="Arial"/>
                <w:sz w:val="22"/>
                <w:szCs w:val="22"/>
                <w:vertAlign w:val="superscript"/>
              </w:rPr>
              <w:t>th</w:t>
            </w:r>
            <w:r w:rsidR="005B3B1C">
              <w:rPr>
                <w:rFonts w:ascii="Arial" w:hAnsi="Arial" w:cs="Arial"/>
                <w:sz w:val="22"/>
                <w:szCs w:val="22"/>
              </w:rPr>
              <w:t xml:space="preserve"> 2022</w:t>
            </w:r>
          </w:p>
        </w:tc>
      </w:tr>
      <w:tr w:rsidR="00230F35" w:rsidRPr="00230F35" w14:paraId="3DB40675" w14:textId="77777777" w:rsidTr="00A745B6">
        <w:trPr>
          <w:trHeight w:val="978"/>
        </w:trPr>
        <w:tc>
          <w:tcPr>
            <w:tcW w:w="8856" w:type="dxa"/>
            <w:gridSpan w:val="5"/>
            <w:tcBorders>
              <w:bottom w:val="single" w:sz="4" w:space="0" w:color="000000"/>
            </w:tcBorders>
          </w:tcPr>
          <w:p w14:paraId="66C564AC" w14:textId="54D7A13A"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005B3B1C">
              <w:rPr>
                <w:rFonts w:ascii="Arial" w:hAnsi="Arial" w:cs="Arial"/>
                <w:sz w:val="22"/>
                <w:szCs w:val="22"/>
              </w:rPr>
              <w:fldChar w:fldCharType="begin">
                <w:ffData>
                  <w:name w:val="Check13"/>
                  <w:enabled/>
                  <w:calcOnExit w:val="0"/>
                  <w:checkBox>
                    <w:sizeAuto/>
                    <w:default w:val="1"/>
                  </w:checkBox>
                </w:ffData>
              </w:fldChar>
            </w:r>
            <w:bookmarkStart w:id="1" w:name="Check13"/>
            <w:r w:rsidR="005B3B1C">
              <w:rPr>
                <w:rFonts w:ascii="Arial" w:hAnsi="Arial" w:cs="Arial"/>
                <w:sz w:val="22"/>
                <w:szCs w:val="22"/>
              </w:rPr>
              <w:instrText xml:space="preserve"> FORMCHECKBOX </w:instrText>
            </w:r>
            <w:r w:rsidR="00BF2181">
              <w:rPr>
                <w:rFonts w:ascii="Arial" w:hAnsi="Arial" w:cs="Arial"/>
                <w:sz w:val="22"/>
                <w:szCs w:val="22"/>
              </w:rPr>
            </w:r>
            <w:r w:rsidR="00BF2181">
              <w:rPr>
                <w:rFonts w:ascii="Arial" w:hAnsi="Arial" w:cs="Arial"/>
                <w:sz w:val="22"/>
                <w:szCs w:val="22"/>
              </w:rPr>
              <w:fldChar w:fldCharType="separate"/>
            </w:r>
            <w:r w:rsidR="005B3B1C">
              <w:rPr>
                <w:rFonts w:ascii="Arial" w:hAnsi="Arial" w:cs="Arial"/>
                <w:sz w:val="22"/>
                <w:szCs w:val="22"/>
              </w:rPr>
              <w:fldChar w:fldCharType="end"/>
            </w:r>
            <w:bookmarkEnd w:id="1"/>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2" w:name="Check14"/>
            <w:r w:rsidRPr="00230F35">
              <w:rPr>
                <w:rFonts w:ascii="Arial" w:hAnsi="Arial" w:cs="Arial"/>
                <w:sz w:val="22"/>
                <w:szCs w:val="22"/>
              </w:rPr>
              <w:instrText xml:space="preserve"> FORMCHECKBOX </w:instrText>
            </w:r>
            <w:r w:rsidR="00BF2181">
              <w:rPr>
                <w:rFonts w:ascii="Arial" w:hAnsi="Arial" w:cs="Arial"/>
                <w:sz w:val="22"/>
                <w:szCs w:val="22"/>
              </w:rPr>
            </w:r>
            <w:r w:rsidR="00BF2181">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3" w:name="Check15"/>
            <w:r w:rsidRPr="00230F35">
              <w:rPr>
                <w:rFonts w:ascii="Arial" w:hAnsi="Arial" w:cs="Arial"/>
                <w:sz w:val="22"/>
                <w:szCs w:val="22"/>
              </w:rPr>
              <w:instrText xml:space="preserve"> FORMCHECKBOX </w:instrText>
            </w:r>
            <w:r w:rsidR="00BF2181">
              <w:rPr>
                <w:rFonts w:ascii="Arial" w:hAnsi="Arial" w:cs="Arial"/>
                <w:sz w:val="22"/>
                <w:szCs w:val="22"/>
              </w:rPr>
            </w:r>
            <w:r w:rsidR="00BF2181">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4" w:name="Check16"/>
            <w:r w:rsidRPr="00230F35">
              <w:rPr>
                <w:rFonts w:ascii="Arial" w:hAnsi="Arial" w:cs="Arial"/>
                <w:sz w:val="22"/>
                <w:szCs w:val="22"/>
              </w:rPr>
              <w:instrText xml:space="preserve"> FORMCHECKBOX </w:instrText>
            </w:r>
            <w:r w:rsidR="00BF2181">
              <w:rPr>
                <w:rFonts w:ascii="Arial" w:hAnsi="Arial" w:cs="Arial"/>
                <w:sz w:val="22"/>
                <w:szCs w:val="22"/>
              </w:rPr>
            </w:r>
            <w:r w:rsidR="00BF2181">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5" w:name="Check17"/>
            <w:r w:rsidRPr="00230F35">
              <w:rPr>
                <w:rFonts w:ascii="Arial" w:hAnsi="Arial" w:cs="Arial"/>
                <w:sz w:val="22"/>
                <w:szCs w:val="22"/>
              </w:rPr>
              <w:instrText xml:space="preserve"> FORMCHECKBOX </w:instrText>
            </w:r>
            <w:r w:rsidR="00BF2181">
              <w:rPr>
                <w:rFonts w:ascii="Arial" w:hAnsi="Arial" w:cs="Arial"/>
                <w:sz w:val="22"/>
                <w:szCs w:val="22"/>
              </w:rPr>
            </w:r>
            <w:r w:rsidR="00BF2181">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6" w:name="Check18"/>
            <w:r w:rsidRPr="00230F35">
              <w:rPr>
                <w:rFonts w:ascii="Arial" w:hAnsi="Arial" w:cs="Arial"/>
                <w:sz w:val="22"/>
                <w:szCs w:val="22"/>
              </w:rPr>
              <w:instrText xml:space="preserve"> FORMCHECKBOX </w:instrText>
            </w:r>
            <w:r w:rsidR="00BF2181">
              <w:rPr>
                <w:rFonts w:ascii="Arial" w:hAnsi="Arial" w:cs="Arial"/>
                <w:sz w:val="22"/>
                <w:szCs w:val="22"/>
              </w:rPr>
            </w:r>
            <w:r w:rsidR="00BF2181">
              <w:rPr>
                <w:rFonts w:ascii="Arial" w:hAnsi="Arial" w:cs="Arial"/>
                <w:sz w:val="22"/>
                <w:szCs w:val="22"/>
              </w:rPr>
              <w:fldChar w:fldCharType="separate"/>
            </w:r>
            <w:r w:rsidRPr="00230F35">
              <w:rPr>
                <w:rFonts w:ascii="Arial" w:hAnsi="Arial" w:cs="Arial"/>
                <w:sz w:val="22"/>
                <w:szCs w:val="22"/>
              </w:rPr>
              <w:fldChar w:fldCharType="end"/>
            </w:r>
            <w:bookmarkEnd w:id="6"/>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14:paraId="38775934" w14:textId="77777777" w:rsidTr="00A745B6">
        <w:trPr>
          <w:trHeight w:val="978"/>
        </w:trPr>
        <w:tc>
          <w:tcPr>
            <w:tcW w:w="8856" w:type="dxa"/>
            <w:gridSpan w:val="5"/>
            <w:shd w:val="clear" w:color="auto" w:fill="D9D9D9"/>
          </w:tcPr>
          <w:p w14:paraId="3E688687"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AFDC295" w14:textId="415CCCA7"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5B3B1C">
              <w:rPr>
                <w:rFonts w:ascii="Arial" w:hAnsi="Arial" w:cs="Arial"/>
                <w:sz w:val="22"/>
                <w:szCs w:val="22"/>
              </w:rPr>
              <w:t>Yina Wu</w:t>
            </w:r>
            <w:r w:rsidRPr="00230F35">
              <w:rPr>
                <w:rFonts w:ascii="Arial" w:hAnsi="Arial" w:cs="Arial"/>
                <w:sz w:val="22"/>
                <w:szCs w:val="22"/>
              </w:rPr>
              <w:t>………………………………………………</w:t>
            </w:r>
            <w:r w:rsidR="00AE3217" w:rsidRPr="00230F35">
              <w:rPr>
                <w:rFonts w:ascii="Arial" w:hAnsi="Arial" w:cs="Arial"/>
                <w:sz w:val="22"/>
                <w:szCs w:val="22"/>
              </w:rPr>
              <w:t>………</w:t>
            </w:r>
          </w:p>
          <w:p w14:paraId="041EAA4B" w14:textId="32AB16AA"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005B3B1C" w:rsidRPr="00230F35">
              <w:rPr>
                <w:rFonts w:ascii="Arial" w:hAnsi="Arial" w:cs="Arial"/>
                <w:sz w:val="22"/>
                <w:szCs w:val="22"/>
                <w:vertAlign w:val="superscript"/>
              </w:rPr>
              <w:t xml:space="preserve"> </w:t>
            </w:r>
            <w:r w:rsidR="005B3B1C">
              <w:rPr>
                <w:rFonts w:ascii="Arial" w:hAnsi="Arial" w:cs="Arial"/>
                <w:sz w:val="22"/>
                <w:szCs w:val="22"/>
              </w:rPr>
              <w:fldChar w:fldCharType="begin">
                <w:ffData>
                  <w:name w:val="Check13"/>
                  <w:enabled/>
                  <w:calcOnExit w:val="0"/>
                  <w:checkBox>
                    <w:sizeAuto/>
                    <w:default w:val="1"/>
                  </w:checkBox>
                </w:ffData>
              </w:fldChar>
            </w:r>
            <w:r w:rsidR="005B3B1C">
              <w:rPr>
                <w:rFonts w:ascii="Arial" w:hAnsi="Arial" w:cs="Arial"/>
                <w:sz w:val="22"/>
                <w:szCs w:val="22"/>
              </w:rPr>
              <w:instrText xml:space="preserve"> FORMCHECKBOX </w:instrText>
            </w:r>
            <w:r w:rsidR="00BF2181">
              <w:rPr>
                <w:rFonts w:ascii="Arial" w:hAnsi="Arial" w:cs="Arial"/>
                <w:sz w:val="22"/>
                <w:szCs w:val="22"/>
              </w:rPr>
            </w:r>
            <w:r w:rsidR="00BF2181">
              <w:rPr>
                <w:rFonts w:ascii="Arial" w:hAnsi="Arial" w:cs="Arial"/>
                <w:sz w:val="22"/>
                <w:szCs w:val="22"/>
              </w:rPr>
              <w:fldChar w:fldCharType="separate"/>
            </w:r>
            <w:r w:rsidR="005B3B1C">
              <w:rPr>
                <w:rFonts w:ascii="Arial" w:hAnsi="Arial" w:cs="Arial"/>
                <w:sz w:val="22"/>
                <w:szCs w:val="22"/>
              </w:rPr>
              <w:fldChar w:fldCharType="end"/>
            </w:r>
            <w:r w:rsidR="005B3B1C" w:rsidRPr="00230F35">
              <w:rPr>
                <w:rFonts w:ascii="Arial" w:hAnsi="Arial" w:cs="Arial"/>
                <w:sz w:val="22"/>
                <w:szCs w:val="22"/>
              </w:rPr>
              <w:t xml:space="preserve">    </w:t>
            </w:r>
          </w:p>
          <w:p w14:paraId="2777C2C2"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391B304D" w14:textId="77777777" w:rsidTr="00A745B6">
        <w:trPr>
          <w:trHeight w:val="3972"/>
        </w:trPr>
        <w:tc>
          <w:tcPr>
            <w:tcW w:w="8856" w:type="dxa"/>
            <w:gridSpan w:val="5"/>
          </w:tcPr>
          <w:p w14:paraId="55A5F9BB" w14:textId="77777777" w:rsidR="00A745B6" w:rsidRDefault="00A745B6" w:rsidP="00A745B6">
            <w:pPr>
              <w:rPr>
                <w:rFonts w:ascii="Arial" w:hAnsi="Arial"/>
                <w:b/>
              </w:rPr>
            </w:pPr>
          </w:p>
          <w:p w14:paraId="5B6A4C9B"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A745B6" w:rsidRPr="00116CE6" w14:paraId="43837B20" w14:textId="77777777" w:rsidTr="00022345">
              <w:tc>
                <w:tcPr>
                  <w:tcW w:w="6970" w:type="dxa"/>
                </w:tcPr>
                <w:p w14:paraId="1809AFB3" w14:textId="77777777" w:rsidR="00A745B6" w:rsidRPr="00116CE6" w:rsidRDefault="00A745B6" w:rsidP="009C1A08">
                  <w:pPr>
                    <w:rPr>
                      <w:rFonts w:ascii="Arial" w:hAnsi="Arial"/>
                      <w:sz w:val="20"/>
                      <w:szCs w:val="20"/>
                    </w:rPr>
                  </w:pPr>
                </w:p>
                <w:p w14:paraId="46A63441"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12F6D5D" w14:textId="77777777" w:rsidR="00A745B6" w:rsidRPr="00116CE6" w:rsidRDefault="00A745B6" w:rsidP="009C1A08">
                  <w:pPr>
                    <w:rPr>
                      <w:rFonts w:ascii="Arial" w:hAnsi="Arial"/>
                      <w:sz w:val="20"/>
                      <w:szCs w:val="20"/>
                    </w:rPr>
                  </w:pPr>
                </w:p>
              </w:tc>
            </w:tr>
            <w:tr w:rsidR="00A745B6" w:rsidRPr="00116CE6" w14:paraId="3D51ED64" w14:textId="77777777" w:rsidTr="00022345">
              <w:tc>
                <w:tcPr>
                  <w:tcW w:w="6970" w:type="dxa"/>
                </w:tcPr>
                <w:p w14:paraId="26175BA9" w14:textId="77777777" w:rsidR="00A745B6" w:rsidRPr="00116CE6" w:rsidRDefault="00A745B6" w:rsidP="009C1A08">
                  <w:pPr>
                    <w:rPr>
                      <w:rFonts w:ascii="Arial" w:hAnsi="Arial"/>
                      <w:sz w:val="20"/>
                      <w:szCs w:val="20"/>
                    </w:rPr>
                  </w:pPr>
                </w:p>
                <w:p w14:paraId="69241E7C"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29B26ED0" w14:textId="77777777" w:rsidR="00A745B6" w:rsidRPr="00116CE6" w:rsidRDefault="00A745B6" w:rsidP="009C1A08">
                  <w:pPr>
                    <w:rPr>
                      <w:rFonts w:ascii="Arial" w:hAnsi="Arial"/>
                      <w:sz w:val="20"/>
                      <w:szCs w:val="20"/>
                    </w:rPr>
                  </w:pPr>
                </w:p>
              </w:tc>
            </w:tr>
            <w:tr w:rsidR="00A745B6" w:rsidRPr="00116CE6" w14:paraId="1D4BACCA" w14:textId="77777777" w:rsidTr="00022345">
              <w:tc>
                <w:tcPr>
                  <w:tcW w:w="6970" w:type="dxa"/>
                </w:tcPr>
                <w:p w14:paraId="0B0CE847" w14:textId="77777777" w:rsidR="00A745B6" w:rsidRPr="00116CE6" w:rsidRDefault="00A745B6" w:rsidP="009C1A08">
                  <w:pPr>
                    <w:rPr>
                      <w:rFonts w:ascii="Arial" w:hAnsi="Arial"/>
                      <w:sz w:val="20"/>
                      <w:szCs w:val="20"/>
                    </w:rPr>
                  </w:pPr>
                </w:p>
                <w:p w14:paraId="0937A232"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65606B2" w14:textId="77777777" w:rsidR="00A745B6" w:rsidRPr="00116CE6" w:rsidRDefault="00A745B6" w:rsidP="009C1A08">
                  <w:pPr>
                    <w:rPr>
                      <w:rFonts w:ascii="Arial" w:hAnsi="Arial"/>
                      <w:sz w:val="20"/>
                      <w:szCs w:val="20"/>
                    </w:rPr>
                  </w:pPr>
                </w:p>
              </w:tc>
            </w:tr>
            <w:tr w:rsidR="00A745B6" w:rsidRPr="00116CE6" w14:paraId="4116B4D9" w14:textId="77777777" w:rsidTr="00022345">
              <w:tc>
                <w:tcPr>
                  <w:tcW w:w="6970" w:type="dxa"/>
                </w:tcPr>
                <w:p w14:paraId="7B3077DA" w14:textId="77777777" w:rsidR="00A745B6" w:rsidRDefault="00A745B6" w:rsidP="009C1A08">
                  <w:pPr>
                    <w:rPr>
                      <w:rFonts w:ascii="Arial" w:hAnsi="Arial"/>
                      <w:sz w:val="20"/>
                      <w:szCs w:val="20"/>
                    </w:rPr>
                  </w:pPr>
                </w:p>
                <w:p w14:paraId="0D72E86D"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0C4B4563" w14:textId="77777777" w:rsidR="00A745B6" w:rsidRPr="00116CE6" w:rsidRDefault="00A745B6" w:rsidP="009C1A08">
                  <w:pPr>
                    <w:rPr>
                      <w:rFonts w:ascii="Arial" w:hAnsi="Arial"/>
                      <w:sz w:val="20"/>
                      <w:szCs w:val="20"/>
                    </w:rPr>
                  </w:pPr>
                </w:p>
              </w:tc>
              <w:tc>
                <w:tcPr>
                  <w:tcW w:w="1660" w:type="dxa"/>
                </w:tcPr>
                <w:p w14:paraId="3EB1ABC0" w14:textId="77777777" w:rsidR="00A745B6" w:rsidRPr="00116CE6" w:rsidRDefault="00A745B6" w:rsidP="009C1A08">
                  <w:pPr>
                    <w:rPr>
                      <w:rFonts w:ascii="Arial" w:hAnsi="Arial"/>
                      <w:sz w:val="20"/>
                      <w:szCs w:val="20"/>
                    </w:rPr>
                  </w:pPr>
                </w:p>
              </w:tc>
            </w:tr>
          </w:tbl>
          <w:p w14:paraId="1F24C958"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614CE6A5"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E393230" w14:textId="77777777" w:rsidR="00A745B6" w:rsidRDefault="00A745B6" w:rsidP="002F467C">
            <w:pPr>
              <w:pStyle w:val="NormalWeb"/>
              <w:spacing w:before="0" w:beforeAutospacing="0" w:after="0" w:afterAutospacing="0"/>
              <w:rPr>
                <w:rFonts w:ascii="Arial" w:hAnsi="Arial" w:cs="Arial"/>
                <w:b/>
                <w:sz w:val="22"/>
                <w:szCs w:val="22"/>
              </w:rPr>
            </w:pPr>
          </w:p>
          <w:p w14:paraId="53474B01" w14:textId="77777777" w:rsidR="00B462B1" w:rsidRDefault="00B462B1" w:rsidP="002F467C">
            <w:pPr>
              <w:pStyle w:val="NormalWeb"/>
              <w:spacing w:before="0" w:beforeAutospacing="0" w:after="0" w:afterAutospacing="0"/>
              <w:rPr>
                <w:rFonts w:ascii="Arial" w:hAnsi="Arial" w:cs="Arial"/>
                <w:b/>
                <w:sz w:val="22"/>
                <w:szCs w:val="22"/>
              </w:rPr>
            </w:pPr>
          </w:p>
          <w:p w14:paraId="711550F5" w14:textId="77777777" w:rsidR="00B462B1" w:rsidRDefault="00B462B1" w:rsidP="002F467C">
            <w:pPr>
              <w:pStyle w:val="NormalWeb"/>
              <w:spacing w:before="0" w:beforeAutospacing="0" w:after="0" w:afterAutospacing="0"/>
              <w:rPr>
                <w:rFonts w:ascii="Arial" w:hAnsi="Arial" w:cs="Arial"/>
                <w:b/>
                <w:sz w:val="22"/>
                <w:szCs w:val="22"/>
              </w:rPr>
            </w:pPr>
          </w:p>
          <w:p w14:paraId="59CFC0E9" w14:textId="77777777" w:rsidR="00B462B1" w:rsidRDefault="00B462B1" w:rsidP="002F467C">
            <w:pPr>
              <w:pStyle w:val="NormalWeb"/>
              <w:spacing w:before="0" w:beforeAutospacing="0" w:after="0" w:afterAutospacing="0"/>
              <w:rPr>
                <w:rFonts w:ascii="Arial" w:hAnsi="Arial" w:cs="Arial"/>
                <w:b/>
                <w:sz w:val="22"/>
                <w:szCs w:val="22"/>
              </w:rPr>
            </w:pPr>
          </w:p>
          <w:p w14:paraId="122898DE" w14:textId="77777777" w:rsidR="00B462B1" w:rsidRDefault="00B462B1" w:rsidP="002F467C">
            <w:pPr>
              <w:pStyle w:val="NormalWeb"/>
              <w:spacing w:before="0" w:beforeAutospacing="0" w:after="0" w:afterAutospacing="0"/>
              <w:rPr>
                <w:rFonts w:ascii="Arial" w:hAnsi="Arial" w:cs="Arial"/>
                <w:b/>
                <w:sz w:val="22"/>
                <w:szCs w:val="22"/>
              </w:rPr>
            </w:pPr>
          </w:p>
          <w:p w14:paraId="3A7D378B"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w:t>
            </w:r>
            <w:proofErr w:type="gramStart"/>
            <w:r w:rsidR="00D67BF8" w:rsidRPr="00230F35">
              <w:rPr>
                <w:rFonts w:ascii="Arial" w:hAnsi="Arial" w:cs="Arial"/>
                <w:b/>
                <w:sz w:val="22"/>
                <w:szCs w:val="22"/>
              </w:rPr>
              <w:t xml:space="preserve">1 </w:t>
            </w:r>
            <w:r w:rsidR="00590E9A" w:rsidRPr="00230F35">
              <w:rPr>
                <w:rFonts w:ascii="Arial" w:hAnsi="Arial" w:cs="Arial"/>
                <w:b/>
                <w:sz w:val="22"/>
                <w:szCs w:val="22"/>
              </w:rPr>
              <w:t>:</w:t>
            </w:r>
            <w:proofErr w:type="gramEnd"/>
          </w:p>
          <w:p w14:paraId="70C8A07E"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5BC1E92C" w14:textId="77777777" w:rsidR="00B56E7B" w:rsidRPr="00001C3B" w:rsidRDefault="00B56E7B" w:rsidP="00043549">
            <w:pPr>
              <w:pStyle w:val="NormalWeb"/>
              <w:rPr>
                <w:rFonts w:ascii="Arial" w:hAnsi="Arial" w:cs="Arial"/>
                <w:sz w:val="22"/>
                <w:szCs w:val="22"/>
              </w:rPr>
            </w:pPr>
          </w:p>
        </w:tc>
      </w:tr>
      <w:tr w:rsidR="00EC7546" w:rsidRPr="00230F35" w14:paraId="32CD0AAA" w14:textId="77777777" w:rsidTr="00A745B6">
        <w:trPr>
          <w:trHeight w:val="492"/>
        </w:trPr>
        <w:tc>
          <w:tcPr>
            <w:tcW w:w="6768" w:type="dxa"/>
            <w:gridSpan w:val="3"/>
          </w:tcPr>
          <w:p w14:paraId="6318C25A"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47E4E25E"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01EC35D1" w14:textId="77777777" w:rsidTr="002F467C">
        <w:tc>
          <w:tcPr>
            <w:tcW w:w="8856" w:type="dxa"/>
            <w:gridSpan w:val="5"/>
          </w:tcPr>
          <w:p w14:paraId="7F1EDF6A"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5E6DE688"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3931E784"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4A8B935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79F2E2A"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60BAF3B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F25D534"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69711E87"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33AD1DF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362C54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F35F726"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645750E8"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04C7C7E6" w14:textId="77777777" w:rsidR="00D67BF8" w:rsidRDefault="00D67BF8" w:rsidP="002F467C">
            <w:pPr>
              <w:pStyle w:val="NormalWeb"/>
              <w:spacing w:before="0" w:beforeAutospacing="0" w:after="0" w:afterAutospacing="0"/>
              <w:ind w:right="-334"/>
              <w:rPr>
                <w:rFonts w:ascii="Arial" w:hAnsi="Arial" w:cs="Arial"/>
                <w:bCs/>
                <w:sz w:val="22"/>
                <w:szCs w:val="22"/>
              </w:rPr>
            </w:pPr>
          </w:p>
          <w:p w14:paraId="7F4C8071"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34E8709A"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434A008"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473E52DE" w14:textId="77777777" w:rsidTr="008D674F">
        <w:trPr>
          <w:trHeight w:val="720"/>
        </w:trPr>
        <w:tc>
          <w:tcPr>
            <w:tcW w:w="5211" w:type="dxa"/>
            <w:gridSpan w:val="2"/>
          </w:tcPr>
          <w:p w14:paraId="5DD93D69"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7215BE9C"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24334D81" w14:textId="77777777" w:rsidTr="009C1A08">
        <w:trPr>
          <w:trHeight w:val="720"/>
        </w:trPr>
        <w:tc>
          <w:tcPr>
            <w:tcW w:w="8856" w:type="dxa"/>
            <w:gridSpan w:val="5"/>
          </w:tcPr>
          <w:p w14:paraId="3CFDF394"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757641F0"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54CC97D6"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7E9CC20"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F48CA3A"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568314C5"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DC0B396"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4B68284"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8B9FA10"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21BB182C" w14:textId="77777777" w:rsidR="00230F35" w:rsidRDefault="00230F35" w:rsidP="002F467C">
            <w:pPr>
              <w:pStyle w:val="NormalWeb"/>
              <w:spacing w:before="0" w:beforeAutospacing="0" w:after="0" w:afterAutospacing="0"/>
              <w:ind w:right="-334"/>
              <w:rPr>
                <w:rFonts w:ascii="Arial" w:hAnsi="Arial" w:cs="Arial"/>
                <w:bCs/>
                <w:sz w:val="22"/>
                <w:szCs w:val="22"/>
              </w:rPr>
            </w:pPr>
          </w:p>
          <w:p w14:paraId="219B1A17"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5644B07B"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093FBEFF" w14:textId="77777777" w:rsidTr="00230F35">
        <w:trPr>
          <w:trHeight w:val="720"/>
        </w:trPr>
        <w:tc>
          <w:tcPr>
            <w:tcW w:w="5211" w:type="dxa"/>
            <w:gridSpan w:val="2"/>
          </w:tcPr>
          <w:p w14:paraId="5F311A24"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79C4AD78"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6D8EED6A" w14:textId="2023EFB2" w:rsidR="00EC7546" w:rsidRDefault="00EC7546" w:rsidP="00FA07E9">
      <w:pPr>
        <w:pStyle w:val="NormalWeb"/>
        <w:spacing w:before="0" w:beforeAutospacing="0" w:after="0" w:afterAutospacing="0"/>
        <w:ind w:right="-334"/>
        <w:rPr>
          <w:rFonts w:ascii="Trebuchet MS" w:hAnsi="Trebuchet MS" w:cs="Tahoma"/>
          <w:bCs/>
          <w:sz w:val="24"/>
          <w:szCs w:val="24"/>
        </w:rPr>
      </w:pPr>
    </w:p>
    <w:p w14:paraId="1DAF4F04" w14:textId="69770DA3" w:rsidR="005B3B1C" w:rsidRDefault="005B3B1C" w:rsidP="00FA07E9">
      <w:pPr>
        <w:pStyle w:val="NormalWeb"/>
        <w:spacing w:before="0" w:beforeAutospacing="0" w:after="0" w:afterAutospacing="0"/>
        <w:ind w:right="-334"/>
        <w:rPr>
          <w:rFonts w:ascii="Trebuchet MS" w:hAnsi="Trebuchet MS" w:cs="Tahoma"/>
          <w:bCs/>
          <w:sz w:val="24"/>
          <w:szCs w:val="24"/>
        </w:rPr>
      </w:pPr>
    </w:p>
    <w:p w14:paraId="17532778" w14:textId="6C1DE6BB" w:rsidR="005B3B1C" w:rsidRDefault="005B3B1C" w:rsidP="00FA07E9">
      <w:pPr>
        <w:pStyle w:val="NormalWeb"/>
        <w:spacing w:before="0" w:beforeAutospacing="0" w:after="0" w:afterAutospacing="0"/>
        <w:ind w:right="-334"/>
        <w:rPr>
          <w:rFonts w:ascii="Trebuchet MS" w:hAnsi="Trebuchet MS" w:cs="Tahoma"/>
          <w:bCs/>
          <w:sz w:val="24"/>
          <w:szCs w:val="24"/>
        </w:rPr>
      </w:pPr>
    </w:p>
    <w:p w14:paraId="5229805B" w14:textId="1D2DF69B" w:rsidR="005B3B1C" w:rsidRDefault="005B3B1C" w:rsidP="00FA07E9">
      <w:pPr>
        <w:pStyle w:val="NormalWeb"/>
        <w:spacing w:before="0" w:beforeAutospacing="0" w:after="0" w:afterAutospacing="0"/>
        <w:ind w:right="-334"/>
        <w:rPr>
          <w:rFonts w:ascii="Trebuchet MS" w:hAnsi="Trebuchet MS" w:cs="Tahoma"/>
          <w:bCs/>
          <w:sz w:val="24"/>
          <w:szCs w:val="24"/>
        </w:rPr>
      </w:pPr>
    </w:p>
    <w:p w14:paraId="075A6018" w14:textId="51A8800D" w:rsidR="005B3B1C" w:rsidRDefault="005B3B1C" w:rsidP="00FA07E9">
      <w:pPr>
        <w:pStyle w:val="NormalWeb"/>
        <w:spacing w:before="0" w:beforeAutospacing="0" w:after="0" w:afterAutospacing="0"/>
        <w:ind w:right="-334"/>
        <w:rPr>
          <w:rFonts w:ascii="Trebuchet MS" w:hAnsi="Trebuchet MS" w:cs="Tahoma"/>
          <w:bCs/>
          <w:sz w:val="24"/>
          <w:szCs w:val="24"/>
        </w:rPr>
      </w:pPr>
    </w:p>
    <w:p w14:paraId="2CBF38D4" w14:textId="77777777" w:rsidR="005B3B1C" w:rsidRPr="00164F08" w:rsidRDefault="005B3B1C" w:rsidP="005B3B1C">
      <w:pPr>
        <w:jc w:val="center"/>
        <w:rPr>
          <w:rFonts w:asciiTheme="majorHAnsi" w:hAnsiTheme="majorHAnsi" w:cstheme="majorHAnsi"/>
          <w:sz w:val="22"/>
          <w:szCs w:val="22"/>
        </w:rPr>
      </w:pPr>
      <w:r w:rsidRPr="00164F08">
        <w:rPr>
          <w:rFonts w:asciiTheme="majorHAnsi" w:hAnsiTheme="majorHAnsi" w:cstheme="majorHAnsi"/>
          <w:sz w:val="22"/>
          <w:szCs w:val="22"/>
        </w:rPr>
        <w:t>A Critical Comparison of Two JSTOR Papers</w:t>
      </w:r>
    </w:p>
    <w:p w14:paraId="3EF3F19C" w14:textId="77777777" w:rsidR="005B3B1C" w:rsidRPr="005B3B1C" w:rsidRDefault="005B3B1C" w:rsidP="005B3B1C">
      <w:pPr>
        <w:rPr>
          <w:rFonts w:asciiTheme="minorHAnsi" w:hAnsiTheme="minorHAnsi" w:cstheme="minorHAnsi"/>
          <w:sz w:val="22"/>
          <w:szCs w:val="22"/>
        </w:rPr>
      </w:pPr>
      <w:r w:rsidRPr="005B3B1C">
        <w:rPr>
          <w:rFonts w:asciiTheme="minorHAnsi" w:hAnsiTheme="minorHAnsi" w:cstheme="minorHAnsi"/>
          <w:sz w:val="22"/>
          <w:szCs w:val="22"/>
        </w:rPr>
        <w:t xml:space="preserve">This essay critically </w:t>
      </w:r>
      <w:proofErr w:type="gramStart"/>
      <w:r w:rsidRPr="005B3B1C">
        <w:rPr>
          <w:rFonts w:asciiTheme="minorHAnsi" w:hAnsiTheme="minorHAnsi" w:cstheme="minorHAnsi"/>
          <w:sz w:val="22"/>
          <w:szCs w:val="22"/>
        </w:rPr>
        <w:t>compares and contrasts</w:t>
      </w:r>
      <w:proofErr w:type="gramEnd"/>
      <w:r w:rsidRPr="005B3B1C">
        <w:rPr>
          <w:rFonts w:asciiTheme="minorHAnsi" w:hAnsiTheme="minorHAnsi" w:cstheme="minorHAnsi"/>
          <w:sz w:val="22"/>
          <w:szCs w:val="22"/>
        </w:rPr>
        <w:t xml:space="preserve"> two JSTOR papers. The two papers chosen are Carrasco, David, ‘City as Symbol in Aztec Thought: The Clues from the Codex Mendoza’, History of Religions, vol. 20, no. 3 (1981), pp.199-223, and of </w:t>
      </w:r>
      <w:proofErr w:type="spellStart"/>
      <w:r w:rsidRPr="005B3B1C">
        <w:rPr>
          <w:rFonts w:asciiTheme="minorHAnsi" w:hAnsiTheme="minorHAnsi" w:cstheme="minorHAnsi"/>
          <w:sz w:val="22"/>
          <w:szCs w:val="22"/>
        </w:rPr>
        <w:t>Hamacher</w:t>
      </w:r>
      <w:proofErr w:type="spellEnd"/>
      <w:r w:rsidRPr="005B3B1C">
        <w:rPr>
          <w:rFonts w:asciiTheme="minorHAnsi" w:hAnsiTheme="minorHAnsi" w:cstheme="minorHAnsi"/>
          <w:sz w:val="22"/>
          <w:szCs w:val="22"/>
        </w:rPr>
        <w:t>, Duane W., Robert S. Fuller, and Ray P. Norris. 'Orientations of Linear Stone Arrangements in New South Wales.' Australian Archaeology, no. 75 (2012): 46-54.</w:t>
      </w:r>
    </w:p>
    <w:p w14:paraId="2F88CA49" w14:textId="77777777" w:rsidR="005B3B1C" w:rsidRPr="005B3B1C" w:rsidRDefault="005B3B1C" w:rsidP="005B3B1C">
      <w:pPr>
        <w:rPr>
          <w:rFonts w:asciiTheme="minorHAnsi" w:hAnsiTheme="minorHAnsi" w:cstheme="minorHAnsi"/>
          <w:sz w:val="22"/>
          <w:szCs w:val="22"/>
        </w:rPr>
      </w:pPr>
    </w:p>
    <w:p w14:paraId="2DC5197A" w14:textId="77777777" w:rsidR="005B3B1C" w:rsidRPr="005B3B1C" w:rsidRDefault="005B3B1C" w:rsidP="005B3B1C">
      <w:pPr>
        <w:rPr>
          <w:rFonts w:asciiTheme="minorHAnsi" w:hAnsiTheme="minorHAnsi" w:cstheme="minorHAnsi"/>
          <w:b/>
          <w:bCs/>
          <w:sz w:val="22"/>
          <w:szCs w:val="22"/>
          <w:u w:val="single"/>
        </w:rPr>
      </w:pPr>
      <w:r w:rsidRPr="005B3B1C">
        <w:rPr>
          <w:rFonts w:asciiTheme="minorHAnsi" w:hAnsiTheme="minorHAnsi" w:cstheme="minorHAnsi"/>
          <w:b/>
          <w:bCs/>
          <w:sz w:val="22"/>
          <w:szCs w:val="22"/>
          <w:u w:val="single"/>
        </w:rPr>
        <w:t>Introduction</w:t>
      </w:r>
    </w:p>
    <w:p w14:paraId="7D6F37AE" w14:textId="01AEAA84" w:rsidR="005B3B1C" w:rsidRDefault="005B3B1C" w:rsidP="005B3B1C">
      <w:pPr>
        <w:rPr>
          <w:rFonts w:asciiTheme="minorHAnsi" w:hAnsiTheme="minorHAnsi" w:cstheme="minorHAnsi"/>
          <w:sz w:val="22"/>
          <w:szCs w:val="22"/>
        </w:rPr>
      </w:pPr>
      <w:r w:rsidRPr="005B3B1C">
        <w:rPr>
          <w:rFonts w:asciiTheme="minorHAnsi" w:hAnsiTheme="minorHAnsi" w:cstheme="minorHAnsi"/>
          <w:sz w:val="22"/>
          <w:szCs w:val="22"/>
          <w:lang w:val="en-US"/>
        </w:rPr>
        <w:t xml:space="preserve">The paper of </w:t>
      </w:r>
      <w:r w:rsidRPr="005B3B1C">
        <w:rPr>
          <w:rFonts w:asciiTheme="minorHAnsi" w:hAnsiTheme="minorHAnsi" w:cstheme="minorHAnsi"/>
          <w:sz w:val="22"/>
          <w:szCs w:val="22"/>
        </w:rPr>
        <w:t xml:space="preserve">Carrasco, David, ‘City as Symbol in Aztec Thought: The Clues from the Codex Mendoza’ is aiming to demonstrate that the </w:t>
      </w:r>
      <w:r w:rsidRPr="005B3B1C">
        <w:rPr>
          <w:rFonts w:asciiTheme="minorHAnsi" w:hAnsiTheme="minorHAnsi" w:cstheme="minorHAnsi"/>
          <w:sz w:val="22"/>
          <w:szCs w:val="22"/>
          <w:lang w:val="en-US"/>
        </w:rPr>
        <w:t xml:space="preserve">Aztec capital, </w:t>
      </w:r>
      <w:proofErr w:type="spellStart"/>
      <w:r w:rsidRPr="005B3B1C">
        <w:rPr>
          <w:rFonts w:asciiTheme="minorHAnsi" w:hAnsiTheme="minorHAnsi" w:cstheme="minorHAnsi"/>
          <w:sz w:val="22"/>
          <w:szCs w:val="22"/>
          <w:lang w:val="en-US"/>
        </w:rPr>
        <w:t>Tenochitilan</w:t>
      </w:r>
      <w:proofErr w:type="spellEnd"/>
      <w:r w:rsidRPr="005B3B1C">
        <w:rPr>
          <w:rFonts w:asciiTheme="minorHAnsi" w:hAnsiTheme="minorHAnsi" w:cstheme="minorHAnsi"/>
          <w:sz w:val="22"/>
          <w:szCs w:val="22"/>
          <w:lang w:val="en-US"/>
        </w:rPr>
        <w:t xml:space="preserve"> comes with </w:t>
      </w:r>
      <w:proofErr w:type="spellStart"/>
      <w:r w:rsidRPr="005B3B1C">
        <w:rPr>
          <w:rFonts w:asciiTheme="minorHAnsi" w:hAnsiTheme="minorHAnsi" w:cstheme="minorHAnsi"/>
          <w:sz w:val="22"/>
          <w:szCs w:val="22"/>
        </w:rPr>
        <w:t>cosmo</w:t>
      </w:r>
      <w:proofErr w:type="spellEnd"/>
      <w:r w:rsidRPr="005B3B1C">
        <w:rPr>
          <w:rFonts w:asciiTheme="minorHAnsi" w:hAnsiTheme="minorHAnsi" w:cstheme="minorHAnsi"/>
          <w:sz w:val="22"/>
          <w:szCs w:val="22"/>
        </w:rPr>
        <w:t xml:space="preserve">-magical thought. In the beginning, the author gave brief review of previous literature viewpoint on Aztec religious symbols within the city, then he identified a niche the Aztec city as a religious form, following by introducing three layers of knowledge to discuss on this topic. First, the author focused on giving detailed explanations about the frontispiece of the Codex Mendoza, what does the painting layout structure stands for and the deities behind the pictures; then the author specified the nature of </w:t>
      </w:r>
      <w:proofErr w:type="spellStart"/>
      <w:r w:rsidRPr="005B3B1C">
        <w:rPr>
          <w:rFonts w:asciiTheme="minorHAnsi" w:hAnsiTheme="minorHAnsi" w:cstheme="minorHAnsi"/>
          <w:sz w:val="22"/>
          <w:szCs w:val="22"/>
        </w:rPr>
        <w:t>Templo</w:t>
      </w:r>
      <w:proofErr w:type="spellEnd"/>
      <w:r w:rsidRPr="005B3B1C">
        <w:rPr>
          <w:rFonts w:asciiTheme="minorHAnsi" w:hAnsiTheme="minorHAnsi" w:cstheme="minorHAnsi"/>
          <w:sz w:val="22"/>
          <w:szCs w:val="22"/>
        </w:rPr>
        <w:t xml:space="preserve"> Mayor; lastly, he introduced the view of Aztec version of the conquest of Tenochtitlan.</w:t>
      </w:r>
    </w:p>
    <w:p w14:paraId="24D03471" w14:textId="77777777" w:rsidR="00B71944" w:rsidRPr="005B3B1C" w:rsidRDefault="00B71944" w:rsidP="005B3B1C">
      <w:pPr>
        <w:rPr>
          <w:rFonts w:asciiTheme="minorHAnsi" w:hAnsiTheme="minorHAnsi" w:cstheme="minorHAnsi"/>
          <w:sz w:val="22"/>
          <w:szCs w:val="22"/>
        </w:rPr>
      </w:pPr>
    </w:p>
    <w:p w14:paraId="2EB810AA" w14:textId="77777777" w:rsidR="005B3B1C" w:rsidRPr="005B3B1C" w:rsidRDefault="005B3B1C" w:rsidP="005B3B1C">
      <w:pPr>
        <w:rPr>
          <w:rFonts w:asciiTheme="minorHAnsi" w:hAnsiTheme="minorHAnsi" w:cstheme="minorHAnsi"/>
          <w:sz w:val="22"/>
          <w:szCs w:val="22"/>
        </w:rPr>
      </w:pPr>
      <w:r w:rsidRPr="005B3B1C">
        <w:rPr>
          <w:rFonts w:asciiTheme="minorHAnsi" w:hAnsiTheme="minorHAnsi" w:cstheme="minorHAnsi"/>
          <w:sz w:val="22"/>
          <w:szCs w:val="22"/>
        </w:rPr>
        <w:t xml:space="preserve">While the paper </w:t>
      </w:r>
      <w:proofErr w:type="spellStart"/>
      <w:r w:rsidRPr="005B3B1C">
        <w:rPr>
          <w:rFonts w:asciiTheme="minorHAnsi" w:hAnsiTheme="minorHAnsi" w:cstheme="minorHAnsi"/>
          <w:sz w:val="22"/>
          <w:szCs w:val="22"/>
        </w:rPr>
        <w:t>Hamacher</w:t>
      </w:r>
      <w:proofErr w:type="spellEnd"/>
      <w:r w:rsidRPr="005B3B1C">
        <w:rPr>
          <w:rFonts w:asciiTheme="minorHAnsi" w:hAnsiTheme="minorHAnsi" w:cstheme="minorHAnsi"/>
          <w:sz w:val="22"/>
          <w:szCs w:val="22"/>
        </w:rPr>
        <w:t>, Duane W., Robert S. Fuller, and Ray P. Norris. 'Orientations of Linear Stone Arrangements in New South Wales.' It aims to utilize the Monte Carlo Statistic tool to establish the data proof to test the hypothesis that linear stone arrangements have a preferred orientation to cardinal directions. They initiated site card methods to access the information and compare the results from the data collected. Furthermore, they have conducted the error analysis about the results.</w:t>
      </w:r>
    </w:p>
    <w:p w14:paraId="6664065F" w14:textId="77777777" w:rsidR="005B3B1C" w:rsidRPr="005B3B1C" w:rsidRDefault="005B3B1C" w:rsidP="005B3B1C">
      <w:pPr>
        <w:rPr>
          <w:rFonts w:asciiTheme="minorHAnsi" w:hAnsiTheme="minorHAnsi" w:cstheme="minorHAnsi"/>
          <w:sz w:val="22"/>
          <w:szCs w:val="22"/>
          <w:lang w:val="en-US"/>
        </w:rPr>
      </w:pPr>
    </w:p>
    <w:p w14:paraId="265568B1" w14:textId="77777777" w:rsidR="005B3B1C" w:rsidRPr="005B3B1C" w:rsidRDefault="005B3B1C" w:rsidP="005B3B1C">
      <w:pPr>
        <w:rPr>
          <w:rFonts w:asciiTheme="minorHAnsi" w:hAnsiTheme="minorHAnsi" w:cstheme="minorHAnsi"/>
          <w:b/>
          <w:bCs/>
          <w:sz w:val="22"/>
          <w:szCs w:val="22"/>
          <w:u w:val="single"/>
        </w:rPr>
      </w:pPr>
      <w:r w:rsidRPr="005B3B1C">
        <w:rPr>
          <w:rFonts w:asciiTheme="minorHAnsi" w:hAnsiTheme="minorHAnsi" w:cstheme="minorHAnsi"/>
          <w:b/>
          <w:bCs/>
          <w:sz w:val="22"/>
          <w:szCs w:val="22"/>
          <w:u w:val="single"/>
        </w:rPr>
        <w:t>Contextualise</w:t>
      </w:r>
    </w:p>
    <w:p w14:paraId="359E23A5" w14:textId="7FF0C25C" w:rsidR="005B3B1C" w:rsidRDefault="009F468A" w:rsidP="005B3B1C">
      <w:pPr>
        <w:rPr>
          <w:rFonts w:asciiTheme="minorHAnsi" w:hAnsiTheme="minorHAnsi" w:cstheme="minorHAnsi"/>
          <w:sz w:val="22"/>
          <w:szCs w:val="22"/>
        </w:rPr>
      </w:pPr>
      <w:r>
        <w:rPr>
          <w:rFonts w:asciiTheme="minorHAnsi" w:hAnsiTheme="minorHAnsi" w:cstheme="minorHAnsi"/>
          <w:sz w:val="22"/>
          <w:szCs w:val="22"/>
        </w:rPr>
        <w:t>The first paper author</w:t>
      </w:r>
      <w:r w:rsidR="005B3B1C" w:rsidRPr="005B3B1C">
        <w:rPr>
          <w:rFonts w:asciiTheme="minorHAnsi" w:hAnsiTheme="minorHAnsi" w:cstheme="minorHAnsi"/>
          <w:sz w:val="22"/>
          <w:szCs w:val="22"/>
        </w:rPr>
        <w:t xml:space="preserve"> David Carrasco was born in Bainbridge, Maryland and grew up in Washington D.C., Maryland, and Mexico City. This paper ‘City as Symbol in Aztec Thought: The Clues from the Codex Mendoza’ documented detailed history about Aztec and Aztec’s conquest by the Spaniards. The author wrote this paper back in 1981, by that time, the prevalent view on this topic is more related about the Aztec symbolisms within the city, he elevated the study to demonstrate the Aztec city as symbol. This paper is published on the History of Religions and the writing style is informatic and educational. This paper is intended for wider academic readership, majority secondary resources have been used to provide further evidence to support author’s work. After this paper is completed, Carrasco had continued academic writings on the Aztec study till today. All his noteworthy contributions on the study of Aztec culture made him been awarded with the Mexican Order of the Aztec Eagle, which is the highest honour the Mexican government gives to a foreign national.</w:t>
      </w:r>
    </w:p>
    <w:p w14:paraId="44BF725D" w14:textId="77777777" w:rsidR="00B71944" w:rsidRPr="005B3B1C" w:rsidRDefault="00B71944" w:rsidP="005B3B1C">
      <w:pPr>
        <w:rPr>
          <w:rFonts w:asciiTheme="minorHAnsi" w:hAnsiTheme="minorHAnsi" w:cstheme="minorHAnsi"/>
          <w:sz w:val="22"/>
          <w:szCs w:val="22"/>
          <w:lang w:val="en-US"/>
        </w:rPr>
      </w:pPr>
    </w:p>
    <w:p w14:paraId="0ECA4683" w14:textId="77777777" w:rsidR="005B3B1C" w:rsidRPr="005B3B1C" w:rsidRDefault="005B3B1C" w:rsidP="005B3B1C">
      <w:pPr>
        <w:rPr>
          <w:rFonts w:asciiTheme="minorHAnsi" w:hAnsiTheme="minorHAnsi" w:cstheme="minorHAnsi"/>
          <w:sz w:val="22"/>
          <w:szCs w:val="22"/>
        </w:rPr>
      </w:pPr>
      <w:r w:rsidRPr="005B3B1C">
        <w:rPr>
          <w:rFonts w:asciiTheme="minorHAnsi" w:hAnsiTheme="minorHAnsi" w:cstheme="minorHAnsi"/>
          <w:sz w:val="22"/>
          <w:szCs w:val="22"/>
        </w:rPr>
        <w:t xml:space="preserve">The second paper is </w:t>
      </w:r>
      <w:proofErr w:type="spellStart"/>
      <w:r w:rsidRPr="005B3B1C">
        <w:rPr>
          <w:rFonts w:asciiTheme="minorHAnsi" w:hAnsiTheme="minorHAnsi" w:cstheme="minorHAnsi"/>
          <w:sz w:val="22"/>
          <w:szCs w:val="22"/>
        </w:rPr>
        <w:t>Hamacher</w:t>
      </w:r>
      <w:proofErr w:type="spellEnd"/>
      <w:r w:rsidRPr="005B3B1C">
        <w:rPr>
          <w:rFonts w:asciiTheme="minorHAnsi" w:hAnsiTheme="minorHAnsi" w:cstheme="minorHAnsi"/>
          <w:sz w:val="22"/>
          <w:szCs w:val="22"/>
        </w:rPr>
        <w:t>, Duane W., Robert S. Fuller, and Ray P. Norris. 'Orientations of Linear Stone Arrangements in New South Wales.'.  The paper is published on the Australian Archaeology in December 2012. It is a collaboration work by three authors from different academic research institutions in Australia. Besides, this paper is the break ground paper in this study area of performing research on the stone arrangement in New South Wales whether align with the linear arrangements. This paper comes with solid statistic background to collect data and conduct the Monte Carlo simulations to define the correlations. In this paper, strong primary sources are presented along with the data charts and tables.</w:t>
      </w:r>
    </w:p>
    <w:p w14:paraId="00FFD3B4" w14:textId="77777777" w:rsidR="005B3B1C" w:rsidRPr="005B3B1C" w:rsidRDefault="005B3B1C" w:rsidP="005B3B1C">
      <w:pPr>
        <w:rPr>
          <w:rFonts w:asciiTheme="minorHAnsi" w:hAnsiTheme="minorHAnsi" w:cstheme="minorHAnsi"/>
          <w:sz w:val="22"/>
          <w:szCs w:val="22"/>
        </w:rPr>
      </w:pPr>
    </w:p>
    <w:p w14:paraId="71695822" w14:textId="77777777" w:rsidR="005B3B1C" w:rsidRPr="005B3B1C" w:rsidRDefault="005B3B1C" w:rsidP="005B3B1C">
      <w:pPr>
        <w:rPr>
          <w:rFonts w:asciiTheme="minorHAnsi" w:hAnsiTheme="minorHAnsi" w:cstheme="minorHAnsi"/>
          <w:b/>
          <w:bCs/>
          <w:sz w:val="22"/>
          <w:szCs w:val="22"/>
          <w:u w:val="single"/>
        </w:rPr>
      </w:pPr>
      <w:r w:rsidRPr="005B3B1C">
        <w:rPr>
          <w:rFonts w:asciiTheme="minorHAnsi" w:hAnsiTheme="minorHAnsi" w:cstheme="minorHAnsi"/>
          <w:b/>
          <w:bCs/>
          <w:sz w:val="22"/>
          <w:szCs w:val="22"/>
          <w:u w:val="single"/>
        </w:rPr>
        <w:t>Summarise</w:t>
      </w:r>
    </w:p>
    <w:p w14:paraId="716715F2" w14:textId="61435E6D" w:rsidR="005B3B1C" w:rsidRDefault="005B3B1C" w:rsidP="005B3B1C">
      <w:pPr>
        <w:rPr>
          <w:rFonts w:asciiTheme="minorHAnsi" w:hAnsiTheme="minorHAnsi" w:cstheme="minorHAnsi"/>
          <w:sz w:val="22"/>
          <w:szCs w:val="22"/>
        </w:rPr>
      </w:pPr>
      <w:r w:rsidRPr="005B3B1C">
        <w:rPr>
          <w:rFonts w:asciiTheme="minorHAnsi" w:hAnsiTheme="minorHAnsi" w:cstheme="minorHAnsi"/>
          <w:sz w:val="22"/>
          <w:szCs w:val="22"/>
        </w:rPr>
        <w:lastRenderedPageBreak/>
        <w:t xml:space="preserve">The Aztec paper carried the exploration on the </w:t>
      </w:r>
      <w:proofErr w:type="spellStart"/>
      <w:r w:rsidRPr="005B3B1C">
        <w:rPr>
          <w:rFonts w:asciiTheme="minorHAnsi" w:hAnsiTheme="minorHAnsi" w:cstheme="minorHAnsi"/>
          <w:sz w:val="22"/>
          <w:szCs w:val="22"/>
        </w:rPr>
        <w:t>cosmo</w:t>
      </w:r>
      <w:proofErr w:type="spellEnd"/>
      <w:r w:rsidRPr="005B3B1C">
        <w:rPr>
          <w:rFonts w:asciiTheme="minorHAnsi" w:hAnsiTheme="minorHAnsi" w:cstheme="minorHAnsi"/>
          <w:sz w:val="22"/>
          <w:szCs w:val="22"/>
        </w:rPr>
        <w:t>-magical emphasis on the Aztec city itself. Carrasco started the paper by introducing most common realization about the Aztec culture was a traditional city and the relevant studies on the urban features of the Aztec world. While very few studies have been conducted on finding the relation between cosmological symbols and the Aztec Capital cities. In parallel, Carrasco has introduced urban geographer Paul Wheatley, who wrote the article, “City as Symbol”, from which Carrasco extended an idea about a genre as of “</w:t>
      </w:r>
      <w:proofErr w:type="spellStart"/>
      <w:r w:rsidRPr="005B3B1C">
        <w:rPr>
          <w:rFonts w:asciiTheme="minorHAnsi" w:hAnsiTheme="minorHAnsi" w:cstheme="minorHAnsi"/>
          <w:sz w:val="22"/>
          <w:szCs w:val="22"/>
        </w:rPr>
        <w:t>cosmo</w:t>
      </w:r>
      <w:proofErr w:type="spellEnd"/>
      <w:r w:rsidRPr="005B3B1C">
        <w:rPr>
          <w:rFonts w:asciiTheme="minorHAnsi" w:hAnsiTheme="minorHAnsi" w:cstheme="minorHAnsi"/>
          <w:sz w:val="22"/>
          <w:szCs w:val="22"/>
        </w:rPr>
        <w:t xml:space="preserve">-magical thought”. By then, the author lifted the veil of this paper’s key content and picked three main argument strategies to support his ideas. Firstly, Carrasco discussed the </w:t>
      </w:r>
      <w:proofErr w:type="spellStart"/>
      <w:r w:rsidRPr="005B3B1C">
        <w:rPr>
          <w:rFonts w:asciiTheme="minorHAnsi" w:hAnsiTheme="minorHAnsi" w:cstheme="minorHAnsi"/>
          <w:sz w:val="22"/>
          <w:szCs w:val="22"/>
        </w:rPr>
        <w:t>frontpiece</w:t>
      </w:r>
      <w:proofErr w:type="spellEnd"/>
      <w:r w:rsidRPr="005B3B1C">
        <w:rPr>
          <w:rFonts w:asciiTheme="minorHAnsi" w:hAnsiTheme="minorHAnsi" w:cstheme="minorHAnsi"/>
          <w:sz w:val="22"/>
          <w:szCs w:val="22"/>
        </w:rPr>
        <w:t xml:space="preserve"> of the Codex Mendoza along with the Codex Mendoza book’s history; then he interpreted the symbolic nature of </w:t>
      </w:r>
      <w:proofErr w:type="spellStart"/>
      <w:r w:rsidRPr="005B3B1C">
        <w:rPr>
          <w:rFonts w:asciiTheme="minorHAnsi" w:hAnsiTheme="minorHAnsi" w:cstheme="minorHAnsi"/>
          <w:sz w:val="22"/>
          <w:szCs w:val="22"/>
        </w:rPr>
        <w:t>Templo</w:t>
      </w:r>
      <w:proofErr w:type="spellEnd"/>
      <w:r w:rsidRPr="005B3B1C">
        <w:rPr>
          <w:rFonts w:asciiTheme="minorHAnsi" w:hAnsiTheme="minorHAnsi" w:cstheme="minorHAnsi"/>
          <w:sz w:val="22"/>
          <w:szCs w:val="22"/>
        </w:rPr>
        <w:t xml:space="preserve"> Mayor; lastly, he considered the Aztec version of the Conquest of Aztec Capital </w:t>
      </w:r>
      <w:proofErr w:type="spellStart"/>
      <w:r w:rsidRPr="005B3B1C">
        <w:rPr>
          <w:rFonts w:asciiTheme="minorHAnsi" w:hAnsiTheme="minorHAnsi" w:cstheme="minorHAnsi"/>
          <w:sz w:val="22"/>
          <w:szCs w:val="22"/>
        </w:rPr>
        <w:t>Tenochitlan</w:t>
      </w:r>
      <w:proofErr w:type="spellEnd"/>
      <w:r w:rsidRPr="005B3B1C">
        <w:rPr>
          <w:rFonts w:asciiTheme="minorHAnsi" w:hAnsiTheme="minorHAnsi" w:cstheme="minorHAnsi"/>
          <w:sz w:val="22"/>
          <w:szCs w:val="22"/>
        </w:rPr>
        <w:t xml:space="preserve"> which is from </w:t>
      </w:r>
      <w:proofErr w:type="spellStart"/>
      <w:r w:rsidRPr="005B3B1C">
        <w:rPr>
          <w:rFonts w:asciiTheme="minorHAnsi" w:hAnsiTheme="minorHAnsi" w:cstheme="minorHAnsi"/>
          <w:sz w:val="22"/>
          <w:szCs w:val="22"/>
        </w:rPr>
        <w:t>cosmo</w:t>
      </w:r>
      <w:proofErr w:type="spellEnd"/>
      <w:r w:rsidRPr="005B3B1C">
        <w:rPr>
          <w:rFonts w:asciiTheme="minorHAnsi" w:hAnsiTheme="minorHAnsi" w:cstheme="minorHAnsi"/>
          <w:sz w:val="22"/>
          <w:szCs w:val="22"/>
        </w:rPr>
        <w:t xml:space="preserve">-magical view. It is like three different cake layers are unveiled by the author, all these three elements concreate the cake essence and flavour.  </w:t>
      </w:r>
    </w:p>
    <w:p w14:paraId="708A785A" w14:textId="77777777" w:rsidR="005B3B1C" w:rsidRPr="005B3B1C" w:rsidRDefault="005B3B1C" w:rsidP="005B3B1C">
      <w:pPr>
        <w:rPr>
          <w:rFonts w:asciiTheme="minorHAnsi" w:hAnsiTheme="minorHAnsi" w:cstheme="minorHAnsi"/>
          <w:sz w:val="22"/>
          <w:szCs w:val="22"/>
        </w:rPr>
      </w:pPr>
    </w:p>
    <w:p w14:paraId="1AC1EB90" w14:textId="0B37FF19" w:rsidR="005B3B1C" w:rsidRDefault="005B3B1C" w:rsidP="005B3B1C">
      <w:pPr>
        <w:rPr>
          <w:rFonts w:asciiTheme="minorHAnsi" w:hAnsiTheme="minorHAnsi" w:cstheme="minorHAnsi"/>
          <w:sz w:val="22"/>
          <w:szCs w:val="22"/>
        </w:rPr>
      </w:pPr>
      <w:r w:rsidRPr="005B3B1C">
        <w:rPr>
          <w:rFonts w:asciiTheme="minorHAnsi" w:hAnsiTheme="minorHAnsi" w:cstheme="minorHAnsi"/>
          <w:sz w:val="22"/>
          <w:szCs w:val="22"/>
        </w:rPr>
        <w:t xml:space="preserve">Whenever a new concepted is presented, most of the time, Carrasco provided strong background story to let readers to fill the gap of the concepts he listed before. For example, when talked about the book Codex Mendoza, the author spent pages to illustrate how the Aztec Culture was before and after the conquest by the Spaniards. The story of when this book was produced, by whom and how the book was travelled and where is this book now. In addition, Carrasco inserted the image of the </w:t>
      </w:r>
      <w:proofErr w:type="spellStart"/>
      <w:r w:rsidRPr="005B3B1C">
        <w:rPr>
          <w:rFonts w:asciiTheme="minorHAnsi" w:hAnsiTheme="minorHAnsi" w:cstheme="minorHAnsi"/>
          <w:sz w:val="22"/>
          <w:szCs w:val="22"/>
        </w:rPr>
        <w:t>frontpiece</w:t>
      </w:r>
      <w:proofErr w:type="spellEnd"/>
      <w:r w:rsidRPr="005B3B1C">
        <w:rPr>
          <w:rFonts w:asciiTheme="minorHAnsi" w:hAnsiTheme="minorHAnsi" w:cstheme="minorHAnsi"/>
          <w:sz w:val="22"/>
          <w:szCs w:val="22"/>
        </w:rPr>
        <w:t xml:space="preserve"> from book Codex Mendoza in his paper to allow readers to follow his description of the city urban characteristics with the </w:t>
      </w:r>
      <w:proofErr w:type="spellStart"/>
      <w:r w:rsidRPr="005B3B1C">
        <w:rPr>
          <w:rFonts w:asciiTheme="minorHAnsi" w:hAnsiTheme="minorHAnsi" w:cstheme="minorHAnsi"/>
          <w:sz w:val="22"/>
          <w:szCs w:val="22"/>
        </w:rPr>
        <w:t>cosmo</w:t>
      </w:r>
      <w:proofErr w:type="spellEnd"/>
      <w:r w:rsidRPr="005B3B1C">
        <w:rPr>
          <w:rFonts w:asciiTheme="minorHAnsi" w:hAnsiTheme="minorHAnsi" w:cstheme="minorHAnsi"/>
          <w:sz w:val="22"/>
          <w:szCs w:val="22"/>
        </w:rPr>
        <w:t xml:space="preserve">-magical deities and stories behind it, how the Aztec city was built and each areas stands for in Aztec culture. When it comes to describe the </w:t>
      </w:r>
      <w:proofErr w:type="spellStart"/>
      <w:r w:rsidRPr="005B3B1C">
        <w:rPr>
          <w:rFonts w:asciiTheme="minorHAnsi" w:hAnsiTheme="minorHAnsi" w:cstheme="minorHAnsi"/>
          <w:sz w:val="22"/>
          <w:szCs w:val="22"/>
        </w:rPr>
        <w:t>Templo</w:t>
      </w:r>
      <w:proofErr w:type="spellEnd"/>
      <w:r w:rsidRPr="005B3B1C">
        <w:rPr>
          <w:rFonts w:asciiTheme="minorHAnsi" w:hAnsiTheme="minorHAnsi" w:cstheme="minorHAnsi"/>
          <w:sz w:val="22"/>
          <w:szCs w:val="22"/>
        </w:rPr>
        <w:t xml:space="preserve"> Mayor, another strong evidence added to the growing body of Carrasco’s argument, this </w:t>
      </w:r>
      <w:proofErr w:type="spellStart"/>
      <w:r w:rsidRPr="005B3B1C">
        <w:rPr>
          <w:rFonts w:asciiTheme="minorHAnsi" w:hAnsiTheme="minorHAnsi" w:cstheme="minorHAnsi"/>
          <w:sz w:val="22"/>
          <w:szCs w:val="22"/>
        </w:rPr>
        <w:t>Templo</w:t>
      </w:r>
      <w:proofErr w:type="spellEnd"/>
      <w:r w:rsidRPr="005B3B1C">
        <w:rPr>
          <w:rFonts w:asciiTheme="minorHAnsi" w:hAnsiTheme="minorHAnsi" w:cstheme="minorHAnsi"/>
          <w:sz w:val="22"/>
          <w:szCs w:val="22"/>
        </w:rPr>
        <w:t xml:space="preserve"> preserved valuable and precious objects from the distant parts from the Aztec Empire.</w:t>
      </w:r>
    </w:p>
    <w:p w14:paraId="7E4212DB" w14:textId="77777777" w:rsidR="005B3B1C" w:rsidRPr="005B3B1C" w:rsidRDefault="005B3B1C" w:rsidP="005B3B1C">
      <w:pPr>
        <w:rPr>
          <w:rFonts w:asciiTheme="minorHAnsi" w:hAnsiTheme="minorHAnsi" w:cstheme="minorHAnsi"/>
          <w:sz w:val="22"/>
          <w:szCs w:val="22"/>
        </w:rPr>
      </w:pPr>
    </w:p>
    <w:p w14:paraId="1C76B687" w14:textId="7F2145B5" w:rsidR="005B3B1C" w:rsidRDefault="005B3B1C" w:rsidP="005B3B1C">
      <w:pPr>
        <w:rPr>
          <w:rFonts w:asciiTheme="minorHAnsi" w:hAnsiTheme="minorHAnsi" w:cstheme="minorHAnsi"/>
          <w:sz w:val="22"/>
          <w:szCs w:val="22"/>
        </w:rPr>
      </w:pPr>
      <w:r w:rsidRPr="005B3B1C">
        <w:rPr>
          <w:rFonts w:asciiTheme="minorHAnsi" w:hAnsiTheme="minorHAnsi" w:cstheme="minorHAnsi"/>
          <w:sz w:val="22"/>
          <w:szCs w:val="22"/>
        </w:rPr>
        <w:t xml:space="preserve">The </w:t>
      </w:r>
      <w:r w:rsidR="00B71944">
        <w:rPr>
          <w:rFonts w:asciiTheme="minorHAnsi" w:hAnsiTheme="minorHAnsi" w:cstheme="minorHAnsi" w:hint="eastAsia"/>
          <w:sz w:val="22"/>
          <w:szCs w:val="22"/>
        </w:rPr>
        <w:t>second</w:t>
      </w:r>
      <w:r w:rsidR="00B71944">
        <w:rPr>
          <w:rFonts w:asciiTheme="minorHAnsi" w:hAnsiTheme="minorHAnsi" w:cstheme="minorHAnsi"/>
          <w:sz w:val="22"/>
          <w:szCs w:val="22"/>
        </w:rPr>
        <w:t xml:space="preserve"> </w:t>
      </w:r>
      <w:r w:rsidR="00B71944">
        <w:rPr>
          <w:rFonts w:asciiTheme="minorHAnsi" w:hAnsiTheme="minorHAnsi" w:cstheme="minorHAnsi" w:hint="eastAsia"/>
          <w:sz w:val="22"/>
          <w:szCs w:val="22"/>
        </w:rPr>
        <w:t>paper</w:t>
      </w:r>
      <w:r w:rsidR="009F468A">
        <w:rPr>
          <w:rFonts w:asciiTheme="minorHAnsi" w:hAnsiTheme="minorHAnsi" w:cstheme="minorHAnsi"/>
          <w:sz w:val="22"/>
          <w:szCs w:val="22"/>
        </w:rPr>
        <w:t xml:space="preserve"> the</w:t>
      </w:r>
      <w:r w:rsidR="00B71944">
        <w:rPr>
          <w:rFonts w:asciiTheme="minorHAnsi" w:hAnsiTheme="minorHAnsi" w:cstheme="minorHAnsi"/>
          <w:sz w:val="22"/>
          <w:szCs w:val="22"/>
        </w:rPr>
        <w:t xml:space="preserve"> </w:t>
      </w:r>
      <w:r w:rsidRPr="005B3B1C">
        <w:rPr>
          <w:rFonts w:asciiTheme="minorHAnsi" w:hAnsiTheme="minorHAnsi" w:cstheme="minorHAnsi"/>
          <w:sz w:val="22"/>
          <w:szCs w:val="22"/>
        </w:rPr>
        <w:t>orientations of linear stone arrangements paper studie</w:t>
      </w:r>
      <w:r w:rsidR="009F468A">
        <w:rPr>
          <w:rFonts w:asciiTheme="minorHAnsi" w:hAnsiTheme="minorHAnsi" w:cstheme="minorHAnsi"/>
          <w:sz w:val="22"/>
          <w:szCs w:val="22"/>
        </w:rPr>
        <w:t>d</w:t>
      </w:r>
      <w:r w:rsidRPr="005B3B1C">
        <w:rPr>
          <w:rFonts w:asciiTheme="minorHAnsi" w:hAnsiTheme="minorHAnsi" w:cstheme="minorHAnsi"/>
          <w:sz w:val="22"/>
          <w:szCs w:val="22"/>
        </w:rPr>
        <w:t xml:space="preserve"> whether the arrangement in cardinal directions. Though it </w:t>
      </w:r>
      <w:r w:rsidR="009F468A">
        <w:rPr>
          <w:rFonts w:asciiTheme="minorHAnsi" w:hAnsiTheme="minorHAnsi" w:cstheme="minorHAnsi"/>
          <w:sz w:val="22"/>
          <w:szCs w:val="22"/>
        </w:rPr>
        <w:t>was</w:t>
      </w:r>
      <w:r w:rsidRPr="005B3B1C">
        <w:rPr>
          <w:rFonts w:asciiTheme="minorHAnsi" w:hAnsiTheme="minorHAnsi" w:cstheme="minorHAnsi"/>
          <w:sz w:val="22"/>
          <w:szCs w:val="22"/>
        </w:rPr>
        <w:t xml:space="preserve"> collaboration work between three authors, </w:t>
      </w:r>
      <w:r w:rsidR="009F468A">
        <w:rPr>
          <w:rFonts w:asciiTheme="minorHAnsi" w:hAnsiTheme="minorHAnsi" w:cstheme="minorHAnsi"/>
          <w:sz w:val="22"/>
          <w:szCs w:val="22"/>
        </w:rPr>
        <w:t>the key strength of</w:t>
      </w:r>
      <w:r w:rsidRPr="005B3B1C">
        <w:rPr>
          <w:rFonts w:asciiTheme="minorHAnsi" w:hAnsiTheme="minorHAnsi" w:cstheme="minorHAnsi"/>
          <w:sz w:val="22"/>
          <w:szCs w:val="22"/>
        </w:rPr>
        <w:t xml:space="preserve"> strong statistics foundations</w:t>
      </w:r>
      <w:r w:rsidR="009F468A">
        <w:rPr>
          <w:rFonts w:asciiTheme="minorHAnsi" w:hAnsiTheme="minorHAnsi" w:cstheme="minorHAnsi"/>
          <w:sz w:val="22"/>
          <w:szCs w:val="22"/>
        </w:rPr>
        <w:t xml:space="preserve"> made </w:t>
      </w:r>
      <w:r w:rsidRPr="005B3B1C">
        <w:rPr>
          <w:rFonts w:asciiTheme="minorHAnsi" w:hAnsiTheme="minorHAnsi" w:cstheme="minorHAnsi"/>
          <w:sz w:val="22"/>
          <w:szCs w:val="22"/>
        </w:rPr>
        <w:t>the author</w:t>
      </w:r>
      <w:r w:rsidR="00B71944">
        <w:rPr>
          <w:rFonts w:asciiTheme="minorHAnsi" w:hAnsiTheme="minorHAnsi" w:cstheme="minorHAnsi"/>
          <w:sz w:val="22"/>
          <w:szCs w:val="22"/>
        </w:rPr>
        <w:t xml:space="preserve">s </w:t>
      </w:r>
      <w:r w:rsidRPr="005B3B1C">
        <w:rPr>
          <w:rFonts w:asciiTheme="minorHAnsi" w:hAnsiTheme="minorHAnsi" w:cstheme="minorHAnsi"/>
          <w:sz w:val="22"/>
          <w:szCs w:val="22"/>
        </w:rPr>
        <w:t>persuade</w:t>
      </w:r>
      <w:r w:rsidR="00B71944">
        <w:rPr>
          <w:rFonts w:asciiTheme="minorHAnsi" w:hAnsiTheme="minorHAnsi" w:cstheme="minorHAnsi"/>
          <w:sz w:val="22"/>
          <w:szCs w:val="22"/>
        </w:rPr>
        <w:t>d</w:t>
      </w:r>
      <w:r w:rsidRPr="005B3B1C">
        <w:rPr>
          <w:rFonts w:asciiTheme="minorHAnsi" w:hAnsiTheme="minorHAnsi" w:cstheme="minorHAnsi"/>
          <w:sz w:val="22"/>
          <w:szCs w:val="22"/>
        </w:rPr>
        <w:t xml:space="preserve"> readers to be convinced by the accuracy of their hypothesis. The authors presented the concept of cardinal directions by introduced the aboriginal languages in Australia, due to many of the site</w:t>
      </w:r>
      <w:r w:rsidR="00B71944">
        <w:rPr>
          <w:rFonts w:asciiTheme="minorHAnsi" w:hAnsiTheme="minorHAnsi" w:cstheme="minorHAnsi"/>
          <w:sz w:val="22"/>
          <w:szCs w:val="22"/>
        </w:rPr>
        <w:t>s</w:t>
      </w:r>
      <w:r w:rsidRPr="005B3B1C">
        <w:rPr>
          <w:rFonts w:asciiTheme="minorHAnsi" w:hAnsiTheme="minorHAnsi" w:cstheme="minorHAnsi"/>
          <w:sz w:val="22"/>
          <w:szCs w:val="22"/>
        </w:rPr>
        <w:t xml:space="preserve"> </w:t>
      </w:r>
      <w:r w:rsidR="00B71944">
        <w:rPr>
          <w:rFonts w:asciiTheme="minorHAnsi" w:hAnsiTheme="minorHAnsi" w:cstheme="minorHAnsi"/>
          <w:sz w:val="22"/>
          <w:szCs w:val="22"/>
        </w:rPr>
        <w:t>were</w:t>
      </w:r>
      <w:r w:rsidRPr="005B3B1C">
        <w:rPr>
          <w:rFonts w:asciiTheme="minorHAnsi" w:hAnsiTheme="minorHAnsi" w:cstheme="minorHAnsi"/>
          <w:sz w:val="22"/>
          <w:szCs w:val="22"/>
        </w:rPr>
        <w:t xml:space="preserve"> in aboriginal languages, prior to this study, other scholars have researched on the similar topic but on very pristine way in year 1993, by using magnetic compass, the result from previous research indicated that the cardinal direction is a vague area instead of an exact direction. </w:t>
      </w:r>
      <w:r w:rsidR="009F468A">
        <w:rPr>
          <w:rFonts w:asciiTheme="minorHAnsi" w:hAnsiTheme="minorHAnsi" w:cstheme="minorHAnsi"/>
          <w:sz w:val="22"/>
          <w:szCs w:val="22"/>
        </w:rPr>
        <w:t xml:space="preserve">In contrast, the </w:t>
      </w:r>
      <w:r w:rsidRPr="005B3B1C">
        <w:rPr>
          <w:rFonts w:asciiTheme="minorHAnsi" w:hAnsiTheme="minorHAnsi" w:cstheme="minorHAnsi"/>
          <w:sz w:val="22"/>
          <w:szCs w:val="22"/>
        </w:rPr>
        <w:t>authors propose their own method, the archaeological site cards</w:t>
      </w:r>
      <w:r w:rsidR="009F468A">
        <w:rPr>
          <w:rFonts w:asciiTheme="minorHAnsi" w:hAnsiTheme="minorHAnsi" w:cstheme="minorHAnsi"/>
          <w:sz w:val="22"/>
          <w:szCs w:val="22"/>
        </w:rPr>
        <w:t>, which were more complicated and scientific approach</w:t>
      </w:r>
      <w:r w:rsidRPr="005B3B1C">
        <w:rPr>
          <w:rFonts w:asciiTheme="minorHAnsi" w:hAnsiTheme="minorHAnsi" w:cstheme="minorHAnsi"/>
          <w:sz w:val="22"/>
          <w:szCs w:val="22"/>
        </w:rPr>
        <w:t>. The cards information is stored by the AHIMS and NSW office, while the accuracy is difficult to assess</w:t>
      </w:r>
      <w:r w:rsidR="00B71944">
        <w:rPr>
          <w:rFonts w:asciiTheme="minorHAnsi" w:hAnsiTheme="minorHAnsi" w:cstheme="minorHAnsi"/>
          <w:sz w:val="22"/>
          <w:szCs w:val="22"/>
        </w:rPr>
        <w:t xml:space="preserve"> due to various reasons</w:t>
      </w:r>
      <w:r w:rsidRPr="005B3B1C">
        <w:rPr>
          <w:rFonts w:asciiTheme="minorHAnsi" w:hAnsiTheme="minorHAnsi" w:cstheme="minorHAnsi"/>
          <w:sz w:val="22"/>
          <w:szCs w:val="22"/>
        </w:rPr>
        <w:t xml:space="preserve">. In this way, after they set up certain rule for the site resurvey, they determined to conduct the survey for only 24 sites out of 643 stone arrangement sites which met the requirements of their designed survey study logic.  After </w:t>
      </w:r>
      <w:r w:rsidR="00B51982" w:rsidRPr="005B3B1C">
        <w:rPr>
          <w:rFonts w:asciiTheme="minorHAnsi" w:hAnsiTheme="minorHAnsi" w:cstheme="minorHAnsi"/>
          <w:sz w:val="22"/>
          <w:szCs w:val="22"/>
        </w:rPr>
        <w:t>the</w:t>
      </w:r>
      <w:r w:rsidRPr="005B3B1C">
        <w:rPr>
          <w:rFonts w:asciiTheme="minorHAnsi" w:hAnsiTheme="minorHAnsi" w:cstheme="minorHAnsi"/>
          <w:sz w:val="22"/>
          <w:szCs w:val="22"/>
        </w:rPr>
        <w:t xml:space="preserve"> 24 sites </w:t>
      </w:r>
      <w:r w:rsidR="00B71944">
        <w:rPr>
          <w:rFonts w:asciiTheme="minorHAnsi" w:hAnsiTheme="minorHAnsi" w:cstheme="minorHAnsi"/>
          <w:sz w:val="22"/>
          <w:szCs w:val="22"/>
        </w:rPr>
        <w:t xml:space="preserve">were </w:t>
      </w:r>
      <w:r w:rsidRPr="005B3B1C">
        <w:rPr>
          <w:rFonts w:asciiTheme="minorHAnsi" w:hAnsiTheme="minorHAnsi" w:cstheme="minorHAnsi"/>
          <w:sz w:val="22"/>
          <w:szCs w:val="22"/>
        </w:rPr>
        <w:t xml:space="preserve">chosen, they initiated to measure the Azimuths for each site and listed the results in tables. Further investigations </w:t>
      </w:r>
      <w:r w:rsidR="00B71944">
        <w:rPr>
          <w:rFonts w:asciiTheme="minorHAnsi" w:hAnsiTheme="minorHAnsi" w:cstheme="minorHAnsi"/>
          <w:sz w:val="22"/>
          <w:szCs w:val="22"/>
        </w:rPr>
        <w:t>were</w:t>
      </w:r>
      <w:r w:rsidRPr="005B3B1C">
        <w:rPr>
          <w:rFonts w:asciiTheme="minorHAnsi" w:hAnsiTheme="minorHAnsi" w:cstheme="minorHAnsi"/>
          <w:sz w:val="22"/>
          <w:szCs w:val="22"/>
        </w:rPr>
        <w:t xml:space="preserve"> focused on surveyed the 24 sites subset to validate the accuracy of the site card information.</w:t>
      </w:r>
    </w:p>
    <w:p w14:paraId="206C293D" w14:textId="77777777" w:rsidR="005B3B1C" w:rsidRPr="005B3B1C" w:rsidRDefault="005B3B1C" w:rsidP="005B3B1C">
      <w:pPr>
        <w:rPr>
          <w:rFonts w:asciiTheme="minorHAnsi" w:hAnsiTheme="minorHAnsi" w:cstheme="minorHAnsi"/>
          <w:sz w:val="22"/>
          <w:szCs w:val="22"/>
        </w:rPr>
      </w:pPr>
    </w:p>
    <w:p w14:paraId="114509E6" w14:textId="51CC6432" w:rsidR="005B3B1C" w:rsidRPr="005B3B1C" w:rsidRDefault="005B3B1C" w:rsidP="005B3B1C">
      <w:pPr>
        <w:rPr>
          <w:rFonts w:asciiTheme="minorHAnsi" w:hAnsiTheme="minorHAnsi" w:cstheme="minorHAnsi"/>
          <w:sz w:val="22"/>
          <w:szCs w:val="22"/>
        </w:rPr>
      </w:pPr>
      <w:r w:rsidRPr="005B3B1C">
        <w:rPr>
          <w:rFonts w:asciiTheme="minorHAnsi" w:hAnsiTheme="minorHAnsi" w:cstheme="minorHAnsi"/>
          <w:sz w:val="22"/>
          <w:szCs w:val="22"/>
        </w:rPr>
        <w:t>The stone arrangement authors even carried to count for the error analysis, they have admitted that two key type of error which were site card errors and the field survey errors, for example, the errors in measuring the magnetic azimuth and their declination due to the stone materials over the years, and confirmed a final error estimates to later facilitate the Monte Carlo simulation. In the simulation itself, the authors’ simulation models run one million simulation</w:t>
      </w:r>
      <w:r w:rsidR="00B71944">
        <w:rPr>
          <w:rFonts w:asciiTheme="minorHAnsi" w:hAnsiTheme="minorHAnsi" w:cstheme="minorHAnsi"/>
          <w:sz w:val="22"/>
          <w:szCs w:val="22"/>
        </w:rPr>
        <w:t>s</w:t>
      </w:r>
      <w:r w:rsidRPr="005B3B1C">
        <w:rPr>
          <w:rFonts w:asciiTheme="minorHAnsi" w:hAnsiTheme="minorHAnsi" w:cstheme="minorHAnsi"/>
          <w:sz w:val="22"/>
          <w:szCs w:val="22"/>
        </w:rPr>
        <w:t xml:space="preserve"> to support their hypothesis. At the end of the paper, they input many discussions for this paper, they knew extremely well about their study constrains and limitations, a set of improvements points or study area are included. </w:t>
      </w:r>
    </w:p>
    <w:p w14:paraId="20998084" w14:textId="77777777" w:rsidR="005B3B1C" w:rsidRPr="005B3B1C" w:rsidRDefault="005B3B1C" w:rsidP="005B3B1C">
      <w:pPr>
        <w:rPr>
          <w:rFonts w:asciiTheme="minorHAnsi" w:hAnsiTheme="minorHAnsi" w:cstheme="minorHAnsi"/>
          <w:sz w:val="22"/>
          <w:szCs w:val="22"/>
        </w:rPr>
      </w:pPr>
    </w:p>
    <w:p w14:paraId="3BE41821" w14:textId="77777777" w:rsidR="005B3B1C" w:rsidRPr="005B3B1C" w:rsidRDefault="005B3B1C" w:rsidP="005B3B1C">
      <w:pPr>
        <w:rPr>
          <w:rFonts w:asciiTheme="minorHAnsi" w:hAnsiTheme="minorHAnsi" w:cstheme="minorHAnsi"/>
          <w:b/>
          <w:bCs/>
          <w:sz w:val="22"/>
          <w:szCs w:val="22"/>
          <w:u w:val="single"/>
        </w:rPr>
      </w:pPr>
      <w:r w:rsidRPr="005B3B1C">
        <w:rPr>
          <w:rFonts w:asciiTheme="minorHAnsi" w:hAnsiTheme="minorHAnsi" w:cstheme="minorHAnsi"/>
          <w:b/>
          <w:bCs/>
          <w:sz w:val="22"/>
          <w:szCs w:val="22"/>
          <w:u w:val="single"/>
        </w:rPr>
        <w:lastRenderedPageBreak/>
        <w:t>Analyse</w:t>
      </w:r>
    </w:p>
    <w:p w14:paraId="387E6B1A" w14:textId="059562DD" w:rsidR="005B3B1C" w:rsidRDefault="005B3B1C" w:rsidP="005B3B1C">
      <w:pPr>
        <w:rPr>
          <w:rFonts w:asciiTheme="minorHAnsi" w:hAnsiTheme="minorHAnsi" w:cstheme="minorHAnsi"/>
          <w:sz w:val="22"/>
          <w:szCs w:val="22"/>
        </w:rPr>
      </w:pPr>
      <w:r w:rsidRPr="005B3B1C">
        <w:rPr>
          <w:rFonts w:asciiTheme="minorHAnsi" w:hAnsiTheme="minorHAnsi" w:cstheme="minorHAnsi"/>
          <w:sz w:val="22"/>
          <w:szCs w:val="22"/>
        </w:rPr>
        <w:t>Carrasco’s writing style is academic and for wider academic readers. The context of the paper with strong strength in describing the history, theories and myths. Though the paper at a first glance</w:t>
      </w:r>
      <w:r w:rsidR="009F468A">
        <w:rPr>
          <w:rFonts w:asciiTheme="minorHAnsi" w:hAnsiTheme="minorHAnsi" w:cstheme="minorHAnsi"/>
          <w:sz w:val="22"/>
          <w:szCs w:val="22"/>
        </w:rPr>
        <w:t xml:space="preserve"> </w:t>
      </w:r>
      <w:r w:rsidRPr="005B3B1C">
        <w:rPr>
          <w:rFonts w:asciiTheme="minorHAnsi" w:hAnsiTheme="minorHAnsi" w:cstheme="minorHAnsi"/>
          <w:sz w:val="22"/>
          <w:szCs w:val="22"/>
        </w:rPr>
        <w:t>appear</w:t>
      </w:r>
      <w:r w:rsidR="009F468A">
        <w:rPr>
          <w:rFonts w:asciiTheme="minorHAnsi" w:hAnsiTheme="minorHAnsi" w:cstheme="minorHAnsi"/>
          <w:sz w:val="22"/>
          <w:szCs w:val="22"/>
        </w:rPr>
        <w:t>ed</w:t>
      </w:r>
      <w:r w:rsidRPr="005B3B1C">
        <w:rPr>
          <w:rFonts w:asciiTheme="minorHAnsi" w:hAnsiTheme="minorHAnsi" w:cstheme="minorHAnsi"/>
          <w:sz w:val="22"/>
          <w:szCs w:val="22"/>
        </w:rPr>
        <w:t xml:space="preserve"> not easy to follow the author’s ideas, as he didn’t </w:t>
      </w:r>
      <w:r w:rsidR="009F468A" w:rsidRPr="005B3B1C">
        <w:rPr>
          <w:rFonts w:asciiTheme="minorHAnsi" w:hAnsiTheme="minorHAnsi" w:cstheme="minorHAnsi"/>
          <w:sz w:val="22"/>
          <w:szCs w:val="22"/>
        </w:rPr>
        <w:t>reveal</w:t>
      </w:r>
      <w:r w:rsidRPr="005B3B1C">
        <w:rPr>
          <w:rFonts w:asciiTheme="minorHAnsi" w:hAnsiTheme="minorHAnsi" w:cstheme="minorHAnsi"/>
          <w:sz w:val="22"/>
          <w:szCs w:val="22"/>
        </w:rPr>
        <w:t xml:space="preserve"> his intention of his arguments in the beginning of the paper like the second paper did</w:t>
      </w:r>
      <w:r w:rsidR="009F468A">
        <w:rPr>
          <w:rFonts w:asciiTheme="minorHAnsi" w:hAnsiTheme="minorHAnsi" w:cstheme="minorHAnsi"/>
          <w:sz w:val="22"/>
          <w:szCs w:val="22"/>
        </w:rPr>
        <w:t>.</w:t>
      </w:r>
      <w:r w:rsidRPr="005B3B1C">
        <w:rPr>
          <w:rFonts w:asciiTheme="minorHAnsi" w:hAnsiTheme="minorHAnsi" w:cstheme="minorHAnsi"/>
          <w:sz w:val="22"/>
          <w:szCs w:val="22"/>
        </w:rPr>
        <w:t xml:space="preserve"> </w:t>
      </w:r>
      <w:r w:rsidR="009F468A">
        <w:rPr>
          <w:rFonts w:asciiTheme="minorHAnsi" w:hAnsiTheme="minorHAnsi" w:cstheme="minorHAnsi"/>
          <w:sz w:val="22"/>
          <w:szCs w:val="22"/>
        </w:rPr>
        <w:t>I</w:t>
      </w:r>
      <w:r w:rsidRPr="005B3B1C">
        <w:rPr>
          <w:rFonts w:asciiTheme="minorHAnsi" w:hAnsiTheme="minorHAnsi" w:cstheme="minorHAnsi"/>
          <w:sz w:val="22"/>
          <w:szCs w:val="22"/>
        </w:rPr>
        <w:t>nstead, he examined some literature review to allow reader to be familiar with this Aztec subject, this approach is beneficial for readers like me without any Aztec culture background, to allow the readers understand the topic gradually. The feeling is like the author is walking you on the Aztec pyramids explaining everything happened in this paper, step by step.</w:t>
      </w:r>
    </w:p>
    <w:p w14:paraId="3378E0E5" w14:textId="77777777" w:rsidR="00B71944" w:rsidRPr="005B3B1C" w:rsidRDefault="00B71944" w:rsidP="005B3B1C">
      <w:pPr>
        <w:rPr>
          <w:rFonts w:asciiTheme="minorHAnsi" w:hAnsiTheme="minorHAnsi" w:cstheme="minorHAnsi"/>
          <w:sz w:val="22"/>
          <w:szCs w:val="22"/>
        </w:rPr>
      </w:pPr>
    </w:p>
    <w:p w14:paraId="64DF985D" w14:textId="6B7D741E" w:rsidR="005B3B1C" w:rsidRPr="005B3B1C" w:rsidRDefault="005B3B1C" w:rsidP="005B3B1C">
      <w:pPr>
        <w:pStyle w:val="Default"/>
        <w:rPr>
          <w:rFonts w:asciiTheme="minorHAnsi" w:hAnsiTheme="minorHAnsi" w:cstheme="minorHAnsi"/>
          <w:color w:val="auto"/>
          <w:sz w:val="22"/>
          <w:szCs w:val="22"/>
        </w:rPr>
      </w:pPr>
      <w:r w:rsidRPr="005B3B1C">
        <w:rPr>
          <w:rFonts w:asciiTheme="minorHAnsi" w:hAnsiTheme="minorHAnsi" w:cstheme="minorHAnsi"/>
          <w:color w:val="auto"/>
          <w:sz w:val="22"/>
          <w:szCs w:val="22"/>
        </w:rPr>
        <w:t xml:space="preserve">In terms of the sources type, Carrasco utilities secondary resources as the paper is built on the solid framework of culture and Cosmo theoretical and methodological approaches about culture and </w:t>
      </w:r>
      <w:proofErr w:type="spellStart"/>
      <w:r w:rsidRPr="005B3B1C">
        <w:rPr>
          <w:rFonts w:asciiTheme="minorHAnsi" w:hAnsiTheme="minorHAnsi" w:cstheme="minorHAnsi"/>
          <w:color w:val="auto"/>
          <w:sz w:val="22"/>
          <w:szCs w:val="22"/>
        </w:rPr>
        <w:t>cosmo</w:t>
      </w:r>
      <w:proofErr w:type="spellEnd"/>
      <w:r w:rsidRPr="005B3B1C">
        <w:rPr>
          <w:rFonts w:asciiTheme="minorHAnsi" w:hAnsiTheme="minorHAnsi" w:cstheme="minorHAnsi"/>
          <w:color w:val="auto"/>
          <w:sz w:val="22"/>
          <w:szCs w:val="22"/>
        </w:rPr>
        <w:t xml:space="preserve">-magical, such as when discuss about the Spaniard conquest, he brought out the example of the </w:t>
      </w:r>
      <w:proofErr w:type="spellStart"/>
      <w:r w:rsidRPr="005B3B1C">
        <w:rPr>
          <w:rFonts w:asciiTheme="minorHAnsi" w:hAnsiTheme="minorHAnsi" w:cstheme="minorHAnsi"/>
          <w:color w:val="auto"/>
          <w:sz w:val="22"/>
          <w:szCs w:val="22"/>
        </w:rPr>
        <w:t>Zumarraga</w:t>
      </w:r>
      <w:proofErr w:type="spellEnd"/>
      <w:r w:rsidRPr="005B3B1C">
        <w:rPr>
          <w:rFonts w:asciiTheme="minorHAnsi" w:hAnsiTheme="minorHAnsi" w:cstheme="minorHAnsi"/>
          <w:color w:val="auto"/>
          <w:sz w:val="22"/>
          <w:szCs w:val="22"/>
        </w:rPr>
        <w:t xml:space="preserve"> book-burning episode, Spanish invaders destroyed the images of the ancient books about Aztec perception of their cosmos. It reminds me of the culture exchange acculturation theory, Raymond mentioned that Imposed acculturation implies one people's suppression of another people's culture and the forced imposition of its own behaviour patterns and ideas.</w:t>
      </w:r>
      <w:r w:rsidRPr="005B3B1C">
        <w:rPr>
          <w:rFonts w:asciiTheme="minorHAnsi" w:hAnsiTheme="minorHAnsi" w:cstheme="minorHAnsi"/>
          <w:color w:val="auto"/>
          <w:sz w:val="22"/>
          <w:szCs w:val="22"/>
          <w:vertAlign w:val="superscript"/>
        </w:rPr>
        <w:fldChar w:fldCharType="begin"/>
      </w:r>
      <w:r w:rsidRPr="005B3B1C">
        <w:rPr>
          <w:rFonts w:asciiTheme="minorHAnsi" w:hAnsiTheme="minorHAnsi" w:cstheme="minorHAnsi"/>
          <w:color w:val="auto"/>
          <w:sz w:val="22"/>
          <w:szCs w:val="22"/>
          <w:vertAlign w:val="superscript"/>
        </w:rPr>
        <w:instrText xml:space="preserve"> REF _Ref118742223 \r \h  \* MERGEFORMAT </w:instrText>
      </w:r>
      <w:r w:rsidRPr="005B3B1C">
        <w:rPr>
          <w:rFonts w:asciiTheme="minorHAnsi" w:hAnsiTheme="minorHAnsi" w:cstheme="minorHAnsi"/>
          <w:color w:val="auto"/>
          <w:sz w:val="22"/>
          <w:szCs w:val="22"/>
          <w:vertAlign w:val="superscript"/>
        </w:rPr>
      </w:r>
      <w:r w:rsidRPr="005B3B1C">
        <w:rPr>
          <w:rFonts w:asciiTheme="minorHAnsi" w:hAnsiTheme="minorHAnsi" w:cstheme="minorHAnsi"/>
          <w:color w:val="auto"/>
          <w:sz w:val="22"/>
          <w:szCs w:val="22"/>
          <w:vertAlign w:val="superscript"/>
        </w:rPr>
        <w:fldChar w:fldCharType="separate"/>
      </w:r>
      <w:r w:rsidRPr="005B3B1C">
        <w:rPr>
          <w:rFonts w:asciiTheme="minorHAnsi" w:hAnsiTheme="minorHAnsi" w:cstheme="minorHAnsi"/>
          <w:color w:val="auto"/>
          <w:sz w:val="22"/>
          <w:szCs w:val="22"/>
          <w:vertAlign w:val="superscript"/>
        </w:rPr>
        <w:t>1</w:t>
      </w:r>
      <w:r w:rsidRPr="005B3B1C">
        <w:rPr>
          <w:rFonts w:asciiTheme="minorHAnsi" w:hAnsiTheme="minorHAnsi" w:cstheme="minorHAnsi"/>
          <w:color w:val="auto"/>
          <w:sz w:val="22"/>
          <w:szCs w:val="22"/>
          <w:vertAlign w:val="superscript"/>
        </w:rPr>
        <w:fldChar w:fldCharType="end"/>
      </w:r>
      <w:r w:rsidRPr="005B3B1C">
        <w:rPr>
          <w:rFonts w:asciiTheme="minorHAnsi" w:hAnsiTheme="minorHAnsi" w:cstheme="minorHAnsi"/>
          <w:color w:val="auto"/>
          <w:sz w:val="22"/>
          <w:szCs w:val="22"/>
        </w:rPr>
        <w:t xml:space="preserve"> This matched with the situation when Aztec </w:t>
      </w:r>
      <w:r w:rsidR="009F468A">
        <w:rPr>
          <w:rFonts w:asciiTheme="minorHAnsi" w:hAnsiTheme="minorHAnsi" w:cstheme="minorHAnsi"/>
          <w:color w:val="auto"/>
          <w:sz w:val="22"/>
          <w:szCs w:val="22"/>
        </w:rPr>
        <w:t>was</w:t>
      </w:r>
      <w:r w:rsidRPr="005B3B1C">
        <w:rPr>
          <w:rFonts w:asciiTheme="minorHAnsi" w:hAnsiTheme="minorHAnsi" w:cstheme="minorHAnsi"/>
          <w:color w:val="auto"/>
          <w:sz w:val="22"/>
          <w:szCs w:val="22"/>
        </w:rPr>
        <w:t xml:space="preserve"> occupied by the Spaniards. When it comes to the decode the concept of </w:t>
      </w:r>
      <w:proofErr w:type="spellStart"/>
      <w:r w:rsidRPr="005B3B1C">
        <w:rPr>
          <w:rFonts w:asciiTheme="minorHAnsi" w:hAnsiTheme="minorHAnsi" w:cstheme="minorHAnsi"/>
          <w:color w:val="auto"/>
          <w:sz w:val="22"/>
          <w:szCs w:val="22"/>
        </w:rPr>
        <w:t>cosmo</w:t>
      </w:r>
      <w:proofErr w:type="spellEnd"/>
      <w:r w:rsidRPr="005B3B1C">
        <w:rPr>
          <w:rFonts w:asciiTheme="minorHAnsi" w:hAnsiTheme="minorHAnsi" w:cstheme="minorHAnsi"/>
          <w:color w:val="auto"/>
          <w:sz w:val="22"/>
          <w:szCs w:val="22"/>
        </w:rPr>
        <w:t xml:space="preserve">-magical, Carrasco introduced Paul Wheatley to support his ideas, besides the </w:t>
      </w:r>
      <w:proofErr w:type="spellStart"/>
      <w:r w:rsidRPr="005B3B1C">
        <w:rPr>
          <w:rFonts w:asciiTheme="minorHAnsi" w:hAnsiTheme="minorHAnsi" w:cstheme="minorHAnsi"/>
          <w:color w:val="auto"/>
          <w:sz w:val="22"/>
          <w:szCs w:val="22"/>
        </w:rPr>
        <w:t>cosmo</w:t>
      </w:r>
      <w:proofErr w:type="spellEnd"/>
      <w:r w:rsidRPr="005B3B1C">
        <w:rPr>
          <w:rFonts w:asciiTheme="minorHAnsi" w:hAnsiTheme="minorHAnsi" w:cstheme="minorHAnsi"/>
          <w:color w:val="auto"/>
          <w:sz w:val="22"/>
          <w:szCs w:val="22"/>
        </w:rPr>
        <w:t xml:space="preserve">-conscious Carrasco carried in his writing, I also found in the “City of Symbol” Wheatley wrote that sacred urban space was initially generated by, and structured about, an existentially </w:t>
      </w:r>
      <w:proofErr w:type="spellStart"/>
      <w:r w:rsidRPr="005B3B1C">
        <w:rPr>
          <w:rFonts w:asciiTheme="minorHAnsi" w:hAnsiTheme="minorHAnsi" w:cstheme="minorHAnsi"/>
          <w:color w:val="auto"/>
          <w:sz w:val="22"/>
          <w:szCs w:val="22"/>
        </w:rPr>
        <w:t>centered</w:t>
      </w:r>
      <w:proofErr w:type="spellEnd"/>
      <w:r w:rsidRPr="005B3B1C">
        <w:rPr>
          <w:rFonts w:asciiTheme="minorHAnsi" w:hAnsiTheme="minorHAnsi" w:cstheme="minorHAnsi"/>
          <w:color w:val="auto"/>
          <w:sz w:val="22"/>
          <w:szCs w:val="22"/>
        </w:rPr>
        <w:t xml:space="preserve"> point of ontological transition between cosmic planes. Through this focus of creative force was conceived to pass a universal axis which it was the responsibility of ritual experts to guard against dislocation.</w:t>
      </w:r>
      <w:r w:rsidRPr="005B3B1C">
        <w:rPr>
          <w:rFonts w:asciiTheme="minorHAnsi" w:hAnsiTheme="minorHAnsi" w:cstheme="minorHAnsi"/>
          <w:color w:val="auto"/>
          <w:sz w:val="22"/>
          <w:szCs w:val="22"/>
          <w:vertAlign w:val="superscript"/>
        </w:rPr>
        <w:fldChar w:fldCharType="begin"/>
      </w:r>
      <w:r w:rsidRPr="005B3B1C">
        <w:rPr>
          <w:rFonts w:asciiTheme="minorHAnsi" w:hAnsiTheme="minorHAnsi" w:cstheme="minorHAnsi"/>
          <w:color w:val="auto"/>
          <w:sz w:val="22"/>
          <w:szCs w:val="22"/>
          <w:vertAlign w:val="superscript"/>
        </w:rPr>
        <w:instrText xml:space="preserve"> REF _Ref118742273 \r \h  \* MERGEFORMAT </w:instrText>
      </w:r>
      <w:r w:rsidRPr="005B3B1C">
        <w:rPr>
          <w:rFonts w:asciiTheme="minorHAnsi" w:hAnsiTheme="minorHAnsi" w:cstheme="minorHAnsi"/>
          <w:color w:val="auto"/>
          <w:sz w:val="22"/>
          <w:szCs w:val="22"/>
          <w:vertAlign w:val="superscript"/>
        </w:rPr>
      </w:r>
      <w:r w:rsidRPr="005B3B1C">
        <w:rPr>
          <w:rFonts w:asciiTheme="minorHAnsi" w:hAnsiTheme="minorHAnsi" w:cstheme="minorHAnsi"/>
          <w:color w:val="auto"/>
          <w:sz w:val="22"/>
          <w:szCs w:val="22"/>
          <w:vertAlign w:val="superscript"/>
        </w:rPr>
        <w:fldChar w:fldCharType="separate"/>
      </w:r>
      <w:r w:rsidRPr="005B3B1C">
        <w:rPr>
          <w:rFonts w:asciiTheme="minorHAnsi" w:hAnsiTheme="minorHAnsi" w:cstheme="minorHAnsi"/>
          <w:color w:val="auto"/>
          <w:sz w:val="22"/>
          <w:szCs w:val="22"/>
          <w:vertAlign w:val="superscript"/>
        </w:rPr>
        <w:t>2</w:t>
      </w:r>
      <w:r w:rsidRPr="005B3B1C">
        <w:rPr>
          <w:rFonts w:asciiTheme="minorHAnsi" w:hAnsiTheme="minorHAnsi" w:cstheme="minorHAnsi"/>
          <w:color w:val="auto"/>
          <w:sz w:val="22"/>
          <w:szCs w:val="22"/>
          <w:vertAlign w:val="superscript"/>
        </w:rPr>
        <w:fldChar w:fldCharType="end"/>
      </w:r>
      <w:r w:rsidRPr="005B3B1C">
        <w:rPr>
          <w:rFonts w:asciiTheme="minorHAnsi" w:hAnsiTheme="minorHAnsi" w:cstheme="minorHAnsi"/>
          <w:color w:val="auto"/>
          <w:sz w:val="22"/>
          <w:szCs w:val="22"/>
        </w:rPr>
        <w:t xml:space="preserve"> This theory actually highly aligned with the Aztec Capital </w:t>
      </w:r>
      <w:proofErr w:type="spellStart"/>
      <w:r w:rsidRPr="005B3B1C">
        <w:rPr>
          <w:rFonts w:asciiTheme="minorHAnsi" w:hAnsiTheme="minorHAnsi" w:cstheme="minorHAnsi"/>
          <w:color w:val="auto"/>
          <w:sz w:val="22"/>
          <w:szCs w:val="22"/>
        </w:rPr>
        <w:t>Tenochitlan’s</w:t>
      </w:r>
      <w:proofErr w:type="spellEnd"/>
      <w:r w:rsidRPr="005B3B1C">
        <w:rPr>
          <w:rFonts w:asciiTheme="minorHAnsi" w:hAnsiTheme="minorHAnsi" w:cstheme="minorHAnsi"/>
          <w:color w:val="auto"/>
          <w:sz w:val="22"/>
          <w:szCs w:val="22"/>
        </w:rPr>
        <w:t xml:space="preserve"> design and layout.</w:t>
      </w:r>
    </w:p>
    <w:p w14:paraId="70E51268" w14:textId="77777777" w:rsidR="005B3B1C" w:rsidRPr="005B3B1C" w:rsidRDefault="005B3B1C" w:rsidP="005B3B1C">
      <w:pPr>
        <w:pStyle w:val="Default"/>
        <w:rPr>
          <w:rFonts w:asciiTheme="minorHAnsi" w:hAnsiTheme="minorHAnsi" w:cstheme="minorHAnsi"/>
          <w:color w:val="auto"/>
          <w:sz w:val="22"/>
          <w:szCs w:val="22"/>
        </w:rPr>
      </w:pPr>
    </w:p>
    <w:p w14:paraId="1F000BD5" w14:textId="25431211" w:rsidR="005B3B1C" w:rsidRDefault="009F468A" w:rsidP="005B3B1C">
      <w:pPr>
        <w:rPr>
          <w:rFonts w:asciiTheme="minorHAnsi" w:hAnsiTheme="minorHAnsi" w:cstheme="minorHAnsi"/>
          <w:sz w:val="22"/>
          <w:szCs w:val="22"/>
        </w:rPr>
      </w:pPr>
      <w:r>
        <w:rPr>
          <w:rFonts w:asciiTheme="minorHAnsi" w:hAnsiTheme="minorHAnsi" w:cstheme="minorHAnsi"/>
          <w:sz w:val="22"/>
          <w:szCs w:val="22"/>
        </w:rPr>
        <w:t>To Sum, t</w:t>
      </w:r>
      <w:r w:rsidR="005B3B1C" w:rsidRPr="005B3B1C">
        <w:rPr>
          <w:rFonts w:asciiTheme="minorHAnsi" w:hAnsiTheme="minorHAnsi" w:cstheme="minorHAnsi"/>
          <w:sz w:val="22"/>
          <w:szCs w:val="22"/>
        </w:rPr>
        <w:t xml:space="preserve">he text is well designed and majority parts are persuasive to readers to understand why author perceived the Aztec city as symbol. The weakness is regarding of the second and third arguments to support his ideas, the </w:t>
      </w:r>
      <w:proofErr w:type="spellStart"/>
      <w:r w:rsidR="005B3B1C" w:rsidRPr="005B3B1C">
        <w:rPr>
          <w:rFonts w:asciiTheme="minorHAnsi" w:hAnsiTheme="minorHAnsi" w:cstheme="minorHAnsi"/>
          <w:sz w:val="22"/>
          <w:szCs w:val="22"/>
        </w:rPr>
        <w:t>Templo</w:t>
      </w:r>
      <w:proofErr w:type="spellEnd"/>
      <w:r w:rsidR="005B3B1C" w:rsidRPr="005B3B1C">
        <w:rPr>
          <w:rFonts w:asciiTheme="minorHAnsi" w:hAnsiTheme="minorHAnsi" w:cstheme="minorHAnsi"/>
          <w:sz w:val="22"/>
          <w:szCs w:val="22"/>
        </w:rPr>
        <w:t xml:space="preserve"> Mayor and Aztec version of the Conquest of Aztec Capital </w:t>
      </w:r>
      <w:proofErr w:type="spellStart"/>
      <w:r w:rsidR="005B3B1C" w:rsidRPr="005B3B1C">
        <w:rPr>
          <w:rFonts w:asciiTheme="minorHAnsi" w:hAnsiTheme="minorHAnsi" w:cstheme="minorHAnsi"/>
          <w:sz w:val="22"/>
          <w:szCs w:val="22"/>
        </w:rPr>
        <w:t>Tenochitlan</w:t>
      </w:r>
      <w:proofErr w:type="spellEnd"/>
      <w:r w:rsidR="005B3B1C" w:rsidRPr="005B3B1C">
        <w:rPr>
          <w:rFonts w:asciiTheme="minorHAnsi" w:hAnsiTheme="minorHAnsi" w:cstheme="minorHAnsi"/>
          <w:sz w:val="22"/>
          <w:szCs w:val="22"/>
        </w:rPr>
        <w:t xml:space="preserve"> a bit lack of strong theoretical demonstrations compared with the first argument. Meanwhile I’m not sure whether there exist any statistics about this Aztec culture, if such statics exploration of this Aztec capital could be presented in this paper, then it will add additional value to the key context. At the same time, I didn’t see a strong summarized conclusion in Carrasco’s paper, the conclusion is more like an opening conclusion to leave some spaces for readers to think and digest. In general, it is a high-quality academic reading for students/academic readership/general publics.</w:t>
      </w:r>
    </w:p>
    <w:p w14:paraId="67AC8A52" w14:textId="77777777" w:rsidR="005B3B1C" w:rsidRPr="005B3B1C" w:rsidRDefault="005B3B1C" w:rsidP="005B3B1C">
      <w:pPr>
        <w:rPr>
          <w:rFonts w:asciiTheme="minorHAnsi" w:hAnsiTheme="minorHAnsi" w:cstheme="minorHAnsi"/>
          <w:sz w:val="22"/>
          <w:szCs w:val="22"/>
        </w:rPr>
      </w:pPr>
    </w:p>
    <w:p w14:paraId="18D9B1ED" w14:textId="3F588E7A" w:rsidR="005B3B1C" w:rsidRPr="00B71944" w:rsidRDefault="005B3B1C" w:rsidP="005B3B1C">
      <w:pPr>
        <w:rPr>
          <w:rFonts w:asciiTheme="minorHAnsi" w:hAnsiTheme="minorHAnsi" w:cstheme="minorHAnsi"/>
          <w:sz w:val="22"/>
          <w:szCs w:val="22"/>
        </w:rPr>
      </w:pPr>
      <w:r w:rsidRPr="005B3B1C">
        <w:rPr>
          <w:rFonts w:asciiTheme="minorHAnsi" w:hAnsiTheme="minorHAnsi" w:cstheme="minorHAnsi"/>
          <w:sz w:val="22"/>
          <w:szCs w:val="22"/>
        </w:rPr>
        <w:t xml:space="preserve">The second paper is designed for the academic readership, the main strength of this paper was designed with validated evidences to support authors’ hypothesis. The paper structure was clear and easy to follow. They included the primary source and secondary sources in this paper. In terms of the primary source, the authors measured the azimuth of each 24 sites and the Monte Carlo simulation were implemented to achieve results and authors shared those data results within this paper. It inevitably determined the accuracy of the studies have been performed for the 24 sites. The main weaknesses of this paper’s arguments were already been mentioned by the authors in their discussion. They might be some bias among the surveyor and the selection of the stone rows were controlled by the Aboriginal people, here might have some preferences we might not know. Additionally, regarding of the Monte Carlo simulation how well the model is built, I didn’t find the appendix described about it, another concern is about the sample size in this simulation is only 24 sites. I understand that time and resources constrain didn’t allow the author to use more validated sites information. While according to the BOREK PUZA points in his book, Bayesian Methods for Statistical Analysis mentioned that In principle, the approximation can be made as good as required simply by making the Monte Carlo sample size sufficiently </w:t>
      </w:r>
      <w:r w:rsidRPr="005B3B1C">
        <w:rPr>
          <w:rFonts w:asciiTheme="minorHAnsi" w:hAnsiTheme="minorHAnsi" w:cstheme="minorHAnsi"/>
          <w:sz w:val="22"/>
          <w:szCs w:val="22"/>
        </w:rPr>
        <w:lastRenderedPageBreak/>
        <w:t>large.</w:t>
      </w:r>
      <w:r w:rsidRPr="005B3B1C">
        <w:rPr>
          <w:rFonts w:asciiTheme="minorHAnsi" w:hAnsiTheme="minorHAnsi" w:cstheme="minorHAnsi"/>
          <w:sz w:val="22"/>
          <w:szCs w:val="22"/>
          <w:vertAlign w:val="superscript"/>
        </w:rPr>
        <w:fldChar w:fldCharType="begin"/>
      </w:r>
      <w:r w:rsidRPr="005B3B1C">
        <w:rPr>
          <w:rFonts w:asciiTheme="minorHAnsi" w:hAnsiTheme="minorHAnsi" w:cstheme="minorHAnsi"/>
          <w:sz w:val="22"/>
          <w:szCs w:val="22"/>
          <w:vertAlign w:val="superscript"/>
        </w:rPr>
        <w:instrText xml:space="preserve"> REF _Ref118742316 \r \h  \* MERGEFORMAT </w:instrText>
      </w:r>
      <w:r w:rsidRPr="005B3B1C">
        <w:rPr>
          <w:rFonts w:asciiTheme="minorHAnsi" w:hAnsiTheme="minorHAnsi" w:cstheme="minorHAnsi"/>
          <w:sz w:val="22"/>
          <w:szCs w:val="22"/>
          <w:vertAlign w:val="superscript"/>
        </w:rPr>
      </w:r>
      <w:r w:rsidRPr="005B3B1C">
        <w:rPr>
          <w:rFonts w:asciiTheme="minorHAnsi" w:hAnsiTheme="minorHAnsi" w:cstheme="minorHAnsi"/>
          <w:sz w:val="22"/>
          <w:szCs w:val="22"/>
          <w:vertAlign w:val="superscript"/>
        </w:rPr>
        <w:fldChar w:fldCharType="separate"/>
      </w:r>
      <w:r w:rsidRPr="005B3B1C">
        <w:rPr>
          <w:rFonts w:asciiTheme="minorHAnsi" w:hAnsiTheme="minorHAnsi" w:cstheme="minorHAnsi"/>
          <w:sz w:val="22"/>
          <w:szCs w:val="22"/>
          <w:vertAlign w:val="superscript"/>
        </w:rPr>
        <w:t>3</w:t>
      </w:r>
      <w:r w:rsidRPr="005B3B1C">
        <w:rPr>
          <w:rFonts w:asciiTheme="minorHAnsi" w:hAnsiTheme="minorHAnsi" w:cstheme="minorHAnsi"/>
          <w:sz w:val="22"/>
          <w:szCs w:val="22"/>
          <w:vertAlign w:val="superscript"/>
        </w:rPr>
        <w:fldChar w:fldCharType="end"/>
      </w:r>
      <w:r w:rsidRPr="005B3B1C">
        <w:rPr>
          <w:rFonts w:asciiTheme="minorHAnsi" w:hAnsiTheme="minorHAnsi" w:cstheme="minorHAnsi"/>
          <w:sz w:val="22"/>
          <w:szCs w:val="22"/>
        </w:rPr>
        <w:t xml:space="preserve"> In contrast, in this paper, the sample site is considerably very small to 24 sites out of 643 stone site cards in record. The future work could be emphasised on how to increase the validated site selection.</w:t>
      </w:r>
    </w:p>
    <w:p w14:paraId="6DBD2952" w14:textId="77777777" w:rsidR="005B3B1C" w:rsidRDefault="005B3B1C" w:rsidP="005B3B1C">
      <w:pPr>
        <w:rPr>
          <w:rFonts w:asciiTheme="minorHAnsi" w:hAnsiTheme="minorHAnsi" w:cstheme="minorHAnsi"/>
          <w:b/>
          <w:bCs/>
          <w:sz w:val="22"/>
          <w:szCs w:val="22"/>
          <w:u w:val="single"/>
          <w:shd w:val="clear" w:color="auto" w:fill="FFFFFF"/>
        </w:rPr>
      </w:pPr>
    </w:p>
    <w:p w14:paraId="1C3B48C3" w14:textId="728B86BE" w:rsidR="005B3B1C" w:rsidRPr="005B3B1C" w:rsidRDefault="005B3B1C" w:rsidP="005B3B1C">
      <w:pPr>
        <w:rPr>
          <w:rFonts w:asciiTheme="minorHAnsi" w:hAnsiTheme="minorHAnsi" w:cstheme="minorHAnsi"/>
          <w:b/>
          <w:bCs/>
          <w:sz w:val="22"/>
          <w:szCs w:val="22"/>
          <w:u w:val="single"/>
          <w:shd w:val="clear" w:color="auto" w:fill="FFFFFF"/>
        </w:rPr>
      </w:pPr>
      <w:r w:rsidRPr="005B3B1C">
        <w:rPr>
          <w:rFonts w:asciiTheme="minorHAnsi" w:hAnsiTheme="minorHAnsi" w:cstheme="minorHAnsi"/>
          <w:b/>
          <w:bCs/>
          <w:sz w:val="22"/>
          <w:szCs w:val="22"/>
          <w:u w:val="single"/>
          <w:shd w:val="clear" w:color="auto" w:fill="FFFFFF"/>
        </w:rPr>
        <w:t>Bibliography:</w:t>
      </w:r>
    </w:p>
    <w:p w14:paraId="7364950E" w14:textId="77777777" w:rsidR="00F43D62" w:rsidRDefault="005B3B1C" w:rsidP="005B3B1C">
      <w:pPr>
        <w:pStyle w:val="ListParagraph"/>
        <w:numPr>
          <w:ilvl w:val="0"/>
          <w:numId w:val="26"/>
        </w:numPr>
        <w:spacing w:after="0" w:line="240" w:lineRule="auto"/>
        <w:rPr>
          <w:rFonts w:asciiTheme="minorHAnsi" w:eastAsia="Times New Roman" w:hAnsiTheme="minorHAnsi" w:cstheme="minorHAnsi"/>
        </w:rPr>
      </w:pPr>
      <w:bookmarkStart w:id="7" w:name="_Ref118742223"/>
      <w:r w:rsidRPr="005B3B1C">
        <w:rPr>
          <w:rFonts w:asciiTheme="minorHAnsi" w:eastAsia="Times New Roman" w:hAnsiTheme="minorHAnsi" w:cstheme="minorHAnsi"/>
        </w:rPr>
        <w:t xml:space="preserve">Raymond H. C. </w:t>
      </w:r>
      <w:proofErr w:type="spellStart"/>
      <w:r w:rsidRPr="005B3B1C">
        <w:rPr>
          <w:rFonts w:asciiTheme="minorHAnsi" w:eastAsia="Times New Roman" w:hAnsiTheme="minorHAnsi" w:cstheme="minorHAnsi"/>
        </w:rPr>
        <w:t>Teske</w:t>
      </w:r>
      <w:proofErr w:type="spellEnd"/>
      <w:r w:rsidRPr="005B3B1C">
        <w:rPr>
          <w:rFonts w:asciiTheme="minorHAnsi" w:eastAsia="Times New Roman" w:hAnsiTheme="minorHAnsi" w:cstheme="minorHAnsi"/>
        </w:rPr>
        <w:t xml:space="preserve">, Jr., and Bardin H. Nelson. Acculturation and Assimilation: A Clarification. </w:t>
      </w:r>
      <w:r w:rsidRPr="005B3B1C">
        <w:rPr>
          <w:rFonts w:asciiTheme="minorHAnsi" w:eastAsia="Times New Roman" w:hAnsiTheme="minorHAnsi" w:cstheme="minorHAnsi"/>
          <w:i/>
          <w:iCs/>
        </w:rPr>
        <w:t>American Ethnologist</w:t>
      </w:r>
      <w:r w:rsidRPr="005B3B1C">
        <w:rPr>
          <w:rFonts w:asciiTheme="minorHAnsi" w:eastAsia="Times New Roman" w:hAnsiTheme="minorHAnsi" w:cstheme="minorHAnsi"/>
        </w:rPr>
        <w:t xml:space="preserve"> 1, no. 2 (1974):</w:t>
      </w:r>
    </w:p>
    <w:p w14:paraId="5B0C0235" w14:textId="31B777EA" w:rsidR="005B3B1C" w:rsidRPr="005B3B1C" w:rsidRDefault="005B3B1C" w:rsidP="005B3B1C">
      <w:pPr>
        <w:pStyle w:val="ListParagraph"/>
        <w:numPr>
          <w:ilvl w:val="0"/>
          <w:numId w:val="26"/>
        </w:numPr>
        <w:spacing w:after="0" w:line="240" w:lineRule="auto"/>
        <w:rPr>
          <w:rFonts w:asciiTheme="minorHAnsi" w:eastAsia="Times New Roman" w:hAnsiTheme="minorHAnsi" w:cstheme="minorHAnsi"/>
        </w:rPr>
      </w:pPr>
      <w:bookmarkStart w:id="8" w:name="_Ref118742273"/>
      <w:bookmarkEnd w:id="7"/>
      <w:r w:rsidRPr="005B3B1C">
        <w:rPr>
          <w:rFonts w:asciiTheme="minorHAnsi" w:eastAsia="Times New Roman" w:hAnsiTheme="minorHAnsi" w:cstheme="minorHAnsi"/>
        </w:rPr>
        <w:t xml:space="preserve">Wheatley, Paul. Review of </w:t>
      </w:r>
      <w:r w:rsidRPr="005B3B1C">
        <w:rPr>
          <w:rFonts w:asciiTheme="minorHAnsi" w:eastAsia="Times New Roman" w:hAnsiTheme="minorHAnsi" w:cstheme="minorHAnsi"/>
          <w:i/>
          <w:iCs/>
        </w:rPr>
        <w:t>City as Symbol</w:t>
      </w:r>
      <w:r w:rsidRPr="005B3B1C">
        <w:rPr>
          <w:rFonts w:asciiTheme="minorHAnsi" w:eastAsia="Times New Roman" w:hAnsiTheme="minorHAnsi" w:cstheme="minorHAnsi"/>
        </w:rPr>
        <w:t xml:space="preserve">, by Bardwell Smith and Holly Baker Reynolds. </w:t>
      </w:r>
      <w:r w:rsidRPr="005B3B1C">
        <w:rPr>
          <w:rFonts w:asciiTheme="minorHAnsi" w:eastAsia="Times New Roman" w:hAnsiTheme="minorHAnsi" w:cstheme="minorHAnsi"/>
          <w:i/>
          <w:iCs/>
        </w:rPr>
        <w:t>History of Religions</w:t>
      </w:r>
      <w:r w:rsidRPr="005B3B1C">
        <w:rPr>
          <w:rFonts w:asciiTheme="minorHAnsi" w:eastAsia="Times New Roman" w:hAnsiTheme="minorHAnsi" w:cstheme="minorHAnsi"/>
        </w:rPr>
        <w:t xml:space="preserve"> 29, no. 4 (1990</w:t>
      </w:r>
      <w:bookmarkEnd w:id="8"/>
      <w:r w:rsidR="00F43D62">
        <w:rPr>
          <w:rFonts w:asciiTheme="minorHAnsi" w:eastAsia="Times New Roman" w:hAnsiTheme="minorHAnsi" w:cstheme="minorHAnsi"/>
        </w:rPr>
        <w:t>)</w:t>
      </w:r>
    </w:p>
    <w:p w14:paraId="76BD841E" w14:textId="6796040B" w:rsidR="005B3B1C" w:rsidRPr="005B3B1C" w:rsidRDefault="005B3B1C" w:rsidP="005B3B1C">
      <w:pPr>
        <w:pStyle w:val="ListParagraph"/>
        <w:numPr>
          <w:ilvl w:val="0"/>
          <w:numId w:val="26"/>
        </w:numPr>
        <w:spacing w:after="0" w:line="240" w:lineRule="auto"/>
        <w:rPr>
          <w:rFonts w:asciiTheme="minorHAnsi" w:eastAsia="Times New Roman" w:hAnsiTheme="minorHAnsi" w:cstheme="minorHAnsi"/>
        </w:rPr>
      </w:pPr>
      <w:bookmarkStart w:id="9" w:name="_Ref118742316"/>
      <w:r w:rsidRPr="005B3B1C">
        <w:rPr>
          <w:rFonts w:asciiTheme="minorHAnsi" w:hAnsiTheme="minorHAnsi" w:cstheme="minorHAnsi"/>
          <w:spacing w:val="-5"/>
        </w:rPr>
        <w:t>PUZA, BOREK. Monte Carlo Basics. In </w:t>
      </w:r>
      <w:r w:rsidRPr="005B3B1C">
        <w:rPr>
          <w:rFonts w:asciiTheme="minorHAnsi" w:hAnsiTheme="minorHAnsi" w:cstheme="minorHAnsi"/>
          <w:i/>
          <w:iCs/>
          <w:spacing w:val="-5"/>
        </w:rPr>
        <w:t>Bayesian Methods for Statistical Analysis</w:t>
      </w:r>
      <w:r w:rsidRPr="005B3B1C">
        <w:rPr>
          <w:rFonts w:asciiTheme="minorHAnsi" w:hAnsiTheme="minorHAnsi" w:cstheme="minorHAnsi"/>
          <w:spacing w:val="-5"/>
        </w:rPr>
        <w:t xml:space="preserve"> </w:t>
      </w:r>
      <w:r w:rsidR="00F43D62">
        <w:rPr>
          <w:rFonts w:asciiTheme="minorHAnsi" w:hAnsiTheme="minorHAnsi" w:cstheme="minorHAnsi"/>
          <w:spacing w:val="-5"/>
        </w:rPr>
        <w:t>(</w:t>
      </w:r>
      <w:r w:rsidRPr="005B3B1C">
        <w:rPr>
          <w:rFonts w:asciiTheme="minorHAnsi" w:hAnsiTheme="minorHAnsi" w:cstheme="minorHAnsi"/>
          <w:spacing w:val="-5"/>
        </w:rPr>
        <w:t>ANU Press, 2015</w:t>
      </w:r>
      <w:bookmarkEnd w:id="9"/>
      <w:r w:rsidR="00F43D62">
        <w:rPr>
          <w:rFonts w:asciiTheme="minorHAnsi" w:hAnsiTheme="minorHAnsi" w:cstheme="minorHAnsi"/>
          <w:spacing w:val="-5"/>
        </w:rPr>
        <w:t>)</w:t>
      </w:r>
    </w:p>
    <w:p w14:paraId="5F825D12" w14:textId="77777777" w:rsidR="005B3B1C" w:rsidRPr="005B3B1C" w:rsidRDefault="005B3B1C" w:rsidP="005B3B1C">
      <w:pPr>
        <w:rPr>
          <w:color w:val="70AD47"/>
        </w:rPr>
      </w:pPr>
    </w:p>
    <w:p w14:paraId="27396437" w14:textId="77777777" w:rsidR="005B3B1C" w:rsidRPr="00B32518" w:rsidRDefault="005B3B1C" w:rsidP="005B3B1C">
      <w:pPr>
        <w:rPr>
          <w:color w:val="FF0000"/>
          <w:lang w:val="en-US"/>
        </w:rPr>
      </w:pPr>
    </w:p>
    <w:p w14:paraId="5FC6624D" w14:textId="77777777" w:rsidR="005B3B1C" w:rsidRPr="005B3B1C" w:rsidRDefault="005B3B1C" w:rsidP="005B3B1C">
      <w:pPr>
        <w:rPr>
          <w:color w:val="70AD47"/>
          <w:lang w:val="en-US"/>
        </w:rPr>
      </w:pPr>
    </w:p>
    <w:p w14:paraId="58B61962" w14:textId="77777777" w:rsidR="005B3B1C" w:rsidRPr="005B3B1C" w:rsidRDefault="005B3B1C" w:rsidP="005B3B1C">
      <w:pPr>
        <w:rPr>
          <w:color w:val="70AD47"/>
        </w:rPr>
      </w:pPr>
    </w:p>
    <w:p w14:paraId="4A760589" w14:textId="77777777" w:rsidR="005B3B1C" w:rsidRPr="00D67BF8" w:rsidRDefault="005B3B1C" w:rsidP="00FA07E9">
      <w:pPr>
        <w:pStyle w:val="NormalWeb"/>
        <w:spacing w:before="0" w:beforeAutospacing="0" w:after="0" w:afterAutospacing="0"/>
        <w:ind w:right="-334"/>
        <w:rPr>
          <w:rFonts w:ascii="Trebuchet MS" w:hAnsi="Trebuchet MS" w:cs="Tahoma"/>
          <w:bCs/>
          <w:sz w:val="24"/>
          <w:szCs w:val="24"/>
        </w:rPr>
      </w:pPr>
    </w:p>
    <w:sectPr w:rsidR="005B3B1C" w:rsidRPr="00D67BF8" w:rsidSect="00B462B1">
      <w:headerReference w:type="even" r:id="rId10"/>
      <w:headerReference w:type="default" r:id="rId11"/>
      <w:footerReference w:type="even" r:id="rId12"/>
      <w:footerReference w:type="default" r:id="rId13"/>
      <w:headerReference w:type="first" r:id="rId14"/>
      <w:footerReference w:type="first" r:id="rId15"/>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0FB443" w14:textId="77777777" w:rsidR="00BF2181" w:rsidRDefault="00BF2181" w:rsidP="00AD5D5A">
      <w:r>
        <w:separator/>
      </w:r>
    </w:p>
  </w:endnote>
  <w:endnote w:type="continuationSeparator" w:id="0">
    <w:p w14:paraId="6394FF7D" w14:textId="77777777" w:rsidR="00BF2181" w:rsidRDefault="00BF2181"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altName w:val="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de">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D84648" w14:textId="77777777" w:rsidR="00164F08" w:rsidRDefault="00164F0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513AEF"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C4E2B5" w14:textId="77777777" w:rsidR="00164F08" w:rsidRDefault="00164F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0D0ACE" w14:textId="77777777" w:rsidR="00BF2181" w:rsidRDefault="00BF2181" w:rsidP="00AD5D5A">
      <w:r>
        <w:separator/>
      </w:r>
    </w:p>
  </w:footnote>
  <w:footnote w:type="continuationSeparator" w:id="0">
    <w:p w14:paraId="120C1226" w14:textId="77777777" w:rsidR="00BF2181" w:rsidRDefault="00BF2181" w:rsidP="00AD5D5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B9EDE7" w14:textId="77777777" w:rsidR="00164F08" w:rsidRDefault="00164F0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67EFC1" w14:textId="77777777" w:rsidR="00164F08" w:rsidRDefault="00164F0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69536D" w14:textId="77777777" w:rsidR="00164F08" w:rsidRDefault="00164F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652234D"/>
    <w:multiLevelType w:val="hybridMultilevel"/>
    <w:tmpl w:val="14A09F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1"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6"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8"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9"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1"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2"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3"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4"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9"/>
  </w:num>
  <w:num w:numId="2">
    <w:abstractNumId w:val="21"/>
  </w:num>
  <w:num w:numId="3">
    <w:abstractNumId w:val="10"/>
  </w:num>
  <w:num w:numId="4">
    <w:abstractNumId w:val="6"/>
  </w:num>
  <w:num w:numId="5">
    <w:abstractNumId w:val="2"/>
  </w:num>
  <w:num w:numId="6">
    <w:abstractNumId w:val="4"/>
  </w:num>
  <w:num w:numId="7">
    <w:abstractNumId w:val="14"/>
  </w:num>
  <w:num w:numId="8">
    <w:abstractNumId w:val="22"/>
  </w:num>
  <w:num w:numId="9">
    <w:abstractNumId w:val="24"/>
  </w:num>
  <w:num w:numId="10">
    <w:abstractNumId w:val="5"/>
  </w:num>
  <w:num w:numId="11">
    <w:abstractNumId w:val="20"/>
  </w:num>
  <w:num w:numId="12">
    <w:abstractNumId w:val="23"/>
  </w:num>
  <w:num w:numId="13">
    <w:abstractNumId w:val="12"/>
  </w:num>
  <w:num w:numId="14">
    <w:abstractNumId w:val="15"/>
  </w:num>
  <w:num w:numId="15">
    <w:abstractNumId w:val="17"/>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1"/>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3"/>
  </w:num>
  <w:num w:numId="20">
    <w:abstractNumId w:val="18"/>
  </w:num>
  <w:num w:numId="21">
    <w:abstractNumId w:val="3"/>
  </w:num>
  <w:num w:numId="22">
    <w:abstractNumId w:val="7"/>
  </w:num>
  <w:num w:numId="23">
    <w:abstractNumId w:val="16"/>
  </w:num>
  <w:num w:numId="24">
    <w:abstractNumId w:val="9"/>
  </w:num>
  <w:num w:numId="25">
    <w:abstractNumId w:val="1"/>
  </w:num>
  <w:num w:numId="2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1C3B"/>
    <w:rsid w:val="00013545"/>
    <w:rsid w:val="00022345"/>
    <w:rsid w:val="00026363"/>
    <w:rsid w:val="00043549"/>
    <w:rsid w:val="00046A16"/>
    <w:rsid w:val="00047074"/>
    <w:rsid w:val="00076A0B"/>
    <w:rsid w:val="000854DF"/>
    <w:rsid w:val="000A6D49"/>
    <w:rsid w:val="000E3682"/>
    <w:rsid w:val="000E3751"/>
    <w:rsid w:val="0010199D"/>
    <w:rsid w:val="001070F2"/>
    <w:rsid w:val="00111283"/>
    <w:rsid w:val="0011161A"/>
    <w:rsid w:val="00164F08"/>
    <w:rsid w:val="00165047"/>
    <w:rsid w:val="00172497"/>
    <w:rsid w:val="001C0B52"/>
    <w:rsid w:val="001C4B2D"/>
    <w:rsid w:val="001E0E06"/>
    <w:rsid w:val="001F4CE1"/>
    <w:rsid w:val="002132DC"/>
    <w:rsid w:val="00216211"/>
    <w:rsid w:val="00224B95"/>
    <w:rsid w:val="00230F35"/>
    <w:rsid w:val="0025530E"/>
    <w:rsid w:val="002715FA"/>
    <w:rsid w:val="00276002"/>
    <w:rsid w:val="00277421"/>
    <w:rsid w:val="00290783"/>
    <w:rsid w:val="002A4954"/>
    <w:rsid w:val="002D2A04"/>
    <w:rsid w:val="002E2BA0"/>
    <w:rsid w:val="002E67CE"/>
    <w:rsid w:val="002F1475"/>
    <w:rsid w:val="002F467C"/>
    <w:rsid w:val="00305185"/>
    <w:rsid w:val="00307B22"/>
    <w:rsid w:val="00326631"/>
    <w:rsid w:val="00337A70"/>
    <w:rsid w:val="00341D2F"/>
    <w:rsid w:val="00351F4B"/>
    <w:rsid w:val="0038342D"/>
    <w:rsid w:val="003C3F4F"/>
    <w:rsid w:val="003C7F6F"/>
    <w:rsid w:val="003D6255"/>
    <w:rsid w:val="003E08F3"/>
    <w:rsid w:val="003F0AD2"/>
    <w:rsid w:val="003F737B"/>
    <w:rsid w:val="00402DB0"/>
    <w:rsid w:val="0040732D"/>
    <w:rsid w:val="004250DD"/>
    <w:rsid w:val="0043758C"/>
    <w:rsid w:val="0044129B"/>
    <w:rsid w:val="00447497"/>
    <w:rsid w:val="00460A5C"/>
    <w:rsid w:val="004627BA"/>
    <w:rsid w:val="004724D6"/>
    <w:rsid w:val="00475C78"/>
    <w:rsid w:val="004A024B"/>
    <w:rsid w:val="004B73BA"/>
    <w:rsid w:val="004C79CE"/>
    <w:rsid w:val="004F2B31"/>
    <w:rsid w:val="00521E0F"/>
    <w:rsid w:val="00531109"/>
    <w:rsid w:val="00537B4C"/>
    <w:rsid w:val="005429EF"/>
    <w:rsid w:val="005627D4"/>
    <w:rsid w:val="0058726A"/>
    <w:rsid w:val="00590E9A"/>
    <w:rsid w:val="005942E9"/>
    <w:rsid w:val="005B3B1C"/>
    <w:rsid w:val="005C6560"/>
    <w:rsid w:val="00610318"/>
    <w:rsid w:val="00632937"/>
    <w:rsid w:val="0065654E"/>
    <w:rsid w:val="00662A40"/>
    <w:rsid w:val="006805EC"/>
    <w:rsid w:val="00691819"/>
    <w:rsid w:val="00693C4D"/>
    <w:rsid w:val="006A205D"/>
    <w:rsid w:val="006A65E9"/>
    <w:rsid w:val="006C0A3A"/>
    <w:rsid w:val="006C5E96"/>
    <w:rsid w:val="006E4F24"/>
    <w:rsid w:val="00751BE2"/>
    <w:rsid w:val="00765417"/>
    <w:rsid w:val="00770733"/>
    <w:rsid w:val="00773D0E"/>
    <w:rsid w:val="00790E2F"/>
    <w:rsid w:val="007B4010"/>
    <w:rsid w:val="007B721A"/>
    <w:rsid w:val="007C098A"/>
    <w:rsid w:val="007C6F33"/>
    <w:rsid w:val="007D7715"/>
    <w:rsid w:val="00823895"/>
    <w:rsid w:val="0083442E"/>
    <w:rsid w:val="00840B95"/>
    <w:rsid w:val="0084272E"/>
    <w:rsid w:val="00843DE9"/>
    <w:rsid w:val="00860711"/>
    <w:rsid w:val="0089447F"/>
    <w:rsid w:val="008A4DCC"/>
    <w:rsid w:val="008B3A97"/>
    <w:rsid w:val="008D03F0"/>
    <w:rsid w:val="008D674F"/>
    <w:rsid w:val="008E525C"/>
    <w:rsid w:val="00901157"/>
    <w:rsid w:val="00914769"/>
    <w:rsid w:val="00973B44"/>
    <w:rsid w:val="009801D3"/>
    <w:rsid w:val="009A3D0A"/>
    <w:rsid w:val="009B2D10"/>
    <w:rsid w:val="009C01A3"/>
    <w:rsid w:val="009C1A08"/>
    <w:rsid w:val="009C396A"/>
    <w:rsid w:val="009F2623"/>
    <w:rsid w:val="009F468A"/>
    <w:rsid w:val="00A02C62"/>
    <w:rsid w:val="00A06B94"/>
    <w:rsid w:val="00A2073F"/>
    <w:rsid w:val="00A303FE"/>
    <w:rsid w:val="00A41032"/>
    <w:rsid w:val="00A41AF9"/>
    <w:rsid w:val="00A507E4"/>
    <w:rsid w:val="00A62E68"/>
    <w:rsid w:val="00A745B6"/>
    <w:rsid w:val="00A80D56"/>
    <w:rsid w:val="00A972E4"/>
    <w:rsid w:val="00A9744A"/>
    <w:rsid w:val="00AC36E3"/>
    <w:rsid w:val="00AC6213"/>
    <w:rsid w:val="00AD5D5A"/>
    <w:rsid w:val="00AE3217"/>
    <w:rsid w:val="00B11E29"/>
    <w:rsid w:val="00B34964"/>
    <w:rsid w:val="00B36F4A"/>
    <w:rsid w:val="00B42501"/>
    <w:rsid w:val="00B45FEF"/>
    <w:rsid w:val="00B462B1"/>
    <w:rsid w:val="00B51982"/>
    <w:rsid w:val="00B56E7B"/>
    <w:rsid w:val="00B71944"/>
    <w:rsid w:val="00B72F46"/>
    <w:rsid w:val="00B81E5D"/>
    <w:rsid w:val="00B96983"/>
    <w:rsid w:val="00B9724B"/>
    <w:rsid w:val="00BC17F1"/>
    <w:rsid w:val="00BE7B7A"/>
    <w:rsid w:val="00BF2181"/>
    <w:rsid w:val="00BF22DC"/>
    <w:rsid w:val="00BF3D29"/>
    <w:rsid w:val="00BF6291"/>
    <w:rsid w:val="00C129C7"/>
    <w:rsid w:val="00C22A88"/>
    <w:rsid w:val="00C65E7F"/>
    <w:rsid w:val="00C93CD4"/>
    <w:rsid w:val="00CB5E37"/>
    <w:rsid w:val="00CC52A3"/>
    <w:rsid w:val="00CE3B79"/>
    <w:rsid w:val="00D0754F"/>
    <w:rsid w:val="00D328AB"/>
    <w:rsid w:val="00D429CC"/>
    <w:rsid w:val="00D459DC"/>
    <w:rsid w:val="00D56EFA"/>
    <w:rsid w:val="00D67BF8"/>
    <w:rsid w:val="00DA3217"/>
    <w:rsid w:val="00DA3E0F"/>
    <w:rsid w:val="00DB185F"/>
    <w:rsid w:val="00DB43BB"/>
    <w:rsid w:val="00DD363B"/>
    <w:rsid w:val="00DE54B1"/>
    <w:rsid w:val="00E251B2"/>
    <w:rsid w:val="00E3766D"/>
    <w:rsid w:val="00E502BA"/>
    <w:rsid w:val="00E57529"/>
    <w:rsid w:val="00E67719"/>
    <w:rsid w:val="00E84F5D"/>
    <w:rsid w:val="00EC7546"/>
    <w:rsid w:val="00F1661E"/>
    <w:rsid w:val="00F2453C"/>
    <w:rsid w:val="00F346BE"/>
    <w:rsid w:val="00F43D62"/>
    <w:rsid w:val="00F73533"/>
    <w:rsid w:val="00F73656"/>
    <w:rsid w:val="00FA07E9"/>
    <w:rsid w:val="00FA2A4C"/>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49ACF07"/>
  <w15:chartTrackingRefBased/>
  <w15:docId w15:val="{158A6541-898A-4C66-AEA8-72C0AEA1E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zh-CN"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Hyperlink">
    <w:name w:val="Hyperlink"/>
    <w:uiPriority w:val="99"/>
    <w:unhideWhenUsed/>
    <w:rsid w:val="005B3B1C"/>
    <w:rPr>
      <w:color w:val="0000FF"/>
      <w:u w:val="single"/>
    </w:rPr>
  </w:style>
  <w:style w:type="paragraph" w:styleId="ListParagraph">
    <w:name w:val="List Paragraph"/>
    <w:basedOn w:val="Normal"/>
    <w:uiPriority w:val="34"/>
    <w:qFormat/>
    <w:rsid w:val="005B3B1C"/>
    <w:pPr>
      <w:spacing w:after="160" w:line="259" w:lineRule="auto"/>
      <w:ind w:left="720"/>
      <w:contextualSpacing/>
    </w:pPr>
    <w:rPr>
      <w:rFonts w:ascii="Calibri" w:eastAsia="DengXian" w:hAnsi="Calibri" w:cs="Arial"/>
      <w:sz w:val="22"/>
      <w:szCs w:val="22"/>
    </w:rPr>
  </w:style>
  <w:style w:type="paragraph" w:customStyle="1" w:styleId="Default">
    <w:name w:val="Default"/>
    <w:rsid w:val="005B3B1C"/>
    <w:pPr>
      <w:autoSpaceDE w:val="0"/>
      <w:autoSpaceDN w:val="0"/>
      <w:adjustRightInd w:val="0"/>
    </w:pPr>
    <w:rPr>
      <w:rFonts w:ascii="Code" w:eastAsia="DengXian" w:hAnsi="Code" w:cs="Code"/>
      <w:color w:val="000000"/>
      <w:sz w:val="24"/>
      <w:szCs w:val="24"/>
    </w:rPr>
  </w:style>
  <w:style w:type="paragraph" w:styleId="FootnoteText">
    <w:name w:val="footnote text"/>
    <w:basedOn w:val="Normal"/>
    <w:link w:val="FootnoteTextChar"/>
    <w:rsid w:val="00164F08"/>
    <w:rPr>
      <w:sz w:val="20"/>
      <w:szCs w:val="20"/>
    </w:rPr>
  </w:style>
  <w:style w:type="character" w:customStyle="1" w:styleId="FootnoteTextChar">
    <w:name w:val="Footnote Text Char"/>
    <w:basedOn w:val="DefaultParagraphFont"/>
    <w:link w:val="FootnoteText"/>
    <w:rsid w:val="00164F08"/>
  </w:style>
  <w:style w:type="character" w:styleId="FootnoteReference">
    <w:name w:val="footnote reference"/>
    <w:basedOn w:val="DefaultParagraphFont"/>
    <w:rsid w:val="00164F0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041593458">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2210518@student.uwtsd.ac.uk"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0100DBE-7CE5-4AB5-8D6B-1CA19F6602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2178</Words>
  <Characters>12415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14564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YINA WU</cp:lastModifiedBy>
  <cp:revision>2</cp:revision>
  <cp:lastPrinted>2011-03-31T06:57:00Z</cp:lastPrinted>
  <dcterms:created xsi:type="dcterms:W3CDTF">2022-11-07T12:06:00Z</dcterms:created>
  <dcterms:modified xsi:type="dcterms:W3CDTF">2022-11-07T12:06:00Z</dcterms:modified>
</cp:coreProperties>
</file>