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D0283" w14:textId="1D87D6BD" w:rsidR="00C87FFA" w:rsidRPr="00C87FFA" w:rsidRDefault="00C87FFA" w:rsidP="00C87FFA">
      <w:pPr>
        <w:spacing w:line="360" w:lineRule="auto"/>
        <w:rPr>
          <w:rFonts w:ascii="Arial" w:hAnsi="Arial" w:cs="Arial"/>
          <w:b/>
          <w:bCs/>
          <w:color w:val="0E0E0E"/>
        </w:rPr>
      </w:pPr>
      <w:r w:rsidRPr="00C87FFA">
        <w:rPr>
          <w:rFonts w:ascii="Arial" w:hAnsi="Arial" w:cs="Arial"/>
          <w:b/>
          <w:bCs/>
          <w:color w:val="0E0E0E"/>
        </w:rPr>
        <w:t>Introduction</w:t>
      </w:r>
      <w:r>
        <w:rPr>
          <w:rFonts w:ascii="Arial" w:hAnsi="Arial" w:cs="Arial"/>
          <w:b/>
          <w:bCs/>
          <w:color w:val="0E0E0E"/>
        </w:rPr>
        <w:t xml:space="preserve"> </w:t>
      </w:r>
    </w:p>
    <w:p w14:paraId="69864CA8" w14:textId="77777777" w:rsidR="00C87FFA" w:rsidRPr="00C87FFA" w:rsidRDefault="00C87FFA" w:rsidP="00C87FFA">
      <w:pPr>
        <w:spacing w:line="360" w:lineRule="auto"/>
        <w:rPr>
          <w:rFonts w:ascii="Arial" w:hAnsi="Arial" w:cs="Arial"/>
          <w:color w:val="0E0E0E"/>
        </w:rPr>
      </w:pPr>
    </w:p>
    <w:p w14:paraId="6037A68A" w14:textId="77777777" w:rsidR="00C87FFA" w:rsidRPr="00C87FFA" w:rsidRDefault="00C87FFA" w:rsidP="00C87FFA">
      <w:pPr>
        <w:spacing w:line="360" w:lineRule="auto"/>
        <w:rPr>
          <w:rFonts w:ascii="Arial" w:hAnsi="Arial" w:cs="Arial"/>
          <w:color w:val="0E0E0E"/>
        </w:rPr>
      </w:pPr>
      <w:r w:rsidRPr="00C87FFA">
        <w:rPr>
          <w:rFonts w:ascii="Arial" w:hAnsi="Arial" w:cs="Arial"/>
          <w:color w:val="0E0E0E"/>
        </w:rPr>
        <w:t xml:space="preserve">Research by </w:t>
      </w:r>
      <w:proofErr w:type="spellStart"/>
      <w:r w:rsidRPr="00C87FFA">
        <w:rPr>
          <w:rFonts w:ascii="Arial" w:hAnsi="Arial" w:cs="Arial"/>
          <w:color w:val="0E0E0E"/>
        </w:rPr>
        <w:t>Gervain</w:t>
      </w:r>
      <w:proofErr w:type="spellEnd"/>
      <w:r w:rsidRPr="00C87FFA">
        <w:rPr>
          <w:rFonts w:ascii="Arial" w:hAnsi="Arial" w:cs="Arial"/>
          <w:color w:val="0E0E0E"/>
        </w:rPr>
        <w:t xml:space="preserve"> (2018) suggests that language development begins before birth, as foetuses are exposed to rhythmic speech patterns that activate early neural mechanisms involved in auditory and linguistic processing. Supporting this, Cara </w:t>
      </w:r>
      <w:r w:rsidRPr="00C87FFA">
        <w:rPr>
          <w:rFonts w:ascii="Arial" w:hAnsi="Arial" w:cs="Arial"/>
          <w:i/>
          <w:iCs/>
          <w:color w:val="0E0E0E"/>
        </w:rPr>
        <w:t>et al.</w:t>
      </w:r>
      <w:r w:rsidRPr="00C87FFA">
        <w:rPr>
          <w:rFonts w:ascii="Arial" w:hAnsi="Arial" w:cs="Arial"/>
          <w:color w:val="0E0E0E"/>
        </w:rPr>
        <w:t xml:space="preserve"> (2025) found that prenatal functional connectivity within the auditory–language network predicts later language skills, reinforcing the view that the foundations for speech perception and processing are established in utero. From birth onwards, exposure to storytelling provides children with rich and varied linguistic input, introducing them to new vocabulary, complex syntax, and narrative structures that strengthen both oral communication and comprehension (Tudor, 2021). The Department for Education (2023) similarly identifies storytelling as a key pedagogical practice through which children internalise language patterns and expand their vocabulary, supporting the development of early literacy. Through interactive dialogue and repetition, children internalise narrative structures and develop phonological awareness, which forms a crucial foundation for early reading (Surya and Aprilia, 2024). Moreover, digital storytelling extends these benefits by integrating sound, imagery, and movement, enhancing engagement and fostering multimodal literacy in contemporary learning environments (</w:t>
      </w:r>
      <w:proofErr w:type="spellStart"/>
      <w:r w:rsidRPr="00C87FFA">
        <w:rPr>
          <w:rFonts w:ascii="Arial" w:hAnsi="Arial" w:cs="Arial"/>
          <w:color w:val="0E0E0E"/>
        </w:rPr>
        <w:t>Kucirkova</w:t>
      </w:r>
      <w:proofErr w:type="spellEnd"/>
      <w:r w:rsidRPr="00C87FFA">
        <w:rPr>
          <w:rFonts w:ascii="Arial" w:hAnsi="Arial" w:cs="Arial"/>
          <w:color w:val="0E0E0E"/>
        </w:rPr>
        <w:t>, 2022). Overall, storytelling in both traditional and digital formats provides a vital context for developing young children’s language, communication, and foundational literacy abilities.</w:t>
      </w:r>
    </w:p>
    <w:p w14:paraId="51FCF059" w14:textId="77777777" w:rsidR="00C87FFA" w:rsidRPr="00C87FFA" w:rsidRDefault="00C87FFA" w:rsidP="00C87FFA">
      <w:pPr>
        <w:spacing w:line="360" w:lineRule="auto"/>
        <w:rPr>
          <w:rFonts w:ascii="Arial" w:hAnsi="Arial" w:cs="Arial"/>
          <w:color w:val="0E0E0E"/>
        </w:rPr>
      </w:pPr>
    </w:p>
    <w:p w14:paraId="6F9D559B" w14:textId="77777777" w:rsidR="00C87FFA" w:rsidRPr="00C87FFA" w:rsidRDefault="00C87FFA" w:rsidP="00C87FFA">
      <w:pPr>
        <w:spacing w:line="360" w:lineRule="auto"/>
        <w:rPr>
          <w:rFonts w:ascii="Arial" w:hAnsi="Arial" w:cs="Arial"/>
          <w:color w:val="0E0E0E"/>
        </w:rPr>
      </w:pPr>
      <w:r w:rsidRPr="00C87FFA">
        <w:rPr>
          <w:rFonts w:ascii="Arial" w:hAnsi="Arial" w:cs="Arial"/>
          <w:color w:val="0E0E0E"/>
        </w:rPr>
        <w:t xml:space="preserve">Building on these principles, the following discussion will examine how practitioner behaviours, such as characterisation, scaffolding, and the use of props, supported language development during the traditional story </w:t>
      </w:r>
      <w:r w:rsidRPr="00C87FFA">
        <w:rPr>
          <w:rFonts w:ascii="Arial" w:hAnsi="Arial" w:cs="Arial"/>
          <w:i/>
          <w:iCs/>
          <w:color w:val="0E0E0E"/>
        </w:rPr>
        <w:t>'Peace at Last'</w:t>
      </w:r>
      <w:r w:rsidRPr="00C87FFA">
        <w:rPr>
          <w:rFonts w:ascii="Arial" w:hAnsi="Arial" w:cs="Arial"/>
          <w:color w:val="0E0E0E"/>
        </w:rPr>
        <w:t xml:space="preserve"> and the digital story </w:t>
      </w:r>
      <w:r w:rsidRPr="00C87FFA">
        <w:rPr>
          <w:rFonts w:ascii="Arial" w:hAnsi="Arial" w:cs="Arial"/>
          <w:i/>
          <w:iCs/>
          <w:color w:val="0E0E0E"/>
        </w:rPr>
        <w:t>'Giraffes Can’t Dance'</w:t>
      </w:r>
      <w:r w:rsidRPr="00C87FFA">
        <w:rPr>
          <w:rFonts w:ascii="Arial" w:hAnsi="Arial" w:cs="Arial"/>
          <w:color w:val="0E0E0E"/>
        </w:rPr>
        <w:t>, highlighting their role in promoting interaction, engagement, and comprehension in the early years.</w:t>
      </w:r>
    </w:p>
    <w:p w14:paraId="22709C87" w14:textId="77777777" w:rsidR="00C87FFA" w:rsidRPr="00C87FFA" w:rsidRDefault="00C87FFA" w:rsidP="00C87FFA">
      <w:pPr>
        <w:spacing w:before="100" w:beforeAutospacing="1" w:after="100" w:afterAutospacing="1" w:line="360" w:lineRule="auto"/>
        <w:outlineLvl w:val="2"/>
        <w:rPr>
          <w:rFonts w:ascii="Arial" w:hAnsi="Arial" w:cs="Arial"/>
          <w:color w:val="0E0E0E"/>
        </w:rPr>
      </w:pPr>
    </w:p>
    <w:p w14:paraId="6CBC5E12" w14:textId="77777777" w:rsidR="00C87FFA" w:rsidRPr="00C87FFA" w:rsidRDefault="00C87FFA" w:rsidP="00C87FFA">
      <w:pPr>
        <w:spacing w:before="100" w:beforeAutospacing="1" w:after="100" w:afterAutospacing="1" w:line="360" w:lineRule="auto"/>
        <w:outlineLvl w:val="2"/>
        <w:rPr>
          <w:rFonts w:ascii="Arial" w:hAnsi="Arial" w:cs="Arial"/>
          <w:color w:val="0E0E0E"/>
        </w:rPr>
      </w:pPr>
    </w:p>
    <w:p w14:paraId="685E2014" w14:textId="77777777" w:rsidR="00C87FFA" w:rsidRDefault="00C87FFA" w:rsidP="00C87FFA">
      <w:pPr>
        <w:spacing w:before="100" w:beforeAutospacing="1" w:after="100" w:afterAutospacing="1" w:line="360" w:lineRule="auto"/>
        <w:outlineLvl w:val="2"/>
        <w:rPr>
          <w:rFonts w:ascii="Arial" w:hAnsi="Arial" w:cs="Arial"/>
          <w:color w:val="0E0E0E"/>
        </w:rPr>
      </w:pPr>
    </w:p>
    <w:p w14:paraId="01E9FBE5" w14:textId="16F5A240" w:rsidR="00C87FFA" w:rsidRPr="0062701E" w:rsidRDefault="00C87FFA" w:rsidP="00C87FFA">
      <w:pPr>
        <w:spacing w:before="100" w:beforeAutospacing="1" w:after="100" w:afterAutospacing="1" w:line="360" w:lineRule="auto"/>
        <w:outlineLvl w:val="2"/>
        <w:rPr>
          <w:rFonts w:ascii="Arial" w:hAnsi="Arial" w:cs="Arial"/>
          <w:b/>
          <w:bCs/>
          <w:color w:val="0E0E0E"/>
        </w:rPr>
      </w:pPr>
      <w:r w:rsidRPr="0062701E">
        <w:rPr>
          <w:rFonts w:ascii="Arial" w:hAnsi="Arial" w:cs="Arial"/>
          <w:b/>
          <w:bCs/>
          <w:color w:val="0E0E0E"/>
        </w:rPr>
        <w:lastRenderedPageBreak/>
        <w:t>Characterisation in Storytelling</w:t>
      </w:r>
      <w:r w:rsidRPr="00C87FFA">
        <w:rPr>
          <w:rFonts w:ascii="Arial" w:hAnsi="Arial" w:cs="Arial"/>
          <w:b/>
          <w:bCs/>
          <w:color w:val="0E0E0E"/>
        </w:rPr>
        <w:t xml:space="preserve"> </w:t>
      </w:r>
    </w:p>
    <w:p w14:paraId="087138EA" w14:textId="77777777" w:rsidR="00C87FFA" w:rsidRPr="00C87FFA" w:rsidRDefault="00C87FFA" w:rsidP="00C87FFA">
      <w:pPr>
        <w:spacing w:line="360" w:lineRule="auto"/>
        <w:rPr>
          <w:rFonts w:ascii="Arial" w:hAnsi="Arial" w:cs="Arial"/>
          <w:color w:val="0E0E0E"/>
        </w:rPr>
      </w:pPr>
      <w:r w:rsidRPr="00C87FFA">
        <w:rPr>
          <w:rFonts w:ascii="Arial" w:hAnsi="Arial" w:cs="Arial"/>
          <w:color w:val="0E0E0E"/>
        </w:rPr>
        <w:t xml:space="preserve">Characterisation, demonstrated through expressive voice, facial expressions, and gestures, is widely recognised as an effective pedagogical strategy that supports language development by animating narratives in ways that encourage interaction and emotional engagement (Cremin et al., 2017). During the traditional storytelling of Peace at Last, the practitioner deliberately varied tone and pitch to reflect Mr Bear’s tiredness and frustration, providing prosodic and contextual cues that helped children infer emotional meaning. This approach reflects Crystal’s (2003) assertion that vocal modulation and intonation play a critical role in sustaining attention and enhancing language comprehension, particularly when stories are delivered in emotionally expressive ways. However, as Burnett (2010) notes, when vocal tone, gesture, and facial expression are not cohesively integrated, children may experience difficulties in interpreting meaning, which can hinder both language comprehension and expressive communication. According to Lor </w:t>
      </w:r>
      <w:r w:rsidRPr="00C87FFA">
        <w:rPr>
          <w:rFonts w:ascii="Arial" w:hAnsi="Arial" w:cs="Arial"/>
          <w:i/>
          <w:iCs/>
          <w:color w:val="0E0E0E"/>
        </w:rPr>
        <w:t>et al.</w:t>
      </w:r>
      <w:r w:rsidRPr="00C87FFA">
        <w:rPr>
          <w:rFonts w:ascii="Arial" w:hAnsi="Arial" w:cs="Arial"/>
          <w:color w:val="0E0E0E"/>
        </w:rPr>
        <w:t xml:space="preserve"> (2019), when practitioners convey emotions through characterisation, children begin to develop the language of feelings. Such emotional modelling fosters the emergence of social language skills, including empathy, self-expression, and dialogue, by linking words to emotional experiences. By embodying characters and exaggerating emotion, the practitioner reinforced word–meaning associations in ways that align with the Curriculum for Wales (Welsh Government, 2022), which emphasises creativity, communication, and emotional understanding as foundations of early language and literacy development. Furthermore, as Spencer and Pierce (2023) explain, the use of characterisation in storytelling enables practitioners to model expressive language and emotional nuance, supporting children in internalising narrative structure, descriptive vocabulary, and character development. These elements are later reflected in their writing through improved sentence construction, greater coherence, and enhanced imaginative expression. </w:t>
      </w:r>
    </w:p>
    <w:p w14:paraId="7AA12FBD" w14:textId="77777777" w:rsidR="00C87FFA" w:rsidRPr="00C87FFA" w:rsidRDefault="00C87FFA" w:rsidP="00C87FFA">
      <w:pPr>
        <w:pStyle w:val="p1"/>
        <w:spacing w:line="360" w:lineRule="auto"/>
        <w:rPr>
          <w:rFonts w:ascii="Arial" w:hAnsi="Arial" w:cs="Arial"/>
          <w:color w:val="0E0E0E"/>
        </w:rPr>
      </w:pPr>
      <w:r w:rsidRPr="00C87FFA">
        <w:rPr>
          <w:rFonts w:ascii="Arial" w:hAnsi="Arial" w:cs="Arial"/>
          <w:color w:val="0E0E0E"/>
        </w:rPr>
        <w:t xml:space="preserve">Conversely, in the digital storytelling of Giraffes Can’t Dance, animated visuals contributed to characterisation while the practitioner maintained an active pedagogical role through expressive voice modulation and purposeful gestures, despite the absence of a physical book or props. Although the children did not directly interact with the digital medium, the activity nonetheless introduced </w:t>
      </w:r>
      <w:r w:rsidRPr="00C87FFA">
        <w:rPr>
          <w:rFonts w:ascii="Arial" w:hAnsi="Arial" w:cs="Arial"/>
          <w:color w:val="0E0E0E"/>
        </w:rPr>
        <w:lastRenderedPageBreak/>
        <w:t xml:space="preserve">foundational elements of digital literacy. However, without deliberate scaffolding and opportunities for dialogue, such experiences may risk positioning children as passive recipients rather than active meaning-makers (Grenier, 2019). According to O’Byrne </w:t>
      </w:r>
      <w:r w:rsidRPr="00C87FFA">
        <w:rPr>
          <w:rFonts w:ascii="Arial" w:hAnsi="Arial" w:cs="Arial"/>
          <w:i/>
          <w:iCs/>
          <w:color w:val="0E0E0E"/>
        </w:rPr>
        <w:t>et al.</w:t>
      </w:r>
      <w:r w:rsidRPr="00C87FFA">
        <w:rPr>
          <w:rFonts w:ascii="Arial" w:hAnsi="Arial" w:cs="Arial"/>
          <w:color w:val="0E0E0E"/>
        </w:rPr>
        <w:t xml:space="preserve"> (2018), digital storytelling integrates diverse media forms, such as images, video, text, and sound, to convey meaning in a multimodal format. Wessel-Powell, Kargin and Wohlwend (2016) further suggest that this approach enables children to construct meaning through the interplay of visual, gestural, and verbal modes. Similarly, Maureen, van der </w:t>
      </w:r>
      <w:proofErr w:type="spellStart"/>
      <w:r w:rsidRPr="00C87FFA">
        <w:rPr>
          <w:rFonts w:ascii="Arial" w:hAnsi="Arial" w:cs="Arial"/>
          <w:color w:val="0E0E0E"/>
        </w:rPr>
        <w:t>Meij</w:t>
      </w:r>
      <w:proofErr w:type="spellEnd"/>
      <w:r w:rsidRPr="00C87FFA">
        <w:rPr>
          <w:rFonts w:ascii="Arial" w:hAnsi="Arial" w:cs="Arial"/>
          <w:color w:val="0E0E0E"/>
        </w:rPr>
        <w:t xml:space="preserve"> and de Jong (2021) argue that animated stories narrated live by a practitioner can enhance children’s understanding of narrative features such as sequencing, symbolism, and perspective. These strategies reflect the Curriculum for Wales (Welsh Government, 2022), which encourages communication across varied expressive modes and promotes emotional literacy, creativity, and well-being. When characterisation is used purposefully, it supports not only language acquisition but also holistic development across emotional and cognitive domains.</w:t>
      </w:r>
    </w:p>
    <w:p w14:paraId="14B1687B" w14:textId="77777777" w:rsidR="00C87FFA" w:rsidRPr="00C87FFA" w:rsidRDefault="00C87FFA" w:rsidP="00C87FFA">
      <w:pPr>
        <w:spacing w:line="360" w:lineRule="auto"/>
        <w:rPr>
          <w:rFonts w:ascii="Arial" w:hAnsi="Arial" w:cs="Arial"/>
          <w:color w:val="0E0E0E"/>
        </w:rPr>
      </w:pPr>
    </w:p>
    <w:p w14:paraId="7501E06A" w14:textId="4D0F719C" w:rsidR="00C87FFA" w:rsidRPr="00C87FFA" w:rsidRDefault="00C87FFA" w:rsidP="00C87FFA">
      <w:pPr>
        <w:spacing w:line="360" w:lineRule="auto"/>
        <w:rPr>
          <w:rFonts w:ascii="Arial" w:hAnsi="Arial" w:cs="Arial"/>
          <w:b/>
          <w:bCs/>
          <w:color w:val="0E0E0E"/>
        </w:rPr>
      </w:pPr>
      <w:r w:rsidRPr="00C87FFA">
        <w:rPr>
          <w:rFonts w:ascii="Arial" w:hAnsi="Arial" w:cs="Arial"/>
          <w:b/>
          <w:bCs/>
          <w:color w:val="0E0E0E"/>
        </w:rPr>
        <w:t xml:space="preserve">Scaffolding in Storytelling </w:t>
      </w:r>
    </w:p>
    <w:p w14:paraId="640B4960" w14:textId="77777777" w:rsidR="00C87FFA" w:rsidRPr="00C87FFA" w:rsidRDefault="00C87FFA" w:rsidP="00C87FFA">
      <w:pPr>
        <w:spacing w:line="360" w:lineRule="auto"/>
        <w:rPr>
          <w:rFonts w:ascii="Arial" w:hAnsi="Arial" w:cs="Arial"/>
          <w:color w:val="0E0E0E"/>
        </w:rPr>
      </w:pPr>
    </w:p>
    <w:p w14:paraId="200AE648" w14:textId="77777777" w:rsidR="00C87FFA" w:rsidRPr="00C87FFA" w:rsidRDefault="00C87FFA" w:rsidP="00C87FFA">
      <w:pPr>
        <w:spacing w:line="360" w:lineRule="auto"/>
        <w:rPr>
          <w:rFonts w:ascii="Arial" w:hAnsi="Arial" w:cs="Arial"/>
          <w:color w:val="0E0E0E"/>
        </w:rPr>
      </w:pPr>
      <w:r w:rsidRPr="00C87FFA">
        <w:rPr>
          <w:rFonts w:ascii="Arial" w:hAnsi="Arial" w:cs="Arial"/>
          <w:color w:val="0E0E0E"/>
        </w:rPr>
        <w:t xml:space="preserve">Smith, Cowie and Blades (2015) suggest that scaffolding is not a static or didactic method but a dynamic process through which practitioners provide adaptive support, enabling children to explore, reflect, and extend their understanding. The Department for Education (2021) states that scaffolding within storytelling offers an intentional framework through which practitioners enhance children’s communication skills by fostering engagement and narrative understanding. When attuned to children’s developmental needs, this approach creates rich opportunities for linguistic growth and </w:t>
      </w:r>
      <w:proofErr w:type="gramStart"/>
      <w:r w:rsidRPr="00C87FFA">
        <w:rPr>
          <w:rFonts w:ascii="Arial" w:hAnsi="Arial" w:cs="Arial"/>
          <w:color w:val="0E0E0E"/>
        </w:rPr>
        <w:t>meaning-making</w:t>
      </w:r>
      <w:proofErr w:type="gramEnd"/>
      <w:r w:rsidRPr="00C87FFA">
        <w:rPr>
          <w:rFonts w:ascii="Arial" w:hAnsi="Arial" w:cs="Arial"/>
          <w:color w:val="0E0E0E"/>
        </w:rPr>
        <w:t xml:space="preserve"> (</w:t>
      </w:r>
      <w:proofErr w:type="spellStart"/>
      <w:r w:rsidRPr="00C87FFA">
        <w:rPr>
          <w:rFonts w:ascii="Arial" w:hAnsi="Arial" w:cs="Arial"/>
          <w:color w:val="0E0E0E"/>
        </w:rPr>
        <w:t>Lucarevschi</w:t>
      </w:r>
      <w:proofErr w:type="spellEnd"/>
      <w:r w:rsidRPr="00C87FFA">
        <w:rPr>
          <w:rFonts w:ascii="Arial" w:hAnsi="Arial" w:cs="Arial"/>
          <w:color w:val="0E0E0E"/>
        </w:rPr>
        <w:t>, 2016). Vygotsky’s (1978) concept of the More Knowledgeable Other underpins this process, positioning the practitioner as a linguistic guide who enables children to progress beyond what they could achieve independently. Through interactive dialogue, repetition, and expressive modelling, children internalise new vocabulary, grammatical structures, and narrative forms, demonstrating how social interaction supports both language development and cognitive advancement (Spencer and Pierce, 2023).</w:t>
      </w:r>
      <w:r w:rsidRPr="00C87FFA">
        <w:rPr>
          <w:rFonts w:ascii="Arial" w:hAnsi="Arial" w:cs="Arial"/>
        </w:rPr>
        <w:t xml:space="preserve"> </w:t>
      </w:r>
      <w:r w:rsidRPr="00C87FFA">
        <w:rPr>
          <w:rFonts w:ascii="Arial" w:hAnsi="Arial" w:cs="Arial"/>
          <w:color w:val="0E0E0E"/>
        </w:rPr>
        <w:t xml:space="preserve"> </w:t>
      </w:r>
    </w:p>
    <w:p w14:paraId="5D311C0A" w14:textId="77777777" w:rsidR="00C87FFA" w:rsidRPr="00C87FFA" w:rsidRDefault="00C87FFA" w:rsidP="00C87FFA">
      <w:pPr>
        <w:spacing w:line="360" w:lineRule="auto"/>
        <w:rPr>
          <w:rFonts w:ascii="Arial" w:hAnsi="Arial" w:cs="Arial"/>
          <w:color w:val="0E0E0E"/>
        </w:rPr>
      </w:pPr>
    </w:p>
    <w:p w14:paraId="400D9B34" w14:textId="77777777" w:rsidR="00C87FFA" w:rsidRPr="00C87FFA" w:rsidRDefault="00C87FFA" w:rsidP="00C87FFA">
      <w:pPr>
        <w:spacing w:line="360" w:lineRule="auto"/>
        <w:rPr>
          <w:rFonts w:ascii="Arial" w:hAnsi="Arial" w:cs="Arial"/>
          <w:color w:val="0E0E0E"/>
        </w:rPr>
      </w:pPr>
      <w:r w:rsidRPr="00C87FFA">
        <w:rPr>
          <w:rFonts w:ascii="Arial" w:hAnsi="Arial" w:cs="Arial"/>
          <w:color w:val="0E0E0E"/>
        </w:rPr>
        <w:lastRenderedPageBreak/>
        <w:t xml:space="preserve">In both observed storytelling activities, </w:t>
      </w:r>
      <w:r w:rsidRPr="00C87FFA">
        <w:rPr>
          <w:rFonts w:ascii="Arial" w:hAnsi="Arial" w:cs="Arial"/>
          <w:i/>
          <w:iCs/>
          <w:color w:val="0E0E0E"/>
        </w:rPr>
        <w:t>Peace at Last</w:t>
      </w:r>
      <w:r w:rsidRPr="00C87FFA">
        <w:rPr>
          <w:rFonts w:ascii="Arial" w:hAnsi="Arial" w:cs="Arial"/>
          <w:color w:val="0E0E0E"/>
        </w:rPr>
        <w:t xml:space="preserve"> and </w:t>
      </w:r>
      <w:r w:rsidRPr="00C87FFA">
        <w:rPr>
          <w:rFonts w:ascii="Arial" w:hAnsi="Arial" w:cs="Arial"/>
          <w:i/>
          <w:iCs/>
          <w:color w:val="0E0E0E"/>
        </w:rPr>
        <w:t>Giraffes Can’t Dance</w:t>
      </w:r>
      <w:r w:rsidRPr="00C87FFA">
        <w:rPr>
          <w:rFonts w:ascii="Arial" w:hAnsi="Arial" w:cs="Arial"/>
          <w:color w:val="0E0E0E"/>
        </w:rPr>
        <w:t xml:space="preserve">, the practitioner employed voice modulation, expressive gestures, and facial cues to guide interpretation and sustain attention, enabling children to connect with emotional content and follow the narrative structure, particularly where open-ended questioning was minimal. For instance, the repeated phrase “Oh no! I can’t stand this!” in </w:t>
      </w:r>
      <w:r w:rsidRPr="00C87FFA">
        <w:rPr>
          <w:rFonts w:ascii="Arial" w:hAnsi="Arial" w:cs="Arial"/>
          <w:i/>
          <w:iCs/>
          <w:color w:val="0E0E0E"/>
        </w:rPr>
        <w:t>Peace at Last</w:t>
      </w:r>
      <w:r w:rsidRPr="00C87FFA">
        <w:rPr>
          <w:rFonts w:ascii="Arial" w:hAnsi="Arial" w:cs="Arial"/>
          <w:color w:val="0E0E0E"/>
        </w:rPr>
        <w:t xml:space="preserve"> and the rhythmic line “Gerald was a tall giraffe whose neck was long and slim” in </w:t>
      </w:r>
      <w:r w:rsidRPr="00C87FFA">
        <w:rPr>
          <w:rFonts w:ascii="Arial" w:hAnsi="Arial" w:cs="Arial"/>
          <w:i/>
          <w:iCs/>
          <w:color w:val="0E0E0E"/>
        </w:rPr>
        <w:t>Giraffes Can’t Dance</w:t>
      </w:r>
      <w:r w:rsidRPr="00C87FFA">
        <w:rPr>
          <w:rFonts w:ascii="Arial" w:hAnsi="Arial" w:cs="Arial"/>
          <w:color w:val="0E0E0E"/>
        </w:rPr>
        <w:t xml:space="preserve"> encouraged children to focus on the phonological features of language. These scaffolded interactions supported the development of phonological awareness by drawing attention to tone, rhythm, and sentence melody, essential components in early literacy acquisition (Maureen, van der </w:t>
      </w:r>
      <w:proofErr w:type="spellStart"/>
      <w:r w:rsidRPr="00C87FFA">
        <w:rPr>
          <w:rFonts w:ascii="Arial" w:hAnsi="Arial" w:cs="Arial"/>
          <w:color w:val="0E0E0E"/>
        </w:rPr>
        <w:t>Meij</w:t>
      </w:r>
      <w:proofErr w:type="spellEnd"/>
      <w:r w:rsidRPr="00C87FFA">
        <w:rPr>
          <w:rFonts w:ascii="Arial" w:hAnsi="Arial" w:cs="Arial"/>
          <w:color w:val="0E0E0E"/>
        </w:rPr>
        <w:t xml:space="preserve"> and de Jong, 2021).</w:t>
      </w:r>
    </w:p>
    <w:p w14:paraId="6507DF1F" w14:textId="77777777" w:rsidR="00C87FFA" w:rsidRPr="00C87FFA" w:rsidRDefault="00C87FFA" w:rsidP="00C87FFA">
      <w:pPr>
        <w:spacing w:line="360" w:lineRule="auto"/>
        <w:rPr>
          <w:rFonts w:ascii="Arial" w:hAnsi="Arial" w:cs="Arial"/>
          <w:color w:val="0E0E0E"/>
        </w:rPr>
      </w:pPr>
    </w:p>
    <w:p w14:paraId="7A07A22B" w14:textId="77777777" w:rsidR="00C87FFA" w:rsidRPr="00C87FFA" w:rsidRDefault="00C87FFA" w:rsidP="00C87FFA">
      <w:pPr>
        <w:spacing w:line="360" w:lineRule="auto"/>
        <w:rPr>
          <w:rFonts w:ascii="Arial" w:hAnsi="Arial" w:cs="Arial"/>
          <w:color w:val="0E0E0E"/>
        </w:rPr>
      </w:pPr>
      <w:r w:rsidRPr="00C87FFA">
        <w:rPr>
          <w:rFonts w:ascii="Arial" w:hAnsi="Arial" w:cs="Arial"/>
          <w:color w:val="0E0E0E"/>
        </w:rPr>
        <w:t>As Spencer and Pierce (2023) explain, such auditory sensitivity enables children to segment words into syllables, recognise sound–symbol correspondences, and develop expressive fluency in both spoken and early written communication. Similarly, Melzi, Schick, and Wuest (2022) emphasise that patterned, prosodic storytelling enhances children’s ability to identify linguistic structures that underpin reading development. Bromley (2019) also highlights how expressive, interactive read-</w:t>
      </w:r>
      <w:proofErr w:type="spellStart"/>
      <w:r w:rsidRPr="00C87FFA">
        <w:rPr>
          <w:rFonts w:ascii="Arial" w:hAnsi="Arial" w:cs="Arial"/>
          <w:color w:val="0E0E0E"/>
        </w:rPr>
        <w:t>alouds</w:t>
      </w:r>
      <w:proofErr w:type="spellEnd"/>
      <w:r w:rsidRPr="00C87FFA">
        <w:rPr>
          <w:rFonts w:ascii="Arial" w:hAnsi="Arial" w:cs="Arial"/>
          <w:color w:val="0E0E0E"/>
        </w:rPr>
        <w:t xml:space="preserve"> contribute to oral language enrichment, supporting vocabulary expansion, comprehension, and foundational literacy skills. Tomasello (2000) adds that children often reproduce adult grammatical constructions, reinforcing the importance of modelling as a scaffold for linguistic development. </w:t>
      </w:r>
      <w:proofErr w:type="spellStart"/>
      <w:r w:rsidRPr="00C87FFA">
        <w:rPr>
          <w:rFonts w:ascii="Arial" w:hAnsi="Arial" w:cs="Arial"/>
          <w:color w:val="0E0E0E"/>
        </w:rPr>
        <w:t>Cekaite</w:t>
      </w:r>
      <w:proofErr w:type="spellEnd"/>
      <w:r w:rsidRPr="00C87FFA">
        <w:rPr>
          <w:rFonts w:ascii="Arial" w:hAnsi="Arial" w:cs="Arial"/>
          <w:color w:val="0E0E0E"/>
        </w:rPr>
        <w:t xml:space="preserve"> and Björk-</w:t>
      </w:r>
      <w:proofErr w:type="spellStart"/>
      <w:r w:rsidRPr="00C87FFA">
        <w:rPr>
          <w:rFonts w:ascii="Arial" w:hAnsi="Arial" w:cs="Arial"/>
          <w:color w:val="0E0E0E"/>
        </w:rPr>
        <w:t>Willén</w:t>
      </w:r>
      <w:proofErr w:type="spellEnd"/>
      <w:r w:rsidRPr="00C87FFA">
        <w:rPr>
          <w:rFonts w:ascii="Arial" w:hAnsi="Arial" w:cs="Arial"/>
          <w:color w:val="0E0E0E"/>
        </w:rPr>
        <w:t xml:space="preserve"> (2018) further underscore the value of non-verbal scaffolding in maintaining attention and stimulating curiosity, creating a linguistically rich environment for language learning.</w:t>
      </w:r>
    </w:p>
    <w:p w14:paraId="11E539C5" w14:textId="77777777" w:rsidR="00C87FFA" w:rsidRPr="00C87FFA" w:rsidRDefault="00C87FFA" w:rsidP="00C87FFA">
      <w:pPr>
        <w:pStyle w:val="p1"/>
        <w:spacing w:line="360" w:lineRule="auto"/>
        <w:rPr>
          <w:rFonts w:ascii="Arial" w:hAnsi="Arial" w:cs="Arial"/>
          <w:color w:val="0E0E0E"/>
        </w:rPr>
      </w:pPr>
      <w:r w:rsidRPr="00C87FFA">
        <w:rPr>
          <w:rFonts w:ascii="Arial" w:hAnsi="Arial" w:cs="Arial"/>
          <w:color w:val="0E0E0E"/>
        </w:rPr>
        <w:t xml:space="preserve">Furthermore, in the digital storytelling of Giraffes Can’t Dance, the practitioner employed animation as a visual scaffold alongside live narration to extend children’s developing digital literacy skills. Churchill (2020) notes that when narration is deliberately connected to on-screen visuals, children begin to understand digital texts as purposeful forms of communication rather than passive entertainment. By narrating without the original audio, the practitioner encouraged children to interpret meaning through movement, colour, and character expression, integrating these visual cues with spoken language. This pedagogical choice promoted digital </w:t>
      </w:r>
      <w:r w:rsidRPr="00C87FFA">
        <w:rPr>
          <w:rFonts w:ascii="Arial" w:hAnsi="Arial" w:cs="Arial"/>
          <w:color w:val="0E0E0E"/>
        </w:rPr>
        <w:lastRenderedPageBreak/>
        <w:t>competencies such as interpreting multimodal information, recognising relationships between image and narrative, and developing sequential understanding within digital contexts (Stefan, 2022). Collectively, these oral and digital scaffolding strategies reveal how practitioners can bridge traditional and digital modes of communication, enabling children to transfer linguistic understanding into new multimodal contexts and develop awareness of how meaning is co-constructed through language and technology, an approach increasingly recognised in early childhood digital literacy research (Erstad, 2020). This underlines the continuing need for practitioner scaffolding to ensure digital storytelling remains interactive, dialogic, and linguistically purposeful. By guiding children to interpret visual and verbal information together, practitioners nurture both linguistic understanding and foundational digital literacy, empowering learners to construct meaning across diverse multimodal contexts, thereby embodying the Curriculum for Wales (Welsh Government, 2022) vision of capable communicators and confident digital learners.</w:t>
      </w:r>
    </w:p>
    <w:p w14:paraId="21E5EE7E" w14:textId="77777777" w:rsidR="00C87FFA" w:rsidRPr="00C87FFA" w:rsidRDefault="00C87FFA" w:rsidP="00C87FFA">
      <w:pPr>
        <w:spacing w:line="360" w:lineRule="auto"/>
        <w:rPr>
          <w:rFonts w:ascii="Arial" w:hAnsi="Arial" w:cs="Arial"/>
        </w:rPr>
      </w:pPr>
    </w:p>
    <w:p w14:paraId="0CFB2CE5" w14:textId="2AAF93AA" w:rsidR="00C87FFA" w:rsidRPr="00C87FFA" w:rsidRDefault="00C87FFA" w:rsidP="00C87FFA">
      <w:pPr>
        <w:pStyle w:val="p1"/>
        <w:spacing w:line="360" w:lineRule="auto"/>
        <w:rPr>
          <w:rFonts w:ascii="Arial" w:hAnsi="Arial" w:cs="Arial"/>
          <w:b/>
          <w:bCs/>
          <w:color w:val="0E0E0E"/>
        </w:rPr>
      </w:pPr>
      <w:r w:rsidRPr="00C87FFA">
        <w:rPr>
          <w:rFonts w:ascii="Arial" w:hAnsi="Arial" w:cs="Arial"/>
          <w:b/>
          <w:bCs/>
          <w:color w:val="0E0E0E"/>
        </w:rPr>
        <w:t xml:space="preserve">Use of Props in Storytelling </w:t>
      </w:r>
    </w:p>
    <w:p w14:paraId="1AF60DDB" w14:textId="77777777" w:rsidR="00C87FFA" w:rsidRPr="00C87FFA" w:rsidRDefault="00C87FFA" w:rsidP="00C87FFA">
      <w:pPr>
        <w:spacing w:line="360" w:lineRule="auto"/>
        <w:rPr>
          <w:rFonts w:ascii="Arial" w:hAnsi="Arial" w:cs="Arial"/>
          <w:color w:val="0E0E0E"/>
        </w:rPr>
      </w:pPr>
      <w:r w:rsidRPr="00C87FFA">
        <w:rPr>
          <w:rFonts w:ascii="Arial" w:hAnsi="Arial" w:cs="Arial"/>
          <w:color w:val="0E0E0E"/>
        </w:rPr>
        <w:t>The use of props within storytelling provides a tangible and interactive scaffold that supports children’s comprehension, engagement, and expressive language development, as connecting spoken language with physical objects transforms abstract ideas into concrete experiences, enabling children to internalise new vocabulary, concepts, and actions within meaningful contexts</w:t>
      </w:r>
      <w:r w:rsidRPr="00C87FFA">
        <w:rPr>
          <w:rStyle w:val="apple-converted-space"/>
          <w:rFonts w:ascii="Arial" w:eastAsiaTheme="majorEastAsia" w:hAnsi="Arial" w:cs="Arial"/>
          <w:color w:val="0E0E0E"/>
        </w:rPr>
        <w:t> </w:t>
      </w:r>
      <w:r w:rsidRPr="00C87FFA">
        <w:rPr>
          <w:rFonts w:ascii="Arial" w:hAnsi="Arial" w:cs="Arial"/>
          <w:color w:val="0E0E0E"/>
        </w:rPr>
        <w:t xml:space="preserve">(Porta, 2021). As demonstrated in the storytelling activity </w:t>
      </w:r>
      <w:r w:rsidRPr="00C87FFA">
        <w:rPr>
          <w:rFonts w:ascii="Arial" w:hAnsi="Arial" w:cs="Arial"/>
          <w:i/>
          <w:iCs/>
          <w:color w:val="0E0E0E"/>
        </w:rPr>
        <w:t>Peace at Last</w:t>
      </w:r>
      <w:r w:rsidRPr="00C87FFA">
        <w:rPr>
          <w:rFonts w:ascii="Arial" w:hAnsi="Arial" w:cs="Arial"/>
          <w:color w:val="0E0E0E"/>
        </w:rPr>
        <w:t>, the practitioner used props such as the toy bear, house, and images of the clock, owl, and fridge, allowing children to actively connect language to real-world referents and reinforcing their understanding of story sequence and related vocabulary. These visual and tactile cues encouraged children to verbalise observations, imitate familiar phrases, and describe events, fostering both expressive and receptive language skills (</w:t>
      </w:r>
      <w:proofErr w:type="spellStart"/>
      <w:r w:rsidRPr="00C87FFA">
        <w:rPr>
          <w:rFonts w:ascii="Arial" w:hAnsi="Arial" w:cs="Arial"/>
          <w:color w:val="0E0E0E"/>
        </w:rPr>
        <w:t>Cekaite</w:t>
      </w:r>
      <w:proofErr w:type="spellEnd"/>
      <w:r w:rsidRPr="00C87FFA">
        <w:rPr>
          <w:rFonts w:ascii="Arial" w:hAnsi="Arial" w:cs="Arial"/>
          <w:color w:val="0E0E0E"/>
        </w:rPr>
        <w:t xml:space="preserve"> and Björk-Willén, 2018).</w:t>
      </w:r>
      <w:r w:rsidRPr="00C87FFA">
        <w:rPr>
          <w:rFonts w:ascii="Arial" w:hAnsi="Arial" w:cs="Arial"/>
        </w:rPr>
        <w:t> </w:t>
      </w:r>
      <w:r w:rsidRPr="00C87FFA">
        <w:rPr>
          <w:rFonts w:ascii="Arial" w:hAnsi="Arial" w:cs="Arial"/>
          <w:color w:val="0E0E0E"/>
        </w:rPr>
        <w:t xml:space="preserve">This reflects Piaget’s (1951) notion that children in the preoperational stage learn most effectively through sensory and physical engagement, as concrete experiences provide the foundation for later abstract reasoning and symbolic thought. Bruner’s (1966) concept of enactive representation similarly highlights that learning begins through physical action before evolving into </w:t>
      </w:r>
      <w:r w:rsidRPr="00C87FFA">
        <w:rPr>
          <w:rFonts w:ascii="Arial" w:hAnsi="Arial" w:cs="Arial"/>
          <w:color w:val="0E0E0E"/>
        </w:rPr>
        <w:lastRenderedPageBreak/>
        <w:t>symbolic and linguistic forms. Through guided use of props, the practitioner created a bridge between action and language, helping children to interpret narrative meaning and communicate their understanding with growing confidence and clarity, thereby supporting the development of purposeful spoken interaction as a foundation for later literacy (Bromley, 2019).</w:t>
      </w:r>
    </w:p>
    <w:p w14:paraId="6C7E5B07" w14:textId="77777777" w:rsidR="00C87FFA" w:rsidRPr="00C87FFA" w:rsidRDefault="00C87FFA" w:rsidP="00C87FFA">
      <w:pPr>
        <w:spacing w:line="360" w:lineRule="auto"/>
        <w:rPr>
          <w:rFonts w:ascii="Arial" w:hAnsi="Arial" w:cs="Arial"/>
          <w:color w:val="0E0E0E"/>
        </w:rPr>
      </w:pPr>
    </w:p>
    <w:p w14:paraId="46771EE4" w14:textId="77777777" w:rsidR="00C87FFA" w:rsidRPr="00C87FFA" w:rsidRDefault="00C87FFA" w:rsidP="00C87FFA">
      <w:pPr>
        <w:spacing w:line="360" w:lineRule="auto"/>
        <w:rPr>
          <w:rFonts w:ascii="Arial" w:hAnsi="Arial" w:cs="Arial"/>
          <w:color w:val="0E0E0E"/>
        </w:rPr>
      </w:pPr>
      <w:r w:rsidRPr="00C87FFA">
        <w:rPr>
          <w:rFonts w:ascii="Arial" w:hAnsi="Arial" w:cs="Arial"/>
          <w:color w:val="0E0E0E"/>
        </w:rPr>
        <w:t xml:space="preserve">In addition, the purposeful use of props during storytelling plays a vital role in supporting children’s early reading and writing development. According to </w:t>
      </w:r>
      <w:r w:rsidRPr="001024A2">
        <w:rPr>
          <w:rFonts w:ascii="Arial" w:hAnsi="Arial" w:cs="Arial"/>
          <w:color w:val="0E0E0E"/>
        </w:rPr>
        <w:t xml:space="preserve">Luen </w:t>
      </w:r>
      <w:r w:rsidRPr="00C87FFA">
        <w:rPr>
          <w:rFonts w:ascii="Arial" w:hAnsi="Arial" w:cs="Arial"/>
          <w:color w:val="0E0E0E"/>
        </w:rPr>
        <w:t>(</w:t>
      </w:r>
      <w:r w:rsidRPr="001024A2">
        <w:rPr>
          <w:rFonts w:ascii="Arial" w:hAnsi="Arial" w:cs="Arial"/>
          <w:color w:val="0E0E0E"/>
        </w:rPr>
        <w:t>2021)</w:t>
      </w:r>
      <w:r w:rsidRPr="00C87FFA">
        <w:rPr>
          <w:rFonts w:ascii="Arial" w:hAnsi="Arial" w:cs="Arial"/>
          <w:color w:val="0E0E0E"/>
        </w:rPr>
        <w:t>, when children manipulate props to retell or extend story events, they develop greater awareness of narrative sequencing, structure, and vocabulary, as the process of handling and describing these objects enables them to organise ideas, articulate relationships between actions, and use increasingly descriptive language, thereby strengthening the cognitive and linguistic foundations of early writing. Likewise, Melzi, Schick and Wuest (2022) contend that early narrative experiences incorporating tangible objects foster emergent literacy by enabling children to recognise recurring linguistic patterns, auditory cues, and story structures that underpin decoding and comprehension. Through repeated engagement with story-related props, children learn to anticipate narrative sequences, connect spoken language to visual representations, and internalise vocabulary. These foundational abilities support later reading development by equipping children with the cognitive and linguistic strategies required to infer meaning, predict textual outcomes, and engage critically with written narratives (Spencer and Pierce, 2023).</w:t>
      </w:r>
      <w:r w:rsidRPr="00C87FFA">
        <w:rPr>
          <w:rFonts w:ascii="Arial" w:hAnsi="Arial" w:cs="Arial"/>
        </w:rPr>
        <w:t xml:space="preserve"> </w:t>
      </w:r>
      <w:r w:rsidRPr="00C87FFA">
        <w:rPr>
          <w:rFonts w:ascii="Arial" w:hAnsi="Arial" w:cs="Arial"/>
          <w:color w:val="0E0E0E"/>
        </w:rPr>
        <w:t xml:space="preserve"> </w:t>
      </w:r>
    </w:p>
    <w:p w14:paraId="62E8FAB3" w14:textId="77777777" w:rsidR="00C87FFA" w:rsidRPr="00C87FFA" w:rsidRDefault="00C87FFA" w:rsidP="00C87FFA">
      <w:pPr>
        <w:spacing w:line="360" w:lineRule="auto"/>
        <w:rPr>
          <w:rFonts w:ascii="Arial" w:hAnsi="Arial" w:cs="Arial"/>
          <w:color w:val="0E0E0E"/>
        </w:rPr>
      </w:pPr>
    </w:p>
    <w:p w14:paraId="1EE6981F" w14:textId="77777777" w:rsidR="00C87FFA" w:rsidRPr="00C87FFA" w:rsidRDefault="00C87FFA" w:rsidP="00C87FFA">
      <w:pPr>
        <w:spacing w:line="360" w:lineRule="auto"/>
        <w:rPr>
          <w:rFonts w:ascii="Arial" w:hAnsi="Arial" w:cs="Arial"/>
          <w:color w:val="0E0E0E"/>
        </w:rPr>
      </w:pPr>
      <w:r w:rsidRPr="00C87FFA">
        <w:rPr>
          <w:rFonts w:ascii="Arial" w:hAnsi="Arial" w:cs="Arial"/>
          <w:color w:val="0E0E0E"/>
        </w:rPr>
        <w:t xml:space="preserve">While the use of props can significantly enrich storytelling by enhancing engagement and comprehension (Porta, 2021), children with Additional Learning Needs (ALN), such as those with </w:t>
      </w:r>
      <w:proofErr w:type="gramStart"/>
      <w:r w:rsidRPr="00C87FFA">
        <w:rPr>
          <w:rFonts w:ascii="Arial" w:hAnsi="Arial" w:cs="Arial"/>
          <w:color w:val="0E0E0E"/>
        </w:rPr>
        <w:t>Autism Spectrum Disorder</w:t>
      </w:r>
      <w:proofErr w:type="gramEnd"/>
      <w:r w:rsidRPr="00C87FFA">
        <w:rPr>
          <w:rFonts w:ascii="Arial" w:hAnsi="Arial" w:cs="Arial"/>
          <w:color w:val="0E0E0E"/>
        </w:rPr>
        <w:t xml:space="preserve"> (ASD), may </w:t>
      </w:r>
      <w:proofErr w:type="gramStart"/>
      <w:r w:rsidRPr="00C87FFA">
        <w:rPr>
          <w:rFonts w:ascii="Arial" w:hAnsi="Arial" w:cs="Arial"/>
          <w:color w:val="0E0E0E"/>
        </w:rPr>
        <w:t>experience difficulty</w:t>
      </w:r>
      <w:proofErr w:type="gramEnd"/>
      <w:r w:rsidRPr="00C87FFA">
        <w:rPr>
          <w:rFonts w:ascii="Arial" w:hAnsi="Arial" w:cs="Arial"/>
          <w:color w:val="0E0E0E"/>
        </w:rPr>
        <w:t xml:space="preserve"> processing multiple sensory stimuli. According to the National Autistic Society (2024), heightened sensitivity to sound, colour, or movement can result in sensory overload when multiple stimuli are presented simultaneously, making it challenging for children to filter competing information, maintain attention, and engage effectively with the narrative.  Ferretti </w:t>
      </w:r>
      <w:r w:rsidRPr="00C87FFA">
        <w:rPr>
          <w:rFonts w:ascii="Arial" w:hAnsi="Arial" w:cs="Arial"/>
          <w:i/>
          <w:iCs/>
          <w:color w:val="0E0E0E"/>
        </w:rPr>
        <w:t>et al.</w:t>
      </w:r>
      <w:r w:rsidRPr="00C87FFA">
        <w:rPr>
          <w:rFonts w:ascii="Arial" w:hAnsi="Arial" w:cs="Arial"/>
          <w:color w:val="0E0E0E"/>
        </w:rPr>
        <w:t xml:space="preserve"> (2018) similarly found that divided attention affects children’s ability to sustain narrative coherence, resulting in reduced comprehension and limited vocabulary retention, both essential aspects of early language development. In the digital storytelling of Giraffes Can’t Dance, the practitioner made </w:t>
      </w:r>
      <w:r w:rsidRPr="00C87FFA">
        <w:rPr>
          <w:rFonts w:ascii="Arial" w:hAnsi="Arial" w:cs="Arial"/>
          <w:color w:val="0E0E0E"/>
        </w:rPr>
        <w:lastRenderedPageBreak/>
        <w:t xml:space="preserve">the deliberate choice not to use physical props, recognising that the animated visuals and on-screen movement already provided sufficient sensory engagement to capture children’s attention. Introducing additional physical props in such contexts could risk overstimulating children or dividing their focus between competing stimuli (Yonzon </w:t>
      </w:r>
      <w:r w:rsidRPr="00C87FFA">
        <w:rPr>
          <w:rFonts w:ascii="Arial" w:hAnsi="Arial" w:cs="Arial"/>
          <w:i/>
          <w:iCs/>
          <w:color w:val="0E0E0E"/>
        </w:rPr>
        <w:t>et al.,</w:t>
      </w:r>
      <w:r w:rsidRPr="00C87FFA">
        <w:rPr>
          <w:rFonts w:ascii="Arial" w:hAnsi="Arial" w:cs="Arial"/>
          <w:color w:val="0E0E0E"/>
        </w:rPr>
        <w:t xml:space="preserve"> 2023). Instead, the practitioner relied on vocal expression, gesture, and facial animation to enhance understanding and sustain engagement, ensuring that attention remained centred on the narrative and language within the digital story (Churchill, 2020). Therefore, practitioners should carefully regulate sensory input and select props that enhance rather than compete with the story’s linguistic and narrative aims, aligning their practice with the Curriculum for Wales (Welsh Government, 2022), which emphasises inclusive and responsive pedagogy through adaptation of learning environments to meet diverse sensory and communication needs. Through such reflective practice, all children, including those with Additional Learning Needs, can engage meaningfully in storytelling experiences that promote communication, strengthen comprehension, and build the linguistic and cognitive foundations essential for early literacy.</w:t>
      </w:r>
    </w:p>
    <w:p w14:paraId="63AFC39A" w14:textId="77777777" w:rsidR="0068060A" w:rsidRPr="00C87FFA" w:rsidRDefault="0068060A" w:rsidP="00C87FFA">
      <w:pPr>
        <w:spacing w:line="360" w:lineRule="auto"/>
        <w:rPr>
          <w:rFonts w:ascii="Arial" w:hAnsi="Arial" w:cs="Arial"/>
        </w:rPr>
      </w:pPr>
    </w:p>
    <w:sectPr w:rsidR="0068060A" w:rsidRPr="00C87FFA">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DF315" w14:textId="77777777" w:rsidR="00FB71FD" w:rsidRDefault="00FB71FD" w:rsidP="00C87FFA">
      <w:r>
        <w:separator/>
      </w:r>
    </w:p>
  </w:endnote>
  <w:endnote w:type="continuationSeparator" w:id="0">
    <w:p w14:paraId="38347063" w14:textId="77777777" w:rsidR="00FB71FD" w:rsidRDefault="00FB71FD" w:rsidP="00C87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3DE24" w14:textId="77777777" w:rsidR="00FB71FD" w:rsidRDefault="00FB71FD" w:rsidP="00C87FFA">
      <w:r>
        <w:separator/>
      </w:r>
    </w:p>
  </w:footnote>
  <w:footnote w:type="continuationSeparator" w:id="0">
    <w:p w14:paraId="450598A5" w14:textId="77777777" w:rsidR="00FB71FD" w:rsidRDefault="00FB71FD" w:rsidP="00C87F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63EF4" w14:textId="43A1D2A3" w:rsidR="00C87FFA" w:rsidRDefault="00C87FFA">
    <w:pPr>
      <w:pStyle w:val="Header"/>
    </w:pPr>
    <w:r>
      <w:t>2417935</w:t>
    </w:r>
    <w:r>
      <w:ptab w:relativeTo="margin" w:alignment="center" w:leader="none"/>
    </w:r>
    <w:r>
      <w:t>ECEY5004</w:t>
    </w:r>
    <w:r>
      <w:ptab w:relativeTo="margin" w:alignment="right" w:leader="none"/>
    </w:r>
    <w:r>
      <w:t>2003 words cound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FFA"/>
    <w:rsid w:val="00360038"/>
    <w:rsid w:val="003B3FD0"/>
    <w:rsid w:val="0068060A"/>
    <w:rsid w:val="00C87FFA"/>
    <w:rsid w:val="00FB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45E13"/>
  <w15:chartTrackingRefBased/>
  <w15:docId w15:val="{E88A0E9C-8546-5D49-B4A5-81DF6ADED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FFA"/>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autoRedefine/>
    <w:uiPriority w:val="9"/>
    <w:qFormat/>
    <w:rsid w:val="0068060A"/>
    <w:pPr>
      <w:keepNext/>
      <w:keepLines/>
      <w:spacing w:before="360" w:after="80" w:line="360" w:lineRule="auto"/>
      <w:outlineLvl w:val="0"/>
    </w:pPr>
    <w:rPr>
      <w:rFonts w:ascii="Arial" w:eastAsiaTheme="majorEastAsia" w:hAnsi="Arial" w:cstheme="majorBidi"/>
      <w:b/>
      <w:color w:val="000000" w:themeColor="text1"/>
      <w:kern w:val="2"/>
      <w:szCs w:val="40"/>
      <w:lang w:eastAsia="en-US"/>
      <w14:ligatures w14:val="standardContextual"/>
    </w:rPr>
  </w:style>
  <w:style w:type="paragraph" w:styleId="Heading2">
    <w:name w:val="heading 2"/>
    <w:basedOn w:val="Normal"/>
    <w:next w:val="Normal"/>
    <w:link w:val="Heading2Char"/>
    <w:uiPriority w:val="9"/>
    <w:semiHidden/>
    <w:unhideWhenUsed/>
    <w:qFormat/>
    <w:rsid w:val="00C87FF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C87FFA"/>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C87FFA"/>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C87FFA"/>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C87FFA"/>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C87FFA"/>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C87FFA"/>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C87FFA"/>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60A"/>
    <w:rPr>
      <w:rFonts w:ascii="Arial" w:eastAsiaTheme="majorEastAsia" w:hAnsi="Arial" w:cstheme="majorBidi"/>
      <w:b/>
      <w:color w:val="000000" w:themeColor="text1"/>
      <w:szCs w:val="40"/>
    </w:rPr>
  </w:style>
  <w:style w:type="character" w:customStyle="1" w:styleId="Heading2Char">
    <w:name w:val="Heading 2 Char"/>
    <w:basedOn w:val="DefaultParagraphFont"/>
    <w:link w:val="Heading2"/>
    <w:uiPriority w:val="9"/>
    <w:semiHidden/>
    <w:rsid w:val="00C87F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7F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7F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7F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7F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7F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7F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7FFA"/>
    <w:rPr>
      <w:rFonts w:eastAsiaTheme="majorEastAsia" w:cstheme="majorBidi"/>
      <w:color w:val="272727" w:themeColor="text1" w:themeTint="D8"/>
    </w:rPr>
  </w:style>
  <w:style w:type="paragraph" w:styleId="Title">
    <w:name w:val="Title"/>
    <w:basedOn w:val="Normal"/>
    <w:next w:val="Normal"/>
    <w:link w:val="TitleChar"/>
    <w:uiPriority w:val="10"/>
    <w:qFormat/>
    <w:rsid w:val="00C87FFA"/>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C87F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7FF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C87F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7FFA"/>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C87FFA"/>
    <w:rPr>
      <w:i/>
      <w:iCs/>
      <w:color w:val="404040" w:themeColor="text1" w:themeTint="BF"/>
    </w:rPr>
  </w:style>
  <w:style w:type="paragraph" w:styleId="ListParagraph">
    <w:name w:val="List Paragraph"/>
    <w:basedOn w:val="Normal"/>
    <w:uiPriority w:val="34"/>
    <w:qFormat/>
    <w:rsid w:val="00C87FFA"/>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C87FFA"/>
    <w:rPr>
      <w:i/>
      <w:iCs/>
      <w:color w:val="0F4761" w:themeColor="accent1" w:themeShade="BF"/>
    </w:rPr>
  </w:style>
  <w:style w:type="paragraph" w:styleId="IntenseQuote">
    <w:name w:val="Intense Quote"/>
    <w:basedOn w:val="Normal"/>
    <w:next w:val="Normal"/>
    <w:link w:val="IntenseQuoteChar"/>
    <w:uiPriority w:val="30"/>
    <w:qFormat/>
    <w:rsid w:val="00C87FF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C87FFA"/>
    <w:rPr>
      <w:i/>
      <w:iCs/>
      <w:color w:val="0F4761" w:themeColor="accent1" w:themeShade="BF"/>
    </w:rPr>
  </w:style>
  <w:style w:type="character" w:styleId="IntenseReference">
    <w:name w:val="Intense Reference"/>
    <w:basedOn w:val="DefaultParagraphFont"/>
    <w:uiPriority w:val="32"/>
    <w:qFormat/>
    <w:rsid w:val="00C87FFA"/>
    <w:rPr>
      <w:b/>
      <w:bCs/>
      <w:smallCaps/>
      <w:color w:val="0F4761" w:themeColor="accent1" w:themeShade="BF"/>
      <w:spacing w:val="5"/>
    </w:rPr>
  </w:style>
  <w:style w:type="paragraph" w:customStyle="1" w:styleId="p1">
    <w:name w:val="p1"/>
    <w:basedOn w:val="Normal"/>
    <w:rsid w:val="00C87FFA"/>
    <w:pPr>
      <w:spacing w:before="100" w:beforeAutospacing="1" w:after="100" w:afterAutospacing="1"/>
    </w:pPr>
  </w:style>
  <w:style w:type="character" w:customStyle="1" w:styleId="apple-converted-space">
    <w:name w:val="apple-converted-space"/>
    <w:basedOn w:val="DefaultParagraphFont"/>
    <w:rsid w:val="00C87FFA"/>
  </w:style>
  <w:style w:type="paragraph" w:styleId="Header">
    <w:name w:val="header"/>
    <w:basedOn w:val="Normal"/>
    <w:link w:val="HeaderChar"/>
    <w:uiPriority w:val="99"/>
    <w:unhideWhenUsed/>
    <w:rsid w:val="00C87FFA"/>
    <w:pPr>
      <w:tabs>
        <w:tab w:val="center" w:pos="4513"/>
        <w:tab w:val="right" w:pos="9026"/>
      </w:tabs>
    </w:pPr>
  </w:style>
  <w:style w:type="character" w:customStyle="1" w:styleId="HeaderChar">
    <w:name w:val="Header Char"/>
    <w:basedOn w:val="DefaultParagraphFont"/>
    <w:link w:val="Header"/>
    <w:uiPriority w:val="99"/>
    <w:rsid w:val="00C87FFA"/>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C87FFA"/>
    <w:pPr>
      <w:tabs>
        <w:tab w:val="center" w:pos="4513"/>
        <w:tab w:val="right" w:pos="9026"/>
      </w:tabs>
    </w:pPr>
  </w:style>
  <w:style w:type="character" w:customStyle="1" w:styleId="FooterChar">
    <w:name w:val="Footer Char"/>
    <w:basedOn w:val="DefaultParagraphFont"/>
    <w:link w:val="Footer"/>
    <w:uiPriority w:val="99"/>
    <w:rsid w:val="00C87FFA"/>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2318</Words>
  <Characters>13216</Characters>
  <Application>Microsoft Office Word</Application>
  <DocSecurity>0</DocSecurity>
  <Lines>110</Lines>
  <Paragraphs>31</Paragraphs>
  <ScaleCrop>false</ScaleCrop>
  <Company/>
  <LinksUpToDate>false</LinksUpToDate>
  <CharactersWithSpaces>15503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Cristiane Ribeiro De Freitas (2417935)</dc:creator>
  <cp:keywords/>
  <dc:description/>
  <cp:lastModifiedBy>Cristiane Ribeiro De Freitas (2417935)</cp:lastModifiedBy>
  <cp:revision>1</cp:revision>
  <dcterms:created xsi:type="dcterms:W3CDTF">2025-10-22T09:56:00Z</dcterms:created>
  <dcterms:modified xsi:type="dcterms:W3CDTF">2025-10-22T10:00:00Z</dcterms:modified>
</cp:coreProperties>
</file>